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4B7E7F">
      <w:pPr>
        <w:jc w:val="center"/>
        <w:rPr>
          <w:rFonts w:ascii="宋体"/>
          <w:color w:val="000000" w:themeColor="text1"/>
          <w:sz w:val="72"/>
          <w:szCs w:val="72"/>
          <w:highlight w:val="none"/>
          <w14:textFill>
            <w14:solidFill>
              <w14:schemeClr w14:val="tx1"/>
            </w14:solidFill>
          </w14:textFill>
        </w:rPr>
      </w:pPr>
    </w:p>
    <w:p w14:paraId="1A8FE079">
      <w:pPr>
        <w:jc w:val="center"/>
        <w:rPr>
          <w:rFonts w:ascii="宋体"/>
          <w:color w:val="000000" w:themeColor="text1"/>
          <w:highlight w:val="none"/>
          <w14:textFill>
            <w14:solidFill>
              <w14:schemeClr w14:val="tx1"/>
            </w14:solidFill>
          </w14:textFill>
        </w:rPr>
      </w:pPr>
    </w:p>
    <w:p w14:paraId="787FC784">
      <w:pPr>
        <w:pStyle w:val="29"/>
        <w:jc w:val="center"/>
        <w:rPr>
          <w:rFonts w:hAnsi="宋体" w:cs="Times New Roman"/>
          <w:color w:val="000000" w:themeColor="text1"/>
          <w:spacing w:val="30"/>
          <w:kern w:val="52"/>
          <w:sz w:val="64"/>
          <w:szCs w:val="64"/>
          <w:highlight w:val="none"/>
          <w14:textFill>
            <w14:solidFill>
              <w14:schemeClr w14:val="tx1"/>
            </w14:solidFill>
          </w14:textFill>
        </w:rPr>
      </w:pPr>
      <w:r>
        <w:rPr>
          <w:rFonts w:hint="eastAsia" w:hAnsi="宋体"/>
          <w:color w:val="000000" w:themeColor="text1"/>
          <w:spacing w:val="30"/>
          <w:kern w:val="52"/>
          <w:sz w:val="64"/>
          <w:szCs w:val="64"/>
          <w:highlight w:val="none"/>
          <w14:textFill>
            <w14:solidFill>
              <w14:schemeClr w14:val="tx1"/>
            </w14:solidFill>
          </w14:textFill>
        </w:rPr>
        <w:t>广西云凯工程咨询有限公司</w:t>
      </w:r>
    </w:p>
    <w:p w14:paraId="2138D181">
      <w:pPr>
        <w:pStyle w:val="29"/>
        <w:jc w:val="center"/>
        <w:rPr>
          <w:rFonts w:hAnsi="宋体" w:cs="Times New Roman"/>
          <w:b/>
          <w:bCs/>
          <w:color w:val="000000" w:themeColor="text1"/>
          <w:sz w:val="44"/>
          <w:szCs w:val="44"/>
          <w:highlight w:val="none"/>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1666432" behindDoc="0" locked="0" layoutInCell="1" allowOverlap="1">
                <wp:simplePos x="0" y="0"/>
                <wp:positionH relativeFrom="column">
                  <wp:posOffset>114300</wp:posOffset>
                </wp:positionH>
                <wp:positionV relativeFrom="paragraph">
                  <wp:posOffset>99060</wp:posOffset>
                </wp:positionV>
                <wp:extent cx="5486400" cy="0"/>
                <wp:effectExtent l="0" t="6350" r="0" b="6350"/>
                <wp:wrapNone/>
                <wp:docPr id="1" name="直线 2"/>
                <wp:cNvGraphicFramePr/>
                <a:graphic xmlns:a="http://schemas.openxmlformats.org/drawingml/2006/main">
                  <a:graphicData uri="http://schemas.microsoft.com/office/word/2010/wordprocessingShape">
                    <wps:wsp>
                      <wps:cNvCnPr/>
                      <wps:spPr>
                        <a:xfrm>
                          <a:off x="0" y="0"/>
                          <a:ext cx="5486400" cy="0"/>
                        </a:xfrm>
                        <a:prstGeom prst="line">
                          <a:avLst/>
                        </a:prstGeom>
                        <a:ln w="12700" cap="flat" cmpd="sng">
                          <a:solidFill>
                            <a:srgbClr val="000000"/>
                          </a:solidFill>
                          <a:prstDash val="solid"/>
                          <a:headEnd type="none" w="med" len="med"/>
                          <a:tailEnd type="none" w="med" len="med"/>
                        </a:ln>
                        <a:effectLst/>
                      </wps:spPr>
                      <wps:bodyPr/>
                    </wps:wsp>
                  </a:graphicData>
                </a:graphic>
              </wp:anchor>
            </w:drawing>
          </mc:Choice>
          <mc:Fallback>
            <w:pict>
              <v:line id="直线 2" o:spid="_x0000_s1026" o:spt="20" style="position:absolute;left:0pt;margin-left:9pt;margin-top:7.8pt;height:0pt;width:432pt;z-index:251666432;mso-width-relative:page;mso-height-relative:page;" filled="f" stroked="t" coordsize="21600,21600" o:gfxdata="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CvawUM1AAAAAgBAAAP&#10;AAAAAAAAAAEAIAAAACIAAABkcnMvZG93bnJldi54bWxQSwECFAAUAAAACACHTuJAqlxkR+MBAADe&#10;AwAADgAAAAAAAAABACAAAAAjAQAAZHJzL2Uyb0RvYy54bWxQSwUGAAAAAAYABgBZAQAAeAUAAAAA&#10;">
                <v:fill on="f" focussize="0,0"/>
                <v:stroke weight="1pt" color="#000000" joinstyle="round"/>
                <v:imagedata o:title=""/>
                <o:lock v:ext="edit" aspectratio="f"/>
              </v:line>
            </w:pict>
          </mc:Fallback>
        </mc:AlternateContent>
      </w:r>
    </w:p>
    <w:p w14:paraId="17E1D2B2">
      <w:pPr>
        <w:snapToGrid w:val="0"/>
        <w:spacing w:beforeLines="50" w:line="360" w:lineRule="auto"/>
        <w:jc w:val="center"/>
        <w:rPr>
          <w:rFonts w:ascii="宋体"/>
          <w:b/>
          <w:bCs/>
          <w:color w:val="000000" w:themeColor="text1"/>
          <w:sz w:val="96"/>
          <w:szCs w:val="96"/>
          <w:highlight w:val="none"/>
          <w14:textFill>
            <w14:solidFill>
              <w14:schemeClr w14:val="tx1"/>
            </w14:solidFill>
          </w14:textFill>
        </w:rPr>
      </w:pPr>
      <w:r>
        <w:rPr>
          <w:rFonts w:hint="eastAsia" w:ascii="宋体" w:hAnsi="宋体" w:cs="宋体"/>
          <w:b/>
          <w:bCs/>
          <w:color w:val="000000" w:themeColor="text1"/>
          <w:sz w:val="96"/>
          <w:szCs w:val="96"/>
          <w:highlight w:val="none"/>
          <w14:textFill>
            <w14:solidFill>
              <w14:schemeClr w14:val="tx1"/>
            </w14:solidFill>
          </w14:textFill>
        </w:rPr>
        <w:t>竞争性磋商文件</w:t>
      </w:r>
    </w:p>
    <w:p w14:paraId="2A1C7A37">
      <w:pPr>
        <w:snapToGrid w:val="0"/>
        <w:spacing w:line="360" w:lineRule="auto"/>
        <w:rPr>
          <w:rFonts w:ascii="宋体"/>
          <w:b/>
          <w:bCs/>
          <w:color w:val="000000" w:themeColor="text1"/>
          <w:sz w:val="48"/>
          <w:szCs w:val="48"/>
          <w:highlight w:val="none"/>
          <w14:textFill>
            <w14:solidFill>
              <w14:schemeClr w14:val="tx1"/>
            </w14:solidFill>
          </w14:textFill>
        </w:rPr>
      </w:pPr>
      <w:bookmarkStart w:id="262" w:name="_GoBack"/>
      <w:bookmarkEnd w:id="262"/>
    </w:p>
    <w:p w14:paraId="44D99681">
      <w:pPr>
        <w:pStyle w:val="29"/>
        <w:snapToGrid w:val="0"/>
        <w:spacing w:line="360" w:lineRule="auto"/>
        <w:ind w:firstLine="1205" w:firstLineChars="400"/>
        <w:rPr>
          <w:rFonts w:hAnsi="宋体" w:cs="Times New Roman"/>
          <w:b/>
          <w:bCs/>
          <w:color w:val="000000" w:themeColor="text1"/>
          <w:sz w:val="30"/>
          <w:szCs w:val="30"/>
          <w:highlight w:val="none"/>
          <w14:textFill>
            <w14:solidFill>
              <w14:schemeClr w14:val="tx1"/>
            </w14:solidFill>
          </w14:textFill>
        </w:rPr>
      </w:pPr>
    </w:p>
    <w:p w14:paraId="501D6C6C">
      <w:pPr>
        <w:pStyle w:val="29"/>
        <w:snapToGrid w:val="0"/>
        <w:spacing w:line="360" w:lineRule="auto"/>
        <w:jc w:val="center"/>
        <w:rPr>
          <w:rFonts w:hAnsi="宋体" w:cs="Times New Roman"/>
          <w:b/>
          <w:bCs/>
          <w:color w:val="000000" w:themeColor="text1"/>
          <w:sz w:val="30"/>
          <w:szCs w:val="30"/>
          <w:highlight w:val="none"/>
          <w14:textFill>
            <w14:solidFill>
              <w14:schemeClr w14:val="tx1"/>
            </w14:solidFill>
          </w14:textFill>
        </w:rPr>
      </w:pPr>
      <w:r>
        <w:rPr>
          <w:rFonts w:hint="eastAsia" w:hAnsi="宋体"/>
          <w:b/>
          <w:bCs/>
          <w:color w:val="000000" w:themeColor="text1"/>
          <w:sz w:val="30"/>
          <w:szCs w:val="30"/>
          <w:highlight w:val="none"/>
          <w14:textFill>
            <w14:solidFill>
              <w14:schemeClr w14:val="tx1"/>
            </w14:solidFill>
          </w14:textFill>
        </w:rPr>
        <w:t>项目</w:t>
      </w:r>
      <w:r>
        <w:rPr>
          <w:rFonts w:hint="eastAsia" w:hAnsi="宋体"/>
          <w:b/>
          <w:bCs/>
          <w:color w:val="000000" w:themeColor="text1"/>
          <w:w w:val="95"/>
          <w:sz w:val="30"/>
          <w:szCs w:val="30"/>
          <w:highlight w:val="none"/>
          <w14:textFill>
            <w14:solidFill>
              <w14:schemeClr w14:val="tx1"/>
            </w14:solidFill>
          </w14:textFill>
        </w:rPr>
        <w:t>名称</w:t>
      </w:r>
      <w:r>
        <w:rPr>
          <w:rFonts w:hint="eastAsia" w:hAnsi="宋体"/>
          <w:b/>
          <w:bCs/>
          <w:color w:val="000000" w:themeColor="text1"/>
          <w:sz w:val="30"/>
          <w:szCs w:val="30"/>
          <w:highlight w:val="none"/>
          <w14:textFill>
            <w14:solidFill>
              <w14:schemeClr w14:val="tx1"/>
            </w14:solidFill>
          </w14:textFill>
        </w:rPr>
        <w:t>：</w:t>
      </w:r>
      <w:r>
        <w:rPr>
          <w:rFonts w:hint="eastAsia" w:hAnsi="宋体"/>
          <w:b/>
          <w:bCs/>
          <w:color w:val="000000" w:themeColor="text1"/>
          <w:sz w:val="32"/>
          <w:szCs w:val="32"/>
          <w:highlight w:val="none"/>
          <w14:textFill>
            <w14:solidFill>
              <w14:schemeClr w14:val="tx1"/>
            </w14:solidFill>
          </w14:textFill>
        </w:rPr>
        <w:t>S206线K25+642～K53+000段安全设施精细化提升工程</w:t>
      </w:r>
    </w:p>
    <w:p w14:paraId="1CF0EBD7">
      <w:pPr>
        <w:pStyle w:val="29"/>
        <w:snapToGrid w:val="0"/>
        <w:spacing w:line="360" w:lineRule="auto"/>
        <w:jc w:val="center"/>
        <w:rPr>
          <w:rFonts w:hAnsi="宋体"/>
          <w:b/>
          <w:bCs/>
          <w:color w:val="000000" w:themeColor="text1"/>
          <w:sz w:val="30"/>
          <w:szCs w:val="30"/>
          <w:highlight w:val="none"/>
          <w14:textFill>
            <w14:solidFill>
              <w14:schemeClr w14:val="tx1"/>
            </w14:solidFill>
          </w14:textFill>
        </w:rPr>
      </w:pPr>
      <w:r>
        <w:rPr>
          <w:rFonts w:hint="eastAsia" w:hAnsi="宋体"/>
          <w:b/>
          <w:bCs/>
          <w:color w:val="000000" w:themeColor="text1"/>
          <w:sz w:val="30"/>
          <w:szCs w:val="30"/>
          <w:highlight w:val="none"/>
          <w14:textFill>
            <w14:solidFill>
              <w14:schemeClr w14:val="tx1"/>
            </w14:solidFill>
          </w14:textFill>
        </w:rPr>
        <w:t>项目编号：GXZC2026-C2-000213-GXYK</w:t>
      </w:r>
    </w:p>
    <w:p w14:paraId="439CCF57">
      <w:pPr>
        <w:pStyle w:val="29"/>
        <w:snapToGrid w:val="0"/>
        <w:spacing w:line="360" w:lineRule="auto"/>
        <w:ind w:firstLine="1205" w:firstLineChars="400"/>
        <w:rPr>
          <w:rFonts w:hAnsi="宋体" w:cs="Times New Roman"/>
          <w:b/>
          <w:bCs/>
          <w:color w:val="000000" w:themeColor="text1"/>
          <w:sz w:val="30"/>
          <w:szCs w:val="30"/>
          <w:highlight w:val="none"/>
          <w14:textFill>
            <w14:solidFill>
              <w14:schemeClr w14:val="tx1"/>
            </w14:solidFill>
          </w14:textFill>
        </w:rPr>
      </w:pPr>
    </w:p>
    <w:p w14:paraId="71A511BE">
      <w:pPr>
        <w:snapToGrid w:val="0"/>
        <w:spacing w:line="360" w:lineRule="auto"/>
        <w:ind w:firstLine="1145" w:firstLineChars="400"/>
        <w:rPr>
          <w:rFonts w:ascii="宋体"/>
          <w:b/>
          <w:bCs/>
          <w:color w:val="000000" w:themeColor="text1"/>
          <w:w w:val="95"/>
          <w:sz w:val="30"/>
          <w:szCs w:val="30"/>
          <w:highlight w:val="none"/>
          <w14:textFill>
            <w14:solidFill>
              <w14:schemeClr w14:val="tx1"/>
            </w14:solidFill>
          </w14:textFill>
        </w:rPr>
      </w:pPr>
    </w:p>
    <w:p w14:paraId="5C0FD330">
      <w:pPr>
        <w:snapToGrid w:val="0"/>
        <w:spacing w:line="360" w:lineRule="auto"/>
        <w:ind w:firstLine="1145" w:firstLineChars="400"/>
        <w:rPr>
          <w:rFonts w:ascii="宋体"/>
          <w:b/>
          <w:bCs/>
          <w:color w:val="000000" w:themeColor="text1"/>
          <w:w w:val="95"/>
          <w:sz w:val="30"/>
          <w:szCs w:val="30"/>
          <w:highlight w:val="none"/>
          <w14:textFill>
            <w14:solidFill>
              <w14:schemeClr w14:val="tx1"/>
            </w14:solidFill>
          </w14:textFill>
        </w:rPr>
      </w:pPr>
    </w:p>
    <w:p w14:paraId="7E4B20CC">
      <w:pPr>
        <w:snapToGrid w:val="0"/>
        <w:spacing w:line="360" w:lineRule="auto"/>
        <w:ind w:firstLine="1205" w:firstLineChars="400"/>
        <w:rPr>
          <w:rFonts w:ascii="宋体"/>
          <w:color w:val="000000" w:themeColor="text1"/>
          <w:sz w:val="30"/>
          <w:szCs w:val="30"/>
          <w:highlight w:val="none"/>
          <w14:textFill>
            <w14:solidFill>
              <w14:schemeClr w14:val="tx1"/>
            </w14:solidFill>
          </w14:textFill>
        </w:rPr>
      </w:pPr>
      <w:r>
        <w:rPr>
          <w:rFonts w:ascii="宋体" w:hAnsi="宋体" w:cs="宋体"/>
          <w:b/>
          <w:bCs/>
          <w:color w:val="000000" w:themeColor="text1"/>
          <w:sz w:val="30"/>
          <w:szCs w:val="30"/>
          <w:highlight w:val="none"/>
          <w14:textFill>
            <w14:solidFill>
              <w14:schemeClr w14:val="tx1"/>
            </w14:solidFill>
          </w14:textFill>
        </w:rPr>
        <w:t xml:space="preserve"> </w:t>
      </w:r>
    </w:p>
    <w:p w14:paraId="699B748F">
      <w:pPr>
        <w:pStyle w:val="29"/>
        <w:snapToGrid w:val="0"/>
        <w:spacing w:line="360" w:lineRule="auto"/>
        <w:jc w:val="center"/>
        <w:rPr>
          <w:rFonts w:hAnsi="宋体" w:cs="Times New Roman"/>
          <w:b/>
          <w:bCs/>
          <w:color w:val="000000" w:themeColor="text1"/>
          <w:w w:val="95"/>
          <w:sz w:val="30"/>
          <w:szCs w:val="30"/>
          <w:highlight w:val="none"/>
          <w14:textFill>
            <w14:solidFill>
              <w14:schemeClr w14:val="tx1"/>
            </w14:solidFill>
          </w14:textFill>
        </w:rPr>
      </w:pPr>
      <w:r>
        <w:rPr>
          <w:rFonts w:hint="eastAsia" w:hAnsi="宋体"/>
          <w:b/>
          <w:bCs/>
          <w:color w:val="000000" w:themeColor="text1"/>
          <w:w w:val="95"/>
          <w:sz w:val="30"/>
          <w:szCs w:val="30"/>
          <w:highlight w:val="none"/>
          <w14:textFill>
            <w14:solidFill>
              <w14:schemeClr w14:val="tx1"/>
            </w14:solidFill>
          </w14:textFill>
        </w:rPr>
        <w:t>采购人：</w:t>
      </w:r>
      <w:r>
        <w:rPr>
          <w:rFonts w:hint="eastAsia" w:hAnsi="宋体"/>
          <w:b/>
          <w:bCs/>
          <w:color w:val="000000" w:themeColor="text1"/>
          <w:sz w:val="32"/>
          <w:szCs w:val="32"/>
          <w:highlight w:val="none"/>
          <w14:textFill>
            <w14:solidFill>
              <w14:schemeClr w14:val="tx1"/>
            </w14:solidFill>
          </w14:textFill>
        </w:rPr>
        <w:t>广西壮族自治区金秀公路养护中心</w:t>
      </w:r>
    </w:p>
    <w:p w14:paraId="000ECD7C">
      <w:pPr>
        <w:pStyle w:val="29"/>
        <w:snapToGrid w:val="0"/>
        <w:spacing w:line="360" w:lineRule="auto"/>
        <w:jc w:val="center"/>
        <w:rPr>
          <w:rFonts w:hAnsi="宋体" w:cs="Times New Roman"/>
          <w:b/>
          <w:bCs/>
          <w:color w:val="000000" w:themeColor="text1"/>
          <w:w w:val="95"/>
          <w:sz w:val="30"/>
          <w:szCs w:val="30"/>
          <w:highlight w:val="none"/>
          <w14:textFill>
            <w14:solidFill>
              <w14:schemeClr w14:val="tx1"/>
            </w14:solidFill>
          </w14:textFill>
        </w:rPr>
      </w:pPr>
      <w:r>
        <w:rPr>
          <w:rFonts w:hint="eastAsia" w:hAnsi="宋体"/>
          <w:b/>
          <w:bCs/>
          <w:color w:val="000000" w:themeColor="text1"/>
          <w:w w:val="95"/>
          <w:sz w:val="30"/>
          <w:szCs w:val="30"/>
          <w:highlight w:val="none"/>
          <w14:textFill>
            <w14:solidFill>
              <w14:schemeClr w14:val="tx1"/>
            </w14:solidFill>
          </w14:textFill>
        </w:rPr>
        <w:t>采购代理机构：</w:t>
      </w:r>
      <w:r>
        <w:rPr>
          <w:rFonts w:hint="eastAsia" w:hAnsi="宋体"/>
          <w:b/>
          <w:bCs/>
          <w:color w:val="000000" w:themeColor="text1"/>
          <w:sz w:val="32"/>
          <w:szCs w:val="32"/>
          <w:highlight w:val="none"/>
          <w14:textFill>
            <w14:solidFill>
              <w14:schemeClr w14:val="tx1"/>
            </w14:solidFill>
          </w14:textFill>
        </w:rPr>
        <w:t>广西云凯工程咨询有限公司</w:t>
      </w:r>
    </w:p>
    <w:p w14:paraId="4E43E0F9">
      <w:pPr>
        <w:pStyle w:val="29"/>
        <w:snapToGrid w:val="0"/>
        <w:spacing w:line="360" w:lineRule="auto"/>
        <w:rPr>
          <w:rFonts w:hAnsi="宋体" w:cs="Times New Roman"/>
          <w:b/>
          <w:bCs/>
          <w:color w:val="000000" w:themeColor="text1"/>
          <w:w w:val="95"/>
          <w:sz w:val="30"/>
          <w:szCs w:val="30"/>
          <w:highlight w:val="none"/>
          <w14:textFill>
            <w14:solidFill>
              <w14:schemeClr w14:val="tx1"/>
            </w14:solidFill>
          </w14:textFill>
        </w:rPr>
      </w:pPr>
    </w:p>
    <w:p w14:paraId="3E2536E0">
      <w:pPr>
        <w:pStyle w:val="29"/>
        <w:snapToGrid w:val="0"/>
        <w:spacing w:line="360" w:lineRule="auto"/>
        <w:jc w:val="center"/>
        <w:rPr>
          <w:rFonts w:hAnsi="宋体" w:cs="Times New Roman"/>
          <w:b/>
          <w:bCs/>
          <w:color w:val="000000" w:themeColor="text1"/>
          <w:w w:val="95"/>
          <w:sz w:val="30"/>
          <w:szCs w:val="30"/>
          <w:highlight w:val="none"/>
          <w14:textFill>
            <w14:solidFill>
              <w14:schemeClr w14:val="tx1"/>
            </w14:solidFill>
          </w14:textFill>
        </w:rPr>
      </w:pPr>
      <w:r>
        <w:rPr>
          <w:rFonts w:hint="eastAsia" w:hAnsi="宋体"/>
          <w:b/>
          <w:bCs/>
          <w:color w:val="000000" w:themeColor="text1"/>
          <w:w w:val="95"/>
          <w:sz w:val="30"/>
          <w:szCs w:val="30"/>
          <w:highlight w:val="none"/>
          <w14:textFill>
            <w14:solidFill>
              <w14:schemeClr w14:val="tx1"/>
            </w14:solidFill>
          </w14:textFill>
        </w:rPr>
        <w:t>2026年2月</w:t>
      </w:r>
      <w:r>
        <w:rPr>
          <w:rFonts w:hint="eastAsia" w:hAnsi="宋体"/>
          <w:b/>
          <w:bCs/>
          <w:color w:val="000000" w:themeColor="text1"/>
          <w:w w:val="95"/>
          <w:sz w:val="30"/>
          <w:szCs w:val="30"/>
          <w:highlight w:val="none"/>
          <w:lang w:val="en-US" w:eastAsia="zh-CN"/>
          <w14:textFill>
            <w14:solidFill>
              <w14:schemeClr w14:val="tx1"/>
            </w14:solidFill>
          </w14:textFill>
        </w:rPr>
        <w:t>12</w:t>
      </w:r>
      <w:r>
        <w:rPr>
          <w:rFonts w:hint="eastAsia" w:hAnsi="宋体"/>
          <w:b/>
          <w:bCs/>
          <w:color w:val="000000" w:themeColor="text1"/>
          <w:w w:val="95"/>
          <w:sz w:val="30"/>
          <w:szCs w:val="30"/>
          <w:highlight w:val="none"/>
          <w14:textFill>
            <w14:solidFill>
              <w14:schemeClr w14:val="tx1"/>
            </w14:solidFill>
          </w14:textFill>
        </w:rPr>
        <w:t>日</w:t>
      </w:r>
    </w:p>
    <w:p w14:paraId="1BE42D07">
      <w:pPr>
        <w:spacing w:line="360" w:lineRule="auto"/>
        <w:jc w:val="center"/>
        <w:rPr>
          <w:rFonts w:ascii="宋体"/>
          <w:b/>
          <w:bCs/>
          <w:color w:val="000000" w:themeColor="text1"/>
          <w:sz w:val="44"/>
          <w:szCs w:val="44"/>
          <w:highlight w:val="none"/>
          <w14:textFill>
            <w14:solidFill>
              <w14:schemeClr w14:val="tx1"/>
            </w14:solidFill>
          </w14:textFill>
        </w:rPr>
        <w:sectPr>
          <w:headerReference r:id="rId5" w:type="first"/>
          <w:footerReference r:id="rId8" w:type="first"/>
          <w:headerReference r:id="rId3" w:type="default"/>
          <w:footerReference r:id="rId6" w:type="default"/>
          <w:headerReference r:id="rId4" w:type="even"/>
          <w:footerReference r:id="rId7" w:type="even"/>
          <w:pgSz w:w="11906" w:h="16838"/>
          <w:pgMar w:top="1134" w:right="1134" w:bottom="1134" w:left="1134" w:header="851" w:footer="992" w:gutter="0"/>
          <w:pgNumType w:start="0"/>
          <w:cols w:space="720" w:num="1"/>
          <w:titlePg/>
          <w:docGrid w:type="lines" w:linePitch="312" w:charSpace="0"/>
        </w:sectPr>
      </w:pPr>
    </w:p>
    <w:p w14:paraId="50C99262">
      <w:pPr>
        <w:spacing w:line="360" w:lineRule="auto"/>
        <w:jc w:val="center"/>
        <w:rPr>
          <w:rFonts w:ascii="宋体"/>
          <w:b/>
          <w:bCs/>
          <w:color w:val="000000" w:themeColor="text1"/>
          <w:sz w:val="44"/>
          <w:szCs w:val="44"/>
          <w:highlight w:val="none"/>
          <w14:textFill>
            <w14:solidFill>
              <w14:schemeClr w14:val="tx1"/>
            </w14:solidFill>
          </w14:textFill>
        </w:rPr>
      </w:pPr>
      <w:r>
        <w:rPr>
          <w:rFonts w:hint="eastAsia" w:ascii="宋体" w:hAnsi="宋体" w:cs="宋体"/>
          <w:b/>
          <w:bCs/>
          <w:color w:val="000000" w:themeColor="text1"/>
          <w:sz w:val="44"/>
          <w:szCs w:val="44"/>
          <w:highlight w:val="none"/>
          <w14:textFill>
            <w14:solidFill>
              <w14:schemeClr w14:val="tx1"/>
            </w14:solidFill>
          </w14:textFill>
        </w:rPr>
        <w:t>目</w:t>
      </w:r>
      <w:r>
        <w:rPr>
          <w:rFonts w:ascii="宋体" w:hAnsi="宋体" w:cs="宋体"/>
          <w:b/>
          <w:bCs/>
          <w:color w:val="000000" w:themeColor="text1"/>
          <w:sz w:val="44"/>
          <w:szCs w:val="44"/>
          <w:highlight w:val="none"/>
          <w14:textFill>
            <w14:solidFill>
              <w14:schemeClr w14:val="tx1"/>
            </w14:solidFill>
          </w14:textFill>
        </w:rPr>
        <w:t xml:space="preserve">  </w:t>
      </w:r>
      <w:r>
        <w:rPr>
          <w:rFonts w:hint="eastAsia" w:ascii="宋体" w:hAnsi="宋体" w:cs="宋体"/>
          <w:b/>
          <w:bCs/>
          <w:color w:val="000000" w:themeColor="text1"/>
          <w:sz w:val="44"/>
          <w:szCs w:val="44"/>
          <w:highlight w:val="none"/>
          <w14:textFill>
            <w14:solidFill>
              <w14:schemeClr w14:val="tx1"/>
            </w14:solidFill>
          </w14:textFill>
        </w:rPr>
        <w:t>录</w:t>
      </w:r>
    </w:p>
    <w:p w14:paraId="7A70EFF6">
      <w:pPr>
        <w:spacing w:line="400" w:lineRule="exact"/>
        <w:jc w:val="center"/>
        <w:rPr>
          <w:rFonts w:ascii="宋体"/>
          <w:b/>
          <w:bCs/>
          <w:color w:val="000000" w:themeColor="text1"/>
          <w:sz w:val="44"/>
          <w:szCs w:val="44"/>
          <w:highlight w:val="none"/>
          <w14:textFill>
            <w14:solidFill>
              <w14:schemeClr w14:val="tx1"/>
            </w14:solidFill>
          </w14:textFill>
        </w:rPr>
      </w:pPr>
    </w:p>
    <w:p w14:paraId="2A28B14E">
      <w:pPr>
        <w:pStyle w:val="38"/>
        <w:tabs>
          <w:tab w:val="right" w:leader="dot" w:pos="9638"/>
        </w:tabs>
        <w:rPr>
          <w:b/>
          <w:bCs/>
          <w:sz w:val="30"/>
          <w:szCs w:val="30"/>
        </w:rPr>
      </w:pPr>
      <w:r>
        <w:rPr>
          <w:rFonts w:ascii="宋体" w:hAnsi="宋体" w:cs="宋体"/>
          <w:b/>
          <w:bCs/>
          <w:color w:val="000000" w:themeColor="text1"/>
          <w:sz w:val="30"/>
          <w:szCs w:val="30"/>
          <w:highlight w:val="none"/>
          <w14:textFill>
            <w14:solidFill>
              <w14:schemeClr w14:val="tx1"/>
            </w14:solidFill>
          </w14:textFill>
        </w:rPr>
        <w:fldChar w:fldCharType="begin"/>
      </w:r>
      <w:r>
        <w:rPr>
          <w:rFonts w:ascii="宋体" w:hAnsi="宋体" w:cs="宋体"/>
          <w:b/>
          <w:bCs/>
          <w:color w:val="000000" w:themeColor="text1"/>
          <w:sz w:val="30"/>
          <w:szCs w:val="30"/>
          <w:highlight w:val="none"/>
          <w14:textFill>
            <w14:solidFill>
              <w14:schemeClr w14:val="tx1"/>
            </w14:solidFill>
          </w14:textFill>
        </w:rPr>
        <w:instrText xml:space="preserve"> TOC \o "1-3" \h \z \u </w:instrText>
      </w:r>
      <w:r>
        <w:rPr>
          <w:rFonts w:ascii="宋体" w:hAnsi="宋体" w:cs="宋体"/>
          <w:b/>
          <w:bCs/>
          <w:color w:val="000000" w:themeColor="text1"/>
          <w:sz w:val="30"/>
          <w:szCs w:val="30"/>
          <w:highlight w:val="none"/>
          <w14:textFill>
            <w14:solidFill>
              <w14:schemeClr w14:val="tx1"/>
            </w14:solidFill>
          </w14:textFill>
        </w:rPr>
        <w:fldChar w:fldCharType="separate"/>
      </w:r>
      <w:r>
        <w:rPr>
          <w:rFonts w:ascii="宋体" w:hAnsi="宋体" w:cs="宋体"/>
          <w:b/>
          <w:bCs/>
          <w:color w:val="000000" w:themeColor="text1"/>
          <w:sz w:val="30"/>
          <w:szCs w:val="30"/>
          <w:highlight w:val="none"/>
          <w14:textFill>
            <w14:solidFill>
              <w14:schemeClr w14:val="tx1"/>
            </w14:solidFill>
          </w14:textFill>
        </w:rPr>
        <w:fldChar w:fldCharType="begin"/>
      </w:r>
      <w:r>
        <w:rPr>
          <w:rFonts w:ascii="宋体" w:hAnsi="宋体" w:cs="宋体"/>
          <w:b/>
          <w:bCs/>
          <w:sz w:val="30"/>
          <w:szCs w:val="30"/>
          <w:highlight w:val="none"/>
        </w:rPr>
        <w:instrText xml:space="preserve"> HYPERLINK \l _Toc20027 </w:instrText>
      </w:r>
      <w:r>
        <w:rPr>
          <w:rFonts w:ascii="宋体" w:hAnsi="宋体" w:cs="宋体"/>
          <w:b/>
          <w:bCs/>
          <w:sz w:val="30"/>
          <w:szCs w:val="30"/>
          <w:highlight w:val="none"/>
        </w:rPr>
        <w:fldChar w:fldCharType="separate"/>
      </w:r>
      <w:r>
        <w:rPr>
          <w:rFonts w:hint="eastAsia" w:ascii="宋体" w:hAnsi="宋体" w:cs="宋体"/>
          <w:b/>
          <w:bCs/>
          <w:sz w:val="30"/>
          <w:szCs w:val="30"/>
          <w:highlight w:val="none"/>
        </w:rPr>
        <w:t>第一章</w:t>
      </w:r>
      <w:r>
        <w:rPr>
          <w:rFonts w:ascii="宋体" w:hAnsi="宋体" w:cs="宋体"/>
          <w:b/>
          <w:bCs/>
          <w:sz w:val="30"/>
          <w:szCs w:val="30"/>
          <w:highlight w:val="none"/>
        </w:rPr>
        <w:t xml:space="preserve"> </w:t>
      </w:r>
      <w:r>
        <w:rPr>
          <w:rFonts w:hint="eastAsia" w:ascii="宋体" w:hAnsi="宋体" w:cs="宋体"/>
          <w:b/>
          <w:bCs/>
          <w:sz w:val="30"/>
          <w:szCs w:val="30"/>
          <w:highlight w:val="none"/>
        </w:rPr>
        <w:t>竞争性磋商公告</w:t>
      </w:r>
      <w:r>
        <w:rPr>
          <w:b/>
          <w:bCs/>
          <w:sz w:val="30"/>
          <w:szCs w:val="30"/>
        </w:rPr>
        <w:tab/>
      </w:r>
      <w:r>
        <w:rPr>
          <w:b/>
          <w:bCs/>
          <w:sz w:val="30"/>
          <w:szCs w:val="30"/>
        </w:rPr>
        <w:fldChar w:fldCharType="begin"/>
      </w:r>
      <w:r>
        <w:rPr>
          <w:b/>
          <w:bCs/>
          <w:sz w:val="30"/>
          <w:szCs w:val="30"/>
        </w:rPr>
        <w:instrText xml:space="preserve"> PAGEREF _Toc20027 \h </w:instrText>
      </w:r>
      <w:r>
        <w:rPr>
          <w:b/>
          <w:bCs/>
          <w:sz w:val="30"/>
          <w:szCs w:val="30"/>
        </w:rPr>
        <w:fldChar w:fldCharType="separate"/>
      </w:r>
      <w:r>
        <w:rPr>
          <w:b/>
          <w:bCs/>
          <w:sz w:val="30"/>
          <w:szCs w:val="30"/>
        </w:rPr>
        <w:t>1</w:t>
      </w:r>
      <w:r>
        <w:rPr>
          <w:b/>
          <w:bCs/>
          <w:sz w:val="30"/>
          <w:szCs w:val="30"/>
        </w:rPr>
        <w:fldChar w:fldCharType="end"/>
      </w:r>
      <w:r>
        <w:rPr>
          <w:rFonts w:ascii="宋体" w:hAnsi="宋体" w:cs="宋体"/>
          <w:b/>
          <w:bCs/>
          <w:color w:val="000000" w:themeColor="text1"/>
          <w:sz w:val="30"/>
          <w:szCs w:val="30"/>
          <w:highlight w:val="none"/>
          <w14:textFill>
            <w14:solidFill>
              <w14:schemeClr w14:val="tx1"/>
            </w14:solidFill>
          </w14:textFill>
        </w:rPr>
        <w:fldChar w:fldCharType="end"/>
      </w:r>
    </w:p>
    <w:p w14:paraId="2AD12410">
      <w:pPr>
        <w:pStyle w:val="38"/>
        <w:tabs>
          <w:tab w:val="right" w:leader="dot" w:pos="9638"/>
        </w:tabs>
        <w:rPr>
          <w:b/>
          <w:bCs/>
          <w:sz w:val="30"/>
          <w:szCs w:val="30"/>
        </w:rPr>
      </w:pPr>
      <w:r>
        <w:rPr>
          <w:rFonts w:ascii="宋体" w:hAnsi="宋体" w:cs="宋体"/>
          <w:b/>
          <w:bCs/>
          <w:color w:val="000000" w:themeColor="text1"/>
          <w:sz w:val="30"/>
          <w:szCs w:val="30"/>
          <w:highlight w:val="none"/>
          <w14:textFill>
            <w14:solidFill>
              <w14:schemeClr w14:val="tx1"/>
            </w14:solidFill>
          </w14:textFill>
        </w:rPr>
        <w:fldChar w:fldCharType="begin"/>
      </w:r>
      <w:r>
        <w:rPr>
          <w:rFonts w:ascii="宋体" w:hAnsi="宋体" w:cs="宋体"/>
          <w:b/>
          <w:bCs/>
          <w:sz w:val="30"/>
          <w:szCs w:val="30"/>
          <w:highlight w:val="none"/>
        </w:rPr>
        <w:instrText xml:space="preserve"> HYPERLINK \l _Toc18721 </w:instrText>
      </w:r>
      <w:r>
        <w:rPr>
          <w:rFonts w:ascii="宋体" w:hAnsi="宋体" w:cs="宋体"/>
          <w:b/>
          <w:bCs/>
          <w:sz w:val="30"/>
          <w:szCs w:val="30"/>
          <w:highlight w:val="none"/>
        </w:rPr>
        <w:fldChar w:fldCharType="separate"/>
      </w:r>
      <w:r>
        <w:rPr>
          <w:rFonts w:hint="eastAsia" w:ascii="宋体" w:hAnsi="宋体" w:cs="宋体"/>
          <w:b/>
          <w:bCs/>
          <w:sz w:val="30"/>
          <w:szCs w:val="30"/>
          <w:highlight w:val="none"/>
        </w:rPr>
        <w:t>第二章</w:t>
      </w:r>
      <w:r>
        <w:rPr>
          <w:rFonts w:ascii="宋体" w:hAnsi="宋体" w:cs="宋体"/>
          <w:b/>
          <w:bCs/>
          <w:sz w:val="30"/>
          <w:szCs w:val="30"/>
          <w:highlight w:val="none"/>
        </w:rPr>
        <w:t xml:space="preserve"> </w:t>
      </w:r>
      <w:r>
        <w:rPr>
          <w:rFonts w:hint="eastAsia" w:ascii="宋体" w:hAnsi="宋体" w:cs="宋体"/>
          <w:b/>
          <w:bCs/>
          <w:sz w:val="30"/>
          <w:szCs w:val="30"/>
          <w:highlight w:val="none"/>
        </w:rPr>
        <w:t>供应商须知</w:t>
      </w:r>
      <w:r>
        <w:rPr>
          <w:b/>
          <w:bCs/>
          <w:sz w:val="30"/>
          <w:szCs w:val="30"/>
        </w:rPr>
        <w:tab/>
      </w:r>
      <w:r>
        <w:rPr>
          <w:b/>
          <w:bCs/>
          <w:sz w:val="30"/>
          <w:szCs w:val="30"/>
        </w:rPr>
        <w:fldChar w:fldCharType="begin"/>
      </w:r>
      <w:r>
        <w:rPr>
          <w:b/>
          <w:bCs/>
          <w:sz w:val="30"/>
          <w:szCs w:val="30"/>
        </w:rPr>
        <w:instrText xml:space="preserve"> PAGEREF _Toc18721 \h </w:instrText>
      </w:r>
      <w:r>
        <w:rPr>
          <w:b/>
          <w:bCs/>
          <w:sz w:val="30"/>
          <w:szCs w:val="30"/>
        </w:rPr>
        <w:fldChar w:fldCharType="separate"/>
      </w:r>
      <w:r>
        <w:rPr>
          <w:b/>
          <w:bCs/>
          <w:sz w:val="30"/>
          <w:szCs w:val="30"/>
        </w:rPr>
        <w:t>5</w:t>
      </w:r>
      <w:r>
        <w:rPr>
          <w:b/>
          <w:bCs/>
          <w:sz w:val="30"/>
          <w:szCs w:val="30"/>
        </w:rPr>
        <w:fldChar w:fldCharType="end"/>
      </w:r>
      <w:r>
        <w:rPr>
          <w:rFonts w:ascii="宋体" w:hAnsi="宋体" w:cs="宋体"/>
          <w:b/>
          <w:bCs/>
          <w:color w:val="000000" w:themeColor="text1"/>
          <w:sz w:val="30"/>
          <w:szCs w:val="30"/>
          <w:highlight w:val="none"/>
          <w14:textFill>
            <w14:solidFill>
              <w14:schemeClr w14:val="tx1"/>
            </w14:solidFill>
          </w14:textFill>
        </w:rPr>
        <w:fldChar w:fldCharType="end"/>
      </w:r>
    </w:p>
    <w:p w14:paraId="05945929">
      <w:pPr>
        <w:pStyle w:val="38"/>
        <w:tabs>
          <w:tab w:val="right" w:leader="dot" w:pos="9638"/>
        </w:tabs>
        <w:rPr>
          <w:b/>
          <w:bCs/>
          <w:sz w:val="30"/>
          <w:szCs w:val="30"/>
        </w:rPr>
      </w:pPr>
      <w:r>
        <w:rPr>
          <w:rFonts w:ascii="宋体" w:hAnsi="宋体" w:cs="宋体"/>
          <w:b/>
          <w:bCs/>
          <w:color w:val="000000" w:themeColor="text1"/>
          <w:sz w:val="30"/>
          <w:szCs w:val="30"/>
          <w:highlight w:val="none"/>
          <w14:textFill>
            <w14:solidFill>
              <w14:schemeClr w14:val="tx1"/>
            </w14:solidFill>
          </w14:textFill>
        </w:rPr>
        <w:fldChar w:fldCharType="begin"/>
      </w:r>
      <w:r>
        <w:rPr>
          <w:rFonts w:ascii="宋体" w:hAnsi="宋体" w:cs="宋体"/>
          <w:b/>
          <w:bCs/>
          <w:sz w:val="30"/>
          <w:szCs w:val="30"/>
          <w:highlight w:val="none"/>
        </w:rPr>
        <w:instrText xml:space="preserve"> HYPERLINK \l _Toc24594 </w:instrText>
      </w:r>
      <w:r>
        <w:rPr>
          <w:rFonts w:ascii="宋体" w:hAnsi="宋体" w:cs="宋体"/>
          <w:b/>
          <w:bCs/>
          <w:sz w:val="30"/>
          <w:szCs w:val="30"/>
          <w:highlight w:val="none"/>
        </w:rPr>
        <w:fldChar w:fldCharType="separate"/>
      </w:r>
      <w:r>
        <w:rPr>
          <w:rFonts w:hint="eastAsia" w:ascii="宋体" w:hAnsi="宋体" w:cs="宋体"/>
          <w:b/>
          <w:bCs/>
          <w:sz w:val="30"/>
          <w:szCs w:val="30"/>
          <w:highlight w:val="none"/>
        </w:rPr>
        <w:t>第三章</w:t>
      </w:r>
      <w:r>
        <w:rPr>
          <w:rFonts w:ascii="宋体" w:hAnsi="宋体" w:cs="宋体"/>
          <w:b/>
          <w:bCs/>
          <w:sz w:val="30"/>
          <w:szCs w:val="30"/>
          <w:highlight w:val="none"/>
        </w:rPr>
        <w:t xml:space="preserve"> </w:t>
      </w:r>
      <w:r>
        <w:rPr>
          <w:rFonts w:hint="eastAsia" w:ascii="宋体" w:hAnsi="宋体" w:cs="宋体"/>
          <w:b/>
          <w:bCs/>
          <w:sz w:val="30"/>
          <w:szCs w:val="30"/>
          <w:highlight w:val="none"/>
        </w:rPr>
        <w:t>采购需求</w:t>
      </w:r>
      <w:r>
        <w:rPr>
          <w:b/>
          <w:bCs/>
          <w:sz w:val="30"/>
          <w:szCs w:val="30"/>
        </w:rPr>
        <w:tab/>
      </w:r>
      <w:r>
        <w:rPr>
          <w:b/>
          <w:bCs/>
          <w:sz w:val="30"/>
          <w:szCs w:val="30"/>
        </w:rPr>
        <w:fldChar w:fldCharType="begin"/>
      </w:r>
      <w:r>
        <w:rPr>
          <w:b/>
          <w:bCs/>
          <w:sz w:val="30"/>
          <w:szCs w:val="30"/>
        </w:rPr>
        <w:instrText xml:space="preserve"> PAGEREF _Toc24594 \h </w:instrText>
      </w:r>
      <w:r>
        <w:rPr>
          <w:b/>
          <w:bCs/>
          <w:sz w:val="30"/>
          <w:szCs w:val="30"/>
        </w:rPr>
        <w:fldChar w:fldCharType="separate"/>
      </w:r>
      <w:r>
        <w:rPr>
          <w:b/>
          <w:bCs/>
          <w:sz w:val="30"/>
          <w:szCs w:val="30"/>
        </w:rPr>
        <w:t>21</w:t>
      </w:r>
      <w:r>
        <w:rPr>
          <w:b/>
          <w:bCs/>
          <w:sz w:val="30"/>
          <w:szCs w:val="30"/>
        </w:rPr>
        <w:fldChar w:fldCharType="end"/>
      </w:r>
      <w:r>
        <w:rPr>
          <w:rFonts w:ascii="宋体" w:hAnsi="宋体" w:cs="宋体"/>
          <w:b/>
          <w:bCs/>
          <w:color w:val="000000" w:themeColor="text1"/>
          <w:sz w:val="30"/>
          <w:szCs w:val="30"/>
          <w:highlight w:val="none"/>
          <w14:textFill>
            <w14:solidFill>
              <w14:schemeClr w14:val="tx1"/>
            </w14:solidFill>
          </w14:textFill>
        </w:rPr>
        <w:fldChar w:fldCharType="end"/>
      </w:r>
    </w:p>
    <w:p w14:paraId="4C5750E0">
      <w:pPr>
        <w:pStyle w:val="38"/>
        <w:tabs>
          <w:tab w:val="right" w:leader="dot" w:pos="9638"/>
        </w:tabs>
        <w:rPr>
          <w:b/>
          <w:bCs/>
          <w:sz w:val="30"/>
          <w:szCs w:val="30"/>
        </w:rPr>
      </w:pPr>
      <w:r>
        <w:rPr>
          <w:rFonts w:ascii="宋体" w:hAnsi="宋体" w:cs="宋体"/>
          <w:b/>
          <w:bCs/>
          <w:color w:val="000000" w:themeColor="text1"/>
          <w:sz w:val="30"/>
          <w:szCs w:val="30"/>
          <w:highlight w:val="none"/>
          <w14:textFill>
            <w14:solidFill>
              <w14:schemeClr w14:val="tx1"/>
            </w14:solidFill>
          </w14:textFill>
        </w:rPr>
        <w:fldChar w:fldCharType="begin"/>
      </w:r>
      <w:r>
        <w:rPr>
          <w:rFonts w:ascii="宋体" w:hAnsi="宋体" w:cs="宋体"/>
          <w:b/>
          <w:bCs/>
          <w:sz w:val="30"/>
          <w:szCs w:val="30"/>
          <w:highlight w:val="none"/>
        </w:rPr>
        <w:instrText xml:space="preserve"> HYPERLINK \l _Toc4516 </w:instrText>
      </w:r>
      <w:r>
        <w:rPr>
          <w:rFonts w:ascii="宋体" w:hAnsi="宋体" w:cs="宋体"/>
          <w:b/>
          <w:bCs/>
          <w:sz w:val="30"/>
          <w:szCs w:val="30"/>
          <w:highlight w:val="none"/>
        </w:rPr>
        <w:fldChar w:fldCharType="separate"/>
      </w:r>
      <w:r>
        <w:rPr>
          <w:rFonts w:hint="eastAsia" w:ascii="宋体" w:hAnsi="宋体" w:cs="宋体"/>
          <w:b/>
          <w:bCs/>
          <w:sz w:val="30"/>
          <w:szCs w:val="30"/>
          <w:highlight w:val="none"/>
        </w:rPr>
        <w:t>第四章</w:t>
      </w:r>
      <w:r>
        <w:rPr>
          <w:rFonts w:ascii="宋体" w:hAnsi="宋体" w:cs="宋体"/>
          <w:b/>
          <w:bCs/>
          <w:sz w:val="30"/>
          <w:szCs w:val="30"/>
          <w:highlight w:val="none"/>
        </w:rPr>
        <w:t xml:space="preserve"> </w:t>
      </w:r>
      <w:r>
        <w:rPr>
          <w:rFonts w:hint="eastAsia" w:ascii="宋体" w:hAnsi="宋体" w:cs="宋体"/>
          <w:b/>
          <w:bCs/>
          <w:sz w:val="30"/>
          <w:szCs w:val="30"/>
          <w:highlight w:val="none"/>
        </w:rPr>
        <w:t>评审程序、评审方法和评审标准</w:t>
      </w:r>
      <w:r>
        <w:rPr>
          <w:b/>
          <w:bCs/>
          <w:sz w:val="30"/>
          <w:szCs w:val="30"/>
        </w:rPr>
        <w:tab/>
      </w:r>
      <w:r>
        <w:rPr>
          <w:b/>
          <w:bCs/>
          <w:sz w:val="30"/>
          <w:szCs w:val="30"/>
        </w:rPr>
        <w:fldChar w:fldCharType="begin"/>
      </w:r>
      <w:r>
        <w:rPr>
          <w:b/>
          <w:bCs/>
          <w:sz w:val="30"/>
          <w:szCs w:val="30"/>
        </w:rPr>
        <w:instrText xml:space="preserve"> PAGEREF _Toc4516 \h </w:instrText>
      </w:r>
      <w:r>
        <w:rPr>
          <w:b/>
          <w:bCs/>
          <w:sz w:val="30"/>
          <w:szCs w:val="30"/>
        </w:rPr>
        <w:fldChar w:fldCharType="separate"/>
      </w:r>
      <w:r>
        <w:rPr>
          <w:b/>
          <w:bCs/>
          <w:sz w:val="30"/>
          <w:szCs w:val="30"/>
        </w:rPr>
        <w:t>32</w:t>
      </w:r>
      <w:r>
        <w:rPr>
          <w:b/>
          <w:bCs/>
          <w:sz w:val="30"/>
          <w:szCs w:val="30"/>
        </w:rPr>
        <w:fldChar w:fldCharType="end"/>
      </w:r>
      <w:r>
        <w:rPr>
          <w:rFonts w:ascii="宋体" w:hAnsi="宋体" w:cs="宋体"/>
          <w:b/>
          <w:bCs/>
          <w:color w:val="000000" w:themeColor="text1"/>
          <w:sz w:val="30"/>
          <w:szCs w:val="30"/>
          <w:highlight w:val="none"/>
          <w14:textFill>
            <w14:solidFill>
              <w14:schemeClr w14:val="tx1"/>
            </w14:solidFill>
          </w14:textFill>
        </w:rPr>
        <w:fldChar w:fldCharType="end"/>
      </w:r>
    </w:p>
    <w:p w14:paraId="666F7241">
      <w:pPr>
        <w:pStyle w:val="38"/>
        <w:tabs>
          <w:tab w:val="right" w:leader="dot" w:pos="9638"/>
        </w:tabs>
        <w:rPr>
          <w:b/>
          <w:bCs/>
          <w:sz w:val="30"/>
          <w:szCs w:val="30"/>
        </w:rPr>
      </w:pPr>
      <w:r>
        <w:rPr>
          <w:rFonts w:ascii="宋体" w:hAnsi="宋体" w:cs="宋体"/>
          <w:b/>
          <w:bCs/>
          <w:color w:val="000000" w:themeColor="text1"/>
          <w:sz w:val="30"/>
          <w:szCs w:val="30"/>
          <w:highlight w:val="none"/>
          <w14:textFill>
            <w14:solidFill>
              <w14:schemeClr w14:val="tx1"/>
            </w14:solidFill>
          </w14:textFill>
        </w:rPr>
        <w:fldChar w:fldCharType="begin"/>
      </w:r>
      <w:r>
        <w:rPr>
          <w:rFonts w:ascii="宋体" w:hAnsi="宋体" w:cs="宋体"/>
          <w:b/>
          <w:bCs/>
          <w:sz w:val="30"/>
          <w:szCs w:val="30"/>
          <w:highlight w:val="none"/>
        </w:rPr>
        <w:instrText xml:space="preserve"> HYPERLINK \l _Toc32703 </w:instrText>
      </w:r>
      <w:r>
        <w:rPr>
          <w:rFonts w:ascii="宋体" w:hAnsi="宋体" w:cs="宋体"/>
          <w:b/>
          <w:bCs/>
          <w:sz w:val="30"/>
          <w:szCs w:val="30"/>
          <w:highlight w:val="none"/>
        </w:rPr>
        <w:fldChar w:fldCharType="separate"/>
      </w:r>
      <w:r>
        <w:rPr>
          <w:rFonts w:hint="eastAsia" w:ascii="宋体" w:hAnsi="宋体" w:cs="宋体"/>
          <w:b/>
          <w:bCs/>
          <w:sz w:val="30"/>
          <w:szCs w:val="30"/>
          <w:highlight w:val="none"/>
        </w:rPr>
        <w:t>第五章</w:t>
      </w:r>
      <w:r>
        <w:rPr>
          <w:rFonts w:ascii="宋体" w:hAnsi="宋体" w:cs="宋体"/>
          <w:b/>
          <w:bCs/>
          <w:sz w:val="30"/>
          <w:szCs w:val="30"/>
          <w:highlight w:val="none"/>
        </w:rPr>
        <w:t xml:space="preserve"> </w:t>
      </w:r>
      <w:r>
        <w:rPr>
          <w:rFonts w:hint="eastAsia" w:ascii="宋体" w:hAnsi="宋体" w:cs="宋体"/>
          <w:b/>
          <w:bCs/>
          <w:sz w:val="30"/>
          <w:szCs w:val="30"/>
          <w:highlight w:val="none"/>
        </w:rPr>
        <w:t>响应文件格式</w:t>
      </w:r>
      <w:r>
        <w:rPr>
          <w:b/>
          <w:bCs/>
          <w:sz w:val="30"/>
          <w:szCs w:val="30"/>
        </w:rPr>
        <w:tab/>
      </w:r>
      <w:r>
        <w:rPr>
          <w:b/>
          <w:bCs/>
          <w:sz w:val="30"/>
          <w:szCs w:val="30"/>
        </w:rPr>
        <w:fldChar w:fldCharType="begin"/>
      </w:r>
      <w:r>
        <w:rPr>
          <w:b/>
          <w:bCs/>
          <w:sz w:val="30"/>
          <w:szCs w:val="30"/>
        </w:rPr>
        <w:instrText xml:space="preserve"> PAGEREF _Toc32703 \h </w:instrText>
      </w:r>
      <w:r>
        <w:rPr>
          <w:b/>
          <w:bCs/>
          <w:sz w:val="30"/>
          <w:szCs w:val="30"/>
        </w:rPr>
        <w:fldChar w:fldCharType="separate"/>
      </w:r>
      <w:r>
        <w:rPr>
          <w:b/>
          <w:bCs/>
          <w:sz w:val="30"/>
          <w:szCs w:val="30"/>
        </w:rPr>
        <w:t>43</w:t>
      </w:r>
      <w:r>
        <w:rPr>
          <w:b/>
          <w:bCs/>
          <w:sz w:val="30"/>
          <w:szCs w:val="30"/>
        </w:rPr>
        <w:fldChar w:fldCharType="end"/>
      </w:r>
      <w:r>
        <w:rPr>
          <w:rFonts w:ascii="宋体" w:hAnsi="宋体" w:cs="宋体"/>
          <w:b/>
          <w:bCs/>
          <w:color w:val="000000" w:themeColor="text1"/>
          <w:sz w:val="30"/>
          <w:szCs w:val="30"/>
          <w:highlight w:val="none"/>
          <w14:textFill>
            <w14:solidFill>
              <w14:schemeClr w14:val="tx1"/>
            </w14:solidFill>
          </w14:textFill>
        </w:rPr>
        <w:fldChar w:fldCharType="end"/>
      </w:r>
    </w:p>
    <w:p w14:paraId="78ABF786">
      <w:pPr>
        <w:pStyle w:val="38"/>
        <w:tabs>
          <w:tab w:val="right" w:leader="dot" w:pos="9638"/>
        </w:tabs>
        <w:rPr>
          <w:b/>
          <w:bCs/>
          <w:sz w:val="30"/>
          <w:szCs w:val="30"/>
        </w:rPr>
      </w:pPr>
      <w:r>
        <w:rPr>
          <w:rFonts w:ascii="宋体" w:hAnsi="宋体" w:cs="宋体"/>
          <w:b/>
          <w:bCs/>
          <w:color w:val="000000" w:themeColor="text1"/>
          <w:sz w:val="30"/>
          <w:szCs w:val="30"/>
          <w:highlight w:val="none"/>
          <w14:textFill>
            <w14:solidFill>
              <w14:schemeClr w14:val="tx1"/>
            </w14:solidFill>
          </w14:textFill>
        </w:rPr>
        <w:fldChar w:fldCharType="begin"/>
      </w:r>
      <w:r>
        <w:rPr>
          <w:rFonts w:ascii="宋体" w:hAnsi="宋体" w:cs="宋体"/>
          <w:b/>
          <w:bCs/>
          <w:sz w:val="30"/>
          <w:szCs w:val="30"/>
          <w:highlight w:val="none"/>
        </w:rPr>
        <w:instrText xml:space="preserve"> HYPERLINK \l _Toc188 </w:instrText>
      </w:r>
      <w:r>
        <w:rPr>
          <w:rFonts w:ascii="宋体" w:hAnsi="宋体" w:cs="宋体"/>
          <w:b/>
          <w:bCs/>
          <w:sz w:val="30"/>
          <w:szCs w:val="30"/>
          <w:highlight w:val="none"/>
        </w:rPr>
        <w:fldChar w:fldCharType="separate"/>
      </w:r>
      <w:r>
        <w:rPr>
          <w:rFonts w:hint="eastAsia" w:ascii="宋体" w:hAnsi="宋体" w:cs="宋体"/>
          <w:b/>
          <w:bCs/>
          <w:sz w:val="30"/>
          <w:szCs w:val="30"/>
          <w:highlight w:val="none"/>
        </w:rPr>
        <w:t>第六章</w:t>
      </w:r>
      <w:r>
        <w:rPr>
          <w:rFonts w:ascii="宋体" w:hAnsi="宋体" w:cs="宋体"/>
          <w:b/>
          <w:bCs/>
          <w:sz w:val="30"/>
          <w:szCs w:val="30"/>
          <w:highlight w:val="none"/>
        </w:rPr>
        <w:t xml:space="preserve"> </w:t>
      </w:r>
      <w:r>
        <w:rPr>
          <w:rFonts w:hint="eastAsia" w:ascii="宋体" w:hAnsi="宋体" w:cs="宋体"/>
          <w:b/>
          <w:bCs/>
          <w:sz w:val="30"/>
          <w:szCs w:val="30"/>
          <w:highlight w:val="none"/>
        </w:rPr>
        <w:t>合同文本</w:t>
      </w:r>
      <w:r>
        <w:rPr>
          <w:b/>
          <w:bCs/>
          <w:sz w:val="30"/>
          <w:szCs w:val="30"/>
        </w:rPr>
        <w:tab/>
      </w:r>
      <w:r>
        <w:rPr>
          <w:b/>
          <w:bCs/>
          <w:sz w:val="30"/>
          <w:szCs w:val="30"/>
        </w:rPr>
        <w:fldChar w:fldCharType="begin"/>
      </w:r>
      <w:r>
        <w:rPr>
          <w:b/>
          <w:bCs/>
          <w:sz w:val="30"/>
          <w:szCs w:val="30"/>
        </w:rPr>
        <w:instrText xml:space="preserve"> PAGEREF _Toc188 \h </w:instrText>
      </w:r>
      <w:r>
        <w:rPr>
          <w:b/>
          <w:bCs/>
          <w:sz w:val="30"/>
          <w:szCs w:val="30"/>
        </w:rPr>
        <w:fldChar w:fldCharType="separate"/>
      </w:r>
      <w:r>
        <w:rPr>
          <w:b/>
          <w:bCs/>
          <w:sz w:val="30"/>
          <w:szCs w:val="30"/>
        </w:rPr>
        <w:t>71</w:t>
      </w:r>
      <w:r>
        <w:rPr>
          <w:b/>
          <w:bCs/>
          <w:sz w:val="30"/>
          <w:szCs w:val="30"/>
        </w:rPr>
        <w:fldChar w:fldCharType="end"/>
      </w:r>
      <w:r>
        <w:rPr>
          <w:rFonts w:ascii="宋体" w:hAnsi="宋体" w:cs="宋体"/>
          <w:b/>
          <w:bCs/>
          <w:color w:val="000000" w:themeColor="text1"/>
          <w:sz w:val="30"/>
          <w:szCs w:val="30"/>
          <w:highlight w:val="none"/>
          <w14:textFill>
            <w14:solidFill>
              <w14:schemeClr w14:val="tx1"/>
            </w14:solidFill>
          </w14:textFill>
        </w:rPr>
        <w:fldChar w:fldCharType="end"/>
      </w:r>
    </w:p>
    <w:p w14:paraId="442B16F7">
      <w:pPr>
        <w:pStyle w:val="38"/>
        <w:tabs>
          <w:tab w:val="right" w:leader="dot" w:pos="9638"/>
        </w:tabs>
        <w:rPr>
          <w:b/>
          <w:bCs/>
          <w:sz w:val="30"/>
          <w:szCs w:val="30"/>
        </w:rPr>
      </w:pPr>
      <w:r>
        <w:rPr>
          <w:rFonts w:ascii="宋体" w:hAnsi="宋体" w:cs="宋体"/>
          <w:b/>
          <w:bCs/>
          <w:color w:val="000000" w:themeColor="text1"/>
          <w:sz w:val="30"/>
          <w:szCs w:val="30"/>
          <w:highlight w:val="none"/>
          <w14:textFill>
            <w14:solidFill>
              <w14:schemeClr w14:val="tx1"/>
            </w14:solidFill>
          </w14:textFill>
        </w:rPr>
        <w:fldChar w:fldCharType="begin"/>
      </w:r>
      <w:r>
        <w:rPr>
          <w:rFonts w:ascii="宋体" w:hAnsi="宋体" w:cs="宋体"/>
          <w:b/>
          <w:bCs/>
          <w:sz w:val="30"/>
          <w:szCs w:val="30"/>
          <w:highlight w:val="none"/>
        </w:rPr>
        <w:instrText xml:space="preserve"> HYPERLINK \l _Toc9328 </w:instrText>
      </w:r>
      <w:r>
        <w:rPr>
          <w:rFonts w:ascii="宋体" w:hAnsi="宋体" w:cs="宋体"/>
          <w:b/>
          <w:bCs/>
          <w:sz w:val="30"/>
          <w:szCs w:val="30"/>
          <w:highlight w:val="none"/>
        </w:rPr>
        <w:fldChar w:fldCharType="separate"/>
      </w:r>
      <w:r>
        <w:rPr>
          <w:rFonts w:hint="eastAsia" w:ascii="宋体" w:hAnsi="宋体" w:eastAsia="宋体" w:cs="宋体"/>
          <w:b/>
          <w:bCs/>
          <w:sz w:val="30"/>
          <w:szCs w:val="30"/>
          <w:highlight w:val="none"/>
        </w:rPr>
        <w:t>第</w:t>
      </w:r>
      <w:r>
        <w:rPr>
          <w:rFonts w:hint="eastAsia" w:ascii="宋体" w:hAnsi="宋体" w:eastAsia="宋体" w:cs="宋体"/>
          <w:b/>
          <w:bCs/>
          <w:sz w:val="30"/>
          <w:szCs w:val="30"/>
          <w:highlight w:val="none"/>
          <w:lang w:val="en-US" w:eastAsia="zh-CN"/>
        </w:rPr>
        <w:t>七</w:t>
      </w:r>
      <w:r>
        <w:rPr>
          <w:rFonts w:hint="eastAsia" w:ascii="宋体" w:hAnsi="宋体" w:eastAsia="宋体" w:cs="宋体"/>
          <w:b/>
          <w:bCs/>
          <w:sz w:val="30"/>
          <w:szCs w:val="30"/>
          <w:highlight w:val="none"/>
        </w:rPr>
        <w:t>章 质疑、投诉证明材料格式</w:t>
      </w:r>
      <w:r>
        <w:rPr>
          <w:b/>
          <w:bCs/>
          <w:sz w:val="30"/>
          <w:szCs w:val="30"/>
        </w:rPr>
        <w:tab/>
      </w:r>
      <w:r>
        <w:rPr>
          <w:b/>
          <w:bCs/>
          <w:sz w:val="30"/>
          <w:szCs w:val="30"/>
        </w:rPr>
        <w:fldChar w:fldCharType="begin"/>
      </w:r>
      <w:r>
        <w:rPr>
          <w:b/>
          <w:bCs/>
          <w:sz w:val="30"/>
          <w:szCs w:val="30"/>
        </w:rPr>
        <w:instrText xml:space="preserve"> PAGEREF _Toc9328 \h </w:instrText>
      </w:r>
      <w:r>
        <w:rPr>
          <w:b/>
          <w:bCs/>
          <w:sz w:val="30"/>
          <w:szCs w:val="30"/>
        </w:rPr>
        <w:fldChar w:fldCharType="separate"/>
      </w:r>
      <w:r>
        <w:rPr>
          <w:b/>
          <w:bCs/>
          <w:sz w:val="30"/>
          <w:szCs w:val="30"/>
        </w:rPr>
        <w:t>140</w:t>
      </w:r>
      <w:r>
        <w:rPr>
          <w:b/>
          <w:bCs/>
          <w:sz w:val="30"/>
          <w:szCs w:val="30"/>
        </w:rPr>
        <w:fldChar w:fldCharType="end"/>
      </w:r>
      <w:r>
        <w:rPr>
          <w:rFonts w:ascii="宋体" w:hAnsi="宋体" w:cs="宋体"/>
          <w:b/>
          <w:bCs/>
          <w:color w:val="000000" w:themeColor="text1"/>
          <w:sz w:val="30"/>
          <w:szCs w:val="30"/>
          <w:highlight w:val="none"/>
          <w14:textFill>
            <w14:solidFill>
              <w14:schemeClr w14:val="tx1"/>
            </w14:solidFill>
          </w14:textFill>
        </w:rPr>
        <w:fldChar w:fldCharType="end"/>
      </w:r>
    </w:p>
    <w:p w14:paraId="205286EC">
      <w:pPr>
        <w:pStyle w:val="50"/>
        <w:tabs>
          <w:tab w:val="right" w:leader="dot" w:pos="8931"/>
          <w:tab w:val="clear" w:pos="8296"/>
        </w:tabs>
        <w:snapToGrid w:val="0"/>
        <w:spacing w:line="600" w:lineRule="exact"/>
        <w:ind w:left="0" w:leftChars="0"/>
        <w:rPr>
          <w:rFonts w:ascii="宋体"/>
          <w:b/>
          <w:bCs/>
          <w:color w:val="000000" w:themeColor="text1"/>
          <w:sz w:val="24"/>
          <w:szCs w:val="24"/>
          <w:highlight w:val="none"/>
          <w14:textFill>
            <w14:solidFill>
              <w14:schemeClr w14:val="tx1"/>
            </w14:solidFill>
          </w14:textFill>
        </w:rPr>
      </w:pPr>
      <w:r>
        <w:rPr>
          <w:rFonts w:ascii="宋体" w:hAnsi="宋体" w:cs="宋体"/>
          <w:b/>
          <w:bCs/>
          <w:color w:val="000000" w:themeColor="text1"/>
          <w:sz w:val="30"/>
          <w:szCs w:val="30"/>
          <w:highlight w:val="none"/>
          <w14:textFill>
            <w14:solidFill>
              <w14:schemeClr w14:val="tx1"/>
            </w14:solidFill>
          </w14:textFill>
        </w:rPr>
        <w:fldChar w:fldCharType="end"/>
      </w:r>
    </w:p>
    <w:p w14:paraId="3495F61C">
      <w:pPr>
        <w:spacing w:line="400" w:lineRule="exact"/>
        <w:jc w:val="left"/>
        <w:rPr>
          <w:rFonts w:ascii="宋体"/>
          <w:b/>
          <w:bCs/>
          <w:color w:val="000000" w:themeColor="text1"/>
          <w:sz w:val="32"/>
          <w:szCs w:val="32"/>
          <w:highlight w:val="none"/>
          <w14:textFill>
            <w14:solidFill>
              <w14:schemeClr w14:val="tx1"/>
            </w14:solidFill>
          </w14:textFill>
        </w:rPr>
      </w:pPr>
    </w:p>
    <w:p w14:paraId="2AC95A81">
      <w:pPr>
        <w:spacing w:line="400" w:lineRule="exact"/>
        <w:jc w:val="center"/>
        <w:rPr>
          <w:rFonts w:ascii="宋体"/>
          <w:b/>
          <w:bCs/>
          <w:color w:val="000000" w:themeColor="text1"/>
          <w:sz w:val="32"/>
          <w:szCs w:val="32"/>
          <w:highlight w:val="none"/>
          <w14:textFill>
            <w14:solidFill>
              <w14:schemeClr w14:val="tx1"/>
            </w14:solidFill>
          </w14:textFill>
        </w:rPr>
      </w:pPr>
    </w:p>
    <w:p w14:paraId="647F58D6">
      <w:pPr>
        <w:spacing w:line="400" w:lineRule="exact"/>
        <w:jc w:val="center"/>
        <w:rPr>
          <w:rFonts w:ascii="宋体"/>
          <w:b/>
          <w:bCs/>
          <w:color w:val="000000" w:themeColor="text1"/>
          <w:sz w:val="32"/>
          <w:szCs w:val="32"/>
          <w:highlight w:val="none"/>
          <w14:textFill>
            <w14:solidFill>
              <w14:schemeClr w14:val="tx1"/>
            </w14:solidFill>
          </w14:textFill>
        </w:rPr>
      </w:pPr>
    </w:p>
    <w:p w14:paraId="2F3E30C2">
      <w:pPr>
        <w:spacing w:line="400" w:lineRule="exact"/>
        <w:jc w:val="center"/>
        <w:rPr>
          <w:rFonts w:ascii="宋体"/>
          <w:b/>
          <w:bCs/>
          <w:color w:val="000000" w:themeColor="text1"/>
          <w:sz w:val="32"/>
          <w:szCs w:val="32"/>
          <w:highlight w:val="none"/>
          <w14:textFill>
            <w14:solidFill>
              <w14:schemeClr w14:val="tx1"/>
            </w14:solidFill>
          </w14:textFill>
        </w:rPr>
      </w:pPr>
    </w:p>
    <w:p w14:paraId="3D5FB516">
      <w:pPr>
        <w:spacing w:line="400" w:lineRule="exact"/>
        <w:jc w:val="center"/>
        <w:rPr>
          <w:rFonts w:ascii="宋体"/>
          <w:b/>
          <w:bCs/>
          <w:color w:val="000000" w:themeColor="text1"/>
          <w:sz w:val="32"/>
          <w:szCs w:val="32"/>
          <w:highlight w:val="none"/>
          <w14:textFill>
            <w14:solidFill>
              <w14:schemeClr w14:val="tx1"/>
            </w14:solidFill>
          </w14:textFill>
        </w:rPr>
      </w:pPr>
    </w:p>
    <w:p w14:paraId="44284274">
      <w:pPr>
        <w:spacing w:line="400" w:lineRule="exact"/>
        <w:rPr>
          <w:rFonts w:ascii="宋体"/>
          <w:b/>
          <w:bCs/>
          <w:color w:val="000000" w:themeColor="text1"/>
          <w:sz w:val="32"/>
          <w:szCs w:val="32"/>
          <w:highlight w:val="none"/>
          <w14:textFill>
            <w14:solidFill>
              <w14:schemeClr w14:val="tx1"/>
            </w14:solidFill>
          </w14:textFill>
        </w:rPr>
        <w:sectPr>
          <w:footerReference r:id="rId10" w:type="first"/>
          <w:footerReference r:id="rId9" w:type="default"/>
          <w:pgSz w:w="11906" w:h="16838"/>
          <w:pgMar w:top="1134" w:right="1134" w:bottom="1134" w:left="1134" w:header="851" w:footer="992" w:gutter="0"/>
          <w:pgNumType w:start="0"/>
          <w:cols w:space="720" w:num="1"/>
          <w:titlePg/>
          <w:docGrid w:type="lines" w:linePitch="312" w:charSpace="0"/>
        </w:sectPr>
      </w:pPr>
    </w:p>
    <w:p w14:paraId="1C11172C">
      <w:pPr>
        <w:pStyle w:val="2"/>
        <w:spacing w:before="300" w:after="310" w:line="240" w:lineRule="auto"/>
        <w:jc w:val="center"/>
        <w:rPr>
          <w:rFonts w:ascii="宋体"/>
          <w:color w:val="000000" w:themeColor="text1"/>
          <w:highlight w:val="none"/>
          <w14:textFill>
            <w14:solidFill>
              <w14:schemeClr w14:val="tx1"/>
            </w14:solidFill>
          </w14:textFill>
        </w:rPr>
      </w:pPr>
      <w:bookmarkStart w:id="0" w:name="_Toc20027"/>
      <w:r>
        <w:rPr>
          <w:rFonts w:hint="eastAsia" w:ascii="宋体" w:hAnsi="宋体" w:cs="宋体"/>
          <w:color w:val="000000" w:themeColor="text1"/>
          <w:highlight w:val="none"/>
          <w14:textFill>
            <w14:solidFill>
              <w14:schemeClr w14:val="tx1"/>
            </w14:solidFill>
          </w14:textFill>
        </w:rPr>
        <w:t>第一章</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竞争性磋商公告</w:t>
      </w:r>
      <w:bookmarkEnd w:id="0"/>
    </w:p>
    <w:p w14:paraId="3B42083A">
      <w:pPr>
        <w:pStyle w:val="29"/>
        <w:jc w:val="center"/>
        <w:rPr>
          <w:rFonts w:hAnsi="宋体" w:cs="Times New Roman"/>
          <w:b/>
          <w:bCs/>
          <w:color w:val="000000" w:themeColor="text1"/>
          <w:sz w:val="36"/>
          <w:szCs w:val="36"/>
          <w:highlight w:val="none"/>
          <w14:textFill>
            <w14:solidFill>
              <w14:schemeClr w14:val="tx1"/>
            </w14:solidFill>
          </w14:textFill>
        </w:rPr>
      </w:pPr>
      <w:r>
        <w:rPr>
          <w:rFonts w:hint="eastAsia" w:hAnsi="宋体"/>
          <w:b/>
          <w:bCs/>
          <w:color w:val="000000" w:themeColor="text1"/>
          <w:sz w:val="36"/>
          <w:szCs w:val="36"/>
          <w:highlight w:val="none"/>
          <w14:textFill>
            <w14:solidFill>
              <w14:schemeClr w14:val="tx1"/>
            </w14:solidFill>
          </w14:textFill>
        </w:rPr>
        <w:t>广西云凯工程咨询有限公司关于S206线K25+642～K53+000段安全设施精细化提升工程（</w:t>
      </w:r>
      <w:r>
        <w:rPr>
          <w:rFonts w:hint="eastAsia" w:hAnsi="宋体"/>
          <w:b/>
          <w:bCs/>
          <w:color w:val="000000" w:themeColor="text1"/>
          <w:sz w:val="36"/>
          <w:szCs w:val="36"/>
          <w:highlight w:val="none"/>
          <w:lang w:val="en-US" w:eastAsia="zh-CN"/>
          <w14:textFill>
            <w14:solidFill>
              <w14:schemeClr w14:val="tx1"/>
            </w14:solidFill>
          </w14:textFill>
        </w:rPr>
        <w:t>项目编号：GXZC2026-C2-000213-GXYK</w:t>
      </w:r>
      <w:r>
        <w:rPr>
          <w:rFonts w:hint="eastAsia" w:hAnsi="宋体"/>
          <w:b/>
          <w:bCs/>
          <w:color w:val="000000" w:themeColor="text1"/>
          <w:sz w:val="36"/>
          <w:szCs w:val="36"/>
          <w:highlight w:val="none"/>
          <w14:textFill>
            <w14:solidFill>
              <w14:schemeClr w14:val="tx1"/>
            </w14:solidFill>
          </w14:textFill>
        </w:rPr>
        <w:t>）的竞争性磋商公告</w:t>
      </w:r>
    </w:p>
    <w:p w14:paraId="658E7384">
      <w:pPr>
        <w:spacing w:line="360" w:lineRule="auto"/>
        <w:jc w:val="center"/>
        <w:rPr>
          <w:rFonts w:ascii="宋体"/>
          <w:color w:val="000000" w:themeColor="text1"/>
          <w:highlight w:val="none"/>
          <w14:textFill>
            <w14:solidFill>
              <w14:schemeClr w14:val="tx1"/>
            </w14:solidFill>
          </w14:textFill>
        </w:rPr>
      </w:pPr>
    </w:p>
    <w:tbl>
      <w:tblPr>
        <w:tblStyle w:val="6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10"/>
      </w:tblGrid>
      <w:tr w14:paraId="3F260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1" w:hRule="atLeast"/>
        </w:trPr>
        <w:tc>
          <w:tcPr>
            <w:tcW w:w="9410" w:type="dxa"/>
            <w:vAlign w:val="center"/>
          </w:tcPr>
          <w:p w14:paraId="11A7056E">
            <w:pPr>
              <w:spacing w:line="360" w:lineRule="auto"/>
              <w:ind w:firstLine="420" w:firstLineChars="200"/>
              <w:jc w:val="both"/>
              <w:rPr>
                <w:rFonts w:hint="eastAsia" w:ascii="宋体" w:hAnsi="宋体" w:cs="宋体"/>
                <w:color w:val="000000" w:themeColor="text1"/>
                <w:highlight w:val="none"/>
                <w:lang w:eastAsia="zh-CN"/>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项目概况</w:t>
            </w:r>
            <w:r>
              <w:rPr>
                <w:rFonts w:hint="eastAsia" w:ascii="宋体" w:hAnsi="宋体" w:cs="宋体"/>
                <w:color w:val="000000" w:themeColor="text1"/>
                <w:highlight w:val="none"/>
                <w:lang w:eastAsia="zh-CN"/>
                <w14:textFill>
                  <w14:solidFill>
                    <w14:schemeClr w14:val="tx1"/>
                  </w14:solidFill>
                </w14:textFill>
              </w:rPr>
              <w:t>：</w:t>
            </w:r>
          </w:p>
          <w:p w14:paraId="74635CE2">
            <w:pPr>
              <w:spacing w:line="360" w:lineRule="auto"/>
              <w:ind w:firstLine="420" w:firstLineChars="200"/>
              <w:jc w:val="both"/>
              <w:rPr>
                <w:rFonts w:hint="eastAsia" w:ascii="宋体" w:hAnsi="宋体" w:cs="宋体"/>
                <w:color w:val="000000" w:themeColor="text1"/>
                <w:highlight w:val="none"/>
                <w:lang w:eastAsia="zh-CN"/>
                <w14:textFill>
                  <w14:solidFill>
                    <w14:schemeClr w14:val="tx1"/>
                  </w14:solidFill>
                </w14:textFill>
              </w:rPr>
            </w:pPr>
            <w:r>
              <w:rPr>
                <w:rFonts w:hint="eastAsia" w:ascii="宋体" w:hAnsi="宋体" w:cs="宋体"/>
                <w:color w:val="000000" w:themeColor="text1"/>
                <w:highlight w:val="none"/>
                <w:u w:val="single"/>
                <w14:textFill>
                  <w14:solidFill>
                    <w14:schemeClr w14:val="tx1"/>
                  </w14:solidFill>
                </w14:textFill>
              </w:rPr>
              <w:t>S206线K25+642～K53+000段安全设施精细化提升工程</w:t>
            </w:r>
            <w:r>
              <w:rPr>
                <w:rFonts w:hint="eastAsia" w:ascii="宋体" w:hAnsi="宋体" w:cs="宋体"/>
                <w:color w:val="000000" w:themeColor="text1"/>
                <w:highlight w:val="none"/>
                <w14:textFill>
                  <w14:solidFill>
                    <w14:schemeClr w14:val="tx1"/>
                  </w14:solidFill>
                </w14:textFill>
              </w:rPr>
              <w:t>采购项目的潜在供应商应在广西政府采购云平台（</w:t>
            </w:r>
            <w:r>
              <w:rPr>
                <w:rFonts w:ascii="宋体" w:hAnsi="宋体" w:cs="宋体"/>
                <w:color w:val="000000" w:themeColor="text1"/>
                <w:highlight w:val="none"/>
                <w14:textFill>
                  <w14:solidFill>
                    <w14:schemeClr w14:val="tx1"/>
                  </w14:solidFill>
                </w14:textFill>
              </w:rPr>
              <w:t>https://www.gcy.zfcg.gxzf.gov.cn/</w:t>
            </w:r>
            <w:r>
              <w:rPr>
                <w:rFonts w:hint="eastAsia" w:ascii="宋体" w:hAnsi="宋体" w:cs="宋体"/>
                <w:color w:val="000000" w:themeColor="text1"/>
                <w:highlight w:val="none"/>
                <w14:textFill>
                  <w14:solidFill>
                    <w14:schemeClr w14:val="tx1"/>
                  </w14:solidFill>
                </w14:textFill>
              </w:rPr>
              <w:t>）获取（下载）竞争性磋商文件，并于2026年</w:t>
            </w:r>
            <w:r>
              <w:rPr>
                <w:rFonts w:hint="eastAsia" w:ascii="宋体" w:hAnsi="宋体" w:cs="宋体"/>
                <w:color w:val="000000" w:themeColor="text1"/>
                <w:highlight w:val="none"/>
                <w:lang w:val="en-US" w:eastAsia="zh-CN"/>
                <w14:textFill>
                  <w14:solidFill>
                    <w14:schemeClr w14:val="tx1"/>
                  </w14:solidFill>
                </w14:textFill>
              </w:rPr>
              <w:t>2</w:t>
            </w:r>
            <w:r>
              <w:rPr>
                <w:rFonts w:hint="eastAsia" w:ascii="宋体" w:hAnsi="宋体" w:cs="宋体"/>
                <w:color w:val="000000" w:themeColor="text1"/>
                <w:highlight w:val="none"/>
                <w14:textFill>
                  <w14:solidFill>
                    <w14:schemeClr w14:val="tx1"/>
                  </w14:solidFill>
                </w14:textFill>
              </w:rPr>
              <w:t>月</w:t>
            </w:r>
            <w:r>
              <w:rPr>
                <w:rFonts w:hint="eastAsia" w:ascii="宋体" w:hAnsi="宋体" w:cs="宋体"/>
                <w:color w:val="000000" w:themeColor="text1"/>
                <w:highlight w:val="none"/>
                <w:lang w:val="en-US" w:eastAsia="zh-CN"/>
                <w14:textFill>
                  <w14:solidFill>
                    <w14:schemeClr w14:val="tx1"/>
                  </w14:solidFill>
                </w14:textFill>
              </w:rPr>
              <w:t>27</w:t>
            </w:r>
            <w:r>
              <w:rPr>
                <w:rFonts w:hint="eastAsia" w:ascii="宋体" w:hAnsi="宋体" w:cs="宋体"/>
                <w:color w:val="000000" w:themeColor="text1"/>
                <w:highlight w:val="none"/>
                <w14:textFill>
                  <w14:solidFill>
                    <w14:schemeClr w14:val="tx1"/>
                  </w14:solidFill>
                </w14:textFill>
              </w:rPr>
              <w:t>日10：00（北京时间）前提交响应文件。</w:t>
            </w:r>
          </w:p>
        </w:tc>
      </w:tr>
    </w:tbl>
    <w:p w14:paraId="480CB078">
      <w:pPr>
        <w:kinsoku w:val="0"/>
        <w:wordWrap w:val="0"/>
        <w:spacing w:line="360" w:lineRule="auto"/>
        <w:ind w:firstLine="354" w:firstLineChars="147"/>
        <w:rPr>
          <w:rFonts w:ascii="宋体"/>
          <w:b/>
          <w:bCs/>
          <w:color w:val="000000" w:themeColor="text1"/>
          <w:sz w:val="24"/>
          <w:szCs w:val="24"/>
          <w:highlight w:val="none"/>
          <w14:textFill>
            <w14:solidFill>
              <w14:schemeClr w14:val="tx1"/>
            </w14:solidFill>
          </w14:textFill>
        </w:rPr>
      </w:pPr>
      <w:bookmarkStart w:id="1" w:name="_Hlk37429674"/>
      <w:bookmarkStart w:id="2" w:name="_Toc28359095"/>
      <w:bookmarkStart w:id="3" w:name="_Toc44229885"/>
      <w:bookmarkStart w:id="4" w:name="_Toc35393805"/>
      <w:bookmarkStart w:id="5" w:name="_Toc35393636"/>
      <w:bookmarkStart w:id="6" w:name="_Toc28359018"/>
      <w:bookmarkStart w:id="7" w:name="_Hlk37430271"/>
      <w:r>
        <w:rPr>
          <w:rFonts w:hint="eastAsia" w:ascii="宋体" w:hAnsi="宋体" w:cs="宋体"/>
          <w:b/>
          <w:bCs/>
          <w:color w:val="000000" w:themeColor="text1"/>
          <w:sz w:val="24"/>
          <w:szCs w:val="24"/>
          <w:highlight w:val="none"/>
          <w14:textFill>
            <w14:solidFill>
              <w14:schemeClr w14:val="tx1"/>
            </w14:solidFill>
          </w14:textFill>
        </w:rPr>
        <w:t>一、项目基本情况</w:t>
      </w:r>
    </w:p>
    <w:p w14:paraId="1255F6F8">
      <w:pPr>
        <w:kinsoku w:val="0"/>
        <w:spacing w:line="360" w:lineRule="auto"/>
        <w:ind w:firstLine="420" w:firstLineChars="200"/>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项目编号：GXZC2026-C2-000213-GXYK</w:t>
      </w:r>
    </w:p>
    <w:p w14:paraId="33DF534D">
      <w:pPr>
        <w:kinsoku w:val="0"/>
        <w:spacing w:line="360" w:lineRule="auto"/>
        <w:ind w:firstLine="420" w:firstLineChars="200"/>
        <w:rPr>
          <w:rFonts w:ascii="宋体"/>
          <w:color w:val="000000" w:themeColor="text1"/>
          <w:highlight w:val="none"/>
          <w:u w:val="singl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项目名称：S206线K25+642～K53+000段安全设施精细化提升工程</w:t>
      </w:r>
    </w:p>
    <w:p w14:paraId="7DF3E839">
      <w:pPr>
        <w:kinsoku w:val="0"/>
        <w:spacing w:line="360" w:lineRule="auto"/>
        <w:ind w:firstLine="420" w:firstLineChars="200"/>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采购方式：竞争性磋商</w:t>
      </w:r>
    </w:p>
    <w:p w14:paraId="2DE75C09">
      <w:pPr>
        <w:kinsoku w:val="0"/>
        <w:spacing w:line="360" w:lineRule="auto"/>
        <w:ind w:firstLine="420" w:firstLineChars="200"/>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预算金额：3914122.00元</w:t>
      </w:r>
    </w:p>
    <w:p w14:paraId="2F8C2F29">
      <w:pPr>
        <w:kinsoku w:val="0"/>
        <w:spacing w:line="360" w:lineRule="auto"/>
        <w:ind w:firstLine="420" w:firstLineChars="200"/>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最高限价（如有）：同预算金额。</w:t>
      </w:r>
    </w:p>
    <w:p w14:paraId="651C4BF4">
      <w:pPr>
        <w:kinsoku w:val="0"/>
        <w:spacing w:line="360" w:lineRule="auto"/>
        <w:ind w:firstLine="420" w:firstLineChars="200"/>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采购需求：S206线K25+642～K53+000段安全设施精细化提升工程,公路等级为四级公路，全长27.358km。实施范围为S206线K25+642～K53+000路段,路线长27.358km</w:t>
      </w:r>
      <w:r>
        <w:rPr>
          <w:rFonts w:hint="eastAsia" w:cs="宋体"/>
          <w:color w:val="000000" w:themeColor="text1"/>
          <w:highlight w:val="none"/>
          <w14:textFill>
            <w14:solidFill>
              <w14:schemeClr w14:val="tx1"/>
            </w14:solidFill>
          </w14:textFill>
        </w:rPr>
        <w:t>。</w:t>
      </w:r>
    </w:p>
    <w:p w14:paraId="05B5C1DD">
      <w:pPr>
        <w:kinsoku w:val="0"/>
        <w:spacing w:line="360" w:lineRule="auto"/>
        <w:ind w:firstLine="420" w:firstLineChars="200"/>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项目施工主要内容：对原有的交通安全设施进行更换及局部补充完善，对存在严重安全隐患的路段，按现行规范采取新增或补充的措施，完善整个路段交通安全设施。主要交通安全设施设计内容为路侧安全护栏、轮廓标、交通标志，具体详见施工图设计及工程量清单。</w:t>
      </w:r>
    </w:p>
    <w:p w14:paraId="173B8AAE">
      <w:pPr>
        <w:tabs>
          <w:tab w:val="left" w:pos="2460"/>
        </w:tabs>
        <w:spacing w:before="11" w:line="360" w:lineRule="auto"/>
        <w:ind w:right="1486" w:firstLine="408" w:firstLineChars="200"/>
        <w:rPr>
          <w:color w:val="000000" w:themeColor="text1"/>
          <w:spacing w:val="-3"/>
          <w:highlight w:val="none"/>
          <w:u w:val="single"/>
          <w14:textFill>
            <w14:solidFill>
              <w14:schemeClr w14:val="tx1"/>
            </w14:solidFill>
          </w14:textFill>
        </w:rPr>
      </w:pPr>
      <w:r>
        <w:rPr>
          <w:rFonts w:hint="eastAsia" w:cs="宋体"/>
          <w:color w:val="000000" w:themeColor="text1"/>
          <w:spacing w:val="-3"/>
          <w:highlight w:val="none"/>
          <w14:textFill>
            <w14:solidFill>
              <w14:schemeClr w14:val="tx1"/>
            </w14:solidFill>
          </w14:textFill>
        </w:rPr>
        <w:t>标段工程交</w:t>
      </w:r>
      <w:r>
        <w:rPr>
          <w:rFonts w:hint="eastAsia" w:cs="宋体"/>
          <w:color w:val="000000" w:themeColor="text1"/>
          <w:highlight w:val="none"/>
          <w14:textFill>
            <w14:solidFill>
              <w14:schemeClr w14:val="tx1"/>
            </w14:solidFill>
          </w14:textFill>
        </w:rPr>
        <w:t>工</w:t>
      </w:r>
      <w:r>
        <w:rPr>
          <w:rFonts w:hint="eastAsia" w:cs="宋体"/>
          <w:color w:val="000000" w:themeColor="text1"/>
          <w:spacing w:val="-3"/>
          <w:highlight w:val="none"/>
          <w14:textFill>
            <w14:solidFill>
              <w14:schemeClr w14:val="tx1"/>
            </w14:solidFill>
          </w14:textFill>
        </w:rPr>
        <w:t>验</w:t>
      </w:r>
      <w:r>
        <w:rPr>
          <w:rFonts w:hint="eastAsia" w:cs="宋体"/>
          <w:color w:val="000000" w:themeColor="text1"/>
          <w:highlight w:val="none"/>
          <w14:textFill>
            <w14:solidFill>
              <w14:schemeClr w14:val="tx1"/>
            </w14:solidFill>
          </w14:textFill>
        </w:rPr>
        <w:t>收</w:t>
      </w:r>
      <w:r>
        <w:rPr>
          <w:rFonts w:hint="eastAsia" w:cs="宋体"/>
          <w:color w:val="000000" w:themeColor="text1"/>
          <w:spacing w:val="-3"/>
          <w:highlight w:val="none"/>
          <w14:textFill>
            <w14:solidFill>
              <w14:schemeClr w14:val="tx1"/>
            </w14:solidFill>
          </w14:textFill>
        </w:rPr>
        <w:t>的</w:t>
      </w:r>
      <w:r>
        <w:rPr>
          <w:rFonts w:hint="eastAsia" w:cs="宋体"/>
          <w:color w:val="000000" w:themeColor="text1"/>
          <w:highlight w:val="none"/>
          <w14:textFill>
            <w14:solidFill>
              <w14:schemeClr w14:val="tx1"/>
            </w14:solidFill>
          </w14:textFill>
        </w:rPr>
        <w:t>质</w:t>
      </w:r>
      <w:r>
        <w:rPr>
          <w:rFonts w:hint="eastAsia" w:cs="宋体"/>
          <w:color w:val="000000" w:themeColor="text1"/>
          <w:spacing w:val="-3"/>
          <w:highlight w:val="none"/>
          <w14:textFill>
            <w14:solidFill>
              <w14:schemeClr w14:val="tx1"/>
            </w14:solidFill>
          </w14:textFill>
        </w:rPr>
        <w:t>量</w:t>
      </w:r>
      <w:r>
        <w:rPr>
          <w:rFonts w:hint="eastAsia" w:cs="宋体"/>
          <w:color w:val="000000" w:themeColor="text1"/>
          <w:highlight w:val="none"/>
          <w14:textFill>
            <w14:solidFill>
              <w14:schemeClr w14:val="tx1"/>
            </w14:solidFill>
          </w14:textFill>
        </w:rPr>
        <w:t>评定</w:t>
      </w:r>
      <w:r>
        <w:rPr>
          <w:rFonts w:hint="eastAsia" w:ascii="宋体" w:hAnsi="宋体" w:cs="宋体"/>
          <w:color w:val="000000" w:themeColor="text1"/>
          <w:highlight w:val="none"/>
          <w14:textFill>
            <w14:solidFill>
              <w14:schemeClr w14:val="tx1"/>
            </w14:solidFill>
          </w14:textFill>
        </w:rPr>
        <w:t>：合格，竣工验收质量评定：优良。</w:t>
      </w:r>
    </w:p>
    <w:p w14:paraId="610CB17C">
      <w:pPr>
        <w:kinsoku w:val="0"/>
        <w:spacing w:line="360" w:lineRule="auto"/>
        <w:ind w:firstLine="420" w:firstLineChars="200"/>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安全目标：无安全生产责任事故。</w:t>
      </w:r>
    </w:p>
    <w:p w14:paraId="66F50703">
      <w:pPr>
        <w:kinsoku w:val="0"/>
        <w:spacing w:line="360" w:lineRule="auto"/>
        <w:ind w:firstLine="420" w:firstLineChars="200"/>
        <w:rPr>
          <w:rFonts w:ascii="宋体"/>
          <w:color w:val="000000" w:themeColor="text1"/>
          <w:highlight w:val="none"/>
          <w:u w:val="singl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合同履行期限：工期120日历天</w:t>
      </w:r>
    </w:p>
    <w:p w14:paraId="3C858898">
      <w:pPr>
        <w:spacing w:line="360" w:lineRule="auto"/>
        <w:ind w:firstLine="420" w:firstLineChars="200"/>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本项目是否接受联合体磋商：否。</w:t>
      </w:r>
    </w:p>
    <w:p w14:paraId="021AAD79">
      <w:pPr>
        <w:kinsoku w:val="0"/>
        <w:spacing w:line="360" w:lineRule="auto"/>
        <w:ind w:firstLine="354" w:firstLineChars="147"/>
        <w:rPr>
          <w:rFonts w:ascii="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二、供应商的资格条件：</w:t>
      </w:r>
    </w:p>
    <w:p w14:paraId="153F7AE5">
      <w:pPr>
        <w:kinsoku w:val="0"/>
        <w:spacing w:line="360" w:lineRule="auto"/>
        <w:ind w:firstLine="420" w:firstLineChars="200"/>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1.</w:t>
      </w:r>
      <w:r>
        <w:rPr>
          <w:rFonts w:hint="eastAsia" w:ascii="宋体" w:hAnsi="宋体" w:cs="宋体"/>
          <w:color w:val="000000" w:themeColor="text1"/>
          <w:highlight w:val="none"/>
          <w14:textFill>
            <w14:solidFill>
              <w14:schemeClr w14:val="tx1"/>
            </w14:solidFill>
          </w14:textFill>
        </w:rPr>
        <w:t>满足《中华人民共和国政府采购法》第二十二条规定；</w:t>
      </w:r>
    </w:p>
    <w:p w14:paraId="5BB8BD87">
      <w:pPr>
        <w:kinsoku w:val="0"/>
        <w:spacing w:line="360" w:lineRule="auto"/>
        <w:ind w:firstLine="420" w:firstLineChars="200"/>
        <w:rPr>
          <w:rFonts w:ascii="宋体" w:hAnsi="宋体" w:cs="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2.</w:t>
      </w:r>
      <w:r>
        <w:rPr>
          <w:rFonts w:hint="eastAsia" w:ascii="宋体" w:hAnsi="宋体" w:cs="宋体"/>
          <w:color w:val="000000" w:themeColor="text1"/>
          <w:highlight w:val="none"/>
          <w14:textFill>
            <w14:solidFill>
              <w14:schemeClr w14:val="tx1"/>
            </w14:solidFill>
          </w14:textFill>
        </w:rPr>
        <w:t>落实政府采购政策需满足的资格要求：</w:t>
      </w:r>
    </w:p>
    <w:p w14:paraId="76901D28">
      <w:pPr>
        <w:pStyle w:val="29"/>
        <w:snapToGrid w:val="0"/>
        <w:spacing w:line="360" w:lineRule="auto"/>
        <w:ind w:firstLine="420" w:firstLineChars="200"/>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☑专门面向中小微企业采购的项目（供应商应为中小微企业、监狱企业、残疾人福利单位）。</w:t>
      </w:r>
    </w:p>
    <w:p w14:paraId="75AFE03B">
      <w:pPr>
        <w:pStyle w:val="29"/>
        <w:snapToGrid w:val="0"/>
        <w:spacing w:line="360" w:lineRule="auto"/>
        <w:ind w:firstLine="420" w:firstLineChars="200"/>
        <w:rPr>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□非专门面向中小微企业采购的项目</w:t>
      </w:r>
    </w:p>
    <w:p w14:paraId="1039D9E3">
      <w:pPr>
        <w:kinsoku w:val="0"/>
        <w:spacing w:line="360" w:lineRule="auto"/>
        <w:ind w:firstLine="420" w:firstLineChars="200"/>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3.</w:t>
      </w:r>
      <w:r>
        <w:rPr>
          <w:rFonts w:hint="eastAsia" w:ascii="宋体" w:hAnsi="宋体" w:cs="宋体"/>
          <w:color w:val="000000" w:themeColor="text1"/>
          <w:highlight w:val="none"/>
          <w14:textFill>
            <w14:solidFill>
              <w14:schemeClr w14:val="tx1"/>
            </w14:solidFill>
          </w14:textFill>
        </w:rPr>
        <w:t>本项目的特定资格要求：</w:t>
      </w:r>
    </w:p>
    <w:p w14:paraId="4E35DE77">
      <w:pPr>
        <w:spacing w:line="360" w:lineRule="auto"/>
        <w:ind w:firstLine="420" w:firstLineChars="200"/>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w:t>
      </w:r>
      <w:r>
        <w:rPr>
          <w:rFonts w:ascii="宋体" w:hAnsi="宋体" w:cs="宋体"/>
          <w:color w:val="000000" w:themeColor="text1"/>
          <w:highlight w:val="none"/>
          <w14:textFill>
            <w14:solidFill>
              <w14:schemeClr w14:val="tx1"/>
            </w14:solidFill>
          </w14:textFill>
        </w:rPr>
        <w:t>1</w:t>
      </w:r>
      <w:r>
        <w:rPr>
          <w:rFonts w:hint="eastAsia" w:ascii="宋体" w:hAnsi="宋体" w:cs="宋体"/>
          <w:color w:val="000000" w:themeColor="text1"/>
          <w:highlight w:val="none"/>
          <w14:textFill>
            <w14:solidFill>
              <w14:schemeClr w14:val="tx1"/>
            </w14:solidFill>
          </w14:textFill>
        </w:rPr>
        <w:t>）</w:t>
      </w:r>
      <w:r>
        <w:rPr>
          <w:rFonts w:hint="eastAsia" w:cs="宋体"/>
          <w:color w:val="000000" w:themeColor="text1"/>
          <w:highlight w:val="none"/>
          <w14:textFill>
            <w14:solidFill>
              <w14:schemeClr w14:val="tx1"/>
            </w14:solidFill>
          </w14:textFill>
        </w:rPr>
        <w:t>供应商资质应满足以下条件：</w:t>
      </w:r>
      <w:r>
        <w:rPr>
          <w:rFonts w:hint="eastAsia" w:ascii="宋体" w:hAnsi="宋体" w:cs="仿宋"/>
          <w:color w:val="000000" w:themeColor="text1"/>
          <w:highlight w:val="none"/>
          <w14:textFill>
            <w14:solidFill>
              <w14:schemeClr w14:val="tx1"/>
            </w14:solidFill>
          </w14:textFill>
        </w:rPr>
        <w:t>具备有效的交通安全设施养护资质</w:t>
      </w:r>
      <w:r>
        <w:rPr>
          <w:rFonts w:hint="eastAsia" w:ascii="宋体" w:hAnsi="宋体" w:cs="宋体"/>
          <w:color w:val="000000" w:themeColor="text1"/>
          <w:highlight w:val="none"/>
          <w14:textFill>
            <w14:solidFill>
              <w14:schemeClr w14:val="tx1"/>
            </w14:solidFill>
          </w14:textFill>
        </w:rPr>
        <w:t>。</w:t>
      </w:r>
    </w:p>
    <w:p w14:paraId="0340AC1D">
      <w:pPr>
        <w:numPr>
          <w:ilvl w:val="0"/>
          <w:numId w:val="4"/>
        </w:numPr>
        <w:kinsoku w:val="0"/>
        <w:spacing w:line="360" w:lineRule="auto"/>
        <w:ind w:firstLine="420" w:firstLineChars="200"/>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具备有效的省级或以上建设行政主管部门颁发的建筑施工企业安全生产许可证，并在人员、设备、资金等方面具有相应的施工能力。</w:t>
      </w:r>
      <w:r>
        <w:rPr>
          <w:rFonts w:ascii="宋体"/>
          <w:color w:val="000000" w:themeColor="text1"/>
          <w:highlight w:val="none"/>
          <w14:textFill>
            <w14:solidFill>
              <w14:schemeClr w14:val="tx1"/>
            </w14:solidFill>
          </w14:textFill>
        </w:rPr>
        <w:t> </w:t>
      </w:r>
    </w:p>
    <w:p w14:paraId="3378140F">
      <w:pPr>
        <w:spacing w:line="360" w:lineRule="auto"/>
        <w:ind w:firstLine="420" w:firstLineChars="200"/>
        <w:jc w:val="left"/>
        <w:rPr>
          <w:rFonts w:ascii="仿宋" w:hAnsi="仿宋" w:eastAsia="仿宋"/>
          <w:color w:val="000000" w:themeColor="text1"/>
          <w:sz w:val="28"/>
          <w:szCs w:val="28"/>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w:t>
      </w:r>
      <w:r>
        <w:rPr>
          <w:rFonts w:ascii="宋体" w:hAnsi="宋体" w:cs="宋体"/>
          <w:color w:val="000000" w:themeColor="text1"/>
          <w:highlight w:val="none"/>
          <w14:textFill>
            <w14:solidFill>
              <w14:schemeClr w14:val="tx1"/>
            </w14:solidFill>
          </w14:textFill>
        </w:rPr>
        <w:t>3</w:t>
      </w:r>
      <w:r>
        <w:rPr>
          <w:rFonts w:hint="eastAsia" w:ascii="宋体" w:hAnsi="宋体" w:cs="宋体"/>
          <w:color w:val="000000" w:themeColor="text1"/>
          <w:highlight w:val="none"/>
          <w14:textFill>
            <w14:solidFill>
              <w14:schemeClr w14:val="tx1"/>
            </w14:solidFill>
          </w14:textFill>
        </w:rPr>
        <w:t>）供应商</w:t>
      </w:r>
      <w:bookmarkStart w:id="8" w:name="OLE_LINK24"/>
      <w:bookmarkStart w:id="9" w:name="OLE_LINK25"/>
      <w:r>
        <w:rPr>
          <w:rFonts w:hint="eastAsia" w:ascii="宋体" w:hAnsi="宋体" w:cs="宋体"/>
          <w:color w:val="000000" w:themeColor="text1"/>
          <w:highlight w:val="none"/>
          <w14:textFill>
            <w14:solidFill>
              <w14:schemeClr w14:val="tx1"/>
            </w14:solidFill>
          </w14:textFill>
        </w:rPr>
        <w:t>拟派项目经理须具备公路工程专业二级或以上注册建造师执业资格，具备工程师（或以上）职称，具备有效的省级或以上交通运输行政主管部门颁发的安全生产考核合格证（“三类人员”</w:t>
      </w:r>
      <w:r>
        <w:rPr>
          <w:rFonts w:ascii="宋体" w:hAnsi="宋体" w:cs="宋体"/>
          <w:color w:val="000000" w:themeColor="text1"/>
          <w:highlight w:val="none"/>
          <w14:textFill>
            <w14:solidFill>
              <w14:schemeClr w14:val="tx1"/>
            </w14:solidFill>
          </w14:textFill>
        </w:rPr>
        <w:t>B</w:t>
      </w:r>
      <w:r>
        <w:rPr>
          <w:rFonts w:hint="eastAsia" w:ascii="宋体" w:hAnsi="宋体" w:cs="宋体"/>
          <w:color w:val="000000" w:themeColor="text1"/>
          <w:highlight w:val="none"/>
          <w14:textFill>
            <w14:solidFill>
              <w14:schemeClr w14:val="tx1"/>
            </w14:solidFill>
          </w14:textFill>
        </w:rPr>
        <w:t>类证书），且为本单位在职员工</w:t>
      </w:r>
      <w:r>
        <w:rPr>
          <w:rFonts w:hint="eastAsia" w:ascii="宋体" w:hAnsi="宋体" w:cs="宋体"/>
          <w:b/>
          <w:bCs/>
          <w:color w:val="000000" w:themeColor="text1"/>
          <w:highlight w:val="none"/>
          <w:lang w:eastAsia="zh-CN"/>
          <w14:textFill>
            <w14:solidFill>
              <w14:schemeClr w14:val="tx1"/>
            </w14:solidFill>
          </w14:textFill>
        </w:rPr>
        <w:t>。</w:t>
      </w:r>
      <w:r>
        <w:rPr>
          <w:rFonts w:hint="eastAsia" w:ascii="宋体" w:hAnsi="宋体" w:cs="宋体"/>
          <w:color w:val="000000" w:themeColor="text1"/>
          <w:highlight w:val="none"/>
          <w14:textFill>
            <w14:solidFill>
              <w14:schemeClr w14:val="tx1"/>
            </w14:solidFill>
          </w14:textFill>
        </w:rPr>
        <w:t>拟派项目总工须具备工程师（或以上）职称（路桥类专业），且为本单位在职员工。（注：“路桥类”专业是指职称证上的专业，为路桥、公路工程、桥梁工程、交通土建、交通工程、铁路、土木工程、隧道工程、市政桥梁工程等专业均可）</w:t>
      </w:r>
      <w:bookmarkEnd w:id="8"/>
      <w:bookmarkEnd w:id="9"/>
      <w:r>
        <w:rPr>
          <w:rFonts w:hint="eastAsia" w:ascii="宋体" w:hAnsi="宋体" w:cs="宋体"/>
          <w:color w:val="000000" w:themeColor="text1"/>
          <w:highlight w:val="none"/>
          <w14:textFill>
            <w14:solidFill>
              <w14:schemeClr w14:val="tx1"/>
            </w14:solidFill>
          </w14:textFill>
        </w:rPr>
        <w:t>。</w:t>
      </w:r>
    </w:p>
    <w:p w14:paraId="12766B15">
      <w:pPr>
        <w:kinsoku w:val="0"/>
        <w:wordWrap w:val="0"/>
        <w:spacing w:line="360" w:lineRule="auto"/>
        <w:ind w:firstLine="354" w:firstLineChars="147"/>
        <w:rPr>
          <w:rFonts w:ascii="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三、获取竞争性磋商文件</w:t>
      </w:r>
    </w:p>
    <w:p w14:paraId="672B8D8A">
      <w:pPr>
        <w:kinsoku w:val="0"/>
        <w:wordWrap w:val="0"/>
        <w:spacing w:line="360" w:lineRule="auto"/>
        <w:ind w:firstLine="420" w:firstLineChars="200"/>
        <w:rPr>
          <w:rFonts w:ascii="宋体"/>
          <w:color w:val="000000" w:themeColor="text1"/>
          <w:kern w:val="0"/>
          <w:highlight w:val="none"/>
          <w14:textFill>
            <w14:solidFill>
              <w14:schemeClr w14:val="tx1"/>
            </w14:solidFill>
          </w14:textFill>
        </w:rPr>
      </w:pPr>
      <w:r>
        <w:rPr>
          <w:rFonts w:hint="eastAsia" w:ascii="宋体" w:hAnsi="宋体" w:cs="宋体"/>
          <w:color w:val="000000" w:themeColor="text1"/>
          <w:kern w:val="0"/>
          <w:highlight w:val="none"/>
          <w14:textFill>
            <w14:solidFill>
              <w14:schemeClr w14:val="tx1"/>
            </w14:solidFill>
          </w14:textFill>
        </w:rPr>
        <w:t>时间：</w:t>
      </w:r>
      <w:r>
        <w:rPr>
          <w:rFonts w:hint="eastAsia" w:ascii="宋体" w:hAnsi="宋体" w:cs="宋体"/>
          <w:color w:val="000000" w:themeColor="text1"/>
          <w:highlight w:val="none"/>
          <w14:textFill>
            <w14:solidFill>
              <w14:schemeClr w14:val="tx1"/>
            </w14:solidFill>
          </w14:textFill>
        </w:rPr>
        <w:t>2026年</w:t>
      </w:r>
      <w:r>
        <w:rPr>
          <w:rFonts w:hint="eastAsia" w:ascii="宋体" w:hAnsi="宋体" w:cs="宋体"/>
          <w:color w:val="000000" w:themeColor="text1"/>
          <w:highlight w:val="none"/>
          <w:lang w:val="en-US" w:eastAsia="zh-CN"/>
          <w14:textFill>
            <w14:solidFill>
              <w14:schemeClr w14:val="tx1"/>
            </w14:solidFill>
          </w14:textFill>
        </w:rPr>
        <w:t>2</w:t>
      </w:r>
      <w:r>
        <w:rPr>
          <w:rFonts w:hint="eastAsia" w:ascii="宋体" w:hAnsi="宋体" w:cs="宋体"/>
          <w:color w:val="000000" w:themeColor="text1"/>
          <w:highlight w:val="none"/>
          <w14:textFill>
            <w14:solidFill>
              <w14:schemeClr w14:val="tx1"/>
            </w14:solidFill>
          </w14:textFill>
        </w:rPr>
        <w:t>月</w:t>
      </w:r>
      <w:r>
        <w:rPr>
          <w:rFonts w:hint="eastAsia" w:ascii="宋体" w:hAnsi="宋体" w:cs="宋体"/>
          <w:color w:val="000000" w:themeColor="text1"/>
          <w:highlight w:val="none"/>
          <w:lang w:val="en-US" w:eastAsia="zh-CN"/>
          <w14:textFill>
            <w14:solidFill>
              <w14:schemeClr w14:val="tx1"/>
            </w14:solidFill>
          </w14:textFill>
        </w:rPr>
        <w:t>12</w:t>
      </w:r>
      <w:r>
        <w:rPr>
          <w:rFonts w:hint="eastAsia" w:ascii="宋体" w:hAnsi="宋体" w:cs="宋体"/>
          <w:color w:val="000000" w:themeColor="text1"/>
          <w:highlight w:val="none"/>
          <w14:textFill>
            <w14:solidFill>
              <w14:schemeClr w14:val="tx1"/>
            </w14:solidFill>
          </w14:textFill>
        </w:rPr>
        <w:t>日至2026年</w:t>
      </w:r>
      <w:r>
        <w:rPr>
          <w:rFonts w:hint="eastAsia" w:ascii="宋体" w:hAnsi="宋体" w:cs="宋体"/>
          <w:color w:val="000000" w:themeColor="text1"/>
          <w:highlight w:val="none"/>
          <w:lang w:val="en-US" w:eastAsia="zh-CN"/>
          <w14:textFill>
            <w14:solidFill>
              <w14:schemeClr w14:val="tx1"/>
            </w14:solidFill>
          </w14:textFill>
        </w:rPr>
        <w:t>2</w:t>
      </w:r>
      <w:r>
        <w:rPr>
          <w:rFonts w:hint="eastAsia" w:ascii="宋体" w:hAnsi="宋体" w:cs="宋体"/>
          <w:color w:val="000000" w:themeColor="text1"/>
          <w:highlight w:val="none"/>
          <w14:textFill>
            <w14:solidFill>
              <w14:schemeClr w14:val="tx1"/>
            </w14:solidFill>
          </w14:textFill>
        </w:rPr>
        <w:t>月</w:t>
      </w:r>
      <w:r>
        <w:rPr>
          <w:rFonts w:hint="eastAsia" w:ascii="宋体" w:hAnsi="宋体" w:cs="宋体"/>
          <w:color w:val="000000" w:themeColor="text1"/>
          <w:highlight w:val="none"/>
          <w:lang w:val="en-US" w:eastAsia="zh-CN"/>
          <w14:textFill>
            <w14:solidFill>
              <w14:schemeClr w14:val="tx1"/>
            </w14:solidFill>
          </w14:textFill>
        </w:rPr>
        <w:t>26</w:t>
      </w:r>
      <w:r>
        <w:rPr>
          <w:rFonts w:hint="eastAsia" w:ascii="宋体" w:hAnsi="宋体" w:cs="宋体"/>
          <w:color w:val="000000" w:themeColor="text1"/>
          <w:highlight w:val="none"/>
          <w14:textFill>
            <w14:solidFill>
              <w14:schemeClr w14:val="tx1"/>
            </w14:solidFill>
          </w14:textFill>
        </w:rPr>
        <w:t>日，每天上午00:00至12:00，下午12:00至23:59（北京时间，法定节假日除外）（北京时间，法定节假日除外）</w:t>
      </w:r>
      <w:r>
        <w:rPr>
          <w:rFonts w:hint="eastAsia" w:ascii="宋体" w:hAnsi="宋体" w:cs="宋体"/>
          <w:color w:val="000000" w:themeColor="text1"/>
          <w:kern w:val="0"/>
          <w:highlight w:val="none"/>
          <w14:textFill>
            <w14:solidFill>
              <w14:schemeClr w14:val="tx1"/>
            </w14:solidFill>
          </w14:textFill>
        </w:rPr>
        <w:t>。</w:t>
      </w:r>
    </w:p>
    <w:p w14:paraId="4264B179">
      <w:pPr>
        <w:kinsoku w:val="0"/>
        <w:wordWrap w:val="0"/>
        <w:spacing w:line="360" w:lineRule="auto"/>
        <w:ind w:firstLine="420" w:firstLineChars="200"/>
        <w:rPr>
          <w:rFonts w:ascii="宋体"/>
          <w:color w:val="000000" w:themeColor="text1"/>
          <w:highlight w:val="none"/>
          <w14:textFill>
            <w14:solidFill>
              <w14:schemeClr w14:val="tx1"/>
            </w14:solidFill>
          </w14:textFill>
        </w:rPr>
      </w:pPr>
      <w:r>
        <w:rPr>
          <w:rFonts w:hint="eastAsia" w:ascii="宋体" w:hAnsi="宋体" w:cs="宋体"/>
          <w:color w:val="000000" w:themeColor="text1"/>
          <w:kern w:val="0"/>
          <w:highlight w:val="none"/>
          <w14:textFill>
            <w14:solidFill>
              <w14:schemeClr w14:val="tx1"/>
            </w14:solidFill>
          </w14:textFill>
        </w:rPr>
        <w:t>地点：</w:t>
      </w:r>
      <w:r>
        <w:rPr>
          <w:rFonts w:hint="eastAsia" w:ascii="宋体" w:hAnsi="宋体" w:cs="宋体"/>
          <w:color w:val="000000" w:themeColor="text1"/>
          <w:highlight w:val="none"/>
          <w14:textFill>
            <w14:solidFill>
              <w14:schemeClr w14:val="tx1"/>
            </w14:solidFill>
          </w14:textFill>
        </w:rPr>
        <w:t>广西政府采购云平台（</w:t>
      </w:r>
      <w:r>
        <w:rPr>
          <w:rFonts w:ascii="宋体" w:hAnsi="宋体" w:cs="宋体"/>
          <w:color w:val="000000" w:themeColor="text1"/>
          <w:highlight w:val="none"/>
          <w14:textFill>
            <w14:solidFill>
              <w14:schemeClr w14:val="tx1"/>
            </w14:solidFill>
          </w14:textFill>
        </w:rPr>
        <w:t>https://www.gcy.zfcg.gxzf.gov.cn/</w:t>
      </w:r>
      <w:r>
        <w:rPr>
          <w:rFonts w:hint="eastAsia" w:ascii="宋体" w:hAnsi="宋体" w:cs="宋体"/>
          <w:color w:val="000000" w:themeColor="text1"/>
          <w:highlight w:val="none"/>
          <w14:textFill>
            <w14:solidFill>
              <w14:schemeClr w14:val="tx1"/>
            </w14:solidFill>
          </w14:textFill>
        </w:rPr>
        <w:t>）</w:t>
      </w:r>
    </w:p>
    <w:p w14:paraId="3760614E">
      <w:pPr>
        <w:kinsoku w:val="0"/>
        <w:wordWrap w:val="0"/>
        <w:spacing w:line="360" w:lineRule="auto"/>
        <w:ind w:firstLine="420" w:firstLineChars="200"/>
        <w:rPr>
          <w:rFonts w:ascii="宋体"/>
          <w:color w:val="000000" w:themeColor="text1"/>
          <w:kern w:val="0"/>
          <w:highlight w:val="none"/>
          <w14:textFill>
            <w14:solidFill>
              <w14:schemeClr w14:val="tx1"/>
            </w14:solidFill>
          </w14:textFill>
        </w:rPr>
      </w:pPr>
      <w:r>
        <w:rPr>
          <w:rFonts w:hint="eastAsia" w:ascii="宋体" w:hAnsi="宋体" w:cs="宋体"/>
          <w:color w:val="000000" w:themeColor="text1"/>
          <w:kern w:val="0"/>
          <w:highlight w:val="none"/>
          <w14:textFill>
            <w14:solidFill>
              <w14:schemeClr w14:val="tx1"/>
            </w14:solidFill>
          </w14:textFill>
        </w:rPr>
        <w:t>方式：网上下载。供应商应自行在</w:t>
      </w:r>
      <w:r>
        <w:rPr>
          <w:rFonts w:hint="eastAsia" w:ascii="宋体" w:hAnsi="宋体" w:cs="宋体"/>
          <w:color w:val="000000" w:themeColor="text1"/>
          <w:highlight w:val="none"/>
          <w14:textFill>
            <w14:solidFill>
              <w14:schemeClr w14:val="tx1"/>
            </w14:solidFill>
          </w14:textFill>
        </w:rPr>
        <w:t>广西政府采购云平台</w:t>
      </w:r>
      <w:r>
        <w:rPr>
          <w:rFonts w:hint="eastAsia" w:ascii="宋体" w:hAnsi="宋体" w:cs="宋体"/>
          <w:color w:val="000000" w:themeColor="text1"/>
          <w:kern w:val="0"/>
          <w:highlight w:val="none"/>
          <w14:textFill>
            <w14:solidFill>
              <w14:schemeClr w14:val="tx1"/>
            </w14:solidFill>
          </w14:textFill>
        </w:rPr>
        <w:t>（</w:t>
      </w:r>
      <w:r>
        <w:rPr>
          <w:rFonts w:ascii="宋体" w:hAnsi="宋体" w:cs="宋体"/>
          <w:color w:val="000000" w:themeColor="text1"/>
          <w:kern w:val="0"/>
          <w:highlight w:val="none"/>
          <w14:textFill>
            <w14:solidFill>
              <w14:schemeClr w14:val="tx1"/>
            </w14:solidFill>
          </w14:textFill>
        </w:rPr>
        <w:t>https://www.gcy.zfcg.gxzf.gov.cn/</w:t>
      </w:r>
      <w:r>
        <w:rPr>
          <w:rFonts w:hint="eastAsia" w:ascii="宋体" w:hAnsi="宋体" w:cs="宋体"/>
          <w:color w:val="000000" w:themeColor="text1"/>
          <w:kern w:val="0"/>
          <w:highlight w:val="none"/>
          <w14:textFill>
            <w14:solidFill>
              <w14:schemeClr w14:val="tx1"/>
            </w14:solidFill>
          </w14:textFill>
        </w:rPr>
        <w:t>）下载竞争性磋商文件（操作路径：登录</w:t>
      </w:r>
      <w:r>
        <w:rPr>
          <w:rFonts w:hint="eastAsia" w:ascii="宋体" w:hAnsi="宋体" w:cs="宋体"/>
          <w:color w:val="000000" w:themeColor="text1"/>
          <w:highlight w:val="none"/>
          <w14:textFill>
            <w14:solidFill>
              <w14:schemeClr w14:val="tx1"/>
            </w14:solidFill>
          </w14:textFill>
        </w:rPr>
        <w:t>广西政府采购云平台</w:t>
      </w:r>
      <w:r>
        <w:rPr>
          <w:rFonts w:ascii="宋体" w:cs="宋体"/>
          <w:color w:val="000000" w:themeColor="text1"/>
          <w:kern w:val="0"/>
          <w:highlight w:val="none"/>
          <w14:textFill>
            <w14:solidFill>
              <w14:schemeClr w14:val="tx1"/>
            </w14:solidFill>
          </w14:textFill>
        </w:rPr>
        <w:t>-</w:t>
      </w:r>
      <w:r>
        <w:rPr>
          <w:rFonts w:hint="eastAsia" w:ascii="宋体" w:hAnsi="宋体" w:cs="宋体"/>
          <w:color w:val="000000" w:themeColor="text1"/>
          <w:kern w:val="0"/>
          <w:highlight w:val="none"/>
          <w14:textFill>
            <w14:solidFill>
              <w14:schemeClr w14:val="tx1"/>
            </w14:solidFill>
          </w14:textFill>
        </w:rPr>
        <w:t>项目采购</w:t>
      </w:r>
      <w:r>
        <w:rPr>
          <w:rFonts w:ascii="宋体" w:cs="宋体"/>
          <w:color w:val="000000" w:themeColor="text1"/>
          <w:kern w:val="0"/>
          <w:highlight w:val="none"/>
          <w14:textFill>
            <w14:solidFill>
              <w14:schemeClr w14:val="tx1"/>
            </w14:solidFill>
          </w14:textFill>
        </w:rPr>
        <w:t>-</w:t>
      </w:r>
      <w:r>
        <w:rPr>
          <w:rFonts w:hint="eastAsia" w:ascii="宋体" w:hAnsi="宋体" w:cs="宋体"/>
          <w:color w:val="000000" w:themeColor="text1"/>
          <w:kern w:val="0"/>
          <w:highlight w:val="none"/>
          <w14:textFill>
            <w14:solidFill>
              <w14:schemeClr w14:val="tx1"/>
            </w14:solidFill>
          </w14:textFill>
        </w:rPr>
        <w:t>获取采购文件</w:t>
      </w:r>
      <w:r>
        <w:rPr>
          <w:rFonts w:ascii="宋体" w:cs="宋体"/>
          <w:color w:val="000000" w:themeColor="text1"/>
          <w:kern w:val="0"/>
          <w:highlight w:val="none"/>
          <w14:textFill>
            <w14:solidFill>
              <w14:schemeClr w14:val="tx1"/>
            </w14:solidFill>
          </w14:textFill>
        </w:rPr>
        <w:t>-</w:t>
      </w:r>
      <w:r>
        <w:rPr>
          <w:rFonts w:hint="eastAsia" w:ascii="宋体" w:hAnsi="宋体" w:cs="宋体"/>
          <w:color w:val="000000" w:themeColor="text1"/>
          <w:kern w:val="0"/>
          <w:highlight w:val="none"/>
          <w14:textFill>
            <w14:solidFill>
              <w14:schemeClr w14:val="tx1"/>
            </w14:solidFill>
          </w14:textFill>
        </w:rPr>
        <w:t>找到本项目</w:t>
      </w:r>
      <w:r>
        <w:rPr>
          <w:rFonts w:ascii="宋体" w:cs="宋体"/>
          <w:color w:val="000000" w:themeColor="text1"/>
          <w:kern w:val="0"/>
          <w:highlight w:val="none"/>
          <w14:textFill>
            <w14:solidFill>
              <w14:schemeClr w14:val="tx1"/>
            </w14:solidFill>
          </w14:textFill>
        </w:rPr>
        <w:t>-</w:t>
      </w:r>
      <w:r>
        <w:rPr>
          <w:rFonts w:hint="eastAsia" w:ascii="宋体" w:hAnsi="宋体" w:cs="宋体"/>
          <w:color w:val="000000" w:themeColor="text1"/>
          <w:kern w:val="0"/>
          <w:highlight w:val="none"/>
          <w14:textFill>
            <w14:solidFill>
              <w14:schemeClr w14:val="tx1"/>
            </w14:solidFill>
          </w14:textFill>
        </w:rPr>
        <w:t>点击“申请获取采购文件”），电子响应文件制作需要基于广西政府采购云平台获取的竞争性磋商文件编制。</w:t>
      </w:r>
    </w:p>
    <w:p w14:paraId="1FF9031A">
      <w:pPr>
        <w:kinsoku w:val="0"/>
        <w:wordWrap w:val="0"/>
        <w:spacing w:line="360" w:lineRule="auto"/>
        <w:ind w:firstLine="420" w:firstLineChars="200"/>
        <w:rPr>
          <w:rFonts w:ascii="宋体"/>
          <w:color w:val="000000" w:themeColor="text1"/>
          <w:highlight w:val="none"/>
          <w14:textFill>
            <w14:solidFill>
              <w14:schemeClr w14:val="tx1"/>
            </w14:solidFill>
          </w14:textFill>
        </w:rPr>
      </w:pPr>
      <w:r>
        <w:rPr>
          <w:rFonts w:hint="eastAsia" w:ascii="宋体" w:hAnsi="宋体" w:cs="宋体"/>
          <w:color w:val="000000" w:themeColor="text1"/>
          <w:kern w:val="0"/>
          <w:highlight w:val="none"/>
          <w14:textFill>
            <w14:solidFill>
              <w14:schemeClr w14:val="tx1"/>
            </w14:solidFill>
          </w14:textFill>
        </w:rPr>
        <w:t>售价：</w:t>
      </w:r>
      <w:r>
        <w:rPr>
          <w:rFonts w:ascii="宋体" w:cs="宋体"/>
          <w:color w:val="000000" w:themeColor="text1"/>
          <w:kern w:val="0"/>
          <w:highlight w:val="none"/>
          <w14:textFill>
            <w14:solidFill>
              <w14:schemeClr w14:val="tx1"/>
            </w14:solidFill>
          </w14:textFill>
        </w:rPr>
        <w:t>0</w:t>
      </w:r>
      <w:r>
        <w:rPr>
          <w:rFonts w:hint="eastAsia" w:ascii="宋体" w:hAnsi="宋体" w:cs="宋体"/>
          <w:color w:val="000000" w:themeColor="text1"/>
          <w:kern w:val="0"/>
          <w:highlight w:val="none"/>
          <w14:textFill>
            <w14:solidFill>
              <w14:schemeClr w14:val="tx1"/>
            </w14:solidFill>
          </w14:textFill>
        </w:rPr>
        <w:t>元。</w:t>
      </w:r>
    </w:p>
    <w:p w14:paraId="3BBBDD32">
      <w:pPr>
        <w:kinsoku w:val="0"/>
        <w:wordWrap w:val="0"/>
        <w:spacing w:line="360" w:lineRule="auto"/>
        <w:ind w:firstLine="354" w:firstLineChars="147"/>
        <w:rPr>
          <w:rFonts w:ascii="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四、响应文件提交</w:t>
      </w:r>
    </w:p>
    <w:p w14:paraId="3256AD80">
      <w:pPr>
        <w:kinsoku w:val="0"/>
        <w:wordWrap w:val="0"/>
        <w:spacing w:line="360" w:lineRule="auto"/>
        <w:ind w:firstLine="420" w:firstLineChars="200"/>
        <w:rPr>
          <w:rFonts w:ascii="宋体"/>
          <w:color w:val="000000" w:themeColor="text1"/>
          <w:highlight w:val="none"/>
          <w:u w:val="single"/>
          <w14:textFill>
            <w14:solidFill>
              <w14:schemeClr w14:val="tx1"/>
            </w14:solidFill>
          </w14:textFill>
        </w:rPr>
      </w:pPr>
      <w:r>
        <w:rPr>
          <w:rFonts w:ascii="宋体" w:hAnsi="宋体" w:cs="宋体"/>
          <w:color w:val="000000" w:themeColor="text1"/>
          <w:highlight w:val="none"/>
          <w14:textFill>
            <w14:solidFill>
              <w14:schemeClr w14:val="tx1"/>
            </w14:solidFill>
          </w14:textFill>
        </w:rPr>
        <w:t>1.</w:t>
      </w:r>
      <w:r>
        <w:rPr>
          <w:rFonts w:hint="eastAsia" w:ascii="宋体" w:hAnsi="宋体" w:cs="宋体"/>
          <w:color w:val="000000" w:themeColor="text1"/>
          <w:highlight w:val="none"/>
          <w14:textFill>
            <w14:solidFill>
              <w14:schemeClr w14:val="tx1"/>
            </w14:solidFill>
          </w14:textFill>
        </w:rPr>
        <w:t>截止时间：2026年</w:t>
      </w:r>
      <w:r>
        <w:rPr>
          <w:rFonts w:hint="eastAsia" w:ascii="宋体" w:hAnsi="宋体" w:cs="宋体"/>
          <w:color w:val="000000" w:themeColor="text1"/>
          <w:highlight w:val="none"/>
          <w:lang w:val="en-US" w:eastAsia="zh-CN"/>
          <w14:textFill>
            <w14:solidFill>
              <w14:schemeClr w14:val="tx1"/>
            </w14:solidFill>
          </w14:textFill>
        </w:rPr>
        <w:t>2</w:t>
      </w:r>
      <w:r>
        <w:rPr>
          <w:rFonts w:hint="eastAsia" w:ascii="宋体" w:hAnsi="宋体" w:cs="宋体"/>
          <w:color w:val="000000" w:themeColor="text1"/>
          <w:highlight w:val="none"/>
          <w14:textFill>
            <w14:solidFill>
              <w14:schemeClr w14:val="tx1"/>
            </w14:solidFill>
          </w14:textFill>
        </w:rPr>
        <w:t>月</w:t>
      </w:r>
      <w:r>
        <w:rPr>
          <w:rFonts w:hint="eastAsia" w:ascii="宋体" w:hAnsi="宋体" w:cs="宋体"/>
          <w:color w:val="000000" w:themeColor="text1"/>
          <w:highlight w:val="none"/>
          <w:lang w:val="en-US" w:eastAsia="zh-CN"/>
          <w14:textFill>
            <w14:solidFill>
              <w14:schemeClr w14:val="tx1"/>
            </w14:solidFill>
          </w14:textFill>
        </w:rPr>
        <w:t>27</w:t>
      </w:r>
      <w:r>
        <w:rPr>
          <w:rFonts w:hint="eastAsia" w:ascii="宋体" w:hAnsi="宋体" w:cs="宋体"/>
          <w:color w:val="000000" w:themeColor="text1"/>
          <w:highlight w:val="none"/>
          <w14:textFill>
            <w14:solidFill>
              <w14:schemeClr w14:val="tx1"/>
            </w14:solidFill>
          </w14:textFill>
        </w:rPr>
        <w:t>日10：00</w:t>
      </w:r>
      <w:r>
        <w:rPr>
          <w:rFonts w:hint="eastAsia" w:ascii="宋体" w:hAnsi="宋体" w:cs="宋体"/>
          <w:color w:val="000000" w:themeColor="text1"/>
          <w:kern w:val="0"/>
          <w:highlight w:val="none"/>
          <w14:textFill>
            <w14:solidFill>
              <w14:schemeClr w14:val="tx1"/>
            </w14:solidFill>
          </w14:textFill>
        </w:rPr>
        <w:t>（北京时间）</w:t>
      </w:r>
    </w:p>
    <w:p w14:paraId="58683956">
      <w:pPr>
        <w:kinsoku w:val="0"/>
        <w:wordWrap w:val="0"/>
        <w:spacing w:line="360" w:lineRule="auto"/>
        <w:ind w:firstLine="420" w:firstLineChars="200"/>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2.</w:t>
      </w:r>
      <w:r>
        <w:rPr>
          <w:rFonts w:hint="eastAsia" w:ascii="宋体" w:hAnsi="宋体" w:cs="宋体"/>
          <w:color w:val="000000" w:themeColor="text1"/>
          <w:highlight w:val="none"/>
          <w14:textFill>
            <w14:solidFill>
              <w14:schemeClr w14:val="tx1"/>
            </w14:solidFill>
          </w14:textFill>
        </w:rPr>
        <w:t>地点（网址）：广西政府采购云平台（</w:t>
      </w:r>
      <w:r>
        <w:rPr>
          <w:rFonts w:ascii="宋体" w:hAnsi="宋体" w:cs="宋体"/>
          <w:color w:val="000000" w:themeColor="text1"/>
          <w:highlight w:val="none"/>
          <w14:textFill>
            <w14:solidFill>
              <w14:schemeClr w14:val="tx1"/>
            </w14:solidFill>
          </w14:textFill>
        </w:rPr>
        <w:t>https://www.gcy.zfcg.gxzf.gov.cn/</w:t>
      </w:r>
      <w:r>
        <w:rPr>
          <w:rFonts w:hint="eastAsia" w:ascii="宋体" w:hAnsi="宋体" w:cs="宋体"/>
          <w:color w:val="000000" w:themeColor="text1"/>
          <w:highlight w:val="none"/>
          <w14:textFill>
            <w14:solidFill>
              <w14:schemeClr w14:val="tx1"/>
            </w14:solidFill>
          </w14:textFill>
        </w:rPr>
        <w:t>）</w:t>
      </w:r>
    </w:p>
    <w:p w14:paraId="3DD04F63">
      <w:pPr>
        <w:kinsoku w:val="0"/>
        <w:wordWrap w:val="0"/>
        <w:spacing w:line="360" w:lineRule="auto"/>
        <w:ind w:firstLine="354" w:firstLineChars="147"/>
        <w:rPr>
          <w:rFonts w:ascii="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五、响应文件开启</w:t>
      </w:r>
    </w:p>
    <w:p w14:paraId="2BCCF272">
      <w:pPr>
        <w:kinsoku w:val="0"/>
        <w:wordWrap w:val="0"/>
        <w:spacing w:line="360" w:lineRule="auto"/>
        <w:ind w:firstLine="420" w:firstLineChars="200"/>
        <w:rPr>
          <w:rFonts w:ascii="宋体"/>
          <w:color w:val="000000" w:themeColor="text1"/>
          <w:highlight w:val="none"/>
          <w:u w:val="single"/>
          <w14:textFill>
            <w14:solidFill>
              <w14:schemeClr w14:val="tx1"/>
            </w14:solidFill>
          </w14:textFill>
        </w:rPr>
      </w:pPr>
      <w:r>
        <w:rPr>
          <w:rFonts w:ascii="宋体" w:hAnsi="宋体" w:cs="宋体"/>
          <w:color w:val="000000" w:themeColor="text1"/>
          <w:highlight w:val="none"/>
          <w14:textFill>
            <w14:solidFill>
              <w14:schemeClr w14:val="tx1"/>
            </w14:solidFill>
          </w14:textFill>
        </w:rPr>
        <w:t>1.</w:t>
      </w:r>
      <w:r>
        <w:rPr>
          <w:rFonts w:hint="eastAsia" w:ascii="宋体" w:hAnsi="宋体" w:cs="宋体"/>
          <w:color w:val="000000" w:themeColor="text1"/>
          <w:highlight w:val="none"/>
          <w14:textFill>
            <w14:solidFill>
              <w14:schemeClr w14:val="tx1"/>
            </w14:solidFill>
          </w14:textFill>
        </w:rPr>
        <w:t>开启时间：2026年</w:t>
      </w:r>
      <w:r>
        <w:rPr>
          <w:rFonts w:hint="eastAsia" w:ascii="宋体" w:hAnsi="宋体" w:cs="宋体"/>
          <w:color w:val="000000" w:themeColor="text1"/>
          <w:highlight w:val="none"/>
          <w:lang w:val="en-US" w:eastAsia="zh-CN"/>
          <w14:textFill>
            <w14:solidFill>
              <w14:schemeClr w14:val="tx1"/>
            </w14:solidFill>
          </w14:textFill>
        </w:rPr>
        <w:t>2</w:t>
      </w:r>
      <w:r>
        <w:rPr>
          <w:rFonts w:hint="eastAsia" w:ascii="宋体" w:hAnsi="宋体" w:cs="宋体"/>
          <w:color w:val="000000" w:themeColor="text1"/>
          <w:highlight w:val="none"/>
          <w14:textFill>
            <w14:solidFill>
              <w14:schemeClr w14:val="tx1"/>
            </w14:solidFill>
          </w14:textFill>
        </w:rPr>
        <w:t>月</w:t>
      </w:r>
      <w:r>
        <w:rPr>
          <w:rFonts w:hint="eastAsia" w:ascii="宋体" w:hAnsi="宋体" w:cs="宋体"/>
          <w:color w:val="000000" w:themeColor="text1"/>
          <w:highlight w:val="none"/>
          <w:lang w:val="en-US" w:eastAsia="zh-CN"/>
          <w14:textFill>
            <w14:solidFill>
              <w14:schemeClr w14:val="tx1"/>
            </w14:solidFill>
          </w14:textFill>
        </w:rPr>
        <w:t>27</w:t>
      </w:r>
      <w:r>
        <w:rPr>
          <w:rFonts w:hint="eastAsia" w:ascii="宋体" w:hAnsi="宋体" w:cs="宋体"/>
          <w:color w:val="000000" w:themeColor="text1"/>
          <w:highlight w:val="none"/>
          <w14:textFill>
            <w14:solidFill>
              <w14:schemeClr w14:val="tx1"/>
            </w14:solidFill>
          </w14:textFill>
        </w:rPr>
        <w:t>日10：00</w:t>
      </w:r>
      <w:r>
        <w:rPr>
          <w:rFonts w:hint="eastAsia" w:ascii="宋体" w:hAnsi="宋体" w:cs="宋体"/>
          <w:color w:val="000000" w:themeColor="text1"/>
          <w:kern w:val="0"/>
          <w:highlight w:val="none"/>
          <w14:textFill>
            <w14:solidFill>
              <w14:schemeClr w14:val="tx1"/>
            </w14:solidFill>
          </w14:textFill>
        </w:rPr>
        <w:t>（北京时间）</w:t>
      </w:r>
    </w:p>
    <w:p w14:paraId="3D5A121D">
      <w:pPr>
        <w:kinsoku w:val="0"/>
        <w:wordWrap w:val="0"/>
        <w:spacing w:line="360" w:lineRule="auto"/>
        <w:ind w:firstLine="420" w:firstLineChars="200"/>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2.</w:t>
      </w:r>
      <w:r>
        <w:rPr>
          <w:rFonts w:hint="eastAsia" w:ascii="宋体" w:hAnsi="宋体" w:cs="宋体"/>
          <w:color w:val="000000" w:themeColor="text1"/>
          <w:highlight w:val="none"/>
          <w14:textFill>
            <w14:solidFill>
              <w14:schemeClr w14:val="tx1"/>
            </w14:solidFill>
          </w14:textFill>
        </w:rPr>
        <w:t>地点：【来宾市公共资源交易中心】来宾市红水河大道331号开标室</w:t>
      </w:r>
      <w:r>
        <w:rPr>
          <w:rFonts w:hint="eastAsia" w:ascii="宋体" w:hAnsi="宋体" w:cs="宋体"/>
          <w:color w:val="000000" w:themeColor="text1"/>
          <w:sz w:val="24"/>
          <w:highlight w:val="none"/>
          <w14:textFill>
            <w14:solidFill>
              <w14:schemeClr w14:val="tx1"/>
            </w14:solidFill>
          </w14:textFill>
        </w:rPr>
        <w:t>/</w:t>
      </w:r>
      <w:r>
        <w:rPr>
          <w:rFonts w:hint="eastAsia" w:ascii="宋体" w:hAnsi="宋体" w:cs="宋体"/>
          <w:color w:val="000000" w:themeColor="text1"/>
          <w:highlight w:val="none"/>
          <w14:textFill>
            <w14:solidFill>
              <w14:schemeClr w14:val="tx1"/>
            </w14:solidFill>
          </w14:textFill>
        </w:rPr>
        <w:t>广西政府采购云平台（</w:t>
      </w:r>
      <w:r>
        <w:rPr>
          <w:rFonts w:ascii="宋体" w:hAnsi="宋体" w:cs="宋体"/>
          <w:color w:val="000000" w:themeColor="text1"/>
          <w:highlight w:val="none"/>
          <w14:textFill>
            <w14:solidFill>
              <w14:schemeClr w14:val="tx1"/>
            </w14:solidFill>
          </w14:textFill>
        </w:rPr>
        <w:t>https://www.gcy.zfcg.gxzf.gov.cn/</w:t>
      </w:r>
      <w:r>
        <w:rPr>
          <w:rFonts w:hint="eastAsia" w:ascii="宋体" w:hAnsi="宋体" w:cs="宋体"/>
          <w:color w:val="000000" w:themeColor="text1"/>
          <w:highlight w:val="none"/>
          <w14:textFill>
            <w14:solidFill>
              <w14:schemeClr w14:val="tx1"/>
            </w14:solidFill>
          </w14:textFill>
        </w:rPr>
        <w:t>）。</w:t>
      </w:r>
    </w:p>
    <w:p w14:paraId="3A98A324">
      <w:pPr>
        <w:kinsoku w:val="0"/>
        <w:wordWrap w:val="0"/>
        <w:spacing w:line="360" w:lineRule="auto"/>
        <w:ind w:firstLine="354" w:firstLineChars="147"/>
        <w:rPr>
          <w:rFonts w:ascii="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六、公告期限</w:t>
      </w:r>
    </w:p>
    <w:p w14:paraId="27AE2874">
      <w:pPr>
        <w:kinsoku w:val="0"/>
        <w:wordWrap w:val="0"/>
        <w:spacing w:line="360" w:lineRule="auto"/>
        <w:ind w:firstLine="420" w:firstLineChars="200"/>
        <w:rPr>
          <w:rFonts w:ascii="宋体"/>
          <w:color w:val="000000" w:themeColor="text1"/>
          <w:kern w:val="0"/>
          <w:highlight w:val="none"/>
          <w14:textFill>
            <w14:solidFill>
              <w14:schemeClr w14:val="tx1"/>
            </w14:solidFill>
          </w14:textFill>
        </w:rPr>
      </w:pPr>
      <w:r>
        <w:rPr>
          <w:rFonts w:hint="eastAsia" w:ascii="宋体" w:hAnsi="宋体" w:cs="宋体"/>
          <w:color w:val="000000" w:themeColor="text1"/>
          <w:kern w:val="0"/>
          <w:highlight w:val="none"/>
          <w14:textFill>
            <w14:solidFill>
              <w14:schemeClr w14:val="tx1"/>
            </w14:solidFill>
          </w14:textFill>
        </w:rPr>
        <w:t>自本公告发布之日起</w:t>
      </w:r>
      <w:r>
        <w:rPr>
          <w:rFonts w:ascii="宋体" w:hAnsi="宋体" w:cs="宋体"/>
          <w:color w:val="000000" w:themeColor="text1"/>
          <w:kern w:val="0"/>
          <w:highlight w:val="none"/>
          <w14:textFill>
            <w14:solidFill>
              <w14:schemeClr w14:val="tx1"/>
            </w14:solidFill>
          </w14:textFill>
        </w:rPr>
        <w:t>5</w:t>
      </w:r>
      <w:r>
        <w:rPr>
          <w:rFonts w:hint="eastAsia" w:ascii="宋体" w:hAnsi="宋体" w:cs="宋体"/>
          <w:color w:val="000000" w:themeColor="text1"/>
          <w:kern w:val="0"/>
          <w:highlight w:val="none"/>
          <w14:textFill>
            <w14:solidFill>
              <w14:schemeClr w14:val="tx1"/>
            </w14:solidFill>
          </w14:textFill>
        </w:rPr>
        <w:t>个工作日。</w:t>
      </w:r>
    </w:p>
    <w:p w14:paraId="37B3F889">
      <w:pPr>
        <w:kinsoku w:val="0"/>
        <w:wordWrap w:val="0"/>
        <w:spacing w:line="360" w:lineRule="auto"/>
        <w:ind w:firstLine="354" w:firstLineChars="147"/>
        <w:rPr>
          <w:rFonts w:ascii="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七、其他补充事宜</w:t>
      </w:r>
    </w:p>
    <w:p w14:paraId="7383FD54">
      <w:pPr>
        <w:kinsoku w:val="0"/>
        <w:wordWrap w:val="0"/>
        <w:spacing w:line="360" w:lineRule="auto"/>
        <w:ind w:firstLine="420" w:firstLineChars="200"/>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1.</w:t>
      </w:r>
      <w:r>
        <w:rPr>
          <w:rFonts w:hint="eastAsia" w:ascii="宋体" w:hAnsi="宋体" w:cs="宋体"/>
          <w:color w:val="000000" w:themeColor="text1"/>
          <w:highlight w:val="none"/>
          <w14:textFill>
            <w14:solidFill>
              <w14:schemeClr w14:val="tx1"/>
            </w14:solidFill>
          </w14:textFill>
        </w:rPr>
        <w:t>磋商保证金（人民币）</w:t>
      </w:r>
      <w:r>
        <w:rPr>
          <w:rFonts w:hint="eastAsia" w:ascii="宋体" w:hAnsi="宋体" w:eastAsia="宋体" w:cs="宋体"/>
          <w:color w:val="000000" w:themeColor="text1"/>
          <w:highlight w:val="none"/>
          <w14:textFill>
            <w14:solidFill>
              <w14:schemeClr w14:val="tx1"/>
            </w14:solidFill>
          </w14:textFill>
        </w:rPr>
        <w:t>：0.00元</w:t>
      </w:r>
      <w:r>
        <w:rPr>
          <w:rFonts w:hint="eastAsia" w:ascii="宋体" w:hAnsi="宋体" w:cs="宋体"/>
          <w:color w:val="000000" w:themeColor="text1"/>
          <w:highlight w:val="none"/>
          <w14:textFill>
            <w14:solidFill>
              <w14:schemeClr w14:val="tx1"/>
            </w14:solidFill>
          </w14:textFill>
        </w:rPr>
        <w:t>。</w:t>
      </w:r>
    </w:p>
    <w:p w14:paraId="46AC3FD7">
      <w:pPr>
        <w:widowControl/>
        <w:adjustRightInd w:val="0"/>
        <w:snapToGrid w:val="0"/>
        <w:spacing w:after="200" w:line="360" w:lineRule="auto"/>
        <w:ind w:firstLine="420" w:firstLineChars="200"/>
        <w:jc w:val="left"/>
        <w:rPr>
          <w:rFonts w:ascii="宋体"/>
          <w:color w:val="000000" w:themeColor="text1"/>
          <w:kern w:val="0"/>
          <w:highlight w:val="none"/>
          <w14:textFill>
            <w14:solidFill>
              <w14:schemeClr w14:val="tx1"/>
            </w14:solidFill>
          </w14:textFill>
        </w:rPr>
      </w:pPr>
      <w:r>
        <w:rPr>
          <w:rFonts w:hint="eastAsia" w:ascii="宋体" w:hAnsi="宋体" w:cs="宋体"/>
          <w:color w:val="000000" w:themeColor="text1"/>
          <w:kern w:val="0"/>
          <w:highlight w:val="none"/>
          <w14:textFill>
            <w14:solidFill>
              <w14:schemeClr w14:val="tx1"/>
            </w14:solidFill>
          </w14:textFill>
        </w:rPr>
        <w:t>供应商须于磋商截止时间前将磋商保证金以电汇、转账、网上银行支付、支票、汇票、本票或者金融机构、担保机构出具的保险、保函、电子保函等非现金形式递交。采用电汇、转账、网上银行支付方式的，在磋商截止时间前交至采购代理机构保证金专户。</w:t>
      </w:r>
    </w:p>
    <w:p w14:paraId="01214B27">
      <w:pPr>
        <w:widowControl/>
        <w:adjustRightInd w:val="0"/>
        <w:snapToGrid w:val="0"/>
        <w:spacing w:after="200" w:line="240" w:lineRule="auto"/>
        <w:ind w:firstLine="420" w:firstLineChars="200"/>
        <w:jc w:val="left"/>
        <w:rPr>
          <w:rFonts w:ascii="宋体"/>
          <w:color w:val="000000" w:themeColor="text1"/>
          <w:kern w:val="0"/>
          <w:highlight w:val="none"/>
          <w14:textFill>
            <w14:solidFill>
              <w14:schemeClr w14:val="tx1"/>
            </w14:solidFill>
          </w14:textFill>
        </w:rPr>
      </w:pPr>
      <w:r>
        <w:rPr>
          <w:rFonts w:hint="eastAsia" w:ascii="宋体" w:hAnsi="宋体" w:cs="宋体"/>
          <w:color w:val="000000" w:themeColor="text1"/>
          <w:kern w:val="0"/>
          <w:highlight w:val="none"/>
          <w14:textFill>
            <w14:solidFill>
              <w14:schemeClr w14:val="tx1"/>
            </w14:solidFill>
          </w14:textFill>
        </w:rPr>
        <w:t>开户名称：/</w:t>
      </w:r>
    </w:p>
    <w:p w14:paraId="28F5CC75">
      <w:pPr>
        <w:widowControl/>
        <w:adjustRightInd w:val="0"/>
        <w:snapToGrid w:val="0"/>
        <w:spacing w:after="200" w:line="240" w:lineRule="auto"/>
        <w:ind w:firstLine="420" w:firstLineChars="200"/>
        <w:jc w:val="left"/>
        <w:rPr>
          <w:rFonts w:ascii="宋体"/>
          <w:color w:val="000000" w:themeColor="text1"/>
          <w:kern w:val="0"/>
          <w:highlight w:val="none"/>
          <w14:textFill>
            <w14:solidFill>
              <w14:schemeClr w14:val="tx1"/>
            </w14:solidFill>
          </w14:textFill>
        </w:rPr>
      </w:pPr>
      <w:r>
        <w:rPr>
          <w:rFonts w:hint="eastAsia" w:ascii="宋体" w:hAnsi="宋体" w:cs="宋体"/>
          <w:color w:val="000000" w:themeColor="text1"/>
          <w:kern w:val="0"/>
          <w:highlight w:val="none"/>
          <w14:textFill>
            <w14:solidFill>
              <w14:schemeClr w14:val="tx1"/>
            </w14:solidFill>
          </w14:textFill>
        </w:rPr>
        <w:t>银行账号：/</w:t>
      </w:r>
    </w:p>
    <w:p w14:paraId="795CA1D1">
      <w:pPr>
        <w:widowControl/>
        <w:adjustRightInd w:val="0"/>
        <w:snapToGrid w:val="0"/>
        <w:spacing w:after="200" w:line="240" w:lineRule="auto"/>
        <w:ind w:firstLine="420" w:firstLineChars="200"/>
        <w:jc w:val="left"/>
        <w:rPr>
          <w:rFonts w:ascii="宋体"/>
          <w:color w:val="000000" w:themeColor="text1"/>
          <w:kern w:val="0"/>
          <w:highlight w:val="none"/>
          <w14:textFill>
            <w14:solidFill>
              <w14:schemeClr w14:val="tx1"/>
            </w14:solidFill>
          </w14:textFill>
        </w:rPr>
      </w:pPr>
      <w:r>
        <w:rPr>
          <w:rFonts w:hint="eastAsia" w:ascii="宋体" w:hAnsi="宋体" w:cs="宋体"/>
          <w:color w:val="000000" w:themeColor="text1"/>
          <w:kern w:val="0"/>
          <w:highlight w:val="none"/>
          <w14:textFill>
            <w14:solidFill>
              <w14:schemeClr w14:val="tx1"/>
            </w14:solidFill>
          </w14:textFill>
        </w:rPr>
        <w:t>开户银行：/</w:t>
      </w:r>
    </w:p>
    <w:p w14:paraId="318136D9">
      <w:pPr>
        <w:widowControl/>
        <w:adjustRightInd w:val="0"/>
        <w:snapToGrid w:val="0"/>
        <w:spacing w:after="200" w:line="360" w:lineRule="auto"/>
        <w:ind w:firstLine="420" w:firstLineChars="200"/>
        <w:jc w:val="left"/>
        <w:rPr>
          <w:color w:val="000000" w:themeColor="text1"/>
          <w:highlight w:val="none"/>
          <w14:textFill>
            <w14:solidFill>
              <w14:schemeClr w14:val="tx1"/>
            </w14:solidFill>
          </w14:textFill>
        </w:rPr>
      </w:pPr>
      <w:r>
        <w:rPr>
          <w:rFonts w:hint="eastAsia" w:ascii="宋体" w:hAnsi="宋体" w:cs="宋体"/>
          <w:color w:val="000000" w:themeColor="text1"/>
          <w:kern w:val="0"/>
          <w:highlight w:val="none"/>
          <w14:textFill>
            <w14:solidFill>
              <w14:schemeClr w14:val="tx1"/>
            </w14:solidFill>
          </w14:textFill>
        </w:rPr>
        <w:t>（以银行入账时间为准）。采用支票、汇票、本票或者金融机构、担保机构出具的保险、保函、电子保函等方式的，</w:t>
      </w:r>
      <w:r>
        <w:rPr>
          <w:rFonts w:hint="eastAsia" w:ascii="宋体" w:hAnsi="宋体" w:cs="宋体"/>
          <w:color w:val="000000" w:themeColor="text1"/>
          <w:highlight w:val="none"/>
          <w14:textFill>
            <w14:solidFill>
              <w14:schemeClr w14:val="tx1"/>
            </w14:solidFill>
          </w14:textFill>
        </w:rPr>
        <w:t>供应商应将支票、汇票、本票或者金融、担保机构出具的保函的复印件作为磋商保证金提交凭证，放置于报价商务技术文件中，</w:t>
      </w:r>
      <w:r>
        <w:rPr>
          <w:rFonts w:hint="eastAsia" w:ascii="宋体" w:hAnsi="宋体" w:cs="宋体"/>
          <w:b/>
          <w:bCs/>
          <w:color w:val="000000" w:themeColor="text1"/>
          <w:highlight w:val="none"/>
          <w14:textFill>
            <w14:solidFill>
              <w14:schemeClr w14:val="tx1"/>
            </w14:solidFill>
          </w14:textFill>
        </w:rPr>
        <w:t>否则响应文件按无效响应处理</w:t>
      </w:r>
      <w:r>
        <w:rPr>
          <w:rFonts w:hint="eastAsia" w:ascii="宋体" w:hAnsi="宋体" w:cs="宋体"/>
          <w:color w:val="000000" w:themeColor="text1"/>
          <w:highlight w:val="none"/>
          <w14:textFill>
            <w14:solidFill>
              <w14:schemeClr w14:val="tx1"/>
            </w14:solidFill>
          </w14:textFill>
        </w:rPr>
        <w:t>。</w:t>
      </w:r>
      <w:r>
        <w:rPr>
          <w:rFonts w:hint="eastAsia" w:ascii="宋体" w:hAnsi="宋体" w:cs="宋体"/>
          <w:b/>
          <w:bCs/>
          <w:color w:val="000000" w:themeColor="text1"/>
          <w:highlight w:val="none"/>
          <w14:textFill>
            <w14:solidFill>
              <w14:schemeClr w14:val="tx1"/>
            </w14:solidFill>
          </w14:textFill>
        </w:rPr>
        <w:t>供应商必须在首次响应文件提交截止时间前将支票、汇票、本票或者金融、担保机构出具的保函原件提交给采购代理机构，由采购代理机构向供应商出具回执，并妥善保管；</w:t>
      </w:r>
      <w:r>
        <w:rPr>
          <w:rFonts w:hint="eastAsia" w:ascii="宋体" w:hAnsi="宋体" w:cs="宋体"/>
          <w:color w:val="000000" w:themeColor="text1"/>
          <w:highlight w:val="none"/>
          <w14:textFill>
            <w14:solidFill>
              <w14:schemeClr w14:val="tx1"/>
            </w14:solidFill>
          </w14:textFill>
        </w:rPr>
        <w:t>供应商为联合体的，可以由联合体中的一方或者多方共同交纳磋商保证金，其交纳的保证金对联合体各方均具有约束力；</w:t>
      </w:r>
    </w:p>
    <w:p w14:paraId="77B605A1">
      <w:pPr>
        <w:kinsoku w:val="0"/>
        <w:wordWrap w:val="0"/>
        <w:spacing w:line="360" w:lineRule="auto"/>
        <w:ind w:firstLine="420" w:firstLineChars="200"/>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2.</w:t>
      </w:r>
      <w:r>
        <w:rPr>
          <w:rFonts w:hint="eastAsia" w:ascii="宋体" w:hAnsi="宋体" w:cs="宋体"/>
          <w:color w:val="000000" w:themeColor="text1"/>
          <w:highlight w:val="none"/>
          <w14:textFill>
            <w14:solidFill>
              <w14:schemeClr w14:val="tx1"/>
            </w14:solidFill>
          </w14:textFill>
        </w:rPr>
        <w:t>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2A986C10">
      <w:pPr>
        <w:kinsoku w:val="0"/>
        <w:wordWrap w:val="0"/>
        <w:spacing w:line="360" w:lineRule="auto"/>
        <w:ind w:firstLine="420" w:firstLineChars="200"/>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3.</w:t>
      </w:r>
      <w:r>
        <w:rPr>
          <w:rFonts w:hint="eastAsia" w:ascii="宋体" w:hAnsi="宋体" w:cs="宋体"/>
          <w:color w:val="000000" w:themeColor="text1"/>
          <w:highlight w:val="none"/>
          <w14:textFill>
            <w14:solidFill>
              <w14:schemeClr w14:val="tx1"/>
            </w14:solidFill>
          </w14:textFill>
        </w:rPr>
        <w:t>根据财政部《关于在政府采购活动中查询及使用信用记录有关问题的通知》（财库〔</w:t>
      </w:r>
      <w:r>
        <w:rPr>
          <w:rFonts w:ascii="宋体" w:hAnsi="宋体" w:cs="宋体"/>
          <w:color w:val="000000" w:themeColor="text1"/>
          <w:highlight w:val="none"/>
          <w14:textFill>
            <w14:solidFill>
              <w14:schemeClr w14:val="tx1"/>
            </w14:solidFill>
          </w14:textFill>
        </w:rPr>
        <w:t>2016</w:t>
      </w:r>
      <w:r>
        <w:rPr>
          <w:rFonts w:hint="eastAsia" w:ascii="宋体" w:hAnsi="宋体" w:cs="宋体"/>
          <w:color w:val="000000" w:themeColor="text1"/>
          <w:highlight w:val="none"/>
          <w14:textFill>
            <w14:solidFill>
              <w14:schemeClr w14:val="tx1"/>
            </w14:solidFill>
          </w14:textFill>
        </w:rPr>
        <w:t>〕</w:t>
      </w:r>
      <w:r>
        <w:rPr>
          <w:rFonts w:ascii="宋体" w:hAnsi="宋体" w:cs="宋体"/>
          <w:color w:val="000000" w:themeColor="text1"/>
          <w:highlight w:val="none"/>
          <w14:textFill>
            <w14:solidFill>
              <w14:schemeClr w14:val="tx1"/>
            </w14:solidFill>
          </w14:textFill>
        </w:rPr>
        <w:t>125</w:t>
      </w:r>
      <w:r>
        <w:rPr>
          <w:rFonts w:hint="eastAsia" w:ascii="宋体" w:hAnsi="宋体" w:cs="宋体"/>
          <w:color w:val="000000" w:themeColor="text1"/>
          <w:highlight w:val="none"/>
          <w14:textFill>
            <w14:solidFill>
              <w14:schemeClr w14:val="tx1"/>
            </w14:solidFill>
          </w14:textFill>
        </w:rPr>
        <w:t>号）的规定，对在“信用中国”网站</w:t>
      </w:r>
      <w:r>
        <w:rPr>
          <w:rFonts w:ascii="宋体" w:hAnsi="宋体" w:cs="宋体"/>
          <w:color w:val="000000" w:themeColor="text1"/>
          <w:highlight w:val="none"/>
          <w14:textFill>
            <w14:solidFill>
              <w14:schemeClr w14:val="tx1"/>
            </w14:solidFill>
          </w14:textFill>
        </w:rPr>
        <w:t xml:space="preserve">(www.creditchina.gov.cn) </w:t>
      </w:r>
      <w:r>
        <w:rPr>
          <w:rFonts w:hint="eastAsia" w:ascii="宋体" w:hAnsi="宋体" w:cs="宋体"/>
          <w:color w:val="000000" w:themeColor="text1"/>
          <w:highlight w:val="none"/>
          <w14:textFill>
            <w14:solidFill>
              <w14:schemeClr w14:val="tx1"/>
            </w14:solidFill>
          </w14:textFill>
        </w:rPr>
        <w:t>、中国政府采购网</w:t>
      </w:r>
      <w:r>
        <w:rPr>
          <w:rFonts w:ascii="宋体" w:hAnsi="宋体" w:cs="宋体"/>
          <w:color w:val="000000" w:themeColor="text1"/>
          <w:highlight w:val="none"/>
          <w14:textFill>
            <w14:solidFill>
              <w14:schemeClr w14:val="tx1"/>
            </w14:solidFill>
          </w14:textFill>
        </w:rPr>
        <w:t>(www.ccgp.gov.cn)</w:t>
      </w:r>
      <w:r>
        <w:rPr>
          <w:rFonts w:hint="eastAsia" w:ascii="宋体" w:hAnsi="宋体" w:cs="宋体"/>
          <w:color w:val="000000" w:themeColor="text1"/>
          <w:highlight w:val="none"/>
          <w14:textFill>
            <w14:solidFill>
              <w14:schemeClr w14:val="tx1"/>
            </w14:solidFill>
          </w14:textFill>
        </w:rPr>
        <w:t>被列入失信被执行人、</w:t>
      </w:r>
      <w:r>
        <w:rPr>
          <w:rFonts w:hint="eastAsia" w:ascii="宋体" w:hAnsi="宋体" w:cs="宋体"/>
          <w:color w:val="000000" w:themeColor="text1"/>
          <w:highlight w:val="none"/>
          <w:lang w:eastAsia="zh-CN"/>
          <w14:textFill>
            <w14:solidFill>
              <w14:schemeClr w14:val="tx1"/>
            </w14:solidFill>
          </w14:textFill>
        </w:rPr>
        <w:t>重大税收违法失信主体</w:t>
      </w:r>
      <w:r>
        <w:rPr>
          <w:rFonts w:hint="eastAsia" w:ascii="宋体" w:hAnsi="宋体" w:cs="宋体"/>
          <w:color w:val="000000" w:themeColor="text1"/>
          <w:highlight w:val="none"/>
          <w14:textFill>
            <w14:solidFill>
              <w14:schemeClr w14:val="tx1"/>
            </w14:solidFill>
          </w14:textFill>
        </w:rPr>
        <w:t>、政府采购严重违法失信行为记录名单及其他不符合《中华人民共和国政府采购法》第二十二条规定条件的供应商，不得参与政府采购活动。</w:t>
      </w:r>
    </w:p>
    <w:p w14:paraId="558C6449">
      <w:pPr>
        <w:kinsoku w:val="0"/>
        <w:wordWrap w:val="0"/>
        <w:spacing w:line="360" w:lineRule="auto"/>
        <w:ind w:firstLine="420" w:firstLineChars="200"/>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4.</w:t>
      </w:r>
      <w:r>
        <w:rPr>
          <w:rFonts w:hint="eastAsia" w:ascii="宋体" w:hAnsi="宋体" w:cs="宋体"/>
          <w:color w:val="000000" w:themeColor="text1"/>
          <w:highlight w:val="none"/>
          <w14:textFill>
            <w14:solidFill>
              <w14:schemeClr w14:val="tx1"/>
            </w14:solidFill>
          </w14:textFill>
        </w:rPr>
        <w:t>网上查询地址：中国政府采购网（</w:t>
      </w:r>
      <w:r>
        <w:rPr>
          <w:rFonts w:ascii="宋体" w:hAnsi="宋体" w:cs="宋体"/>
          <w:color w:val="000000" w:themeColor="text1"/>
          <w:highlight w:val="none"/>
          <w14:textFill>
            <w14:solidFill>
              <w14:schemeClr w14:val="tx1"/>
            </w14:solidFill>
          </w14:textFill>
        </w:rPr>
        <w:t>www.ccgp.gov.cn</w:t>
      </w:r>
      <w:r>
        <w:rPr>
          <w:rFonts w:hint="eastAsia" w:ascii="宋体" w:hAnsi="宋体" w:cs="宋体"/>
          <w:color w:val="000000" w:themeColor="text1"/>
          <w:highlight w:val="none"/>
          <w14:textFill>
            <w14:solidFill>
              <w14:schemeClr w14:val="tx1"/>
            </w14:solidFill>
          </w14:textFill>
        </w:rPr>
        <w:t>）、广西政府采购网（</w:t>
      </w:r>
      <w:r>
        <w:rPr>
          <w:rFonts w:ascii="宋体" w:hAnsi="宋体" w:cs="宋体"/>
          <w:color w:val="000000" w:themeColor="text1"/>
          <w:highlight w:val="none"/>
          <w14:textFill>
            <w14:solidFill>
              <w14:schemeClr w14:val="tx1"/>
            </w14:solidFill>
          </w14:textFill>
        </w:rPr>
        <w:t>zfcg.gxzf.gov.cn</w:t>
      </w:r>
      <w:r>
        <w:rPr>
          <w:rFonts w:hint="eastAsia" w:ascii="宋体" w:hAnsi="宋体" w:cs="宋体"/>
          <w:color w:val="000000" w:themeColor="text1"/>
          <w:highlight w:val="none"/>
          <w14:textFill>
            <w14:solidFill>
              <w14:schemeClr w14:val="tx1"/>
            </w14:solidFill>
          </w14:textFill>
        </w:rPr>
        <w:t>）、http://ggzy.jgswj.gxzf.gov.cn/lbggzy/全国公共资源交易平台（广西•来宾）。</w:t>
      </w:r>
    </w:p>
    <w:p w14:paraId="4F9E8AC8">
      <w:pPr>
        <w:kinsoku w:val="0"/>
        <w:wordWrap w:val="0"/>
        <w:spacing w:line="360" w:lineRule="auto"/>
        <w:ind w:firstLine="420" w:firstLineChars="200"/>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5.</w:t>
      </w:r>
      <w:r>
        <w:rPr>
          <w:rFonts w:hint="eastAsia" w:ascii="宋体" w:hAnsi="宋体" w:cs="宋体"/>
          <w:color w:val="000000" w:themeColor="text1"/>
          <w:highlight w:val="none"/>
          <w14:textFill>
            <w14:solidFill>
              <w14:schemeClr w14:val="tx1"/>
            </w14:solidFill>
          </w14:textFill>
        </w:rPr>
        <w:t>本项目需要落实的政府采购政策：</w:t>
      </w:r>
    </w:p>
    <w:p w14:paraId="0AEFA603">
      <w:pPr>
        <w:kinsoku w:val="0"/>
        <w:wordWrap w:val="0"/>
        <w:spacing w:line="360" w:lineRule="auto"/>
        <w:ind w:firstLine="420" w:firstLineChars="200"/>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w:t>
      </w:r>
      <w:r>
        <w:rPr>
          <w:rFonts w:ascii="宋体" w:hAnsi="宋体" w:cs="宋体"/>
          <w:color w:val="000000" w:themeColor="text1"/>
          <w:highlight w:val="none"/>
          <w14:textFill>
            <w14:solidFill>
              <w14:schemeClr w14:val="tx1"/>
            </w14:solidFill>
          </w14:textFill>
        </w:rPr>
        <w:t>1</w:t>
      </w:r>
      <w:r>
        <w:rPr>
          <w:rFonts w:hint="eastAsia" w:ascii="宋体" w:hAnsi="宋体" w:cs="宋体"/>
          <w:color w:val="000000" w:themeColor="text1"/>
          <w:highlight w:val="none"/>
          <w14:textFill>
            <w14:solidFill>
              <w14:schemeClr w14:val="tx1"/>
            </w14:solidFill>
          </w14:textFill>
        </w:rPr>
        <w:t>）政府采购促进中小企业发展。</w:t>
      </w:r>
    </w:p>
    <w:p w14:paraId="692EDF4A">
      <w:pPr>
        <w:kinsoku w:val="0"/>
        <w:wordWrap w:val="0"/>
        <w:spacing w:line="360" w:lineRule="auto"/>
        <w:ind w:firstLine="420" w:firstLineChars="200"/>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w:t>
      </w:r>
      <w:r>
        <w:rPr>
          <w:rFonts w:ascii="宋体" w:hAnsi="宋体" w:cs="宋体"/>
          <w:color w:val="000000" w:themeColor="text1"/>
          <w:highlight w:val="none"/>
          <w14:textFill>
            <w14:solidFill>
              <w14:schemeClr w14:val="tx1"/>
            </w14:solidFill>
          </w14:textFill>
        </w:rPr>
        <w:t>2</w:t>
      </w:r>
      <w:r>
        <w:rPr>
          <w:rFonts w:hint="eastAsia" w:ascii="宋体" w:hAnsi="宋体" w:cs="宋体"/>
          <w:color w:val="000000" w:themeColor="text1"/>
          <w:highlight w:val="none"/>
          <w14:textFill>
            <w14:solidFill>
              <w14:schemeClr w14:val="tx1"/>
            </w14:solidFill>
          </w14:textFill>
        </w:rPr>
        <w:t>）政府采购支持采用本国产品的政策。</w:t>
      </w:r>
    </w:p>
    <w:p w14:paraId="77DEEE9D">
      <w:pPr>
        <w:kinsoku w:val="0"/>
        <w:wordWrap w:val="0"/>
        <w:spacing w:line="360" w:lineRule="auto"/>
        <w:ind w:firstLine="420" w:firstLineChars="200"/>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w:t>
      </w:r>
      <w:r>
        <w:rPr>
          <w:rFonts w:ascii="宋体" w:hAnsi="宋体" w:cs="宋体"/>
          <w:color w:val="000000" w:themeColor="text1"/>
          <w:highlight w:val="none"/>
          <w14:textFill>
            <w14:solidFill>
              <w14:schemeClr w14:val="tx1"/>
            </w14:solidFill>
          </w14:textFill>
        </w:rPr>
        <w:t>3</w:t>
      </w:r>
      <w:r>
        <w:rPr>
          <w:rFonts w:hint="eastAsia" w:ascii="宋体" w:hAnsi="宋体" w:cs="宋体"/>
          <w:color w:val="000000" w:themeColor="text1"/>
          <w:highlight w:val="none"/>
          <w14:textFill>
            <w14:solidFill>
              <w14:schemeClr w14:val="tx1"/>
            </w14:solidFill>
          </w14:textFill>
        </w:rPr>
        <w:t>）强制采购节能产品；优先采购节能产品、环境标志产品。</w:t>
      </w:r>
    </w:p>
    <w:p w14:paraId="28235FDD">
      <w:pPr>
        <w:kinsoku w:val="0"/>
        <w:wordWrap w:val="0"/>
        <w:spacing w:line="360" w:lineRule="auto"/>
        <w:ind w:firstLine="420" w:firstLineChars="200"/>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w:t>
      </w:r>
      <w:r>
        <w:rPr>
          <w:rFonts w:ascii="宋体" w:hAnsi="宋体" w:cs="宋体"/>
          <w:color w:val="000000" w:themeColor="text1"/>
          <w:highlight w:val="none"/>
          <w14:textFill>
            <w14:solidFill>
              <w14:schemeClr w14:val="tx1"/>
            </w14:solidFill>
          </w14:textFill>
        </w:rPr>
        <w:t>4</w:t>
      </w:r>
      <w:r>
        <w:rPr>
          <w:rFonts w:hint="eastAsia" w:ascii="宋体" w:hAnsi="宋体" w:cs="宋体"/>
          <w:color w:val="000000" w:themeColor="text1"/>
          <w:highlight w:val="none"/>
          <w14:textFill>
            <w14:solidFill>
              <w14:schemeClr w14:val="tx1"/>
            </w14:solidFill>
          </w14:textFill>
        </w:rPr>
        <w:t>）政府采购促进残疾人就业政策。</w:t>
      </w:r>
    </w:p>
    <w:p w14:paraId="68CCC027">
      <w:pPr>
        <w:kinsoku w:val="0"/>
        <w:wordWrap w:val="0"/>
        <w:spacing w:line="360" w:lineRule="auto"/>
        <w:ind w:firstLine="420" w:firstLineChars="200"/>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w:t>
      </w:r>
      <w:r>
        <w:rPr>
          <w:rFonts w:ascii="宋体" w:hAnsi="宋体" w:cs="宋体"/>
          <w:color w:val="000000" w:themeColor="text1"/>
          <w:highlight w:val="none"/>
          <w14:textFill>
            <w14:solidFill>
              <w14:schemeClr w14:val="tx1"/>
            </w14:solidFill>
          </w14:textFill>
        </w:rPr>
        <w:t>5</w:t>
      </w:r>
      <w:r>
        <w:rPr>
          <w:rFonts w:hint="eastAsia" w:ascii="宋体" w:hAnsi="宋体" w:cs="宋体"/>
          <w:color w:val="000000" w:themeColor="text1"/>
          <w:highlight w:val="none"/>
          <w14:textFill>
            <w14:solidFill>
              <w14:schemeClr w14:val="tx1"/>
            </w14:solidFill>
          </w14:textFill>
        </w:rPr>
        <w:t>）政府采购支持监狱企业发展。</w:t>
      </w:r>
    </w:p>
    <w:p w14:paraId="4E61C215">
      <w:pPr>
        <w:kinsoku w:val="0"/>
        <w:wordWrap w:val="0"/>
        <w:spacing w:line="360" w:lineRule="auto"/>
        <w:ind w:firstLine="420" w:firstLineChars="200"/>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w:t>
      </w:r>
      <w:r>
        <w:rPr>
          <w:rFonts w:ascii="宋体" w:hAnsi="宋体" w:cs="宋体"/>
          <w:color w:val="000000" w:themeColor="text1"/>
          <w:highlight w:val="none"/>
          <w14:textFill>
            <w14:solidFill>
              <w14:schemeClr w14:val="tx1"/>
            </w14:solidFill>
          </w14:textFill>
        </w:rPr>
        <w:t>6</w:t>
      </w:r>
      <w:r>
        <w:rPr>
          <w:rFonts w:hint="eastAsia" w:ascii="宋体" w:hAnsi="宋体" w:cs="宋体"/>
          <w:color w:val="000000" w:themeColor="text1"/>
          <w:highlight w:val="none"/>
          <w14:textFill>
            <w14:solidFill>
              <w14:schemeClr w14:val="tx1"/>
            </w14:solidFill>
          </w14:textFill>
        </w:rPr>
        <w:t>）扶持不发达地区和少数民族地区政策。</w:t>
      </w:r>
    </w:p>
    <w:p w14:paraId="43DADC31">
      <w:pPr>
        <w:kinsoku w:val="0"/>
        <w:wordWrap w:val="0"/>
        <w:spacing w:line="360" w:lineRule="auto"/>
        <w:ind w:firstLine="420" w:firstLineChars="200"/>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6.</w:t>
      </w:r>
      <w:r>
        <w:rPr>
          <w:rFonts w:hint="eastAsia" w:ascii="宋体" w:hAnsi="宋体" w:cs="宋体"/>
          <w:color w:val="000000" w:themeColor="text1"/>
          <w:highlight w:val="none"/>
          <w14:textFill>
            <w14:solidFill>
              <w14:schemeClr w14:val="tx1"/>
            </w14:solidFill>
          </w14:textFill>
        </w:rPr>
        <w:t>磋商注意事项：</w:t>
      </w:r>
    </w:p>
    <w:p w14:paraId="36D84477">
      <w:pPr>
        <w:kinsoku w:val="0"/>
        <w:wordWrap w:val="0"/>
        <w:spacing w:line="360" w:lineRule="auto"/>
        <w:ind w:firstLine="420" w:firstLineChars="200"/>
        <w:rPr>
          <w:rFonts w:ascii="宋体"/>
          <w:b/>
          <w:bCs/>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w:t>
      </w:r>
      <w:r>
        <w:rPr>
          <w:rFonts w:ascii="宋体" w:hAnsi="宋体" w:cs="宋体"/>
          <w:color w:val="000000" w:themeColor="text1"/>
          <w:highlight w:val="none"/>
          <w14:textFill>
            <w14:solidFill>
              <w14:schemeClr w14:val="tx1"/>
            </w14:solidFill>
          </w14:textFill>
        </w:rPr>
        <w:t>1</w:t>
      </w:r>
      <w:r>
        <w:rPr>
          <w:rFonts w:hint="eastAsia" w:ascii="宋体" w:hAnsi="宋体" w:cs="宋体"/>
          <w:color w:val="000000" w:themeColor="text1"/>
          <w:highlight w:val="none"/>
          <w14:textFill>
            <w14:solidFill>
              <w14:schemeClr w14:val="tx1"/>
            </w14:solidFill>
          </w14:textFill>
        </w:rPr>
        <w:t>）响应文件提交方式：本项目为全流程电子化政府采购项目，通过广西政府采购云平台（</w:t>
      </w:r>
      <w:r>
        <w:rPr>
          <w:rFonts w:ascii="宋体" w:hAnsi="宋体" w:cs="宋体"/>
          <w:color w:val="000000" w:themeColor="text1"/>
          <w:highlight w:val="none"/>
          <w14:textFill>
            <w14:solidFill>
              <w14:schemeClr w14:val="tx1"/>
            </w14:solidFill>
          </w14:textFill>
        </w:rPr>
        <w:t>https://www.gcy.zfcg.gxzf.gov.cn/</w:t>
      </w:r>
      <w:r>
        <w:rPr>
          <w:rFonts w:hint="eastAsia" w:ascii="宋体" w:hAnsi="宋体" w:cs="宋体"/>
          <w:color w:val="000000" w:themeColor="text1"/>
          <w:highlight w:val="none"/>
          <w14:textFill>
            <w14:solidFill>
              <w14:schemeClr w14:val="tx1"/>
            </w14:solidFill>
          </w14:textFill>
        </w:rPr>
        <w:t>）实行在线电子磋商采购，供应商应先安装“政采云电子交易客户端”（请自行前往广西政府采购云平台进行下载），并按照本项目竞争性磋商文件和广西政府采购云平台的要求编制、加密后在首次响应文件提交截止时间前通过网络上传至广西政府采购云平台，</w:t>
      </w:r>
      <w:r>
        <w:rPr>
          <w:rFonts w:hint="eastAsia" w:ascii="宋体" w:hAnsi="宋体" w:cs="宋体"/>
          <w:b/>
          <w:bCs/>
          <w:color w:val="000000" w:themeColor="text1"/>
          <w:highlight w:val="none"/>
          <w14:textFill>
            <w14:solidFill>
              <w14:schemeClr w14:val="tx1"/>
            </w14:solidFill>
          </w14:textFill>
        </w:rPr>
        <w:t>供应商在广西政府采购云平台提交电子版响应文件时，请填写参加远程开标活动经办人联系方式。</w:t>
      </w:r>
    </w:p>
    <w:p w14:paraId="743BEFA3">
      <w:pPr>
        <w:kinsoku w:val="0"/>
        <w:wordWrap w:val="0"/>
        <w:spacing w:line="360" w:lineRule="auto"/>
        <w:ind w:firstLine="420" w:firstLineChars="200"/>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w:t>
      </w:r>
      <w:r>
        <w:rPr>
          <w:rFonts w:ascii="宋体" w:hAnsi="宋体" w:cs="宋体"/>
          <w:color w:val="000000" w:themeColor="text1"/>
          <w:highlight w:val="none"/>
          <w14:textFill>
            <w14:solidFill>
              <w14:schemeClr w14:val="tx1"/>
            </w14:solidFill>
          </w14:textFill>
        </w:rPr>
        <w:t>2</w:t>
      </w:r>
      <w:r>
        <w:rPr>
          <w:rFonts w:hint="eastAsia" w:ascii="宋体" w:hAnsi="宋体" w:cs="宋体"/>
          <w:color w:val="000000" w:themeColor="text1"/>
          <w:highlight w:val="none"/>
          <w14:textFill>
            <w14:solidFill>
              <w14:schemeClr w14:val="tx1"/>
            </w14:solidFill>
          </w14:textFill>
        </w:rPr>
        <w:t>）供应商应及时熟悉掌握电子标系统操作指南（见政采云电子卖场首页右上角</w:t>
      </w:r>
      <w:r>
        <w:rPr>
          <w:rFonts w:ascii="宋体" w:hAnsi="宋体" w:cs="宋体"/>
          <w:color w:val="000000" w:themeColor="text1"/>
          <w:highlight w:val="none"/>
          <w14:textFill>
            <w14:solidFill>
              <w14:schemeClr w14:val="tx1"/>
            </w14:solidFill>
          </w14:textFill>
        </w:rPr>
        <w:t>—</w:t>
      </w:r>
      <w:r>
        <w:rPr>
          <w:rFonts w:hint="eastAsia" w:ascii="宋体" w:hAnsi="宋体" w:cs="宋体"/>
          <w:color w:val="000000" w:themeColor="text1"/>
          <w:highlight w:val="none"/>
          <w14:textFill>
            <w14:solidFill>
              <w14:schemeClr w14:val="tx1"/>
            </w14:solidFill>
          </w14:textFill>
        </w:rPr>
        <w:t>服务中心</w:t>
      </w:r>
      <w:r>
        <w:rPr>
          <w:rFonts w:ascii="宋体" w:hAnsi="宋体" w:cs="宋体"/>
          <w:color w:val="000000" w:themeColor="text1"/>
          <w:highlight w:val="none"/>
          <w14:textFill>
            <w14:solidFill>
              <w14:schemeClr w14:val="tx1"/>
            </w14:solidFill>
          </w14:textFill>
        </w:rPr>
        <w:t>—</w:t>
      </w:r>
      <w:r>
        <w:rPr>
          <w:rFonts w:hint="eastAsia" w:ascii="宋体" w:hAnsi="宋体" w:cs="宋体"/>
          <w:color w:val="000000" w:themeColor="text1"/>
          <w:highlight w:val="none"/>
          <w14:textFill>
            <w14:solidFill>
              <w14:schemeClr w14:val="tx1"/>
            </w14:solidFill>
          </w14:textFill>
        </w:rPr>
        <w:t>帮助文档</w:t>
      </w:r>
      <w:r>
        <w:rPr>
          <w:rFonts w:ascii="宋体" w:hAnsi="宋体" w:cs="宋体"/>
          <w:color w:val="000000" w:themeColor="text1"/>
          <w:highlight w:val="none"/>
          <w14:textFill>
            <w14:solidFill>
              <w14:schemeClr w14:val="tx1"/>
            </w14:solidFill>
          </w14:textFill>
        </w:rPr>
        <w:t>—</w:t>
      </w:r>
      <w:r>
        <w:rPr>
          <w:rFonts w:hint="eastAsia" w:ascii="宋体" w:hAnsi="宋体" w:cs="宋体"/>
          <w:color w:val="000000" w:themeColor="text1"/>
          <w:highlight w:val="none"/>
          <w14:textFill>
            <w14:solidFill>
              <w14:schemeClr w14:val="tx1"/>
            </w14:solidFill>
          </w14:textFill>
        </w:rPr>
        <w:t>项目采购）：</w:t>
      </w:r>
      <w:r>
        <w:rPr>
          <w:rFonts w:ascii="宋体" w:hAnsi="宋体" w:cs="宋体"/>
          <w:color w:val="000000" w:themeColor="text1"/>
          <w:highlight w:val="none"/>
          <w14:textFill>
            <w14:solidFill>
              <w14:schemeClr w14:val="tx1"/>
            </w14:solidFill>
          </w14:textFill>
        </w:rPr>
        <w:t>https://helpcenter.zcygov.cn/document/#/document/dashboard?siteCode=gx</w:t>
      </w:r>
      <w:r>
        <w:rPr>
          <w:rFonts w:hint="eastAsia" w:ascii="宋体" w:hAnsi="宋体" w:cs="宋体"/>
          <w:color w:val="000000" w:themeColor="text1"/>
          <w:highlight w:val="none"/>
          <w14:textFill>
            <w14:solidFill>
              <w14:schemeClr w14:val="tx1"/>
            </w14:solidFill>
          </w14:textFill>
        </w:rPr>
        <w:t>；及时完成</w:t>
      </w:r>
      <w:r>
        <w:rPr>
          <w:rFonts w:ascii="宋体" w:hAnsi="宋体" w:cs="宋体"/>
          <w:color w:val="000000" w:themeColor="text1"/>
          <w:highlight w:val="none"/>
          <w14:textFill>
            <w14:solidFill>
              <w14:schemeClr w14:val="tx1"/>
            </w14:solidFill>
          </w14:textFill>
        </w:rPr>
        <w:t>CA</w:t>
      </w:r>
      <w:r>
        <w:rPr>
          <w:rFonts w:hint="eastAsia" w:ascii="宋体" w:hAnsi="宋体" w:cs="宋体"/>
          <w:color w:val="000000" w:themeColor="text1"/>
          <w:highlight w:val="none"/>
          <w14:textFill>
            <w14:solidFill>
              <w14:schemeClr w14:val="tx1"/>
            </w14:solidFill>
          </w14:textFill>
        </w:rPr>
        <w:t>申领和绑定（见广西壮族自治区政府采购网</w:t>
      </w:r>
      <w:r>
        <w:rPr>
          <w:rFonts w:ascii="宋体" w:hAnsi="宋体" w:cs="宋体"/>
          <w:color w:val="000000" w:themeColor="text1"/>
          <w:highlight w:val="none"/>
          <w14:textFill>
            <w14:solidFill>
              <w14:schemeClr w14:val="tx1"/>
            </w14:solidFill>
          </w14:textFill>
        </w:rPr>
        <w:t>—</w:t>
      </w:r>
      <w:r>
        <w:rPr>
          <w:rFonts w:hint="eastAsia" w:ascii="宋体" w:hAnsi="宋体" w:cs="宋体"/>
          <w:color w:val="000000" w:themeColor="text1"/>
          <w:highlight w:val="none"/>
          <w14:textFill>
            <w14:solidFill>
              <w14:schemeClr w14:val="tx1"/>
            </w14:solidFill>
          </w14:textFill>
        </w:rPr>
        <w:t>办事服务</w:t>
      </w:r>
      <w:r>
        <w:rPr>
          <w:rFonts w:ascii="宋体" w:hAnsi="宋体" w:cs="宋体"/>
          <w:color w:val="000000" w:themeColor="text1"/>
          <w:highlight w:val="none"/>
          <w14:textFill>
            <w14:solidFill>
              <w14:schemeClr w14:val="tx1"/>
            </w14:solidFill>
          </w14:textFill>
        </w:rPr>
        <w:t>—</w:t>
      </w:r>
      <w:r>
        <w:rPr>
          <w:rFonts w:hint="eastAsia" w:ascii="宋体" w:hAnsi="宋体" w:cs="宋体"/>
          <w:color w:val="000000" w:themeColor="text1"/>
          <w:highlight w:val="none"/>
          <w14:textFill>
            <w14:solidFill>
              <w14:schemeClr w14:val="tx1"/>
            </w14:solidFill>
          </w14:textFill>
        </w:rPr>
        <w:t>下载专区</w:t>
      </w:r>
      <w:r>
        <w:rPr>
          <w:rFonts w:ascii="宋体" w:cs="宋体"/>
          <w:color w:val="000000" w:themeColor="text1"/>
          <w:highlight w:val="none"/>
          <w14:textFill>
            <w14:solidFill>
              <w14:schemeClr w14:val="tx1"/>
            </w14:solidFill>
          </w14:textFill>
        </w:rPr>
        <w:t>-</w:t>
      </w:r>
      <w:r>
        <w:rPr>
          <w:rFonts w:hint="eastAsia" w:ascii="宋体" w:hAnsi="宋体" w:cs="宋体"/>
          <w:color w:val="000000" w:themeColor="text1"/>
          <w:highlight w:val="none"/>
          <w14:textFill>
            <w14:solidFill>
              <w14:schemeClr w14:val="tx1"/>
            </w14:solidFill>
          </w14:textFill>
        </w:rPr>
        <w:t>政采云</w:t>
      </w:r>
      <w:r>
        <w:rPr>
          <w:rFonts w:ascii="宋体" w:hAnsi="宋体" w:cs="宋体"/>
          <w:color w:val="000000" w:themeColor="text1"/>
          <w:highlight w:val="none"/>
          <w14:textFill>
            <w14:solidFill>
              <w14:schemeClr w14:val="tx1"/>
            </w14:solidFill>
          </w14:textFill>
        </w:rPr>
        <w:t>CA</w:t>
      </w:r>
      <w:r>
        <w:rPr>
          <w:rFonts w:hint="eastAsia" w:ascii="宋体" w:hAnsi="宋体" w:cs="宋体"/>
          <w:color w:val="000000" w:themeColor="text1"/>
          <w:highlight w:val="none"/>
          <w14:textFill>
            <w14:solidFill>
              <w14:schemeClr w14:val="tx1"/>
            </w14:solidFill>
          </w14:textFill>
        </w:rPr>
        <w:t>证书办理操作指南）。</w:t>
      </w:r>
    </w:p>
    <w:p w14:paraId="03B16A24">
      <w:pPr>
        <w:kinsoku w:val="0"/>
        <w:wordWrap w:val="0"/>
        <w:spacing w:line="360" w:lineRule="auto"/>
        <w:ind w:firstLine="420" w:firstLineChars="200"/>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w:t>
      </w:r>
      <w:r>
        <w:rPr>
          <w:rFonts w:ascii="宋体" w:hAnsi="宋体" w:cs="宋体"/>
          <w:color w:val="000000" w:themeColor="text1"/>
          <w:highlight w:val="none"/>
          <w14:textFill>
            <w14:solidFill>
              <w14:schemeClr w14:val="tx1"/>
            </w14:solidFill>
          </w14:textFill>
        </w:rPr>
        <w:t>3</w:t>
      </w:r>
      <w:r>
        <w:rPr>
          <w:rFonts w:hint="eastAsia" w:ascii="宋体" w:hAnsi="宋体" w:cs="宋体"/>
          <w:color w:val="000000" w:themeColor="text1"/>
          <w:highlight w:val="none"/>
          <w14:textFill>
            <w14:solidFill>
              <w14:schemeClr w14:val="tx1"/>
            </w14:solidFill>
          </w14:textFill>
        </w:rPr>
        <w:t>）未进行网上注册并办理数字证书（</w:t>
      </w:r>
      <w:r>
        <w:rPr>
          <w:rFonts w:ascii="宋体" w:hAnsi="宋体" w:cs="宋体"/>
          <w:color w:val="000000" w:themeColor="text1"/>
          <w:highlight w:val="none"/>
          <w14:textFill>
            <w14:solidFill>
              <w14:schemeClr w14:val="tx1"/>
            </w14:solidFill>
          </w14:textFill>
        </w:rPr>
        <w:t>CA</w:t>
      </w:r>
      <w:r>
        <w:rPr>
          <w:rFonts w:hint="eastAsia" w:ascii="宋体" w:hAnsi="宋体" w:cs="宋体"/>
          <w:color w:val="000000" w:themeColor="text1"/>
          <w:highlight w:val="none"/>
          <w14:textFill>
            <w14:solidFill>
              <w14:schemeClr w14:val="tx1"/>
            </w14:solidFill>
          </w14:textFill>
        </w:rPr>
        <w:t>认证）的供应商将无法参与本项目政府采购活动，潜在供应商应当在首次响应文件提交截止时间前，完成电子交易平台上的</w:t>
      </w:r>
      <w:r>
        <w:rPr>
          <w:rFonts w:ascii="宋体" w:hAnsi="宋体" w:cs="宋体"/>
          <w:color w:val="000000" w:themeColor="text1"/>
          <w:highlight w:val="none"/>
          <w14:textFill>
            <w14:solidFill>
              <w14:schemeClr w14:val="tx1"/>
            </w14:solidFill>
          </w14:textFill>
        </w:rPr>
        <w:t>CA</w:t>
      </w:r>
      <w:r>
        <w:rPr>
          <w:rFonts w:hint="eastAsia" w:ascii="宋体" w:hAnsi="宋体" w:cs="宋体"/>
          <w:color w:val="000000" w:themeColor="text1"/>
          <w:highlight w:val="none"/>
          <w14:textFill>
            <w14:solidFill>
              <w14:schemeClr w14:val="tx1"/>
            </w14:solidFill>
          </w14:textFill>
        </w:rPr>
        <w:t>数字证书办理及响应文件的提交。完成</w:t>
      </w:r>
      <w:r>
        <w:rPr>
          <w:rFonts w:ascii="宋体" w:hAnsi="宋体" w:cs="宋体"/>
          <w:color w:val="000000" w:themeColor="text1"/>
          <w:highlight w:val="none"/>
          <w14:textFill>
            <w14:solidFill>
              <w14:schemeClr w14:val="tx1"/>
            </w14:solidFill>
          </w14:textFill>
        </w:rPr>
        <w:t>CA</w:t>
      </w:r>
      <w:r>
        <w:rPr>
          <w:rFonts w:hint="eastAsia" w:ascii="宋体" w:hAnsi="宋体" w:cs="宋体"/>
          <w:color w:val="000000" w:themeColor="text1"/>
          <w:highlight w:val="none"/>
          <w14:textFill>
            <w14:solidFill>
              <w14:schemeClr w14:val="tx1"/>
            </w14:solidFill>
          </w14:textFill>
        </w:rPr>
        <w:t>数字证书办理预计</w:t>
      </w:r>
      <w:r>
        <w:rPr>
          <w:rFonts w:ascii="宋体" w:hAnsi="宋体" w:cs="宋体"/>
          <w:color w:val="000000" w:themeColor="text1"/>
          <w:highlight w:val="none"/>
          <w14:textFill>
            <w14:solidFill>
              <w14:schemeClr w14:val="tx1"/>
            </w14:solidFill>
          </w14:textFill>
        </w:rPr>
        <w:t>7</w:t>
      </w:r>
      <w:r>
        <w:rPr>
          <w:rFonts w:hint="eastAsia" w:ascii="宋体" w:hAnsi="宋体" w:cs="宋体"/>
          <w:color w:val="000000" w:themeColor="text1"/>
          <w:highlight w:val="none"/>
          <w14:textFill>
            <w14:solidFill>
              <w14:schemeClr w14:val="tx1"/>
            </w14:solidFill>
          </w14:textFill>
        </w:rPr>
        <w:t>日左右，供应商只需办理其中一家</w:t>
      </w:r>
      <w:r>
        <w:rPr>
          <w:rFonts w:ascii="宋体" w:hAnsi="宋体" w:cs="宋体"/>
          <w:color w:val="000000" w:themeColor="text1"/>
          <w:highlight w:val="none"/>
          <w14:textFill>
            <w14:solidFill>
              <w14:schemeClr w14:val="tx1"/>
            </w14:solidFill>
          </w14:textFill>
        </w:rPr>
        <w:t>CA</w:t>
      </w:r>
      <w:r>
        <w:rPr>
          <w:rFonts w:hint="eastAsia" w:ascii="宋体" w:hAnsi="宋体" w:cs="宋体"/>
          <w:color w:val="000000" w:themeColor="text1"/>
          <w:highlight w:val="none"/>
          <w14:textFill>
            <w14:solidFill>
              <w14:schemeClr w14:val="tx1"/>
            </w14:solidFill>
          </w14:textFill>
        </w:rPr>
        <w:t>数字证书及签章，建议各供应商抓紧时间办理。</w:t>
      </w:r>
    </w:p>
    <w:p w14:paraId="7D0F9B00">
      <w:pPr>
        <w:kinsoku w:val="0"/>
        <w:wordWrap w:val="0"/>
        <w:spacing w:line="360" w:lineRule="auto"/>
        <w:ind w:firstLine="420" w:firstLineChars="200"/>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w:t>
      </w:r>
      <w:r>
        <w:rPr>
          <w:rFonts w:ascii="宋体" w:hAnsi="宋体" w:cs="宋体"/>
          <w:color w:val="000000" w:themeColor="text1"/>
          <w:highlight w:val="none"/>
          <w14:textFill>
            <w14:solidFill>
              <w14:schemeClr w14:val="tx1"/>
            </w14:solidFill>
          </w14:textFill>
        </w:rPr>
        <w:t>4</w:t>
      </w:r>
      <w:r>
        <w:rPr>
          <w:rFonts w:hint="eastAsia" w:ascii="宋体" w:hAnsi="宋体" w:cs="宋体"/>
          <w:color w:val="000000" w:themeColor="text1"/>
          <w:highlight w:val="none"/>
          <w14:textFill>
            <w14:solidFill>
              <w14:schemeClr w14:val="tx1"/>
            </w14:solidFill>
          </w14:textFill>
        </w:rPr>
        <w:t>）为确保网上操作合法、有效和安全，请供应商确保在电子磋商过程中能够对相关数据电文进行加密和使用电子签章，妥善保管</w:t>
      </w:r>
      <w:r>
        <w:rPr>
          <w:rFonts w:ascii="宋体" w:hAnsi="宋体" w:cs="宋体"/>
          <w:color w:val="000000" w:themeColor="text1"/>
          <w:highlight w:val="none"/>
          <w14:textFill>
            <w14:solidFill>
              <w14:schemeClr w14:val="tx1"/>
            </w14:solidFill>
          </w14:textFill>
        </w:rPr>
        <w:t>CA</w:t>
      </w:r>
      <w:r>
        <w:rPr>
          <w:rFonts w:hint="eastAsia" w:ascii="宋体" w:hAnsi="宋体" w:cs="宋体"/>
          <w:color w:val="000000" w:themeColor="text1"/>
          <w:highlight w:val="none"/>
          <w14:textFill>
            <w14:solidFill>
              <w14:schemeClr w14:val="tx1"/>
            </w14:solidFill>
          </w14:textFill>
        </w:rPr>
        <w:t>数字证书并使用有效的</w:t>
      </w:r>
      <w:r>
        <w:rPr>
          <w:rFonts w:ascii="宋体" w:hAnsi="宋体" w:cs="宋体"/>
          <w:color w:val="000000" w:themeColor="text1"/>
          <w:highlight w:val="none"/>
          <w14:textFill>
            <w14:solidFill>
              <w14:schemeClr w14:val="tx1"/>
            </w14:solidFill>
          </w14:textFill>
        </w:rPr>
        <w:t>CA</w:t>
      </w:r>
      <w:r>
        <w:rPr>
          <w:rFonts w:hint="eastAsia" w:ascii="宋体" w:hAnsi="宋体" w:cs="宋体"/>
          <w:color w:val="000000" w:themeColor="text1"/>
          <w:highlight w:val="none"/>
          <w14:textFill>
            <w14:solidFill>
              <w14:schemeClr w14:val="tx1"/>
            </w14:solidFill>
          </w14:textFill>
        </w:rPr>
        <w:t>数字证书参与整个采购活动。</w:t>
      </w:r>
    </w:p>
    <w:p w14:paraId="7968B63C">
      <w:pPr>
        <w:kinsoku w:val="0"/>
        <w:wordWrap w:val="0"/>
        <w:spacing w:line="360" w:lineRule="auto"/>
        <w:ind w:firstLine="422" w:firstLineChars="200"/>
        <w:rPr>
          <w:rFonts w:ascii="宋体"/>
          <w:b/>
          <w:bCs/>
          <w:color w:val="000000" w:themeColor="text1"/>
          <w:highlight w:val="none"/>
          <w14:textFill>
            <w14:solidFill>
              <w14:schemeClr w14:val="tx1"/>
            </w14:solidFill>
          </w14:textFill>
        </w:rPr>
      </w:pPr>
      <w:r>
        <w:rPr>
          <w:rFonts w:hint="eastAsia" w:ascii="宋体" w:hAnsi="宋体" w:cs="宋体"/>
          <w:b/>
          <w:bCs/>
          <w:color w:val="000000" w:themeColor="text1"/>
          <w:highlight w:val="none"/>
          <w14:textFill>
            <w14:solidFill>
              <w14:schemeClr w14:val="tx1"/>
            </w14:solidFill>
          </w14:textFill>
        </w:rPr>
        <w:t>注：供应商应当在首次响应文件提交截止时间前完成电子响应文件的上传、递交，首次响应文件提交截止时间前可以补充、修改或者撤回响应文件。补充或者修改响应文件的，应当先行撤回原文件，补充、修改后重新上传、递交。首次响应文件提交截止时间前未完成上传、递交的，视为撤回响应文件。首次响应文件提交截止时间以后上传递交的响应文件，广西政府采购云平台将予以拒收。</w:t>
      </w:r>
    </w:p>
    <w:p w14:paraId="003BF715">
      <w:pPr>
        <w:kinsoku w:val="0"/>
        <w:wordWrap w:val="0"/>
        <w:spacing w:line="360" w:lineRule="auto"/>
        <w:ind w:firstLine="420" w:firstLineChars="200"/>
        <w:rPr>
          <w:rFonts w:ascii="宋体"/>
          <w:b/>
          <w:bCs/>
          <w:color w:val="000000" w:themeColor="text1"/>
          <w:highlight w:val="none"/>
          <w14:textFill>
            <w14:solidFill>
              <w14:schemeClr w14:val="tx1"/>
            </w14:solidFill>
          </w14:textFill>
        </w:rPr>
      </w:pPr>
      <w:r>
        <w:rPr>
          <w:rFonts w:ascii="宋体" w:hAnsi="宋体" w:cs="宋体"/>
          <w:color w:val="000000" w:themeColor="text1"/>
          <w:kern w:val="0"/>
          <w:highlight w:val="none"/>
          <w14:textFill>
            <w14:solidFill>
              <w14:schemeClr w14:val="tx1"/>
            </w14:solidFill>
          </w14:textFill>
        </w:rPr>
        <w:t>7.</w:t>
      </w:r>
      <w:r>
        <w:rPr>
          <w:rFonts w:ascii="宋体" w:hAnsi="宋体" w:cs="宋体"/>
          <w:color w:val="000000" w:themeColor="text1"/>
          <w:highlight w:val="none"/>
          <w14:textFill>
            <w14:solidFill>
              <w14:schemeClr w14:val="tx1"/>
            </w14:solidFill>
          </w14:textFill>
        </w:rPr>
        <w:t>CA</w:t>
      </w:r>
      <w:r>
        <w:rPr>
          <w:rFonts w:hint="eastAsia" w:ascii="宋体" w:hAnsi="宋体" w:cs="宋体"/>
          <w:color w:val="000000" w:themeColor="text1"/>
          <w:highlight w:val="none"/>
          <w14:textFill>
            <w14:solidFill>
              <w14:schemeClr w14:val="tx1"/>
            </w14:solidFill>
          </w14:textFill>
        </w:rPr>
        <w:t>证书在线解密：首次响应文件开启时，须要供应商携带制作响应文件时用来加密的有效数字证书（</w:t>
      </w:r>
      <w:r>
        <w:rPr>
          <w:rFonts w:ascii="宋体" w:hAnsi="宋体" w:cs="宋体"/>
          <w:color w:val="000000" w:themeColor="text1"/>
          <w:highlight w:val="none"/>
          <w14:textFill>
            <w14:solidFill>
              <w14:schemeClr w14:val="tx1"/>
            </w14:solidFill>
          </w14:textFill>
        </w:rPr>
        <w:t>CA</w:t>
      </w:r>
      <w:r>
        <w:rPr>
          <w:rFonts w:hint="eastAsia" w:ascii="宋体" w:hAnsi="宋体" w:cs="宋体"/>
          <w:color w:val="000000" w:themeColor="text1"/>
          <w:highlight w:val="none"/>
          <w14:textFill>
            <w14:solidFill>
              <w14:schemeClr w14:val="tx1"/>
            </w14:solidFill>
          </w14:textFill>
        </w:rPr>
        <w:t>认证）登录广西政府采购云平台电子开标大厅现场按规定时间对加密的响应文件进行解密，否则后果自负。</w:t>
      </w:r>
    </w:p>
    <w:p w14:paraId="10E496C3">
      <w:pPr>
        <w:kinsoku w:val="0"/>
        <w:wordWrap w:val="0"/>
        <w:spacing w:line="360" w:lineRule="auto"/>
        <w:ind w:firstLine="420" w:firstLineChars="200"/>
        <w:rPr>
          <w:rFonts w:ascii="宋体"/>
          <w:color w:val="000000" w:themeColor="text1"/>
          <w:kern w:val="0"/>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8.</w:t>
      </w:r>
      <w:r>
        <w:rPr>
          <w:rFonts w:hint="eastAsia" w:ascii="宋体" w:hAnsi="宋体" w:cs="宋体"/>
          <w:color w:val="000000" w:themeColor="text1"/>
          <w:highlight w:val="none"/>
          <w14:textFill>
            <w14:solidFill>
              <w14:schemeClr w14:val="tx1"/>
            </w14:solidFill>
          </w14:textFill>
        </w:rPr>
        <w:t>供应商需要在具备有摄像头及语音功能且互联网网络状况良好的电脑登录广西政府采购云平台远程开标大厅参与本次磋商，否则后果自负。</w:t>
      </w:r>
    </w:p>
    <w:p w14:paraId="31331A93">
      <w:pPr>
        <w:kinsoku w:val="0"/>
        <w:wordWrap w:val="0"/>
        <w:spacing w:line="360" w:lineRule="auto"/>
        <w:ind w:firstLine="420" w:firstLineChars="200"/>
        <w:rPr>
          <w:rFonts w:ascii="宋体"/>
          <w:color w:val="000000" w:themeColor="text1"/>
          <w:kern w:val="0"/>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9.</w:t>
      </w:r>
      <w:r>
        <w:rPr>
          <w:rFonts w:hint="eastAsia" w:ascii="宋体" w:hAnsi="宋体" w:cs="宋体"/>
          <w:color w:val="000000" w:themeColor="text1"/>
          <w:highlight w:val="none"/>
          <w14:textFill>
            <w14:solidFill>
              <w14:schemeClr w14:val="tx1"/>
            </w14:solidFill>
          </w14:textFill>
        </w:rPr>
        <w:t>若对项目采购电子交易系统操作有疑问，可登录广西政府采购云平台（</w:t>
      </w:r>
      <w:r>
        <w:rPr>
          <w:rFonts w:ascii="宋体" w:hAnsi="宋体" w:cs="宋体"/>
          <w:color w:val="000000" w:themeColor="text1"/>
          <w:highlight w:val="none"/>
          <w14:textFill>
            <w14:solidFill>
              <w14:schemeClr w14:val="tx1"/>
            </w14:solidFill>
          </w14:textFill>
        </w:rPr>
        <w:t>https://www.gcy.zfcg.gxzf.gov.cn/</w:t>
      </w:r>
      <w:r>
        <w:rPr>
          <w:rFonts w:hint="eastAsia" w:ascii="宋体" w:hAnsi="宋体" w:cs="宋体"/>
          <w:color w:val="000000" w:themeColor="text1"/>
          <w:highlight w:val="none"/>
          <w14:textFill>
            <w14:solidFill>
              <w14:schemeClr w14:val="tx1"/>
            </w14:solidFill>
          </w14:textFill>
        </w:rPr>
        <w:t>），点击右侧咨询小采，获取采小蜜智能服务管家帮助，或拨打政采云服务热线</w:t>
      </w:r>
      <w:r>
        <w:rPr>
          <w:rFonts w:ascii="宋体" w:hAnsi="宋体" w:cs="宋体"/>
          <w:color w:val="000000" w:themeColor="text1"/>
          <w:highlight w:val="none"/>
          <w14:textFill>
            <w14:solidFill>
              <w14:schemeClr w14:val="tx1"/>
            </w14:solidFill>
          </w14:textFill>
        </w:rPr>
        <w:t>95763</w:t>
      </w:r>
      <w:r>
        <w:rPr>
          <w:rFonts w:hint="eastAsia" w:ascii="宋体" w:hAnsi="宋体" w:cs="宋体"/>
          <w:color w:val="000000" w:themeColor="text1"/>
          <w:highlight w:val="none"/>
          <w14:textFill>
            <w14:solidFill>
              <w14:schemeClr w14:val="tx1"/>
            </w14:solidFill>
          </w14:textFill>
        </w:rPr>
        <w:t>获取热线服务帮助。</w:t>
      </w:r>
    </w:p>
    <w:bookmarkEnd w:id="1"/>
    <w:p w14:paraId="5EB411BD">
      <w:pPr>
        <w:kinsoku w:val="0"/>
        <w:wordWrap w:val="0"/>
        <w:spacing w:line="360" w:lineRule="auto"/>
        <w:ind w:firstLine="354" w:firstLineChars="147"/>
        <w:rPr>
          <w:rFonts w:ascii="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八、凡对本次采购提出询问，请按以下方式联系。</w:t>
      </w:r>
      <w:bookmarkEnd w:id="2"/>
      <w:bookmarkEnd w:id="3"/>
      <w:bookmarkEnd w:id="4"/>
      <w:bookmarkEnd w:id="5"/>
      <w:bookmarkEnd w:id="6"/>
    </w:p>
    <w:p w14:paraId="6660BA54">
      <w:pPr>
        <w:kinsoku w:val="0"/>
        <w:wordWrap w:val="0"/>
        <w:spacing w:line="360" w:lineRule="auto"/>
        <w:ind w:firstLine="567" w:firstLineChars="270"/>
        <w:jc w:val="left"/>
        <w:rPr>
          <w:rFonts w:ascii="宋体"/>
          <w:color w:val="000000" w:themeColor="text1"/>
          <w:highlight w:val="none"/>
          <w14:textFill>
            <w14:solidFill>
              <w14:schemeClr w14:val="tx1"/>
            </w14:solidFill>
          </w14:textFill>
        </w:rPr>
      </w:pPr>
      <w:bookmarkStart w:id="10" w:name="_Toc28359096"/>
      <w:bookmarkStart w:id="11" w:name="_Toc35393637"/>
      <w:bookmarkStart w:id="12" w:name="_Toc28359019"/>
      <w:bookmarkStart w:id="13" w:name="_Toc35393806"/>
      <w:r>
        <w:rPr>
          <w:rFonts w:ascii="宋体" w:hAnsi="宋体" w:cs="宋体"/>
          <w:color w:val="000000" w:themeColor="text1"/>
          <w:highlight w:val="none"/>
          <w14:textFill>
            <w14:solidFill>
              <w14:schemeClr w14:val="tx1"/>
            </w14:solidFill>
          </w14:textFill>
        </w:rPr>
        <w:t>1.</w:t>
      </w:r>
      <w:r>
        <w:rPr>
          <w:rFonts w:hint="eastAsia" w:ascii="宋体" w:hAnsi="宋体" w:cs="宋体"/>
          <w:color w:val="000000" w:themeColor="text1"/>
          <w:highlight w:val="none"/>
          <w14:textFill>
            <w14:solidFill>
              <w14:schemeClr w14:val="tx1"/>
            </w14:solidFill>
          </w14:textFill>
        </w:rPr>
        <w:t>采购人信息</w:t>
      </w:r>
    </w:p>
    <w:p w14:paraId="67FEB2D9">
      <w:pPr>
        <w:kinsoku w:val="0"/>
        <w:wordWrap w:val="0"/>
        <w:spacing w:line="360" w:lineRule="auto"/>
        <w:ind w:firstLine="567" w:firstLineChars="270"/>
        <w:jc w:val="left"/>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名称：广西壮族自治区金秀公路养护中心</w:t>
      </w:r>
    </w:p>
    <w:p w14:paraId="5D6CC2BB">
      <w:pPr>
        <w:kinsoku w:val="0"/>
        <w:wordWrap w:val="0"/>
        <w:spacing w:line="360" w:lineRule="auto"/>
        <w:ind w:firstLine="567" w:firstLineChars="270"/>
        <w:jc w:val="left"/>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地址：</w:t>
      </w:r>
      <w:bookmarkStart w:id="14" w:name="_Toc28359086"/>
      <w:bookmarkStart w:id="15" w:name="_Toc28359009"/>
      <w:r>
        <w:rPr>
          <w:rFonts w:hint="eastAsia" w:ascii="宋体" w:hAnsi="宋体" w:cs="宋体"/>
          <w:color w:val="000000" w:themeColor="text1"/>
          <w:highlight w:val="none"/>
          <w14:textFill>
            <w14:solidFill>
              <w14:schemeClr w14:val="tx1"/>
            </w14:solidFill>
          </w14:textFill>
        </w:rPr>
        <w:t>广西金秀县金秀镇解放路171号</w:t>
      </w:r>
    </w:p>
    <w:p w14:paraId="141F7DCE">
      <w:pPr>
        <w:kinsoku w:val="0"/>
        <w:wordWrap w:val="0"/>
        <w:spacing w:line="360" w:lineRule="auto"/>
        <w:ind w:firstLine="567" w:firstLineChars="270"/>
        <w:jc w:val="left"/>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项目联系人：廖宗贤</w:t>
      </w:r>
    </w:p>
    <w:p w14:paraId="16075EED">
      <w:pPr>
        <w:kinsoku w:val="0"/>
        <w:wordWrap w:val="0"/>
        <w:spacing w:line="360" w:lineRule="auto"/>
        <w:ind w:firstLine="567" w:firstLineChars="270"/>
        <w:jc w:val="left"/>
        <w:rPr>
          <w:rFonts w:hint="eastAsia" w:ascii="宋体" w:eastAsia="宋体"/>
          <w:color w:val="000000" w:themeColor="text1"/>
          <w:highlight w:val="none"/>
          <w:lang w:eastAsia="zh-CN"/>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项目联系方式：</w:t>
      </w:r>
      <w:r>
        <w:rPr>
          <w:rFonts w:hint="eastAsia" w:ascii="宋体" w:hAnsi="宋体" w:cs="宋体"/>
          <w:color w:val="000000" w:themeColor="text1"/>
          <w:highlight w:val="none"/>
          <w:lang w:eastAsia="zh-CN"/>
          <w14:textFill>
            <w14:solidFill>
              <w14:schemeClr w14:val="tx1"/>
            </w14:solidFill>
          </w14:textFill>
        </w:rPr>
        <w:t>07726318782</w:t>
      </w:r>
    </w:p>
    <w:p w14:paraId="11E67723">
      <w:pPr>
        <w:kinsoku w:val="0"/>
        <w:wordWrap w:val="0"/>
        <w:spacing w:line="360" w:lineRule="auto"/>
        <w:ind w:firstLine="567" w:firstLineChars="270"/>
        <w:jc w:val="left"/>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2.</w:t>
      </w:r>
      <w:r>
        <w:rPr>
          <w:rFonts w:hint="eastAsia" w:ascii="宋体" w:hAnsi="宋体" w:cs="宋体"/>
          <w:color w:val="000000" w:themeColor="text1"/>
          <w:highlight w:val="none"/>
          <w14:textFill>
            <w14:solidFill>
              <w14:schemeClr w14:val="tx1"/>
            </w14:solidFill>
          </w14:textFill>
        </w:rPr>
        <w:t>采购代理机构信息</w:t>
      </w:r>
      <w:bookmarkEnd w:id="14"/>
      <w:bookmarkEnd w:id="15"/>
    </w:p>
    <w:p w14:paraId="6CC641A1">
      <w:pPr>
        <w:kinsoku w:val="0"/>
        <w:wordWrap w:val="0"/>
        <w:spacing w:line="360" w:lineRule="auto"/>
        <w:ind w:firstLine="567" w:firstLineChars="270"/>
        <w:jc w:val="left"/>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名称：广西云凯工程咨询有限公司</w:t>
      </w:r>
    </w:p>
    <w:p w14:paraId="6BA286E1">
      <w:pPr>
        <w:kinsoku w:val="0"/>
        <w:wordWrap w:val="0"/>
        <w:spacing w:line="360" w:lineRule="auto"/>
        <w:ind w:firstLine="567" w:firstLineChars="270"/>
        <w:jc w:val="left"/>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地址：</w:t>
      </w:r>
      <w:r>
        <w:rPr>
          <w:rFonts w:hint="eastAsia" w:ascii="宋体" w:hAnsi="宋体" w:cs="宋体"/>
          <w:color w:val="000000" w:themeColor="text1"/>
          <w:kern w:val="0"/>
          <w:highlight w:val="none"/>
          <w14:textFill>
            <w14:solidFill>
              <w14:schemeClr w14:val="tx1"/>
            </w14:solidFill>
          </w14:textFill>
        </w:rPr>
        <w:t>来宾市兴宾区滨江北路西68号滨江园小区二区第24栋B2-19号</w:t>
      </w:r>
      <w:r>
        <w:rPr>
          <w:rFonts w:ascii="宋体" w:hAnsi="宋体" w:cs="宋体"/>
          <w:color w:val="000000" w:themeColor="text1"/>
          <w:kern w:val="0"/>
          <w:highlight w:val="none"/>
          <w14:textFill>
            <w14:solidFill>
              <w14:schemeClr w14:val="tx1"/>
            </w14:solidFill>
          </w14:textFill>
        </w:rPr>
        <w:t xml:space="preserve"> </w:t>
      </w:r>
    </w:p>
    <w:p w14:paraId="0796010C">
      <w:pPr>
        <w:kinsoku w:val="0"/>
        <w:wordWrap w:val="0"/>
        <w:spacing w:line="360" w:lineRule="auto"/>
        <w:ind w:firstLine="567" w:firstLineChars="270"/>
        <w:jc w:val="left"/>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项目联系人：</w:t>
      </w:r>
      <w:r>
        <w:rPr>
          <w:rFonts w:hint="eastAsia" w:ascii="宋体" w:hAnsi="宋体" w:cs="宋体"/>
          <w:color w:val="000000" w:themeColor="text1"/>
          <w:kern w:val="0"/>
          <w:highlight w:val="none"/>
          <w14:textFill>
            <w14:solidFill>
              <w14:schemeClr w14:val="tx1"/>
            </w14:solidFill>
          </w14:textFill>
        </w:rPr>
        <w:t>林京祷、刘子贵</w:t>
      </w:r>
    </w:p>
    <w:p w14:paraId="3468697A">
      <w:pPr>
        <w:kinsoku w:val="0"/>
        <w:wordWrap w:val="0"/>
        <w:spacing w:line="360" w:lineRule="auto"/>
        <w:ind w:firstLine="567" w:firstLineChars="270"/>
        <w:jc w:val="left"/>
        <w:rPr>
          <w:rFonts w:ascii="宋体"/>
          <w:color w:val="000000" w:themeColor="text1"/>
          <w:kern w:val="0"/>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项目联系方式：</w:t>
      </w:r>
      <w:bookmarkEnd w:id="7"/>
      <w:bookmarkEnd w:id="10"/>
      <w:bookmarkEnd w:id="11"/>
      <w:bookmarkEnd w:id="12"/>
      <w:bookmarkEnd w:id="13"/>
      <w:r>
        <w:rPr>
          <w:rFonts w:hint="eastAsia" w:ascii="宋体" w:hAnsi="宋体" w:cs="宋体"/>
          <w:color w:val="000000" w:themeColor="text1"/>
          <w:kern w:val="0"/>
          <w:highlight w:val="none"/>
          <w14:textFill>
            <w14:solidFill>
              <w14:schemeClr w14:val="tx1"/>
            </w14:solidFill>
          </w14:textFill>
        </w:rPr>
        <w:t>0772-4253223/19178093140</w:t>
      </w:r>
    </w:p>
    <w:p w14:paraId="380229D6">
      <w:pPr>
        <w:kinsoku w:val="0"/>
        <w:wordWrap w:val="0"/>
        <w:spacing w:line="360" w:lineRule="auto"/>
        <w:jc w:val="right"/>
        <w:rPr>
          <w:rFonts w:hint="default" w:ascii="宋体" w:eastAsia="宋体"/>
          <w:color w:val="000000" w:themeColor="text1"/>
          <w:highlight w:val="none"/>
          <w:lang w:val="en-US" w:eastAsia="zh-CN"/>
          <w14:textFill>
            <w14:solidFill>
              <w14:schemeClr w14:val="tx1"/>
            </w14:solidFill>
          </w14:textFill>
        </w:rPr>
      </w:pPr>
      <w:r>
        <w:rPr>
          <w:rFonts w:hint="eastAsia" w:ascii="宋体"/>
          <w:color w:val="000000" w:themeColor="text1"/>
          <w:highlight w:val="none"/>
          <w:lang w:val="en-US" w:eastAsia="zh-CN"/>
          <w14:textFill>
            <w14:solidFill>
              <w14:schemeClr w14:val="tx1"/>
            </w14:solidFill>
          </w14:textFill>
        </w:rPr>
        <w:t>2026年2月12日</w:t>
      </w:r>
    </w:p>
    <w:p w14:paraId="79DE50B8">
      <w:pPr>
        <w:kinsoku w:val="0"/>
        <w:wordWrap w:val="0"/>
        <w:spacing w:line="400" w:lineRule="exact"/>
        <w:jc w:val="left"/>
        <w:rPr>
          <w:rFonts w:ascii="宋体"/>
          <w:color w:val="000000" w:themeColor="text1"/>
          <w:highlight w:val="none"/>
          <w14:textFill>
            <w14:solidFill>
              <w14:schemeClr w14:val="tx1"/>
            </w14:solidFill>
          </w14:textFill>
        </w:rPr>
      </w:pPr>
    </w:p>
    <w:p w14:paraId="6D17D711">
      <w:pPr>
        <w:kinsoku w:val="0"/>
        <w:wordWrap w:val="0"/>
        <w:spacing w:line="400" w:lineRule="exact"/>
        <w:jc w:val="left"/>
        <w:rPr>
          <w:rFonts w:ascii="宋体"/>
          <w:color w:val="000000" w:themeColor="text1"/>
          <w:highlight w:val="none"/>
          <w14:textFill>
            <w14:solidFill>
              <w14:schemeClr w14:val="tx1"/>
            </w14:solidFill>
          </w14:textFill>
        </w:rPr>
      </w:pPr>
    </w:p>
    <w:p w14:paraId="149032D1">
      <w:pPr>
        <w:kinsoku w:val="0"/>
        <w:wordWrap w:val="0"/>
        <w:spacing w:line="400" w:lineRule="exact"/>
        <w:jc w:val="left"/>
        <w:rPr>
          <w:rFonts w:ascii="宋体"/>
          <w:color w:val="000000" w:themeColor="text1"/>
          <w:highlight w:val="none"/>
          <w14:textFill>
            <w14:solidFill>
              <w14:schemeClr w14:val="tx1"/>
            </w14:solidFill>
          </w14:textFill>
        </w:rPr>
      </w:pPr>
    </w:p>
    <w:p w14:paraId="219C52FA">
      <w:pPr>
        <w:kinsoku w:val="0"/>
        <w:wordWrap w:val="0"/>
        <w:spacing w:line="400" w:lineRule="exact"/>
        <w:jc w:val="left"/>
        <w:rPr>
          <w:rFonts w:ascii="宋体"/>
          <w:color w:val="000000" w:themeColor="text1"/>
          <w:highlight w:val="none"/>
          <w14:textFill>
            <w14:solidFill>
              <w14:schemeClr w14:val="tx1"/>
            </w14:solidFill>
          </w14:textFill>
        </w:rPr>
      </w:pPr>
    </w:p>
    <w:p w14:paraId="0CB6E822">
      <w:pPr>
        <w:kinsoku w:val="0"/>
        <w:wordWrap w:val="0"/>
        <w:spacing w:line="400" w:lineRule="exact"/>
        <w:jc w:val="left"/>
        <w:rPr>
          <w:rFonts w:ascii="宋体"/>
          <w:color w:val="000000" w:themeColor="text1"/>
          <w:highlight w:val="none"/>
          <w14:textFill>
            <w14:solidFill>
              <w14:schemeClr w14:val="tx1"/>
            </w14:solidFill>
          </w14:textFill>
        </w:rPr>
      </w:pPr>
    </w:p>
    <w:p w14:paraId="5D9309AD">
      <w:pPr>
        <w:kinsoku w:val="0"/>
        <w:wordWrap w:val="0"/>
        <w:spacing w:line="400" w:lineRule="exact"/>
        <w:jc w:val="left"/>
        <w:rPr>
          <w:rFonts w:ascii="宋体"/>
          <w:color w:val="000000" w:themeColor="text1"/>
          <w:highlight w:val="none"/>
          <w14:textFill>
            <w14:solidFill>
              <w14:schemeClr w14:val="tx1"/>
            </w14:solidFill>
          </w14:textFill>
        </w:rPr>
      </w:pPr>
    </w:p>
    <w:p w14:paraId="04EAA881">
      <w:pPr>
        <w:kinsoku w:val="0"/>
        <w:wordWrap w:val="0"/>
        <w:spacing w:line="400" w:lineRule="exact"/>
        <w:jc w:val="left"/>
        <w:rPr>
          <w:rFonts w:ascii="宋体"/>
          <w:color w:val="000000" w:themeColor="text1"/>
          <w:highlight w:val="none"/>
          <w14:textFill>
            <w14:solidFill>
              <w14:schemeClr w14:val="tx1"/>
            </w14:solidFill>
          </w14:textFill>
        </w:rPr>
      </w:pPr>
    </w:p>
    <w:p w14:paraId="48F379B8">
      <w:pPr>
        <w:pStyle w:val="2"/>
        <w:spacing w:before="300" w:after="310" w:line="240" w:lineRule="auto"/>
        <w:jc w:val="center"/>
        <w:rPr>
          <w:rFonts w:ascii="宋体"/>
          <w:color w:val="000000" w:themeColor="text1"/>
          <w:highlight w:val="none"/>
          <w14:textFill>
            <w14:solidFill>
              <w14:schemeClr w14:val="tx1"/>
            </w14:solidFill>
          </w14:textFill>
        </w:rPr>
      </w:pPr>
      <w:bookmarkStart w:id="16" w:name="_Toc18721"/>
      <w:r>
        <w:rPr>
          <w:rFonts w:hint="eastAsia" w:ascii="宋体" w:hAnsi="宋体" w:cs="宋体"/>
          <w:color w:val="000000" w:themeColor="text1"/>
          <w:highlight w:val="none"/>
          <w14:textFill>
            <w14:solidFill>
              <w14:schemeClr w14:val="tx1"/>
            </w14:solidFill>
          </w14:textFill>
        </w:rPr>
        <w:t>第二章</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供应商须知</w:t>
      </w:r>
      <w:bookmarkEnd w:id="16"/>
    </w:p>
    <w:p w14:paraId="1F6EE892">
      <w:pPr>
        <w:jc w:val="center"/>
        <w:rPr>
          <w:rFonts w:ascii="宋体"/>
          <w:b/>
          <w:bCs/>
          <w:color w:val="000000" w:themeColor="text1"/>
          <w:sz w:val="32"/>
          <w:szCs w:val="32"/>
          <w:highlight w:val="none"/>
          <w14:textFill>
            <w14:solidFill>
              <w14:schemeClr w14:val="tx1"/>
            </w14:solidFill>
          </w14:textFill>
        </w:rPr>
      </w:pPr>
      <w:r>
        <w:rPr>
          <w:rFonts w:hint="eastAsia" w:ascii="宋体" w:hAnsi="宋体" w:cs="宋体"/>
          <w:b/>
          <w:bCs/>
          <w:color w:val="000000" w:themeColor="text1"/>
          <w:sz w:val="32"/>
          <w:szCs w:val="32"/>
          <w:highlight w:val="none"/>
          <w14:textFill>
            <w14:solidFill>
              <w14:schemeClr w14:val="tx1"/>
            </w14:solidFill>
          </w14:textFill>
        </w:rPr>
        <w:t>供应商须知前附表</w:t>
      </w:r>
    </w:p>
    <w:p w14:paraId="1FF44884">
      <w:pPr>
        <w:spacing w:line="400" w:lineRule="exact"/>
        <w:jc w:val="center"/>
        <w:rPr>
          <w:rFonts w:ascii="宋体"/>
          <w:b/>
          <w:bCs/>
          <w:color w:val="000000" w:themeColor="text1"/>
          <w:sz w:val="32"/>
          <w:szCs w:val="32"/>
          <w:highlight w:val="none"/>
          <w14:textFill>
            <w14:solidFill>
              <w14:schemeClr w14:val="tx1"/>
            </w14:solidFill>
          </w14:textFill>
        </w:rPr>
      </w:pPr>
    </w:p>
    <w:tbl>
      <w:tblPr>
        <w:tblStyle w:val="59"/>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92"/>
        <w:gridCol w:w="8627"/>
      </w:tblGrid>
      <w:tr w14:paraId="1703A3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92" w:type="dxa"/>
            <w:vAlign w:val="center"/>
          </w:tcPr>
          <w:p w14:paraId="4BBD255C">
            <w:pPr>
              <w:spacing w:line="420" w:lineRule="exact"/>
              <w:jc w:val="center"/>
              <w:rPr>
                <w:rFonts w:ascii="宋体"/>
                <w:b/>
                <w:bCs/>
                <w:color w:val="000000" w:themeColor="text1"/>
                <w:highlight w:val="none"/>
                <w14:textFill>
                  <w14:solidFill>
                    <w14:schemeClr w14:val="tx1"/>
                  </w14:solidFill>
                </w14:textFill>
              </w:rPr>
            </w:pPr>
            <w:r>
              <w:rPr>
                <w:rFonts w:hint="eastAsia" w:ascii="宋体" w:hAnsi="宋体" w:cs="宋体"/>
                <w:b/>
                <w:bCs/>
                <w:color w:val="000000" w:themeColor="text1"/>
                <w:highlight w:val="none"/>
                <w14:textFill>
                  <w14:solidFill>
                    <w14:schemeClr w14:val="tx1"/>
                  </w14:solidFill>
                </w14:textFill>
              </w:rPr>
              <w:t>条款号</w:t>
            </w:r>
          </w:p>
        </w:tc>
        <w:tc>
          <w:tcPr>
            <w:tcW w:w="8627" w:type="dxa"/>
            <w:vAlign w:val="center"/>
          </w:tcPr>
          <w:p w14:paraId="10104FC0">
            <w:pPr>
              <w:spacing w:line="420" w:lineRule="exact"/>
              <w:jc w:val="center"/>
              <w:rPr>
                <w:rFonts w:ascii="宋体"/>
                <w:b/>
                <w:bCs/>
                <w:color w:val="000000" w:themeColor="text1"/>
                <w:highlight w:val="none"/>
                <w14:textFill>
                  <w14:solidFill>
                    <w14:schemeClr w14:val="tx1"/>
                  </w14:solidFill>
                </w14:textFill>
              </w:rPr>
            </w:pPr>
            <w:r>
              <w:rPr>
                <w:rFonts w:hint="eastAsia" w:ascii="宋体" w:hAnsi="宋体" w:cs="宋体"/>
                <w:b/>
                <w:bCs/>
                <w:color w:val="000000" w:themeColor="text1"/>
                <w:highlight w:val="none"/>
                <w14:textFill>
                  <w14:solidFill>
                    <w14:schemeClr w14:val="tx1"/>
                  </w14:solidFill>
                </w14:textFill>
              </w:rPr>
              <w:t>内</w:t>
            </w:r>
            <w:r>
              <w:rPr>
                <w:rFonts w:ascii="宋体" w:hAnsi="宋体" w:cs="宋体"/>
                <w:b/>
                <w:bCs/>
                <w:color w:val="000000" w:themeColor="text1"/>
                <w:highlight w:val="none"/>
                <w14:textFill>
                  <w14:solidFill>
                    <w14:schemeClr w14:val="tx1"/>
                  </w14:solidFill>
                </w14:textFill>
              </w:rPr>
              <w:t xml:space="preserve">    </w:t>
            </w:r>
            <w:r>
              <w:rPr>
                <w:rFonts w:hint="eastAsia" w:ascii="宋体" w:hAnsi="宋体" w:cs="宋体"/>
                <w:b/>
                <w:bCs/>
                <w:color w:val="000000" w:themeColor="text1"/>
                <w:highlight w:val="none"/>
                <w14:textFill>
                  <w14:solidFill>
                    <w14:schemeClr w14:val="tx1"/>
                  </w14:solidFill>
                </w14:textFill>
              </w:rPr>
              <w:t>容</w:t>
            </w:r>
          </w:p>
        </w:tc>
      </w:tr>
      <w:tr w14:paraId="6C5440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992" w:type="dxa"/>
            <w:vAlign w:val="center"/>
          </w:tcPr>
          <w:p w14:paraId="18A10C29">
            <w:pPr>
              <w:spacing w:line="420" w:lineRule="exact"/>
              <w:jc w:val="center"/>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3</w:t>
            </w:r>
          </w:p>
        </w:tc>
        <w:tc>
          <w:tcPr>
            <w:tcW w:w="8627" w:type="dxa"/>
            <w:vAlign w:val="center"/>
          </w:tcPr>
          <w:p w14:paraId="6CE82B37">
            <w:pPr>
              <w:spacing w:line="420" w:lineRule="exact"/>
              <w:jc w:val="left"/>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供应商的资格条件：详见竞争性磋商公告</w:t>
            </w:r>
          </w:p>
        </w:tc>
      </w:tr>
      <w:tr w14:paraId="1A57D2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92" w:type="dxa"/>
            <w:vAlign w:val="center"/>
          </w:tcPr>
          <w:p w14:paraId="687F81CF">
            <w:pPr>
              <w:spacing w:line="420" w:lineRule="exact"/>
              <w:jc w:val="center"/>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5.1</w:t>
            </w:r>
          </w:p>
        </w:tc>
        <w:tc>
          <w:tcPr>
            <w:tcW w:w="8627" w:type="dxa"/>
            <w:vAlign w:val="center"/>
          </w:tcPr>
          <w:p w14:paraId="5FE27A90">
            <w:pPr>
              <w:spacing w:line="420" w:lineRule="exact"/>
              <w:jc w:val="left"/>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是否接受联合体磋商：详见竞争性磋商公告</w:t>
            </w:r>
          </w:p>
        </w:tc>
      </w:tr>
      <w:tr w14:paraId="1589AA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92" w:type="dxa"/>
            <w:vAlign w:val="center"/>
          </w:tcPr>
          <w:p w14:paraId="2D1AC280">
            <w:pPr>
              <w:spacing w:line="420" w:lineRule="exact"/>
              <w:jc w:val="center"/>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6.2</w:t>
            </w:r>
          </w:p>
        </w:tc>
        <w:tc>
          <w:tcPr>
            <w:tcW w:w="8627" w:type="dxa"/>
            <w:vAlign w:val="center"/>
          </w:tcPr>
          <w:p w14:paraId="4EDFE20F">
            <w:pPr>
              <w:tabs>
                <w:tab w:val="left" w:pos="3306"/>
              </w:tabs>
              <w:autoSpaceDE w:val="0"/>
              <w:autoSpaceDN w:val="0"/>
              <w:spacing w:before="91" w:line="360" w:lineRule="auto"/>
              <w:jc w:val="left"/>
              <w:rPr>
                <w:rFonts w:ascii="宋体"/>
                <w:color w:val="000000" w:themeColor="text1"/>
                <w:kern w:val="0"/>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本项目不允许分包。</w:t>
            </w:r>
          </w:p>
        </w:tc>
      </w:tr>
      <w:tr w14:paraId="2F3D45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92" w:type="dxa"/>
            <w:vAlign w:val="center"/>
          </w:tcPr>
          <w:p w14:paraId="61F6E44A">
            <w:pPr>
              <w:spacing w:line="420" w:lineRule="exact"/>
              <w:jc w:val="center"/>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12.1.1</w:t>
            </w:r>
          </w:p>
        </w:tc>
        <w:tc>
          <w:tcPr>
            <w:tcW w:w="8627" w:type="dxa"/>
            <w:vAlign w:val="center"/>
          </w:tcPr>
          <w:p w14:paraId="30096187">
            <w:pPr>
              <w:snapToGrid w:val="0"/>
              <w:spacing w:line="360" w:lineRule="auto"/>
              <w:jc w:val="left"/>
              <w:rPr>
                <w:rFonts w:ascii="宋体"/>
                <w:b/>
                <w:bCs/>
                <w:color w:val="000000" w:themeColor="text1"/>
                <w:highlight w:val="none"/>
                <w14:textFill>
                  <w14:solidFill>
                    <w14:schemeClr w14:val="tx1"/>
                  </w14:solidFill>
                </w14:textFill>
              </w:rPr>
            </w:pPr>
            <w:r>
              <w:rPr>
                <w:rFonts w:hint="eastAsia" w:ascii="宋体" w:hAnsi="宋体" w:cs="宋体"/>
                <w:b/>
                <w:bCs/>
                <w:color w:val="000000" w:themeColor="text1"/>
                <w:highlight w:val="none"/>
                <w14:textFill>
                  <w14:solidFill>
                    <w14:schemeClr w14:val="tx1"/>
                  </w14:solidFill>
                </w14:textFill>
              </w:rPr>
              <w:t>资格证明文件</w:t>
            </w:r>
          </w:p>
          <w:p w14:paraId="7FE6EDE5">
            <w:pPr>
              <w:pStyle w:val="18"/>
              <w:spacing w:line="360" w:lineRule="auto"/>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1.</w:t>
            </w:r>
            <w:r>
              <w:rPr>
                <w:rFonts w:hint="eastAsia" w:ascii="宋体" w:hAnsi="宋体" w:cs="宋体"/>
                <w:color w:val="000000" w:themeColor="text1"/>
                <w:highlight w:val="none"/>
                <w14:textFill>
                  <w14:solidFill>
                    <w14:schemeClr w14:val="tx1"/>
                  </w14:solidFill>
                </w14:textFill>
              </w:rPr>
              <w:t>供应商为法人或者其他组织的，证明文件为其营业执照复印件（如营业执照或者事业单位法人证书或者执业许可证等）；供应商为自然人的，证明文件为其身份证复印件；（</w:t>
            </w:r>
            <w:r>
              <w:rPr>
                <w:rFonts w:hint="eastAsia" w:ascii="宋体" w:hAnsi="宋体" w:cs="宋体"/>
                <w:b/>
                <w:bCs/>
                <w:color w:val="000000" w:themeColor="text1"/>
                <w:highlight w:val="none"/>
                <w14:textFill>
                  <w14:solidFill>
                    <w14:schemeClr w14:val="tx1"/>
                  </w14:solidFill>
                </w14:textFill>
              </w:rPr>
              <w:t>必须提供，否则响应文件按无效响应处理</w:t>
            </w:r>
            <w:r>
              <w:rPr>
                <w:rFonts w:hint="eastAsia" w:ascii="宋体" w:hAnsi="宋体" w:cs="宋体"/>
                <w:color w:val="000000" w:themeColor="text1"/>
                <w:highlight w:val="none"/>
                <w14:textFill>
                  <w14:solidFill>
                    <w14:schemeClr w14:val="tx1"/>
                  </w14:solidFill>
                </w14:textFill>
              </w:rPr>
              <w:t>）</w:t>
            </w:r>
          </w:p>
          <w:p w14:paraId="12DF7D6A">
            <w:pPr>
              <w:pStyle w:val="18"/>
              <w:spacing w:line="360" w:lineRule="auto"/>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2.</w:t>
            </w:r>
            <w:r>
              <w:rPr>
                <w:rFonts w:hint="eastAsia" w:ascii="宋体" w:hAnsi="宋体" w:cs="宋体"/>
                <w:color w:val="000000" w:themeColor="text1"/>
                <w:highlight w:val="none"/>
                <w14:textFill>
                  <w14:solidFill>
                    <w14:schemeClr w14:val="tx1"/>
                  </w14:solidFill>
                </w14:textFill>
              </w:rPr>
              <w:t>供应商特定资格要求的资格证明材料</w:t>
            </w:r>
          </w:p>
          <w:p w14:paraId="6E76CF40">
            <w:pPr>
              <w:spacing w:line="360" w:lineRule="auto"/>
              <w:rPr>
                <w:rFonts w:ascii="宋体" w:hAnsi="宋体" w:cs="仿宋"/>
                <w:color w:val="000000" w:themeColor="text1"/>
                <w:sz w:val="24"/>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2.1</w:t>
            </w:r>
            <w:r>
              <w:rPr>
                <w:rFonts w:hint="eastAsia" w:ascii="宋体" w:hAnsi="宋体" w:cs="仿宋"/>
                <w:color w:val="000000" w:themeColor="text1"/>
                <w:highlight w:val="none"/>
                <w14:textFill>
                  <w14:solidFill>
                    <w14:schemeClr w14:val="tx1"/>
                  </w14:solidFill>
                </w14:textFill>
              </w:rPr>
              <w:t>具备有效的交通安全设施养护资质。</w:t>
            </w:r>
          </w:p>
          <w:p w14:paraId="446658CD">
            <w:pPr>
              <w:spacing w:line="360" w:lineRule="auto"/>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w:t>
            </w:r>
            <w:r>
              <w:rPr>
                <w:rFonts w:hint="eastAsia" w:ascii="宋体" w:hAnsi="宋体" w:cs="宋体"/>
                <w:b/>
                <w:bCs/>
                <w:color w:val="000000" w:themeColor="text1"/>
                <w:highlight w:val="none"/>
                <w14:textFill>
                  <w14:solidFill>
                    <w14:schemeClr w14:val="tx1"/>
                  </w14:solidFill>
                </w14:textFill>
              </w:rPr>
              <w:t>必须提供，否则响应文件按无效响应处理</w:t>
            </w:r>
            <w:r>
              <w:rPr>
                <w:rFonts w:hint="eastAsia" w:ascii="宋体" w:hAnsi="宋体" w:cs="宋体"/>
                <w:color w:val="000000" w:themeColor="text1"/>
                <w:highlight w:val="none"/>
                <w14:textFill>
                  <w14:solidFill>
                    <w14:schemeClr w14:val="tx1"/>
                  </w14:solidFill>
                </w14:textFill>
              </w:rPr>
              <w:t>）</w:t>
            </w:r>
          </w:p>
          <w:p w14:paraId="1CA15917">
            <w:pPr>
              <w:pStyle w:val="18"/>
              <w:spacing w:line="420" w:lineRule="exact"/>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2.2</w:t>
            </w:r>
            <w:r>
              <w:rPr>
                <w:rFonts w:hint="eastAsia" w:ascii="宋体" w:hAnsi="宋体" w:cs="宋体"/>
                <w:color w:val="000000" w:themeColor="text1"/>
                <w:highlight w:val="none"/>
                <w14:textFill>
                  <w14:solidFill>
                    <w14:schemeClr w14:val="tx1"/>
                  </w14:solidFill>
                </w14:textFill>
              </w:rPr>
              <w:t>省级或以上建设行政主管部门颁发的建筑施工企业安全生产许可证复印件；（</w:t>
            </w:r>
            <w:r>
              <w:rPr>
                <w:rFonts w:hint="eastAsia" w:ascii="宋体" w:hAnsi="宋体" w:cs="宋体"/>
                <w:b/>
                <w:bCs/>
                <w:color w:val="000000" w:themeColor="text1"/>
                <w:highlight w:val="none"/>
                <w14:textFill>
                  <w14:solidFill>
                    <w14:schemeClr w14:val="tx1"/>
                  </w14:solidFill>
                </w14:textFill>
              </w:rPr>
              <w:t>必须提供，否则响应文件按无效响应处理</w:t>
            </w:r>
            <w:r>
              <w:rPr>
                <w:rFonts w:hint="eastAsia" w:ascii="宋体" w:hAnsi="宋体" w:cs="宋体"/>
                <w:color w:val="000000" w:themeColor="text1"/>
                <w:highlight w:val="none"/>
                <w14:textFill>
                  <w14:solidFill>
                    <w14:schemeClr w14:val="tx1"/>
                  </w14:solidFill>
                </w14:textFill>
              </w:rPr>
              <w:t>）</w:t>
            </w:r>
          </w:p>
          <w:p w14:paraId="6096A9A9">
            <w:pPr>
              <w:pStyle w:val="18"/>
              <w:spacing w:line="420" w:lineRule="exact"/>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2.3</w:t>
            </w:r>
            <w:bookmarkStart w:id="17" w:name="OLE_LINK23"/>
            <w:bookmarkStart w:id="18" w:name="OLE_LINK21"/>
            <w:bookmarkStart w:id="19" w:name="OLE_LINK22"/>
            <w:r>
              <w:rPr>
                <w:rFonts w:hint="eastAsia" w:ascii="宋体" w:hAnsi="宋体" w:cs="宋体"/>
                <w:color w:val="000000" w:themeColor="text1"/>
                <w:highlight w:val="none"/>
                <w14:textFill>
                  <w14:solidFill>
                    <w14:schemeClr w14:val="tx1"/>
                  </w14:solidFill>
                </w14:textFill>
              </w:rPr>
              <w:t>供应商拟派项目经理须具备公路工程专业二级或以上注册建造师执业资格，具备工程师（或以上）职称，具备有效的省级或以上交通运输行政主管部门颁发的安全生产考核合格证（“三类人员”</w:t>
            </w:r>
            <w:r>
              <w:rPr>
                <w:rFonts w:ascii="宋体" w:hAnsi="宋体" w:cs="宋体"/>
                <w:color w:val="000000" w:themeColor="text1"/>
                <w:highlight w:val="none"/>
                <w14:textFill>
                  <w14:solidFill>
                    <w14:schemeClr w14:val="tx1"/>
                  </w14:solidFill>
                </w14:textFill>
              </w:rPr>
              <w:t>B</w:t>
            </w:r>
            <w:r>
              <w:rPr>
                <w:rFonts w:hint="eastAsia" w:ascii="宋体" w:hAnsi="宋体" w:cs="宋体"/>
                <w:color w:val="000000" w:themeColor="text1"/>
                <w:highlight w:val="none"/>
                <w14:textFill>
                  <w14:solidFill>
                    <w14:schemeClr w14:val="tx1"/>
                  </w14:solidFill>
                </w14:textFill>
              </w:rPr>
              <w:t>类证书），且为本单位在职员工</w:t>
            </w:r>
            <w:r>
              <w:rPr>
                <w:rFonts w:hint="eastAsia" w:ascii="宋体" w:hAnsi="宋体" w:cs="宋体"/>
                <w:b/>
                <w:bCs/>
                <w:color w:val="000000" w:themeColor="text1"/>
                <w:highlight w:val="none"/>
                <w14:textFill>
                  <w14:solidFill>
                    <w14:schemeClr w14:val="tx1"/>
                  </w14:solidFill>
                </w14:textFill>
              </w:rPr>
              <w:t>。</w:t>
            </w:r>
            <w:r>
              <w:rPr>
                <w:rFonts w:hint="eastAsia" w:ascii="宋体" w:hAnsi="宋体" w:cs="宋体"/>
                <w:color w:val="000000" w:themeColor="text1"/>
                <w:highlight w:val="none"/>
                <w14:textFill>
                  <w14:solidFill>
                    <w14:schemeClr w14:val="tx1"/>
                  </w14:solidFill>
                </w14:textFill>
              </w:rPr>
              <w:t>拟派项目总工须具备工程师（或以上）职称（路桥类专业），且为本单位在职员工。（注：“路桥类”专业是指职称证上的专业，为路桥、公路工程、桥梁工程、交通土建、交通工程、铁路、土木工程、隧道工程、市政桥梁工程等专业均可）；</w:t>
            </w:r>
            <w:bookmarkEnd w:id="17"/>
            <w:bookmarkEnd w:id="18"/>
            <w:bookmarkEnd w:id="19"/>
            <w:r>
              <w:rPr>
                <w:rFonts w:hint="eastAsia" w:ascii="宋体" w:hAnsi="宋体" w:cs="宋体"/>
                <w:color w:val="000000" w:themeColor="text1"/>
                <w:highlight w:val="none"/>
                <w14:textFill>
                  <w14:solidFill>
                    <w14:schemeClr w14:val="tx1"/>
                  </w14:solidFill>
                </w14:textFill>
              </w:rPr>
              <w:t>（</w:t>
            </w:r>
            <w:r>
              <w:rPr>
                <w:rFonts w:hint="eastAsia" w:ascii="宋体" w:hAnsi="宋体" w:cs="宋体"/>
                <w:b/>
                <w:bCs/>
                <w:color w:val="000000" w:themeColor="text1"/>
                <w:highlight w:val="none"/>
                <w14:textFill>
                  <w14:solidFill>
                    <w14:schemeClr w14:val="tx1"/>
                  </w14:solidFill>
                </w14:textFill>
              </w:rPr>
              <w:t>必须提供，否则响应文件按无效响应处理</w:t>
            </w:r>
            <w:r>
              <w:rPr>
                <w:rFonts w:hint="eastAsia" w:ascii="宋体" w:hAnsi="宋体" w:cs="宋体"/>
                <w:color w:val="000000" w:themeColor="text1"/>
                <w:highlight w:val="none"/>
                <w14:textFill>
                  <w14:solidFill>
                    <w14:schemeClr w14:val="tx1"/>
                  </w14:solidFill>
                </w14:textFill>
              </w:rPr>
              <w:t>）</w:t>
            </w:r>
          </w:p>
          <w:p w14:paraId="3F721838">
            <w:pPr>
              <w:spacing w:line="420" w:lineRule="exact"/>
              <w:jc w:val="left"/>
              <w:rPr>
                <w:rFonts w:ascii="宋体"/>
                <w:b/>
                <w:bCs/>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3.</w:t>
            </w:r>
            <w:r>
              <w:rPr>
                <w:rFonts w:hint="eastAsia" w:ascii="宋体" w:hAnsi="宋体" w:cs="宋体"/>
                <w:color w:val="000000" w:themeColor="text1"/>
                <w:highlight w:val="none"/>
                <w14:textFill>
                  <w14:solidFill>
                    <w14:schemeClr w14:val="tx1"/>
                  </w14:solidFill>
                </w14:textFill>
              </w:rPr>
              <w:t>政府采购供应商资格信用承诺函（格式后附）；</w:t>
            </w:r>
            <w:r>
              <w:rPr>
                <w:rFonts w:hint="eastAsia" w:ascii="宋体" w:hAnsi="宋体" w:cs="宋体"/>
                <w:b/>
                <w:bCs/>
                <w:color w:val="000000" w:themeColor="text1"/>
                <w:highlight w:val="none"/>
                <w14:textFill>
                  <w14:solidFill>
                    <w14:schemeClr w14:val="tx1"/>
                  </w14:solidFill>
                </w14:textFill>
              </w:rPr>
              <w:t>（必须提供，否则响应文件按无效响应处理）</w:t>
            </w:r>
          </w:p>
          <w:p w14:paraId="5C24BC15">
            <w:pPr>
              <w:snapToGrid w:val="0"/>
              <w:spacing w:line="420" w:lineRule="exact"/>
              <w:jc w:val="left"/>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4.</w:t>
            </w:r>
            <w:r>
              <w:rPr>
                <w:rFonts w:hint="eastAsia" w:ascii="宋体" w:hAnsi="宋体" w:cs="宋体"/>
                <w:color w:val="000000" w:themeColor="text1"/>
                <w:highlight w:val="none"/>
                <w14:textFill>
                  <w14:solidFill>
                    <w14:schemeClr w14:val="tx1"/>
                  </w14:solidFill>
                </w14:textFill>
              </w:rPr>
              <w:t>供应商直接控股、管理关系信息表（格式后附）；（</w:t>
            </w:r>
            <w:r>
              <w:rPr>
                <w:rFonts w:hint="eastAsia" w:ascii="宋体" w:hAnsi="宋体" w:cs="宋体"/>
                <w:b/>
                <w:bCs/>
                <w:color w:val="000000" w:themeColor="text1"/>
                <w:highlight w:val="none"/>
                <w14:textFill>
                  <w14:solidFill>
                    <w14:schemeClr w14:val="tx1"/>
                  </w14:solidFill>
                </w14:textFill>
              </w:rPr>
              <w:t>必须提供，否则响应文件按无效响应处理</w:t>
            </w:r>
            <w:r>
              <w:rPr>
                <w:rFonts w:hint="eastAsia" w:ascii="宋体" w:hAnsi="宋体" w:cs="宋体"/>
                <w:color w:val="000000" w:themeColor="text1"/>
                <w:highlight w:val="none"/>
                <w14:textFill>
                  <w14:solidFill>
                    <w14:schemeClr w14:val="tx1"/>
                  </w14:solidFill>
                </w14:textFill>
              </w:rPr>
              <w:t>）</w:t>
            </w:r>
          </w:p>
          <w:p w14:paraId="49EA4C04">
            <w:pPr>
              <w:snapToGrid w:val="0"/>
              <w:spacing w:line="420" w:lineRule="exact"/>
              <w:jc w:val="left"/>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5.</w:t>
            </w:r>
            <w:r>
              <w:rPr>
                <w:rFonts w:hint="eastAsia" w:ascii="宋体" w:hAnsi="宋体" w:cs="宋体"/>
                <w:color w:val="000000" w:themeColor="text1"/>
                <w:highlight w:val="none"/>
                <w14:textFill>
                  <w14:solidFill>
                    <w14:schemeClr w14:val="tx1"/>
                  </w14:solidFill>
                </w14:textFill>
              </w:rPr>
              <w:t>磋商声明（格式后附）；（</w:t>
            </w:r>
            <w:r>
              <w:rPr>
                <w:rFonts w:hint="eastAsia" w:ascii="宋体" w:hAnsi="宋体" w:cs="宋体"/>
                <w:b/>
                <w:bCs/>
                <w:color w:val="000000" w:themeColor="text1"/>
                <w:highlight w:val="none"/>
                <w14:textFill>
                  <w14:solidFill>
                    <w14:schemeClr w14:val="tx1"/>
                  </w14:solidFill>
                </w14:textFill>
              </w:rPr>
              <w:t>必须提供，否则响应文件按无效响应处理</w:t>
            </w:r>
            <w:r>
              <w:rPr>
                <w:rFonts w:hint="eastAsia" w:ascii="宋体" w:hAnsi="宋体" w:cs="宋体"/>
                <w:color w:val="000000" w:themeColor="text1"/>
                <w:highlight w:val="none"/>
                <w14:textFill>
                  <w14:solidFill>
                    <w14:schemeClr w14:val="tx1"/>
                  </w14:solidFill>
                </w14:textFill>
              </w:rPr>
              <w:t>）</w:t>
            </w:r>
          </w:p>
          <w:p w14:paraId="738EDC87">
            <w:pPr>
              <w:snapToGrid w:val="0"/>
              <w:spacing w:line="420" w:lineRule="exact"/>
              <w:jc w:val="left"/>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6.</w:t>
            </w:r>
            <w:r>
              <w:rPr>
                <w:rFonts w:hint="eastAsia" w:ascii="宋体" w:hAnsi="宋体" w:cs="宋体"/>
                <w:color w:val="000000" w:themeColor="text1"/>
                <w:highlight w:val="none"/>
                <w14:textFill>
                  <w14:solidFill>
                    <w14:schemeClr w14:val="tx1"/>
                  </w14:solidFill>
                </w14:textFill>
              </w:rPr>
              <w:t>中小企业声明函（格式后附）或由省级以上监狱管理局、戒毒管理局（含新疆生产建设兵团）出具的属于监狱企业的证明文件或残疾人福利性单位声明函（格式后附）；</w:t>
            </w:r>
            <w:r>
              <w:rPr>
                <w:rFonts w:hint="eastAsia" w:ascii="宋体" w:hAnsi="宋体" w:cs="宋体"/>
                <w:b/>
                <w:bCs/>
                <w:color w:val="000000" w:themeColor="text1"/>
                <w:highlight w:val="none"/>
                <w14:textFill>
                  <w14:solidFill>
                    <w14:schemeClr w14:val="tx1"/>
                  </w14:solidFill>
                </w14:textFill>
              </w:rPr>
              <w:t>（必须提供，否则响应文件按无效响应处理）</w:t>
            </w:r>
          </w:p>
          <w:p w14:paraId="7D60A5DE">
            <w:pPr>
              <w:snapToGrid w:val="0"/>
              <w:spacing w:line="420" w:lineRule="exact"/>
              <w:jc w:val="left"/>
              <w:rPr>
                <w:rFonts w:ascii="宋体"/>
                <w:color w:val="000000" w:themeColor="text1"/>
                <w:highlight w:val="none"/>
                <w14:textFill>
                  <w14:solidFill>
                    <w14:schemeClr w14:val="tx1"/>
                  </w14:solidFill>
                </w14:textFill>
              </w:rPr>
            </w:pPr>
            <w:r>
              <w:rPr>
                <w:rFonts w:ascii="宋体" w:hAnsi="宋体" w:cs="宋体"/>
                <w:b/>
                <w:bCs/>
                <w:color w:val="000000" w:themeColor="text1"/>
                <w:highlight w:val="none"/>
                <w14:textFill>
                  <w14:solidFill>
                    <w14:schemeClr w14:val="tx1"/>
                  </w14:solidFill>
                </w14:textFill>
              </w:rPr>
              <w:t>7.</w:t>
            </w:r>
            <w:r>
              <w:rPr>
                <w:rFonts w:hint="eastAsia" w:ascii="宋体" w:hAnsi="宋体" w:cs="宋体"/>
                <w:color w:val="000000" w:themeColor="text1"/>
                <w:highlight w:val="none"/>
                <w14:textFill>
                  <w14:solidFill>
                    <w14:schemeClr w14:val="tx1"/>
                  </w14:solidFill>
                </w14:textFill>
              </w:rPr>
              <w:t>除磋商文件规定必须提供以外，供应商认为需要提供的其他证明材料。</w:t>
            </w:r>
          </w:p>
          <w:p w14:paraId="0531D18A">
            <w:pPr>
              <w:snapToGrid w:val="0"/>
              <w:spacing w:line="420" w:lineRule="exact"/>
              <w:jc w:val="left"/>
              <w:rPr>
                <w:rFonts w:ascii="宋体"/>
                <w:b/>
                <w:bCs/>
                <w:color w:val="000000" w:themeColor="text1"/>
                <w:highlight w:val="none"/>
                <w14:textFill>
                  <w14:solidFill>
                    <w14:schemeClr w14:val="tx1"/>
                  </w14:solidFill>
                </w14:textFill>
              </w:rPr>
            </w:pPr>
            <w:r>
              <w:rPr>
                <w:rFonts w:hint="eastAsia" w:ascii="宋体" w:hAnsi="宋体" w:cs="宋体"/>
                <w:b/>
                <w:bCs/>
                <w:color w:val="000000" w:themeColor="text1"/>
                <w:highlight w:val="none"/>
                <w14:textFill>
                  <w14:solidFill>
                    <w14:schemeClr w14:val="tx1"/>
                  </w14:solidFill>
                </w14:textFill>
              </w:rPr>
              <w:t>注：</w:t>
            </w:r>
          </w:p>
          <w:p w14:paraId="08CC9009">
            <w:pPr>
              <w:snapToGrid w:val="0"/>
              <w:spacing w:line="420" w:lineRule="exact"/>
              <w:jc w:val="left"/>
              <w:rPr>
                <w:rFonts w:ascii="宋体"/>
                <w:b/>
                <w:bCs/>
                <w:color w:val="000000" w:themeColor="text1"/>
                <w:highlight w:val="none"/>
                <w14:textFill>
                  <w14:solidFill>
                    <w14:schemeClr w14:val="tx1"/>
                  </w14:solidFill>
                </w14:textFill>
              </w:rPr>
            </w:pPr>
            <w:r>
              <w:rPr>
                <w:rFonts w:hint="eastAsia" w:ascii="宋体" w:hAnsi="宋体" w:cs="宋体"/>
                <w:b/>
                <w:bCs/>
                <w:color w:val="000000" w:themeColor="text1"/>
                <w:highlight w:val="none"/>
                <w14:textFill>
                  <w14:solidFill>
                    <w14:schemeClr w14:val="tx1"/>
                  </w14:solidFill>
                </w14:textFill>
              </w:rPr>
              <w:t>①以上标明“必须提供”的材料属于复印件的，必须加盖供应商公章，否则响应文件按无效响应处理。</w:t>
            </w:r>
          </w:p>
          <w:p w14:paraId="2BC7B906">
            <w:pPr>
              <w:snapToGrid w:val="0"/>
              <w:spacing w:line="420" w:lineRule="exact"/>
              <w:jc w:val="left"/>
              <w:rPr>
                <w:rFonts w:ascii="宋体"/>
                <w:b/>
                <w:bCs/>
                <w:color w:val="000000" w:themeColor="text1"/>
                <w:highlight w:val="none"/>
                <w14:textFill>
                  <w14:solidFill>
                    <w14:schemeClr w14:val="tx1"/>
                  </w14:solidFill>
                </w14:textFill>
              </w:rPr>
            </w:pPr>
            <w:r>
              <w:rPr>
                <w:rFonts w:hint="eastAsia" w:ascii="宋体" w:hAnsi="宋体" w:cs="宋体"/>
                <w:b/>
                <w:bCs/>
                <w:color w:val="000000" w:themeColor="text1"/>
                <w:highlight w:val="none"/>
                <w14:textFill>
                  <w14:solidFill>
                    <w14:schemeClr w14:val="tx1"/>
                  </w14:solidFill>
                </w14:textFill>
              </w:rPr>
              <w:t>②磋商声明必须由法定代表人在规定签章处签字（或者盖章）并加盖供应商公章，否则响应文件按无效响应处理。</w:t>
            </w:r>
          </w:p>
          <w:p w14:paraId="45D92C86">
            <w:pPr>
              <w:snapToGrid w:val="0"/>
              <w:spacing w:line="420" w:lineRule="exact"/>
              <w:jc w:val="left"/>
              <w:rPr>
                <w:rFonts w:ascii="宋体"/>
                <w:b/>
                <w:bCs/>
                <w:color w:val="000000" w:themeColor="text1"/>
                <w:highlight w:val="none"/>
                <w14:textFill>
                  <w14:solidFill>
                    <w14:schemeClr w14:val="tx1"/>
                  </w14:solidFill>
                </w14:textFill>
              </w:rPr>
            </w:pPr>
            <w:r>
              <w:rPr>
                <w:rFonts w:hint="eastAsia" w:ascii="宋体" w:hAnsi="宋体" w:cs="宋体"/>
                <w:b/>
                <w:bCs/>
                <w:color w:val="000000" w:themeColor="text1"/>
                <w:highlight w:val="none"/>
                <w14:textFill>
                  <w14:solidFill>
                    <w14:schemeClr w14:val="tx1"/>
                  </w14:solidFill>
                </w14:textFill>
              </w:rPr>
              <w:t>③供应商直接控股、管理关系信息表必须由法定代表人或者委托代理人在规定签章处签字并加盖供应商公章，否则响应文件按无效响应处理。</w:t>
            </w:r>
          </w:p>
          <w:p w14:paraId="07C60D82">
            <w:pPr>
              <w:pStyle w:val="18"/>
              <w:spacing w:line="420" w:lineRule="exact"/>
              <w:rPr>
                <w:rFonts w:ascii="宋体"/>
                <w:b/>
                <w:bCs/>
                <w:color w:val="000000" w:themeColor="text1"/>
                <w:highlight w:val="none"/>
                <w14:textFill>
                  <w14:solidFill>
                    <w14:schemeClr w14:val="tx1"/>
                  </w14:solidFill>
                </w14:textFill>
              </w:rPr>
            </w:pPr>
            <w:r>
              <w:rPr>
                <w:rFonts w:hint="eastAsia" w:ascii="宋体" w:hAnsi="宋体" w:cs="宋体"/>
                <w:b/>
                <w:bCs/>
                <w:color w:val="000000" w:themeColor="text1"/>
                <w:highlight w:val="none"/>
                <w14:textFill>
                  <w14:solidFill>
                    <w14:schemeClr w14:val="tx1"/>
                  </w14:solidFill>
                </w14:textFill>
              </w:rPr>
              <w:t>④分公司参加磋商的，应当取得总公司授权，否则响应文件按无效响应处理。</w:t>
            </w:r>
          </w:p>
        </w:tc>
      </w:tr>
      <w:tr w14:paraId="50D09A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92" w:type="dxa"/>
            <w:vAlign w:val="center"/>
          </w:tcPr>
          <w:p w14:paraId="34BACA0A">
            <w:pPr>
              <w:spacing w:line="420" w:lineRule="exact"/>
              <w:jc w:val="center"/>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12.1.2</w:t>
            </w:r>
          </w:p>
        </w:tc>
        <w:tc>
          <w:tcPr>
            <w:tcW w:w="8627" w:type="dxa"/>
            <w:vAlign w:val="center"/>
          </w:tcPr>
          <w:p w14:paraId="1732D95E">
            <w:pPr>
              <w:spacing w:line="420" w:lineRule="exact"/>
              <w:jc w:val="left"/>
              <w:rPr>
                <w:rFonts w:ascii="宋体"/>
                <w:b/>
                <w:bCs/>
                <w:i/>
                <w:iCs/>
                <w:color w:val="000000" w:themeColor="text1"/>
                <w:highlight w:val="none"/>
                <w14:textFill>
                  <w14:solidFill>
                    <w14:schemeClr w14:val="tx1"/>
                  </w14:solidFill>
                </w14:textFill>
              </w:rPr>
            </w:pPr>
            <w:r>
              <w:rPr>
                <w:rFonts w:hint="eastAsia" w:ascii="宋体" w:hAnsi="宋体" w:cs="宋体"/>
                <w:b/>
                <w:bCs/>
                <w:color w:val="000000" w:themeColor="text1"/>
                <w:highlight w:val="none"/>
                <w14:textFill>
                  <w14:solidFill>
                    <w14:schemeClr w14:val="tx1"/>
                  </w14:solidFill>
                </w14:textFill>
              </w:rPr>
              <w:t>报价文件</w:t>
            </w:r>
          </w:p>
          <w:p w14:paraId="06214E58">
            <w:pPr>
              <w:spacing w:line="420" w:lineRule="exact"/>
              <w:jc w:val="left"/>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1</w:t>
            </w:r>
            <w:r>
              <w:rPr>
                <w:rFonts w:ascii="宋体" w:hAnsi="宋体" w:cs="宋体"/>
                <w:color w:val="000000" w:themeColor="text1"/>
                <w:highlight w:val="none"/>
                <w14:textFill>
                  <w14:solidFill>
                    <w14:schemeClr w14:val="tx1"/>
                  </w14:solidFill>
                </w14:textFill>
              </w:rPr>
              <w:t>.</w:t>
            </w:r>
            <w:r>
              <w:rPr>
                <w:rFonts w:hint="eastAsia" w:ascii="宋体" w:hAnsi="宋体" w:cs="宋体"/>
                <w:color w:val="000000" w:themeColor="text1"/>
                <w:highlight w:val="none"/>
                <w14:textFill>
                  <w14:solidFill>
                    <w14:schemeClr w14:val="tx1"/>
                  </w14:solidFill>
                </w14:textFill>
              </w:rPr>
              <w:t>磋商函（格式后附）；</w:t>
            </w:r>
            <w:r>
              <w:rPr>
                <w:rFonts w:hint="eastAsia" w:ascii="宋体" w:hAnsi="宋体" w:cs="宋体"/>
                <w:b/>
                <w:bCs/>
                <w:color w:val="000000" w:themeColor="text1"/>
                <w:highlight w:val="none"/>
                <w14:textFill>
                  <w14:solidFill>
                    <w14:schemeClr w14:val="tx1"/>
                  </w14:solidFill>
                </w14:textFill>
              </w:rPr>
              <w:t>（必须提供，否则响应文件按无效响应处理）</w:t>
            </w:r>
          </w:p>
          <w:p w14:paraId="1663FD7C">
            <w:pPr>
              <w:spacing w:line="420" w:lineRule="exact"/>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2</w:t>
            </w:r>
            <w:r>
              <w:rPr>
                <w:rFonts w:ascii="宋体" w:hAnsi="宋体" w:cs="宋体"/>
                <w:color w:val="000000" w:themeColor="text1"/>
                <w:highlight w:val="none"/>
                <w14:textFill>
                  <w14:solidFill>
                    <w14:schemeClr w14:val="tx1"/>
                  </w14:solidFill>
                </w14:textFill>
              </w:rPr>
              <w:t>.</w:t>
            </w:r>
            <w:r>
              <w:rPr>
                <w:rFonts w:hint="eastAsia" w:ascii="宋体" w:hAnsi="宋体" w:cs="宋体"/>
                <w:color w:val="000000" w:themeColor="text1"/>
                <w:highlight w:val="none"/>
                <w14:textFill>
                  <w14:solidFill>
                    <w14:schemeClr w14:val="tx1"/>
                  </w14:solidFill>
                </w14:textFill>
              </w:rPr>
              <w:t>磋商函附录（格式后附）；</w:t>
            </w:r>
            <w:r>
              <w:rPr>
                <w:rFonts w:hint="eastAsia" w:ascii="宋体" w:hAnsi="宋体" w:cs="宋体"/>
                <w:b/>
                <w:bCs/>
                <w:color w:val="000000" w:themeColor="text1"/>
                <w:highlight w:val="none"/>
                <w14:textFill>
                  <w14:solidFill>
                    <w14:schemeClr w14:val="tx1"/>
                  </w14:solidFill>
                </w14:textFill>
              </w:rPr>
              <w:t>（必须提供，否则响应文件按无效响应处理）</w:t>
            </w:r>
          </w:p>
          <w:p w14:paraId="69468041">
            <w:pPr>
              <w:spacing w:line="420" w:lineRule="exact"/>
              <w:jc w:val="left"/>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3</w:t>
            </w:r>
            <w:r>
              <w:rPr>
                <w:rFonts w:ascii="宋体" w:hAnsi="宋体" w:cs="宋体"/>
                <w:color w:val="000000" w:themeColor="text1"/>
                <w:highlight w:val="none"/>
                <w14:textFill>
                  <w14:solidFill>
                    <w14:schemeClr w14:val="tx1"/>
                  </w14:solidFill>
                </w14:textFill>
              </w:rPr>
              <w:t>.</w:t>
            </w:r>
            <w:r>
              <w:rPr>
                <w:rFonts w:hint="eastAsia" w:ascii="宋体" w:hAnsi="宋体" w:cs="宋体"/>
                <w:color w:val="000000" w:themeColor="text1"/>
                <w:highlight w:val="none"/>
                <w14:textFill>
                  <w14:solidFill>
                    <w14:schemeClr w14:val="tx1"/>
                  </w14:solidFill>
                </w14:textFill>
              </w:rPr>
              <w:t>磋商报价表（格式后附）；</w:t>
            </w:r>
            <w:r>
              <w:rPr>
                <w:rFonts w:hint="eastAsia" w:ascii="宋体" w:hAnsi="宋体" w:cs="宋体"/>
                <w:b/>
                <w:bCs/>
                <w:color w:val="000000" w:themeColor="text1"/>
                <w:highlight w:val="none"/>
                <w14:textFill>
                  <w14:solidFill>
                    <w14:schemeClr w14:val="tx1"/>
                  </w14:solidFill>
                </w14:textFill>
              </w:rPr>
              <w:t>（必须提供，否则响应文件按无效响应处理）</w:t>
            </w:r>
          </w:p>
          <w:p w14:paraId="4544A85D">
            <w:pPr>
              <w:spacing w:line="420" w:lineRule="exact"/>
              <w:jc w:val="left"/>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4</w:t>
            </w:r>
            <w:r>
              <w:rPr>
                <w:rFonts w:ascii="宋体" w:hAnsi="宋体" w:cs="宋体"/>
                <w:color w:val="000000" w:themeColor="text1"/>
                <w:highlight w:val="none"/>
                <w14:textFill>
                  <w14:solidFill>
                    <w14:schemeClr w14:val="tx1"/>
                  </w14:solidFill>
                </w14:textFill>
              </w:rPr>
              <w:t>.</w:t>
            </w:r>
            <w:r>
              <w:rPr>
                <w:rFonts w:hint="eastAsia" w:ascii="宋体" w:hAnsi="宋体" w:cs="宋体"/>
                <w:color w:val="000000" w:themeColor="text1"/>
                <w:highlight w:val="none"/>
                <w14:textFill>
                  <w14:solidFill>
                    <w14:schemeClr w14:val="tx1"/>
                  </w14:solidFill>
                </w14:textFill>
              </w:rPr>
              <w:t>已标价的工程量清单和工程量清单说明（必须按照采购人提供的工程量固化清单电子文件填写工程量清单）；</w:t>
            </w:r>
            <w:r>
              <w:rPr>
                <w:rFonts w:hint="eastAsia" w:ascii="宋体" w:hAnsi="宋体" w:eastAsia="宋体" w:cs="宋体"/>
                <w:b/>
                <w:bCs/>
                <w:color w:val="000000" w:themeColor="text1"/>
                <w:highlight w:val="none"/>
                <w14:textFill>
                  <w14:solidFill>
                    <w14:schemeClr w14:val="tx1"/>
                  </w14:solidFill>
                </w14:textFill>
              </w:rPr>
              <w:t>（必须提供，且各子目单价不能超过工程量清单相应子目单价上限价，否则响应文件按无效响应处理。</w:t>
            </w:r>
            <w:bookmarkStart w:id="20" w:name="OLE_LINK1"/>
            <w:r>
              <w:rPr>
                <w:rFonts w:hint="eastAsia" w:ascii="宋体" w:hAnsi="宋体" w:eastAsia="宋体" w:cs="宋体"/>
                <w:b/>
                <w:bCs/>
                <w:color w:val="000000" w:themeColor="text1"/>
                <w:highlight w:val="none"/>
                <w14:textFill>
                  <w14:solidFill>
                    <w14:schemeClr w14:val="tx1"/>
                  </w14:solidFill>
                </w14:textFill>
              </w:rPr>
              <w:t>工程量清单子目上限价表</w:t>
            </w:r>
            <w:bookmarkEnd w:id="20"/>
            <w:r>
              <w:rPr>
                <w:rFonts w:hint="eastAsia" w:ascii="宋体" w:hAnsi="宋体" w:eastAsia="宋体" w:cs="宋体"/>
                <w:b/>
                <w:bCs/>
                <w:color w:val="000000" w:themeColor="text1"/>
                <w:highlight w:val="none"/>
                <w14:textFill>
                  <w14:solidFill>
                    <w14:schemeClr w14:val="tx1"/>
                  </w14:solidFill>
                </w14:textFill>
              </w:rPr>
              <w:t>，详见公告附件。）</w:t>
            </w:r>
          </w:p>
          <w:p w14:paraId="1A54B720">
            <w:pPr>
              <w:spacing w:line="420" w:lineRule="exact"/>
              <w:jc w:val="left"/>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5</w:t>
            </w:r>
            <w:r>
              <w:rPr>
                <w:rFonts w:ascii="宋体" w:hAnsi="宋体" w:cs="宋体"/>
                <w:color w:val="000000" w:themeColor="text1"/>
                <w:highlight w:val="none"/>
                <w14:textFill>
                  <w14:solidFill>
                    <w14:schemeClr w14:val="tx1"/>
                  </w14:solidFill>
                </w14:textFill>
              </w:rPr>
              <w:t>.</w:t>
            </w:r>
            <w:r>
              <w:rPr>
                <w:rFonts w:hint="eastAsia" w:ascii="宋体" w:hAnsi="宋体" w:cs="宋体"/>
                <w:color w:val="000000" w:themeColor="text1"/>
                <w:highlight w:val="none"/>
                <w14:textFill>
                  <w14:solidFill>
                    <w14:schemeClr w14:val="tx1"/>
                  </w14:solidFill>
                </w14:textFill>
              </w:rPr>
              <w:t>供应商认为需要提供的其他有关资料。</w:t>
            </w:r>
          </w:p>
          <w:p w14:paraId="0FCA9642">
            <w:pPr>
              <w:snapToGrid w:val="0"/>
              <w:spacing w:line="420" w:lineRule="exact"/>
              <w:jc w:val="left"/>
              <w:rPr>
                <w:rFonts w:ascii="宋体"/>
                <w:b/>
                <w:bCs/>
                <w:color w:val="000000" w:themeColor="text1"/>
                <w:highlight w:val="none"/>
                <w14:textFill>
                  <w14:solidFill>
                    <w14:schemeClr w14:val="tx1"/>
                  </w14:solidFill>
                </w14:textFill>
              </w:rPr>
            </w:pPr>
            <w:r>
              <w:rPr>
                <w:rFonts w:hint="eastAsia" w:ascii="宋体" w:hAnsi="宋体" w:cs="宋体"/>
                <w:b/>
                <w:bCs/>
                <w:color w:val="000000" w:themeColor="text1"/>
                <w:highlight w:val="none"/>
                <w14:textFill>
                  <w14:solidFill>
                    <w14:schemeClr w14:val="tx1"/>
                  </w14:solidFill>
                </w14:textFill>
              </w:rPr>
              <w:t>注：以上标明“必须提供”的材料属于复印件的，必须加盖供应商公章，否则响应文件按无效响应处理。</w:t>
            </w:r>
          </w:p>
        </w:tc>
      </w:tr>
      <w:tr w14:paraId="3BA039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92" w:type="dxa"/>
            <w:vAlign w:val="center"/>
          </w:tcPr>
          <w:p w14:paraId="195FE9F0">
            <w:pPr>
              <w:spacing w:line="420" w:lineRule="exact"/>
              <w:jc w:val="center"/>
              <w:rPr>
                <w:rFonts w:hint="eastAsia" w:ascii="宋体" w:hAnsi="宋体" w:eastAsia="宋体" w:cs="宋体"/>
                <w:color w:val="000000" w:themeColor="text1"/>
                <w:highlight w:val="none"/>
                <w:lang w:eastAsia="zh-CN"/>
                <w14:textFill>
                  <w14:solidFill>
                    <w14:schemeClr w14:val="tx1"/>
                  </w14:solidFill>
                </w14:textFill>
              </w:rPr>
            </w:pPr>
            <w:r>
              <w:rPr>
                <w:rFonts w:ascii="宋体" w:hAnsi="宋体" w:cs="宋体"/>
                <w:color w:val="000000" w:themeColor="text1"/>
                <w:highlight w:val="none"/>
                <w14:textFill>
                  <w14:solidFill>
                    <w14:schemeClr w14:val="tx1"/>
                  </w14:solidFill>
                </w14:textFill>
              </w:rPr>
              <w:t>12.1.</w:t>
            </w:r>
            <w:r>
              <w:rPr>
                <w:rFonts w:hint="eastAsia" w:ascii="宋体" w:hAnsi="宋体" w:cs="宋体"/>
                <w:color w:val="000000" w:themeColor="text1"/>
                <w:highlight w:val="none"/>
                <w:lang w:val="en-US" w:eastAsia="zh-CN"/>
                <w14:textFill>
                  <w14:solidFill>
                    <w14:schemeClr w14:val="tx1"/>
                  </w14:solidFill>
                </w14:textFill>
              </w:rPr>
              <w:t>3</w:t>
            </w:r>
          </w:p>
        </w:tc>
        <w:tc>
          <w:tcPr>
            <w:tcW w:w="8627" w:type="dxa"/>
            <w:vAlign w:val="center"/>
          </w:tcPr>
          <w:p w14:paraId="0C8D434D">
            <w:pPr>
              <w:spacing w:line="420" w:lineRule="exact"/>
              <w:jc w:val="left"/>
              <w:rPr>
                <w:rFonts w:ascii="宋体"/>
                <w:b/>
                <w:bCs/>
                <w:i/>
                <w:iCs/>
                <w:color w:val="000000" w:themeColor="text1"/>
                <w:highlight w:val="none"/>
                <w14:textFill>
                  <w14:solidFill>
                    <w14:schemeClr w14:val="tx1"/>
                  </w14:solidFill>
                </w14:textFill>
              </w:rPr>
            </w:pPr>
            <w:r>
              <w:rPr>
                <w:rFonts w:hint="eastAsia" w:ascii="宋体" w:hAnsi="宋体" w:cs="宋体"/>
                <w:b/>
                <w:bCs/>
                <w:color w:val="000000" w:themeColor="text1"/>
                <w:highlight w:val="none"/>
                <w14:textFill>
                  <w14:solidFill>
                    <w14:schemeClr w14:val="tx1"/>
                  </w14:solidFill>
                </w14:textFill>
              </w:rPr>
              <w:t>商务技术文件</w:t>
            </w:r>
          </w:p>
          <w:p w14:paraId="5A3E2096">
            <w:pPr>
              <w:spacing w:line="420" w:lineRule="exact"/>
              <w:jc w:val="left"/>
              <w:rPr>
                <w:rFonts w:ascii="宋体"/>
                <w:b/>
                <w:bCs/>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1.</w:t>
            </w:r>
            <w:r>
              <w:rPr>
                <w:rFonts w:hint="eastAsia" w:ascii="宋体" w:hAnsi="宋体" w:cs="宋体"/>
                <w:color w:val="000000" w:themeColor="text1"/>
                <w:highlight w:val="none"/>
                <w14:textFill>
                  <w14:solidFill>
                    <w14:schemeClr w14:val="tx1"/>
                  </w14:solidFill>
                </w14:textFill>
              </w:rPr>
              <w:t>无串通磋商行为的承诺函（格式后附）；</w:t>
            </w:r>
            <w:r>
              <w:rPr>
                <w:rFonts w:hint="eastAsia" w:ascii="宋体" w:hAnsi="宋体" w:cs="宋体"/>
                <w:b/>
                <w:bCs/>
                <w:color w:val="000000" w:themeColor="text1"/>
                <w:highlight w:val="none"/>
                <w14:textFill>
                  <w14:solidFill>
                    <w14:schemeClr w14:val="tx1"/>
                  </w14:solidFill>
                </w14:textFill>
              </w:rPr>
              <w:t>（必须提供，否则响应文件按无效响应处理）</w:t>
            </w:r>
          </w:p>
          <w:p w14:paraId="789324B0">
            <w:pPr>
              <w:spacing w:line="420" w:lineRule="exact"/>
              <w:jc w:val="left"/>
              <w:rPr>
                <w:rFonts w:ascii="宋体"/>
                <w:b/>
                <w:bCs/>
                <w:color w:val="000000" w:themeColor="text1"/>
                <w:highlight w:val="none"/>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2</w:t>
            </w:r>
            <w:r>
              <w:rPr>
                <w:rFonts w:ascii="宋体" w:hAnsi="宋体" w:cs="宋体"/>
                <w:color w:val="000000" w:themeColor="text1"/>
                <w:highlight w:val="none"/>
                <w14:textFill>
                  <w14:solidFill>
                    <w14:schemeClr w14:val="tx1"/>
                  </w14:solidFill>
                </w14:textFill>
              </w:rPr>
              <w:t>.</w:t>
            </w:r>
            <w:r>
              <w:rPr>
                <w:rFonts w:hint="eastAsia" w:ascii="宋体" w:hAnsi="宋体" w:cs="宋体"/>
                <w:color w:val="000000" w:themeColor="text1"/>
                <w:highlight w:val="none"/>
                <w14:textFill>
                  <w14:solidFill>
                    <w14:schemeClr w14:val="tx1"/>
                  </w14:solidFill>
                </w14:textFill>
              </w:rPr>
              <w:t>法定代表人身份证明及法定代表人有效身份证正反面复印件（格式后附）；</w:t>
            </w:r>
            <w:r>
              <w:rPr>
                <w:rFonts w:hint="eastAsia" w:ascii="宋体" w:hAnsi="宋体" w:cs="宋体"/>
                <w:b/>
                <w:bCs/>
                <w:color w:val="000000" w:themeColor="text1"/>
                <w:highlight w:val="none"/>
                <w14:textFill>
                  <w14:solidFill>
                    <w14:schemeClr w14:val="tx1"/>
                  </w14:solidFill>
                </w14:textFill>
              </w:rPr>
              <w:t>（除自然人磋商外必须提供，否则响应文件按无效响应处理）</w:t>
            </w:r>
          </w:p>
          <w:p w14:paraId="5DC12ACB">
            <w:pPr>
              <w:spacing w:line="420" w:lineRule="exact"/>
              <w:jc w:val="left"/>
              <w:rPr>
                <w:rFonts w:ascii="宋体"/>
                <w:b/>
                <w:bCs/>
                <w:color w:val="000000" w:themeColor="text1"/>
                <w:highlight w:val="none"/>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3</w:t>
            </w:r>
            <w:r>
              <w:rPr>
                <w:rFonts w:ascii="宋体" w:hAnsi="宋体" w:cs="宋体"/>
                <w:color w:val="000000" w:themeColor="text1"/>
                <w:highlight w:val="none"/>
                <w14:textFill>
                  <w14:solidFill>
                    <w14:schemeClr w14:val="tx1"/>
                  </w14:solidFill>
                </w14:textFill>
              </w:rPr>
              <w:t>.</w:t>
            </w:r>
            <w:r>
              <w:rPr>
                <w:rFonts w:hint="eastAsia" w:ascii="宋体" w:hAnsi="宋体" w:cs="宋体"/>
                <w:color w:val="000000" w:themeColor="text1"/>
                <w:highlight w:val="none"/>
                <w14:textFill>
                  <w14:solidFill>
                    <w14:schemeClr w14:val="tx1"/>
                  </w14:solidFill>
                </w14:textFill>
              </w:rPr>
              <w:t>授权委托书及委托代理人有效身份证正反面复印件（格式后附）；</w:t>
            </w:r>
            <w:r>
              <w:rPr>
                <w:rFonts w:hint="eastAsia" w:ascii="宋体" w:hAnsi="宋体" w:cs="宋体"/>
                <w:b/>
                <w:bCs/>
                <w:color w:val="000000" w:themeColor="text1"/>
                <w:highlight w:val="none"/>
                <w14:textFill>
                  <w14:solidFill>
                    <w14:schemeClr w14:val="tx1"/>
                  </w14:solidFill>
                </w14:textFill>
              </w:rPr>
              <w:t>（委托时必须提供，否则响应文件按无效响应处理）</w:t>
            </w:r>
          </w:p>
          <w:p w14:paraId="6B602A48">
            <w:pPr>
              <w:spacing w:line="420" w:lineRule="exact"/>
              <w:jc w:val="left"/>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4</w:t>
            </w:r>
            <w:r>
              <w:rPr>
                <w:rFonts w:ascii="宋体" w:hAnsi="宋体" w:cs="宋体"/>
                <w:color w:val="000000" w:themeColor="text1"/>
                <w:highlight w:val="none"/>
                <w14:textFill>
                  <w14:solidFill>
                    <w14:schemeClr w14:val="tx1"/>
                  </w14:solidFill>
                </w14:textFill>
              </w:rPr>
              <w:t>.</w:t>
            </w:r>
            <w:r>
              <w:rPr>
                <w:rFonts w:hint="eastAsia" w:ascii="宋体" w:hAnsi="宋体" w:cs="宋体"/>
                <w:color w:val="000000" w:themeColor="text1"/>
                <w:highlight w:val="none"/>
                <w14:textFill>
                  <w14:solidFill>
                    <w14:schemeClr w14:val="tx1"/>
                  </w14:solidFill>
                </w14:textFill>
              </w:rPr>
              <w:t>商务要求偏离表（格式后附）；（</w:t>
            </w:r>
            <w:r>
              <w:rPr>
                <w:rFonts w:hint="eastAsia" w:ascii="宋体" w:hAnsi="宋体" w:cs="宋体"/>
                <w:b/>
                <w:bCs/>
                <w:color w:val="000000" w:themeColor="text1"/>
                <w:highlight w:val="none"/>
                <w14:textFill>
                  <w14:solidFill>
                    <w14:schemeClr w14:val="tx1"/>
                  </w14:solidFill>
                </w14:textFill>
              </w:rPr>
              <w:t>必须提供，否则响应文件按无效响应处理</w:t>
            </w:r>
            <w:r>
              <w:rPr>
                <w:rFonts w:hint="eastAsia" w:ascii="宋体" w:hAnsi="宋体" w:cs="宋体"/>
                <w:color w:val="000000" w:themeColor="text1"/>
                <w:highlight w:val="none"/>
                <w14:textFill>
                  <w14:solidFill>
                    <w14:schemeClr w14:val="tx1"/>
                  </w14:solidFill>
                </w14:textFill>
              </w:rPr>
              <w:t>）</w:t>
            </w:r>
          </w:p>
          <w:p w14:paraId="141D479E">
            <w:pPr>
              <w:spacing w:line="480" w:lineRule="exact"/>
              <w:jc w:val="left"/>
              <w:rPr>
                <w:rFonts w:ascii="宋体" w:hAnsi="宋体" w:cs="宋体"/>
                <w:b/>
                <w:bCs/>
                <w:color w:val="000000" w:themeColor="text1"/>
                <w:highlight w:val="none"/>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5</w:t>
            </w:r>
            <w:r>
              <w:rPr>
                <w:rFonts w:ascii="宋体" w:hAnsi="宋体" w:cs="宋体"/>
                <w:color w:val="000000" w:themeColor="text1"/>
                <w:highlight w:val="none"/>
                <w14:textFill>
                  <w14:solidFill>
                    <w14:schemeClr w14:val="tx1"/>
                  </w14:solidFill>
                </w14:textFill>
              </w:rPr>
              <w:t>.</w:t>
            </w:r>
            <w:r>
              <w:rPr>
                <w:rFonts w:hint="eastAsia" w:ascii="宋体" w:hAnsi="宋体" w:cs="宋体"/>
                <w:color w:val="000000" w:themeColor="text1"/>
                <w:highlight w:val="none"/>
                <w14:textFill>
                  <w14:solidFill>
                    <w14:schemeClr w14:val="tx1"/>
                  </w14:solidFill>
                </w14:textFill>
              </w:rPr>
              <w:t>拟委任的项目经理和项目总工资历表（格式后附）；</w:t>
            </w:r>
            <w:r>
              <w:rPr>
                <w:rFonts w:hint="eastAsia" w:ascii="宋体" w:hAnsi="宋体" w:cs="宋体"/>
                <w:b/>
                <w:bCs/>
                <w:color w:val="000000" w:themeColor="text1"/>
                <w:highlight w:val="none"/>
                <w14:textFill>
                  <w14:solidFill>
                    <w14:schemeClr w14:val="tx1"/>
                  </w14:solidFill>
                </w14:textFill>
              </w:rPr>
              <w:t>（必须提供，否则响应文件按无效响应处理。</w:t>
            </w:r>
          </w:p>
          <w:p w14:paraId="1C61C697">
            <w:pPr>
              <w:spacing w:line="480" w:lineRule="exact"/>
              <w:jc w:val="left"/>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6</w:t>
            </w:r>
            <w:r>
              <w:rPr>
                <w:rFonts w:hint="eastAsia" w:ascii="宋体" w:hAnsi="宋体" w:cs="宋体"/>
                <w:color w:val="000000" w:themeColor="text1"/>
                <w:highlight w:val="none"/>
                <w14:textFill>
                  <w14:solidFill>
                    <w14:schemeClr w14:val="tx1"/>
                  </w14:solidFill>
                </w14:textFill>
              </w:rPr>
              <w:t>.</w:t>
            </w:r>
            <w:r>
              <w:rPr>
                <w:rFonts w:hint="eastAsia" w:ascii="宋体" w:hAnsi="宋体" w:cs="宋体"/>
                <w:color w:val="000000" w:themeColor="text1"/>
                <w:highlight w:val="none"/>
                <w:lang w:eastAsia="zh-CN"/>
                <w14:textFill>
                  <w14:solidFill>
                    <w14:schemeClr w14:val="tx1"/>
                  </w14:solidFill>
                </w14:textFill>
              </w:rPr>
              <w:t>拟委任的主要人员</w:t>
            </w:r>
            <w:r>
              <w:rPr>
                <w:rFonts w:hint="eastAsia" w:ascii="宋体" w:hAnsi="宋体" w:cs="宋体"/>
                <w:color w:val="000000" w:themeColor="text1"/>
                <w:highlight w:val="none"/>
                <w14:textFill>
                  <w14:solidFill>
                    <w14:schemeClr w14:val="tx1"/>
                  </w14:solidFill>
                </w14:textFill>
              </w:rPr>
              <w:t>（项目经理、总工</w:t>
            </w:r>
            <w:r>
              <w:rPr>
                <w:rFonts w:hint="eastAsia" w:ascii="宋体" w:hAnsi="宋体" w:cs="宋体"/>
                <w:color w:val="000000" w:themeColor="text1"/>
                <w:highlight w:val="none"/>
                <w:lang w:eastAsia="zh-CN"/>
                <w14:textFill>
                  <w14:solidFill>
                    <w14:schemeClr w14:val="tx1"/>
                  </w14:solidFill>
                </w14:textFill>
              </w:rPr>
              <w:t>、专职安全员</w:t>
            </w:r>
            <w:r>
              <w:rPr>
                <w:rFonts w:hint="eastAsia" w:ascii="宋体" w:hAnsi="宋体" w:cs="宋体"/>
                <w:color w:val="000000" w:themeColor="text1"/>
                <w:highlight w:val="none"/>
                <w14:textFill>
                  <w14:solidFill>
                    <w14:schemeClr w14:val="tx1"/>
                  </w14:solidFill>
                </w14:textFill>
              </w:rPr>
              <w:t>）无在岗项目承诺书（格式后附）；（</w:t>
            </w:r>
            <w:r>
              <w:rPr>
                <w:rFonts w:hint="eastAsia" w:ascii="宋体" w:hAnsi="宋体" w:cs="宋体"/>
                <w:b/>
                <w:bCs/>
                <w:color w:val="000000" w:themeColor="text1"/>
                <w:highlight w:val="none"/>
                <w14:textFill>
                  <w14:solidFill>
                    <w14:schemeClr w14:val="tx1"/>
                  </w14:solidFill>
                </w14:textFill>
              </w:rPr>
              <w:t>必须提供，否则响应文件按无效响应处理</w:t>
            </w:r>
            <w:r>
              <w:rPr>
                <w:rFonts w:hint="eastAsia" w:ascii="宋体" w:hAnsi="宋体" w:cs="宋体"/>
                <w:color w:val="000000" w:themeColor="text1"/>
                <w:highlight w:val="none"/>
                <w14:textFill>
                  <w14:solidFill>
                    <w14:schemeClr w14:val="tx1"/>
                  </w14:solidFill>
                </w14:textFill>
              </w:rPr>
              <w:t>。</w:t>
            </w:r>
            <w:r>
              <w:rPr>
                <w:rFonts w:hint="eastAsia" w:ascii="宋体" w:hAnsi="宋体" w:cs="宋体"/>
                <w:b/>
                <w:bCs/>
                <w:color w:val="000000" w:themeColor="text1"/>
                <w:highlight w:val="none"/>
                <w14:textFill>
                  <w14:solidFill>
                    <w14:schemeClr w14:val="tx1"/>
                  </w14:solidFill>
                </w14:textFill>
              </w:rPr>
              <w:t>）</w:t>
            </w:r>
          </w:p>
          <w:p w14:paraId="03A1AC9F">
            <w:pPr>
              <w:spacing w:line="420" w:lineRule="exact"/>
              <w:jc w:val="left"/>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7</w:t>
            </w:r>
            <w:r>
              <w:rPr>
                <w:rFonts w:ascii="宋体" w:hAnsi="宋体" w:cs="宋体"/>
                <w:color w:val="000000" w:themeColor="text1"/>
                <w:highlight w:val="none"/>
                <w14:textFill>
                  <w14:solidFill>
                    <w14:schemeClr w14:val="tx1"/>
                  </w14:solidFill>
                </w14:textFill>
              </w:rPr>
              <w:t>.</w:t>
            </w:r>
            <w:r>
              <w:rPr>
                <w:rFonts w:hint="eastAsia" w:ascii="宋体" w:hAnsi="宋体" w:cs="宋体"/>
                <w:color w:val="000000" w:themeColor="text1"/>
                <w:highlight w:val="none"/>
                <w14:textFill>
                  <w14:solidFill>
                    <w14:schemeClr w14:val="tx1"/>
                  </w14:solidFill>
                </w14:textFill>
              </w:rPr>
              <w:t>拟委任的其他管理和技术人员汇总表（格式后附）；</w:t>
            </w:r>
            <w:r>
              <w:rPr>
                <w:rFonts w:hint="eastAsia" w:ascii="宋体" w:hAnsi="宋体" w:cs="宋体"/>
                <w:b/>
                <w:bCs/>
                <w:color w:val="000000" w:themeColor="text1"/>
                <w:highlight w:val="none"/>
                <w14:textFill>
                  <w14:solidFill>
                    <w14:schemeClr w14:val="tx1"/>
                  </w14:solidFill>
                </w14:textFill>
              </w:rPr>
              <w:t>（必须提供，否则响应文件按无效响应处理）</w:t>
            </w:r>
          </w:p>
          <w:p w14:paraId="2B07D243">
            <w:pPr>
              <w:spacing w:line="420" w:lineRule="exact"/>
              <w:jc w:val="left"/>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8</w:t>
            </w:r>
            <w:r>
              <w:rPr>
                <w:rFonts w:ascii="宋体" w:hAnsi="宋体" w:cs="宋体"/>
                <w:color w:val="000000" w:themeColor="text1"/>
                <w:highlight w:val="none"/>
                <w14:textFill>
                  <w14:solidFill>
                    <w14:schemeClr w14:val="tx1"/>
                  </w14:solidFill>
                </w14:textFill>
              </w:rPr>
              <w:t>.</w:t>
            </w:r>
            <w:r>
              <w:rPr>
                <w:rFonts w:hint="eastAsia" w:ascii="宋体" w:hAnsi="宋体" w:cs="宋体"/>
                <w:color w:val="000000" w:themeColor="text1"/>
                <w:highlight w:val="none"/>
                <w14:textFill>
                  <w14:solidFill>
                    <w14:schemeClr w14:val="tx1"/>
                  </w14:solidFill>
                </w14:textFill>
              </w:rPr>
              <w:t>农民工工资保证金承诺书（格式后附）</w:t>
            </w:r>
            <w:r>
              <w:rPr>
                <w:rFonts w:hint="eastAsia" w:ascii="宋体" w:hAnsi="宋体" w:cs="宋体"/>
                <w:color w:val="000000" w:themeColor="text1"/>
                <w:highlight w:val="none"/>
                <w:lang w:eastAsia="zh-CN"/>
                <w14:textFill>
                  <w14:solidFill>
                    <w14:schemeClr w14:val="tx1"/>
                  </w14:solidFill>
                </w14:textFill>
              </w:rPr>
              <w:t>；</w:t>
            </w:r>
            <w:r>
              <w:rPr>
                <w:rFonts w:hint="eastAsia" w:ascii="宋体" w:hAnsi="宋体" w:cs="宋体"/>
                <w:b/>
                <w:bCs/>
                <w:color w:val="000000" w:themeColor="text1"/>
                <w:highlight w:val="none"/>
                <w14:textFill>
                  <w14:solidFill>
                    <w14:schemeClr w14:val="tx1"/>
                  </w14:solidFill>
                </w14:textFill>
              </w:rPr>
              <w:t>（必须提供，否则响应文件按无效响应处理）</w:t>
            </w:r>
          </w:p>
          <w:p w14:paraId="52E1E4D2">
            <w:pPr>
              <w:spacing w:line="420" w:lineRule="exact"/>
              <w:jc w:val="left"/>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9</w:t>
            </w:r>
            <w:r>
              <w:rPr>
                <w:rFonts w:ascii="宋体" w:hAnsi="宋体" w:cs="宋体"/>
                <w:color w:val="000000" w:themeColor="text1"/>
                <w:highlight w:val="none"/>
                <w14:textFill>
                  <w14:solidFill>
                    <w14:schemeClr w14:val="tx1"/>
                  </w14:solidFill>
                </w14:textFill>
              </w:rPr>
              <w:t>.</w:t>
            </w:r>
            <w:r>
              <w:rPr>
                <w:rFonts w:hint="eastAsia" w:ascii="宋体" w:hAnsi="宋体" w:cs="宋体"/>
                <w:color w:val="000000" w:themeColor="text1"/>
                <w:highlight w:val="none"/>
                <w14:textFill>
                  <w14:solidFill>
                    <w14:schemeClr w14:val="tx1"/>
                  </w14:solidFill>
                </w14:textFill>
              </w:rPr>
              <w:t>针对本项目的项目实施方案（格式自拟）；</w:t>
            </w:r>
            <w:r>
              <w:rPr>
                <w:rFonts w:hint="eastAsia" w:ascii="宋体" w:hAnsi="宋体" w:cs="宋体"/>
                <w:b/>
                <w:bCs/>
                <w:color w:val="000000" w:themeColor="text1"/>
                <w:highlight w:val="none"/>
                <w14:textFill>
                  <w14:solidFill>
                    <w14:schemeClr w14:val="tx1"/>
                  </w14:solidFill>
                </w14:textFill>
              </w:rPr>
              <w:t>（必须提供，否则响应文件按无效响应处理）</w:t>
            </w:r>
          </w:p>
          <w:p w14:paraId="7B57C3BE">
            <w:pPr>
              <w:spacing w:line="420" w:lineRule="exact"/>
              <w:jc w:val="left"/>
              <w:rPr>
                <w:rFonts w:hint="eastAsia" w:ascii="宋体" w:hAnsi="宋体" w:eastAsia="宋体" w:cs="宋体"/>
                <w:color w:val="000000" w:themeColor="text1"/>
                <w:highlight w:val="none"/>
                <w:lang w:eastAsia="zh-CN"/>
                <w14:textFill>
                  <w14:solidFill>
                    <w14:schemeClr w14:val="tx1"/>
                  </w14:solidFill>
                </w14:textFill>
              </w:rPr>
            </w:pPr>
            <w:r>
              <w:rPr>
                <w:rFonts w:ascii="宋体" w:hAnsi="宋体" w:cs="宋体"/>
                <w:color w:val="000000" w:themeColor="text1"/>
                <w:highlight w:val="none"/>
                <w14:textFill>
                  <w14:solidFill>
                    <w14:schemeClr w14:val="tx1"/>
                  </w14:solidFill>
                </w14:textFill>
              </w:rPr>
              <w:t>1</w:t>
            </w:r>
            <w:r>
              <w:rPr>
                <w:rFonts w:hint="eastAsia" w:ascii="宋体" w:hAnsi="宋体" w:cs="宋体"/>
                <w:color w:val="000000" w:themeColor="text1"/>
                <w:highlight w:val="none"/>
                <w:lang w:val="en-US" w:eastAsia="zh-CN"/>
                <w14:textFill>
                  <w14:solidFill>
                    <w14:schemeClr w14:val="tx1"/>
                  </w14:solidFill>
                </w14:textFill>
              </w:rPr>
              <w:t>0</w:t>
            </w:r>
            <w:r>
              <w:rPr>
                <w:rFonts w:ascii="宋体" w:hAnsi="宋体" w:cs="宋体"/>
                <w:color w:val="000000" w:themeColor="text1"/>
                <w:highlight w:val="none"/>
                <w14:textFill>
                  <w14:solidFill>
                    <w14:schemeClr w14:val="tx1"/>
                  </w14:solidFill>
                </w14:textFill>
              </w:rPr>
              <w:t>.</w:t>
            </w:r>
            <w:r>
              <w:rPr>
                <w:rFonts w:hint="eastAsia" w:ascii="宋体" w:hAnsi="宋体" w:cs="宋体"/>
                <w:color w:val="000000" w:themeColor="text1"/>
                <w:highlight w:val="none"/>
                <w14:textFill>
                  <w14:solidFill>
                    <w14:schemeClr w14:val="tx1"/>
                  </w14:solidFill>
                </w14:textFill>
              </w:rPr>
              <w:t>企业信誉实力文件</w:t>
            </w:r>
            <w:r>
              <w:rPr>
                <w:rFonts w:hint="eastAsia" w:ascii="宋体" w:hAnsi="宋体" w:cs="宋体"/>
                <w:color w:val="000000" w:themeColor="text1"/>
                <w:highlight w:val="none"/>
                <w:lang w:eastAsia="zh-CN"/>
                <w14:textFill>
                  <w14:solidFill>
                    <w14:schemeClr w14:val="tx1"/>
                  </w14:solidFill>
                </w14:textFill>
              </w:rPr>
              <w:t>（</w:t>
            </w:r>
            <w:r>
              <w:rPr>
                <w:rFonts w:hint="eastAsia" w:ascii="宋体" w:hAnsi="宋体" w:cs="宋体"/>
                <w:color w:val="000000" w:themeColor="text1"/>
                <w:highlight w:val="none"/>
                <w:lang w:val="en-US" w:eastAsia="zh-CN"/>
                <w14:textFill>
                  <w14:solidFill>
                    <w14:schemeClr w14:val="tx1"/>
                  </w14:solidFill>
                </w14:textFill>
              </w:rPr>
              <w:t>格式</w:t>
            </w:r>
            <w:r>
              <w:rPr>
                <w:rFonts w:hint="eastAsia" w:ascii="宋体" w:hAnsi="宋体" w:cs="宋体"/>
                <w:color w:val="000000" w:themeColor="text1"/>
                <w:highlight w:val="none"/>
                <w14:textFill>
                  <w14:solidFill>
                    <w14:schemeClr w14:val="tx1"/>
                  </w14:solidFill>
                </w14:textFill>
              </w:rPr>
              <w:t>后附</w:t>
            </w:r>
            <w:r>
              <w:rPr>
                <w:rFonts w:hint="eastAsia" w:ascii="宋体" w:hAnsi="宋体" w:cs="宋体"/>
                <w:color w:val="000000" w:themeColor="text1"/>
                <w:highlight w:val="none"/>
                <w:lang w:eastAsia="zh-CN"/>
                <w14:textFill>
                  <w14:solidFill>
                    <w14:schemeClr w14:val="tx1"/>
                  </w14:solidFill>
                </w14:textFill>
              </w:rPr>
              <w:t>）；（</w:t>
            </w:r>
            <w:r>
              <w:rPr>
                <w:rFonts w:hint="eastAsia" w:ascii="宋体" w:hAnsi="宋体" w:cs="宋体"/>
                <w:color w:val="000000" w:themeColor="text1"/>
                <w:highlight w:val="none"/>
                <w:lang w:val="en-US" w:eastAsia="zh-CN"/>
                <w14:textFill>
                  <w14:solidFill>
                    <w14:schemeClr w14:val="tx1"/>
                  </w14:solidFill>
                </w14:textFill>
              </w:rPr>
              <w:t>如有</w:t>
            </w:r>
            <w:r>
              <w:rPr>
                <w:rFonts w:hint="eastAsia" w:ascii="宋体" w:hAnsi="宋体" w:cs="宋体"/>
                <w:color w:val="000000" w:themeColor="text1"/>
                <w:highlight w:val="none"/>
                <w:lang w:eastAsia="zh-CN"/>
                <w14:textFill>
                  <w14:solidFill>
                    <w14:schemeClr w14:val="tx1"/>
                  </w14:solidFill>
                </w14:textFill>
              </w:rPr>
              <w:t>）</w:t>
            </w:r>
          </w:p>
          <w:p w14:paraId="16CC22BA">
            <w:pPr>
              <w:spacing w:line="420" w:lineRule="exact"/>
              <w:jc w:val="left"/>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11.</w:t>
            </w:r>
            <w:r>
              <w:rPr>
                <w:rFonts w:hint="eastAsia" w:ascii="宋体" w:hAnsi="宋体" w:cs="宋体"/>
                <w:color w:val="000000" w:themeColor="text1"/>
                <w:highlight w:val="none"/>
                <w14:textFill>
                  <w14:solidFill>
                    <w14:schemeClr w14:val="tx1"/>
                  </w14:solidFill>
                </w14:textFill>
              </w:rPr>
              <w:t>供应商认为需要提供的其他有关资料。</w:t>
            </w:r>
          </w:p>
          <w:p w14:paraId="38DE9049">
            <w:pPr>
              <w:snapToGrid w:val="0"/>
              <w:spacing w:line="420" w:lineRule="exact"/>
              <w:ind w:firstLine="422" w:firstLineChars="200"/>
              <w:jc w:val="left"/>
              <w:rPr>
                <w:rFonts w:hint="eastAsia" w:ascii="宋体" w:hAnsi="宋体" w:cs="宋体"/>
                <w:b/>
                <w:bCs/>
                <w:color w:val="000000" w:themeColor="text1"/>
                <w:highlight w:val="none"/>
                <w14:textFill>
                  <w14:solidFill>
                    <w14:schemeClr w14:val="tx1"/>
                  </w14:solidFill>
                </w14:textFill>
              </w:rPr>
            </w:pPr>
            <w:r>
              <w:rPr>
                <w:rFonts w:hint="eastAsia" w:ascii="宋体" w:hAnsi="宋体" w:cs="宋体"/>
                <w:b/>
                <w:bCs/>
                <w:color w:val="000000" w:themeColor="text1"/>
                <w:highlight w:val="none"/>
                <w14:textFill>
                  <w14:solidFill>
                    <w14:schemeClr w14:val="tx1"/>
                  </w14:solidFill>
                </w14:textFill>
              </w:rPr>
              <w:t>注：以上标明“必须提供”的材料属于复印件的，必须加盖供应商公章，否则响应文件按无效响应处理。</w:t>
            </w:r>
          </w:p>
        </w:tc>
      </w:tr>
      <w:tr w14:paraId="3CE580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92" w:type="dxa"/>
            <w:vAlign w:val="center"/>
          </w:tcPr>
          <w:p w14:paraId="326F333D">
            <w:pPr>
              <w:spacing w:line="420" w:lineRule="exact"/>
              <w:jc w:val="center"/>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15</w:t>
            </w:r>
          </w:p>
        </w:tc>
        <w:tc>
          <w:tcPr>
            <w:tcW w:w="8627" w:type="dxa"/>
            <w:vAlign w:val="center"/>
          </w:tcPr>
          <w:p w14:paraId="5A095C98">
            <w:pPr>
              <w:snapToGrid w:val="0"/>
              <w:spacing w:line="420" w:lineRule="exact"/>
              <w:jc w:val="left"/>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1.</w:t>
            </w:r>
            <w:r>
              <w:rPr>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磋商报价表中的价格应包括为实施和完成合同工程所需的劳务、材料、机械、质检（自检）、安装、缺陷修复、管理、保险、税费、利润等费用，以及合同明示或暗示的所有责任、义务和一般风险。</w:t>
            </w:r>
          </w:p>
          <w:p w14:paraId="10AA81D0">
            <w:pPr>
              <w:snapToGrid w:val="0"/>
              <w:spacing w:line="420" w:lineRule="exact"/>
              <w:jc w:val="left"/>
              <w:rPr>
                <w:rFonts w:ascii="宋体"/>
                <w:b/>
                <w:bCs/>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2.</w:t>
            </w:r>
            <w:r>
              <w:rPr>
                <w:rFonts w:hint="eastAsia" w:ascii="宋体" w:hAnsi="宋体" w:cs="宋体"/>
                <w:b/>
                <w:bCs/>
                <w:color w:val="000000" w:themeColor="text1"/>
                <w:highlight w:val="none"/>
                <w14:textFill>
                  <w14:solidFill>
                    <w14:schemeClr w14:val="tx1"/>
                  </w14:solidFill>
                </w14:textFill>
              </w:rPr>
              <w:t>本工程磋商报价采用工程量清单报价。供应商应就采购人提供的工程量清单全部内容作完整唯一报价。已标价工程量清单中</w:t>
            </w:r>
            <w:r>
              <w:rPr>
                <w:rFonts w:hint="eastAsia" w:cs="宋体"/>
                <w:b/>
                <w:color w:val="000000" w:themeColor="text1"/>
                <w:highlight w:val="none"/>
                <w14:textFill>
                  <w14:solidFill>
                    <w14:schemeClr w14:val="tx1"/>
                  </w14:solidFill>
                </w14:textFill>
              </w:rPr>
              <w:t>供应商</w:t>
            </w:r>
            <w:r>
              <w:rPr>
                <w:rFonts w:hint="eastAsia" w:ascii="宋体" w:hAnsi="宋体" w:cs="宋体"/>
                <w:b/>
                <w:bCs/>
                <w:color w:val="000000" w:themeColor="text1"/>
                <w:highlight w:val="none"/>
                <w14:textFill>
                  <w14:solidFill>
                    <w14:schemeClr w14:val="tx1"/>
                  </w14:solidFill>
                </w14:textFill>
              </w:rPr>
              <w:t>没有填入单价或价格的子目</w:t>
            </w:r>
            <w:r>
              <w:rPr>
                <w:rFonts w:hint="eastAsia" w:ascii="宋体" w:cs="宋体"/>
                <w:b/>
                <w:bCs/>
                <w:color w:val="000000" w:themeColor="text1"/>
                <w:highlight w:val="none"/>
                <w14:textFill>
                  <w14:solidFill>
                    <w14:schemeClr w14:val="tx1"/>
                  </w14:solidFill>
                </w14:textFill>
              </w:rPr>
              <w:t>，</w:t>
            </w:r>
            <w:r>
              <w:rPr>
                <w:rFonts w:hint="eastAsia" w:ascii="宋体" w:hAnsi="宋体" w:cs="宋体"/>
                <w:b/>
                <w:bCs/>
                <w:color w:val="000000" w:themeColor="text1"/>
                <w:highlight w:val="none"/>
                <w14:textFill>
                  <w14:solidFill>
                    <w14:schemeClr w14:val="tx1"/>
                  </w14:solidFill>
                </w14:textFill>
              </w:rPr>
              <w:t>其费用视为已分摊在工程量清单中其他相关子目的单价或价格之中，供应商必须按监理人指令完成工程量清单中未填人单价或价格的子目</w:t>
            </w:r>
            <w:r>
              <w:rPr>
                <w:rFonts w:hint="eastAsia" w:ascii="宋体" w:cs="宋体"/>
                <w:b/>
                <w:bCs/>
                <w:color w:val="000000" w:themeColor="text1"/>
                <w:highlight w:val="none"/>
                <w14:textFill>
                  <w14:solidFill>
                    <w14:schemeClr w14:val="tx1"/>
                  </w14:solidFill>
                </w14:textFill>
              </w:rPr>
              <w:t>，</w:t>
            </w:r>
            <w:r>
              <w:rPr>
                <w:rFonts w:hint="eastAsia" w:ascii="宋体" w:hAnsi="宋体" w:cs="宋体"/>
                <w:b/>
                <w:bCs/>
                <w:color w:val="000000" w:themeColor="text1"/>
                <w:highlight w:val="none"/>
                <w14:textFill>
                  <w14:solidFill>
                    <w14:schemeClr w14:val="tx1"/>
                  </w14:solidFill>
                </w14:textFill>
              </w:rPr>
              <w:t>但不能得到结算与支付。</w:t>
            </w:r>
          </w:p>
          <w:p w14:paraId="7EBF1E5D">
            <w:pPr>
              <w:snapToGrid w:val="0"/>
              <w:spacing w:line="420" w:lineRule="exact"/>
              <w:jc w:val="left"/>
              <w:rPr>
                <w:rFonts w:ascii="宋体"/>
                <w:b/>
                <w:bCs/>
                <w:color w:val="000000" w:themeColor="text1"/>
                <w:highlight w:val="none"/>
                <w14:textFill>
                  <w14:solidFill>
                    <w14:schemeClr w14:val="tx1"/>
                  </w14:solidFill>
                </w14:textFill>
              </w:rPr>
            </w:pPr>
            <w:r>
              <w:rPr>
                <w:rFonts w:ascii="宋体" w:hAnsi="宋体" w:cs="宋体"/>
                <w:b/>
                <w:bCs/>
                <w:color w:val="000000" w:themeColor="text1"/>
                <w:highlight w:val="none"/>
                <w14:textFill>
                  <w14:solidFill>
                    <w14:schemeClr w14:val="tx1"/>
                  </w14:solidFill>
                </w14:textFill>
              </w:rPr>
              <w:t>3.</w:t>
            </w:r>
            <w:r>
              <w:rPr>
                <w:rFonts w:hint="eastAsia" w:ascii="宋体" w:hAnsi="宋体" w:cs="宋体"/>
                <w:b/>
                <w:bCs/>
                <w:color w:val="000000" w:themeColor="text1"/>
                <w:highlight w:val="none"/>
                <w14:textFill>
                  <w14:solidFill>
                    <w14:schemeClr w14:val="tx1"/>
                  </w14:solidFill>
                </w14:textFill>
              </w:rPr>
              <w:t>若最后报价有变动，必须将最后报价的固化清单加盖电子签章以附件形式上传，否则磋商响应无效。</w:t>
            </w:r>
          </w:p>
        </w:tc>
      </w:tr>
      <w:tr w14:paraId="7B58EF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92" w:type="dxa"/>
            <w:vAlign w:val="center"/>
          </w:tcPr>
          <w:p w14:paraId="5146612F">
            <w:pPr>
              <w:spacing w:line="420" w:lineRule="exact"/>
              <w:jc w:val="center"/>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16.2</w:t>
            </w:r>
          </w:p>
        </w:tc>
        <w:tc>
          <w:tcPr>
            <w:tcW w:w="8627" w:type="dxa"/>
            <w:vAlign w:val="center"/>
          </w:tcPr>
          <w:p w14:paraId="67B959F6">
            <w:pPr>
              <w:spacing w:line="420" w:lineRule="exact"/>
              <w:jc w:val="left"/>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磋商有效期：首次响应文件提交截止之日起</w:t>
            </w:r>
            <w:r>
              <w:rPr>
                <w:rFonts w:ascii="宋体" w:hAnsi="宋体" w:cs="宋体"/>
                <w:color w:val="000000" w:themeColor="text1"/>
                <w:highlight w:val="none"/>
                <w14:textFill>
                  <w14:solidFill>
                    <w14:schemeClr w14:val="tx1"/>
                  </w14:solidFill>
                </w14:textFill>
              </w:rPr>
              <w:t>60</w:t>
            </w:r>
            <w:r>
              <w:rPr>
                <w:rFonts w:hint="eastAsia" w:ascii="宋体" w:hAnsi="宋体" w:cs="宋体"/>
                <w:color w:val="000000" w:themeColor="text1"/>
                <w:highlight w:val="none"/>
                <w14:textFill>
                  <w14:solidFill>
                    <w14:schemeClr w14:val="tx1"/>
                  </w14:solidFill>
                </w14:textFill>
              </w:rPr>
              <w:t>天内。</w:t>
            </w:r>
          </w:p>
        </w:tc>
      </w:tr>
      <w:tr w14:paraId="575497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92" w:type="dxa"/>
            <w:vAlign w:val="center"/>
          </w:tcPr>
          <w:p w14:paraId="6793896C">
            <w:pPr>
              <w:spacing w:line="420" w:lineRule="exact"/>
              <w:jc w:val="center"/>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17.1</w:t>
            </w:r>
          </w:p>
        </w:tc>
        <w:tc>
          <w:tcPr>
            <w:tcW w:w="8627" w:type="dxa"/>
            <w:vAlign w:val="center"/>
          </w:tcPr>
          <w:p w14:paraId="598C7653">
            <w:pPr>
              <w:spacing w:line="420" w:lineRule="exact"/>
              <w:jc w:val="left"/>
              <w:rPr>
                <w:rFonts w:ascii="宋体"/>
                <w:color w:val="000000" w:themeColor="text1"/>
                <w:kern w:val="0"/>
                <w:highlight w:val="none"/>
                <w14:textFill>
                  <w14:solidFill>
                    <w14:schemeClr w14:val="tx1"/>
                  </w14:solidFill>
                </w14:textFill>
              </w:rPr>
            </w:pPr>
            <w:r>
              <w:rPr>
                <w:rFonts w:hint="eastAsia" w:ascii="宋体" w:hAnsi="宋体" w:cs="宋体"/>
                <w:color w:val="000000" w:themeColor="text1"/>
                <w:kern w:val="0"/>
                <w:highlight w:val="none"/>
                <w14:textFill>
                  <w14:solidFill>
                    <w14:schemeClr w14:val="tx1"/>
                  </w14:solidFill>
                </w14:textFill>
              </w:rPr>
              <w:t>本项目收取磋商保证金，具体规定如下：</w:t>
            </w:r>
          </w:p>
          <w:p w14:paraId="159CFB70">
            <w:pPr>
              <w:spacing w:line="420" w:lineRule="exact"/>
              <w:jc w:val="left"/>
              <w:rPr>
                <w:rFonts w:ascii="宋体"/>
                <w:color w:val="000000" w:themeColor="text1"/>
                <w:kern w:val="0"/>
                <w:highlight w:val="none"/>
                <w14:textFill>
                  <w14:solidFill>
                    <w14:schemeClr w14:val="tx1"/>
                  </w14:solidFill>
                </w14:textFill>
              </w:rPr>
            </w:pPr>
            <w:r>
              <w:rPr>
                <w:rFonts w:hint="eastAsia" w:ascii="宋体" w:hAnsi="宋体" w:cs="宋体"/>
                <w:color w:val="000000" w:themeColor="text1"/>
                <w:kern w:val="0"/>
                <w:highlight w:val="none"/>
                <w14:textFill>
                  <w14:solidFill>
                    <w14:schemeClr w14:val="tx1"/>
                  </w14:solidFill>
                </w14:textFill>
              </w:rPr>
              <w:t>磋商保证金人民币</w:t>
            </w:r>
            <w:r>
              <w:rPr>
                <w:rFonts w:ascii="宋体" w:hAnsi="宋体" w:cs="宋体"/>
                <w:color w:val="000000" w:themeColor="text1"/>
                <w:kern w:val="0"/>
                <w:highlight w:val="none"/>
                <w:u w:val="single"/>
                <w14:textFill>
                  <w14:solidFill>
                    <w14:schemeClr w14:val="tx1"/>
                  </w14:solidFill>
                </w14:textFill>
              </w:rPr>
              <w:t>0</w:t>
            </w:r>
            <w:r>
              <w:rPr>
                <w:rFonts w:hint="eastAsia" w:ascii="宋体" w:hAnsi="宋体" w:cs="宋体"/>
                <w:color w:val="000000" w:themeColor="text1"/>
                <w:kern w:val="0"/>
                <w:highlight w:val="none"/>
                <w:u w:val="single"/>
                <w14:textFill>
                  <w14:solidFill>
                    <w14:schemeClr w14:val="tx1"/>
                  </w14:solidFill>
                </w14:textFill>
              </w:rPr>
              <w:t>.0元</w:t>
            </w:r>
            <w:r>
              <w:rPr>
                <w:rFonts w:hint="eastAsia" w:ascii="宋体" w:hAnsi="宋体" w:cs="宋体"/>
                <w:color w:val="000000" w:themeColor="text1"/>
                <w:kern w:val="0"/>
                <w:highlight w:val="none"/>
                <w14:textFill>
                  <w14:solidFill>
                    <w14:schemeClr w14:val="tx1"/>
                  </w14:solidFill>
                </w14:textFill>
              </w:rPr>
              <w:t>。</w:t>
            </w:r>
          </w:p>
          <w:p w14:paraId="34DC4890">
            <w:pPr>
              <w:widowControl/>
              <w:adjustRightInd w:val="0"/>
              <w:snapToGrid w:val="0"/>
              <w:spacing w:after="200" w:line="440" w:lineRule="exact"/>
              <w:ind w:firstLine="420" w:firstLineChars="200"/>
              <w:jc w:val="left"/>
              <w:rPr>
                <w:rFonts w:ascii="宋体"/>
                <w:color w:val="000000" w:themeColor="text1"/>
                <w:kern w:val="0"/>
                <w:highlight w:val="none"/>
                <w14:textFill>
                  <w14:solidFill>
                    <w14:schemeClr w14:val="tx1"/>
                  </w14:solidFill>
                </w14:textFill>
              </w:rPr>
            </w:pPr>
            <w:r>
              <w:rPr>
                <w:rFonts w:hint="eastAsia" w:ascii="宋体" w:hAnsi="宋体" w:cs="宋体"/>
                <w:color w:val="000000" w:themeColor="text1"/>
                <w:kern w:val="0"/>
                <w:highlight w:val="none"/>
                <w14:textFill>
                  <w14:solidFill>
                    <w14:schemeClr w14:val="tx1"/>
                  </w14:solidFill>
                </w14:textFill>
              </w:rPr>
              <w:t>磋商保证金的交纳方式：电汇、转账、网上银行支付、支票、汇票、本票或者金融机构、担保机构出具的保险、保函、电子保函等非现金形式递交。采用电汇、转账、网上银行支付方式的，在磋商截止时间前交至采购代理机构保证金专户。</w:t>
            </w:r>
          </w:p>
          <w:p w14:paraId="36D10B47">
            <w:pPr>
              <w:widowControl/>
              <w:adjustRightInd w:val="0"/>
              <w:snapToGrid w:val="0"/>
              <w:spacing w:after="200"/>
              <w:ind w:firstLine="420" w:firstLineChars="200"/>
              <w:jc w:val="left"/>
              <w:rPr>
                <w:rFonts w:ascii="宋体"/>
                <w:color w:val="000000" w:themeColor="text1"/>
                <w:kern w:val="0"/>
                <w:highlight w:val="none"/>
                <w14:textFill>
                  <w14:solidFill>
                    <w14:schemeClr w14:val="tx1"/>
                  </w14:solidFill>
                </w14:textFill>
              </w:rPr>
            </w:pPr>
            <w:r>
              <w:rPr>
                <w:rFonts w:hint="eastAsia" w:ascii="宋体" w:hAnsi="宋体" w:cs="宋体"/>
                <w:color w:val="000000" w:themeColor="text1"/>
                <w:kern w:val="0"/>
                <w:highlight w:val="none"/>
                <w14:textFill>
                  <w14:solidFill>
                    <w14:schemeClr w14:val="tx1"/>
                  </w14:solidFill>
                </w14:textFill>
              </w:rPr>
              <w:t>开户名称：/</w:t>
            </w:r>
          </w:p>
          <w:p w14:paraId="6E43AC61">
            <w:pPr>
              <w:widowControl/>
              <w:adjustRightInd w:val="0"/>
              <w:snapToGrid w:val="0"/>
              <w:spacing w:after="200"/>
              <w:ind w:firstLine="420" w:firstLineChars="200"/>
              <w:jc w:val="left"/>
              <w:rPr>
                <w:rFonts w:ascii="宋体"/>
                <w:color w:val="000000" w:themeColor="text1"/>
                <w:kern w:val="0"/>
                <w:highlight w:val="none"/>
                <w14:textFill>
                  <w14:solidFill>
                    <w14:schemeClr w14:val="tx1"/>
                  </w14:solidFill>
                </w14:textFill>
              </w:rPr>
            </w:pPr>
            <w:r>
              <w:rPr>
                <w:rFonts w:hint="eastAsia" w:ascii="宋体" w:hAnsi="宋体" w:cs="宋体"/>
                <w:color w:val="000000" w:themeColor="text1"/>
                <w:kern w:val="0"/>
                <w:highlight w:val="none"/>
                <w14:textFill>
                  <w14:solidFill>
                    <w14:schemeClr w14:val="tx1"/>
                  </w14:solidFill>
                </w14:textFill>
              </w:rPr>
              <w:t>银行账号：/</w:t>
            </w:r>
          </w:p>
          <w:p w14:paraId="0EA39949">
            <w:pPr>
              <w:widowControl/>
              <w:adjustRightInd w:val="0"/>
              <w:snapToGrid w:val="0"/>
              <w:spacing w:after="200"/>
              <w:ind w:firstLine="420" w:firstLineChars="200"/>
              <w:jc w:val="left"/>
              <w:rPr>
                <w:rFonts w:ascii="宋体"/>
                <w:color w:val="000000" w:themeColor="text1"/>
                <w:kern w:val="0"/>
                <w:highlight w:val="none"/>
                <w14:textFill>
                  <w14:solidFill>
                    <w14:schemeClr w14:val="tx1"/>
                  </w14:solidFill>
                </w14:textFill>
              </w:rPr>
            </w:pPr>
            <w:r>
              <w:rPr>
                <w:rFonts w:hint="eastAsia" w:ascii="宋体" w:hAnsi="宋体" w:cs="宋体"/>
                <w:color w:val="000000" w:themeColor="text1"/>
                <w:kern w:val="0"/>
                <w:highlight w:val="none"/>
                <w14:textFill>
                  <w14:solidFill>
                    <w14:schemeClr w14:val="tx1"/>
                  </w14:solidFill>
                </w14:textFill>
              </w:rPr>
              <w:t>开户银行：/</w:t>
            </w:r>
          </w:p>
          <w:p w14:paraId="43FA882E">
            <w:pPr>
              <w:snapToGrid w:val="0"/>
              <w:spacing w:line="420" w:lineRule="exact"/>
              <w:jc w:val="left"/>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相关要求：</w:t>
            </w:r>
          </w:p>
          <w:p w14:paraId="3BB72EE9">
            <w:pPr>
              <w:snapToGrid w:val="0"/>
              <w:spacing w:line="420" w:lineRule="exact"/>
              <w:jc w:val="left"/>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1.</w:t>
            </w:r>
            <w:r>
              <w:rPr>
                <w:rFonts w:hint="eastAsia" w:ascii="宋体" w:hAnsi="宋体" w:cs="宋体"/>
                <w:color w:val="000000" w:themeColor="text1"/>
                <w:highlight w:val="none"/>
                <w14:textFill>
                  <w14:solidFill>
                    <w14:schemeClr w14:val="tx1"/>
                  </w14:solidFill>
                </w14:textFill>
              </w:rPr>
              <w:t>磋商保证金采用银行转账交纳方式的，在响应文件提交截止时间前交至指定账户并且到账，供应商应将银行转账底单的复印件作为磋商保证金提交凭证，放置于报价商务技术文件中，</w:t>
            </w:r>
            <w:r>
              <w:rPr>
                <w:rFonts w:hint="eastAsia" w:ascii="宋体" w:hAnsi="宋体" w:cs="宋体"/>
                <w:b/>
                <w:bCs/>
                <w:color w:val="000000" w:themeColor="text1"/>
                <w:highlight w:val="none"/>
                <w14:textFill>
                  <w14:solidFill>
                    <w14:schemeClr w14:val="tx1"/>
                  </w14:solidFill>
                </w14:textFill>
              </w:rPr>
              <w:t>否则响应文件按无效响应处理</w:t>
            </w:r>
            <w:r>
              <w:rPr>
                <w:rFonts w:hint="eastAsia" w:ascii="宋体" w:hAnsi="宋体" w:cs="宋体"/>
                <w:color w:val="000000" w:themeColor="text1"/>
                <w:highlight w:val="none"/>
                <w14:textFill>
                  <w14:solidFill>
                    <w14:schemeClr w14:val="tx1"/>
                  </w14:solidFill>
                </w14:textFill>
              </w:rPr>
              <w:t>。</w:t>
            </w:r>
          </w:p>
          <w:p w14:paraId="02D4FBBB">
            <w:pPr>
              <w:snapToGrid w:val="0"/>
              <w:spacing w:line="420" w:lineRule="exact"/>
              <w:jc w:val="left"/>
              <w:rPr>
                <w:rFonts w:ascii="宋体"/>
                <w:b/>
                <w:bCs/>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2.</w:t>
            </w:r>
            <w:r>
              <w:rPr>
                <w:rFonts w:hint="eastAsia" w:ascii="宋体" w:hAnsi="宋体" w:cs="宋体"/>
                <w:color w:val="000000" w:themeColor="text1"/>
                <w:highlight w:val="none"/>
                <w14:textFill>
                  <w14:solidFill>
                    <w14:schemeClr w14:val="tx1"/>
                  </w14:solidFill>
                </w14:textFill>
              </w:rPr>
              <w:t>磋商保证金采用银行转账、支票、汇票、本票、银行出具的保函或保险机构出具的保函、保险单等非现金形式，供应商应将支票、汇票、本票或者金融、担保机构出具的保函的复印件作为磋商保证金提交凭证，放置于报价商务技术文件中，</w:t>
            </w:r>
            <w:r>
              <w:rPr>
                <w:rFonts w:hint="eastAsia" w:ascii="宋体" w:hAnsi="宋体" w:cs="宋体"/>
                <w:b/>
                <w:bCs/>
                <w:color w:val="000000" w:themeColor="text1"/>
                <w:highlight w:val="none"/>
                <w14:textFill>
                  <w14:solidFill>
                    <w14:schemeClr w14:val="tx1"/>
                  </w14:solidFill>
                </w14:textFill>
              </w:rPr>
              <w:t>否则响应文件按无效响应处理</w:t>
            </w:r>
            <w:r>
              <w:rPr>
                <w:rFonts w:hint="eastAsia" w:ascii="宋体" w:hAnsi="宋体" w:cs="宋体"/>
                <w:color w:val="000000" w:themeColor="text1"/>
                <w:highlight w:val="none"/>
                <w14:textFill>
                  <w14:solidFill>
                    <w14:schemeClr w14:val="tx1"/>
                  </w14:solidFill>
                </w14:textFill>
              </w:rPr>
              <w:t>。</w:t>
            </w:r>
            <w:r>
              <w:rPr>
                <w:rFonts w:hint="eastAsia" w:ascii="宋体" w:hAnsi="宋体" w:cs="宋体"/>
                <w:b/>
                <w:bCs/>
                <w:color w:val="000000" w:themeColor="text1"/>
                <w:highlight w:val="none"/>
                <w14:textFill>
                  <w14:solidFill>
                    <w14:schemeClr w14:val="tx1"/>
                  </w14:solidFill>
                </w14:textFill>
              </w:rPr>
              <w:t>供应商必须在首次响应文件提交截止时间前将支票、汇票、本票或者金融、担保机构出具的保函原件提交给采购代理机构，由采购代理机构向供应商出具回执，并妥善保管。</w:t>
            </w:r>
          </w:p>
          <w:p w14:paraId="2A3660AC">
            <w:pPr>
              <w:snapToGrid w:val="0"/>
              <w:spacing w:line="420" w:lineRule="exact"/>
              <w:jc w:val="left"/>
              <w:rPr>
                <w:rFonts w:ascii="宋体"/>
                <w:b/>
                <w:bCs/>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3.</w:t>
            </w:r>
            <w:r>
              <w:rPr>
                <w:rFonts w:hint="eastAsia" w:ascii="宋体" w:hAnsi="宋体" w:cs="宋体"/>
                <w:color w:val="000000" w:themeColor="text1"/>
                <w:highlight w:val="none"/>
                <w14:textFill>
                  <w14:solidFill>
                    <w14:schemeClr w14:val="tx1"/>
                  </w14:solidFill>
                </w14:textFill>
              </w:rPr>
              <w:t>供应商为联合体的，可以由联合体中的一方或者多方共同交纳磋商保证金，其交纳的保证金对联合体各方均具有约束力。</w:t>
            </w:r>
          </w:p>
          <w:p w14:paraId="35A9C142">
            <w:pPr>
              <w:snapToGrid w:val="0"/>
              <w:spacing w:line="420" w:lineRule="exact"/>
              <w:jc w:val="left"/>
              <w:rPr>
                <w:rFonts w:ascii="宋体"/>
                <w:b/>
                <w:bCs/>
                <w:color w:val="000000" w:themeColor="text1"/>
                <w:highlight w:val="none"/>
                <w14:textFill>
                  <w14:solidFill>
                    <w14:schemeClr w14:val="tx1"/>
                  </w14:solidFill>
                </w14:textFill>
              </w:rPr>
            </w:pPr>
            <w:r>
              <w:rPr>
                <w:rFonts w:hint="eastAsia" w:ascii="宋体" w:hAnsi="宋体" w:cs="宋体"/>
                <w:b/>
                <w:bCs/>
                <w:color w:val="000000" w:themeColor="text1"/>
                <w:highlight w:val="none"/>
                <w14:textFill>
                  <w14:solidFill>
                    <w14:schemeClr w14:val="tx1"/>
                  </w14:solidFill>
                </w14:textFill>
              </w:rPr>
              <w:t>备注：</w:t>
            </w:r>
          </w:p>
          <w:p w14:paraId="3401AA76">
            <w:pPr>
              <w:snapToGrid w:val="0"/>
              <w:spacing w:line="420" w:lineRule="exact"/>
              <w:jc w:val="left"/>
              <w:rPr>
                <w:rFonts w:ascii="宋体"/>
                <w:b/>
                <w:bCs/>
                <w:color w:val="000000" w:themeColor="text1"/>
                <w:highlight w:val="none"/>
                <w14:textFill>
                  <w14:solidFill>
                    <w14:schemeClr w14:val="tx1"/>
                  </w14:solidFill>
                </w14:textFill>
              </w:rPr>
            </w:pPr>
            <w:r>
              <w:rPr>
                <w:rFonts w:hint="eastAsia" w:ascii="宋体" w:hAnsi="宋体" w:cs="宋体"/>
                <w:b/>
                <w:bCs/>
                <w:color w:val="000000" w:themeColor="text1"/>
                <w:highlight w:val="none"/>
                <w14:textFill>
                  <w14:solidFill>
                    <w14:schemeClr w14:val="tx1"/>
                  </w14:solidFill>
                </w14:textFill>
              </w:rPr>
              <w:t>①磋商保证金在响应文件提交截止时间后提交的，或者不按规定交纳方式交纳的，或者未足额交纳的（包含保函额度不足的），视为无效磋商保证金。</w:t>
            </w:r>
          </w:p>
          <w:p w14:paraId="660CFA5B">
            <w:pPr>
              <w:snapToGrid w:val="0"/>
              <w:spacing w:line="420" w:lineRule="exact"/>
              <w:jc w:val="left"/>
              <w:rPr>
                <w:rFonts w:ascii="宋体"/>
                <w:b/>
                <w:bCs/>
                <w:color w:val="000000" w:themeColor="text1"/>
                <w:highlight w:val="none"/>
                <w14:textFill>
                  <w14:solidFill>
                    <w14:schemeClr w14:val="tx1"/>
                  </w14:solidFill>
                </w14:textFill>
              </w:rPr>
            </w:pPr>
            <w:r>
              <w:rPr>
                <w:rFonts w:hint="eastAsia" w:ascii="宋体" w:hAnsi="宋体" w:cs="宋体"/>
                <w:b/>
                <w:bCs/>
                <w:color w:val="000000" w:themeColor="text1"/>
                <w:highlight w:val="none"/>
                <w14:textFill>
                  <w14:solidFill>
                    <w14:schemeClr w14:val="tx1"/>
                  </w14:solidFill>
                </w14:textFill>
              </w:rPr>
              <w:t>②供应商采用现钞方式或者从个人账户（自然人磋商除外）转出的磋商保证金，视为无效磋商保证金。</w:t>
            </w:r>
          </w:p>
          <w:p w14:paraId="3BDCF8B8">
            <w:pPr>
              <w:snapToGrid w:val="0"/>
              <w:spacing w:line="420" w:lineRule="exact"/>
              <w:jc w:val="left"/>
              <w:rPr>
                <w:rFonts w:ascii="宋体"/>
                <w:b/>
                <w:bCs/>
                <w:color w:val="000000" w:themeColor="text1"/>
                <w:highlight w:val="none"/>
                <w14:textFill>
                  <w14:solidFill>
                    <w14:schemeClr w14:val="tx1"/>
                  </w14:solidFill>
                </w14:textFill>
              </w:rPr>
            </w:pPr>
            <w:r>
              <w:rPr>
                <w:rFonts w:hint="eastAsia" w:ascii="宋体" w:hAnsi="宋体" w:cs="宋体"/>
                <w:b/>
                <w:bCs/>
                <w:color w:val="000000" w:themeColor="text1"/>
                <w:highlight w:val="none"/>
                <w14:textFill>
                  <w14:solidFill>
                    <w14:schemeClr w14:val="tx1"/>
                  </w14:solidFill>
                </w14:textFill>
              </w:rPr>
              <w:t>③支票、汇票或者本票出现无效或者背书情形的，视为无效磋商保证金。</w:t>
            </w:r>
          </w:p>
          <w:p w14:paraId="0D1BB6B1">
            <w:pPr>
              <w:snapToGrid w:val="0"/>
              <w:spacing w:line="420" w:lineRule="exact"/>
              <w:jc w:val="left"/>
              <w:rPr>
                <w:rFonts w:ascii="宋体"/>
                <w:b/>
                <w:bCs/>
                <w:color w:val="000000" w:themeColor="text1"/>
                <w:highlight w:val="none"/>
                <w14:textFill>
                  <w14:solidFill>
                    <w14:schemeClr w14:val="tx1"/>
                  </w14:solidFill>
                </w14:textFill>
              </w:rPr>
            </w:pPr>
            <w:r>
              <w:rPr>
                <w:rFonts w:hint="eastAsia" w:ascii="宋体" w:hAnsi="宋体" w:cs="宋体"/>
                <w:b/>
                <w:bCs/>
                <w:color w:val="000000" w:themeColor="text1"/>
                <w:highlight w:val="none"/>
                <w14:textFill>
                  <w14:solidFill>
                    <w14:schemeClr w14:val="tx1"/>
                  </w14:solidFill>
                </w14:textFill>
              </w:rPr>
              <w:t>④保函有效期低于磋商有效期的，视为无效磋商保证金。</w:t>
            </w:r>
          </w:p>
          <w:p w14:paraId="43B3851F">
            <w:pPr>
              <w:snapToGrid w:val="0"/>
              <w:spacing w:line="420" w:lineRule="exact"/>
              <w:jc w:val="left"/>
              <w:rPr>
                <w:rFonts w:ascii="宋体"/>
                <w:b/>
                <w:bCs/>
                <w:color w:val="000000" w:themeColor="text1"/>
                <w:highlight w:val="none"/>
                <w14:textFill>
                  <w14:solidFill>
                    <w14:schemeClr w14:val="tx1"/>
                  </w14:solidFill>
                </w14:textFill>
              </w:rPr>
            </w:pPr>
            <w:r>
              <w:rPr>
                <w:rFonts w:hint="eastAsia" w:ascii="宋体" w:hAnsi="宋体" w:cs="宋体"/>
                <w:b/>
                <w:bCs/>
                <w:color w:val="000000" w:themeColor="text1"/>
                <w:highlight w:val="none"/>
                <w14:textFill>
                  <w14:solidFill>
                    <w14:schemeClr w14:val="tx1"/>
                  </w14:solidFill>
                </w14:textFill>
              </w:rPr>
              <w:t>⑤采用金融、担保机构出具保函的，必须为无条件保函，否则视为无效磋商保证金。</w:t>
            </w:r>
          </w:p>
          <w:p w14:paraId="32CEB1B7">
            <w:pPr>
              <w:snapToGrid w:val="0"/>
              <w:spacing w:line="420" w:lineRule="exact"/>
              <w:jc w:val="left"/>
              <w:rPr>
                <w:rFonts w:ascii="宋体"/>
                <w:color w:val="000000" w:themeColor="text1"/>
                <w:highlight w:val="none"/>
                <w14:textFill>
                  <w14:solidFill>
                    <w14:schemeClr w14:val="tx1"/>
                  </w14:solidFill>
                </w14:textFill>
              </w:rPr>
            </w:pPr>
            <w:r>
              <w:rPr>
                <w:rFonts w:hint="eastAsia" w:ascii="宋体" w:hAnsi="宋体" w:cs="宋体"/>
                <w:b/>
                <w:bCs/>
                <w:color w:val="000000" w:themeColor="text1"/>
                <w:highlight w:val="none"/>
                <w14:textFill>
                  <w14:solidFill>
                    <w14:schemeClr w14:val="tx1"/>
                  </w14:solidFill>
                </w14:textFill>
              </w:rPr>
              <w:t>⑥磋商保证金凭证应注明正确的项目编号，否则，信息不明确或有误的将可能被视为无效磋商保证金，并有可能影响磋商保证金的及时退付。</w:t>
            </w:r>
          </w:p>
        </w:tc>
      </w:tr>
      <w:tr w14:paraId="62C8D5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92" w:type="dxa"/>
            <w:vAlign w:val="center"/>
          </w:tcPr>
          <w:p w14:paraId="5D28143C">
            <w:pPr>
              <w:spacing w:line="420" w:lineRule="exact"/>
              <w:jc w:val="center"/>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18.2</w:t>
            </w:r>
          </w:p>
        </w:tc>
        <w:tc>
          <w:tcPr>
            <w:tcW w:w="8627" w:type="dxa"/>
            <w:vAlign w:val="center"/>
          </w:tcPr>
          <w:p w14:paraId="4DE40A08">
            <w:pPr>
              <w:spacing w:line="420" w:lineRule="exact"/>
              <w:jc w:val="left"/>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响应文件应按资格证明文件、报价商务技术文件分别编制，并按广西政府采购云平台的要求编制、加密、上传。</w:t>
            </w:r>
          </w:p>
        </w:tc>
      </w:tr>
      <w:tr w14:paraId="0323EC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92" w:type="dxa"/>
            <w:vAlign w:val="center"/>
          </w:tcPr>
          <w:p w14:paraId="293E5D92">
            <w:pPr>
              <w:spacing w:line="420" w:lineRule="exact"/>
              <w:jc w:val="center"/>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20.1</w:t>
            </w:r>
          </w:p>
        </w:tc>
        <w:tc>
          <w:tcPr>
            <w:tcW w:w="8627" w:type="dxa"/>
            <w:vAlign w:val="center"/>
          </w:tcPr>
          <w:p w14:paraId="41E0E55E">
            <w:pPr>
              <w:spacing w:line="420" w:lineRule="exact"/>
              <w:jc w:val="left"/>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首次响应文件提交截止时间：详见竞争性磋商公告。</w:t>
            </w:r>
          </w:p>
          <w:p w14:paraId="3C187270">
            <w:pPr>
              <w:spacing w:line="420" w:lineRule="exact"/>
              <w:jc w:val="left"/>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首次响应文件提交地点：详见竞争性磋商公告。</w:t>
            </w:r>
          </w:p>
        </w:tc>
      </w:tr>
      <w:tr w14:paraId="6B2802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92" w:type="dxa"/>
            <w:vAlign w:val="center"/>
          </w:tcPr>
          <w:p w14:paraId="43CB0178">
            <w:pPr>
              <w:spacing w:line="420" w:lineRule="exact"/>
              <w:jc w:val="center"/>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24.1</w:t>
            </w:r>
          </w:p>
        </w:tc>
        <w:tc>
          <w:tcPr>
            <w:tcW w:w="8627" w:type="dxa"/>
            <w:vAlign w:val="center"/>
          </w:tcPr>
          <w:p w14:paraId="281F3E32">
            <w:pPr>
              <w:snapToGrid w:val="0"/>
              <w:spacing w:line="420" w:lineRule="exact"/>
              <w:jc w:val="left"/>
              <w:rPr>
                <w:rFonts w:ascii="宋体"/>
                <w:color w:val="000000" w:themeColor="text1"/>
                <w:highlight w:val="none"/>
                <w:u w:val="singl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磋商小组的人数：</w:t>
            </w:r>
            <w:r>
              <w:rPr>
                <w:rFonts w:ascii="宋体" w:hAnsi="宋体" w:cs="宋体"/>
                <w:color w:val="000000" w:themeColor="text1"/>
                <w:highlight w:val="none"/>
                <w14:textFill>
                  <w14:solidFill>
                    <w14:schemeClr w14:val="tx1"/>
                  </w14:solidFill>
                </w14:textFill>
              </w:rPr>
              <w:t>3</w:t>
            </w:r>
            <w:r>
              <w:rPr>
                <w:rFonts w:hint="eastAsia" w:ascii="宋体" w:hAnsi="宋体" w:cs="宋体"/>
                <w:color w:val="000000" w:themeColor="text1"/>
                <w:highlight w:val="none"/>
                <w14:textFill>
                  <w14:solidFill>
                    <w14:schemeClr w14:val="tx1"/>
                  </w14:solidFill>
                </w14:textFill>
              </w:rPr>
              <w:t>人。</w:t>
            </w:r>
          </w:p>
        </w:tc>
      </w:tr>
      <w:tr w14:paraId="6B929D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92" w:type="dxa"/>
            <w:vAlign w:val="center"/>
          </w:tcPr>
          <w:p w14:paraId="6ED674E2">
            <w:pPr>
              <w:spacing w:line="420" w:lineRule="exact"/>
              <w:jc w:val="center"/>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25.2</w:t>
            </w:r>
          </w:p>
        </w:tc>
        <w:tc>
          <w:tcPr>
            <w:tcW w:w="8627" w:type="dxa"/>
            <w:vAlign w:val="center"/>
          </w:tcPr>
          <w:p w14:paraId="6A9F33D8">
            <w:pPr>
              <w:snapToGrid w:val="0"/>
              <w:spacing w:line="420" w:lineRule="exact"/>
              <w:jc w:val="left"/>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采购代理机构将依托电子交易平台发起开始解密指令，</w:t>
            </w:r>
            <w:r>
              <w:rPr>
                <w:rFonts w:hint="eastAsia" w:ascii="宋体" w:hAnsi="宋体" w:cs="宋体"/>
                <w:b/>
                <w:bCs/>
                <w:color w:val="000000" w:themeColor="text1"/>
                <w:highlight w:val="none"/>
                <w14:textFill>
                  <w14:solidFill>
                    <w14:schemeClr w14:val="tx1"/>
                  </w14:solidFill>
                </w14:textFill>
              </w:rPr>
              <w:t>供应商的法定代表人或其委托代理人须携带加密时所用的</w:t>
            </w:r>
            <w:r>
              <w:rPr>
                <w:rFonts w:ascii="宋体" w:hAnsi="宋体" w:cs="宋体"/>
                <w:b/>
                <w:bCs/>
                <w:color w:val="000000" w:themeColor="text1"/>
                <w:highlight w:val="none"/>
                <w14:textFill>
                  <w14:solidFill>
                    <w14:schemeClr w14:val="tx1"/>
                  </w14:solidFill>
                </w14:textFill>
              </w:rPr>
              <w:t>CA</w:t>
            </w:r>
            <w:r>
              <w:rPr>
                <w:rFonts w:hint="eastAsia" w:ascii="宋体" w:hAnsi="宋体" w:cs="宋体"/>
                <w:b/>
                <w:bCs/>
                <w:color w:val="000000" w:themeColor="text1"/>
                <w:highlight w:val="none"/>
                <w14:textFill>
                  <w14:solidFill>
                    <w14:schemeClr w14:val="tx1"/>
                  </w14:solidFill>
                </w14:textFill>
              </w:rPr>
              <w:t>锁按平台提示和采购文件的规定登录到广西政府采购云平台电子开标大厅签到并在发起解密指令之时起</w:t>
            </w:r>
            <w:r>
              <w:rPr>
                <w:rFonts w:ascii="宋体" w:hAnsi="宋体" w:cs="宋体"/>
                <w:b/>
                <w:bCs/>
                <w:color w:val="000000" w:themeColor="text1"/>
                <w:highlight w:val="none"/>
                <w14:textFill>
                  <w14:solidFill>
                    <w14:schemeClr w14:val="tx1"/>
                  </w14:solidFill>
                </w14:textFill>
              </w:rPr>
              <w:t>30</w:t>
            </w:r>
            <w:r>
              <w:rPr>
                <w:rFonts w:hint="eastAsia" w:ascii="宋体" w:hAnsi="宋体" w:cs="宋体"/>
                <w:b/>
                <w:bCs/>
                <w:color w:val="000000" w:themeColor="text1"/>
                <w:highlight w:val="none"/>
                <w14:textFill>
                  <w14:solidFill>
                    <w14:schemeClr w14:val="tx1"/>
                  </w14:solidFill>
                </w14:textFill>
              </w:rPr>
              <w:t>分钟内完成对电子响应文件在线解密。响应文件未按时解密的，视为响应文件无效。</w:t>
            </w:r>
          </w:p>
        </w:tc>
      </w:tr>
      <w:tr w14:paraId="25084C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92" w:type="dxa"/>
            <w:vMerge w:val="restart"/>
            <w:vAlign w:val="center"/>
          </w:tcPr>
          <w:p w14:paraId="4D6AC594">
            <w:pPr>
              <w:spacing w:line="420" w:lineRule="exact"/>
              <w:jc w:val="center"/>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26</w:t>
            </w:r>
          </w:p>
        </w:tc>
        <w:tc>
          <w:tcPr>
            <w:tcW w:w="8627" w:type="dxa"/>
            <w:vAlign w:val="center"/>
          </w:tcPr>
          <w:p w14:paraId="710481DB">
            <w:pPr>
              <w:snapToGrid w:val="0"/>
              <w:spacing w:line="420" w:lineRule="exact"/>
              <w:jc w:val="left"/>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商务要求评审中允许负偏离的条款数为</w:t>
            </w:r>
            <w:r>
              <w:rPr>
                <w:rFonts w:ascii="宋体" w:cs="宋体"/>
                <w:color w:val="000000" w:themeColor="text1"/>
                <w:highlight w:val="none"/>
                <w:u w:val="single"/>
                <w14:textFill>
                  <w14:solidFill>
                    <w14:schemeClr w14:val="tx1"/>
                  </w14:solidFill>
                </w14:textFill>
              </w:rPr>
              <w:t>0</w:t>
            </w:r>
            <w:r>
              <w:rPr>
                <w:rFonts w:hint="eastAsia" w:ascii="宋体" w:hAnsi="宋体" w:cs="宋体"/>
                <w:color w:val="000000" w:themeColor="text1"/>
                <w:highlight w:val="none"/>
                <w14:textFill>
                  <w14:solidFill>
                    <w14:schemeClr w14:val="tx1"/>
                  </w14:solidFill>
                </w14:textFill>
              </w:rPr>
              <w:t>项。</w:t>
            </w:r>
          </w:p>
          <w:p w14:paraId="2E8D2EC0">
            <w:pPr>
              <w:snapToGrid w:val="0"/>
              <w:spacing w:line="420" w:lineRule="exact"/>
              <w:jc w:val="left"/>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技术要求评审中允许负偏离的条款数为</w:t>
            </w:r>
            <w:r>
              <w:rPr>
                <w:rFonts w:ascii="宋体" w:cs="宋体"/>
                <w:color w:val="000000" w:themeColor="text1"/>
                <w:highlight w:val="none"/>
                <w:u w:val="single"/>
                <w14:textFill>
                  <w14:solidFill>
                    <w14:schemeClr w14:val="tx1"/>
                  </w14:solidFill>
                </w14:textFill>
              </w:rPr>
              <w:t>0</w:t>
            </w:r>
            <w:r>
              <w:rPr>
                <w:rFonts w:hint="eastAsia" w:ascii="宋体" w:hAnsi="宋体" w:cs="宋体"/>
                <w:color w:val="000000" w:themeColor="text1"/>
                <w:highlight w:val="none"/>
                <w14:textFill>
                  <w14:solidFill>
                    <w14:schemeClr w14:val="tx1"/>
                  </w14:solidFill>
                </w14:textFill>
              </w:rPr>
              <w:t>项。</w:t>
            </w:r>
          </w:p>
        </w:tc>
      </w:tr>
      <w:tr w14:paraId="068492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92" w:type="dxa"/>
            <w:vMerge w:val="continue"/>
            <w:vAlign w:val="center"/>
          </w:tcPr>
          <w:p w14:paraId="4539CA15">
            <w:pPr>
              <w:spacing w:line="420" w:lineRule="exact"/>
              <w:jc w:val="center"/>
              <w:rPr>
                <w:rFonts w:ascii="宋体"/>
                <w:color w:val="000000" w:themeColor="text1"/>
                <w:highlight w:val="none"/>
                <w14:textFill>
                  <w14:solidFill>
                    <w14:schemeClr w14:val="tx1"/>
                  </w14:solidFill>
                </w14:textFill>
              </w:rPr>
            </w:pPr>
          </w:p>
        </w:tc>
        <w:tc>
          <w:tcPr>
            <w:tcW w:w="8627" w:type="dxa"/>
            <w:vAlign w:val="center"/>
          </w:tcPr>
          <w:p w14:paraId="25D4BDAA">
            <w:pPr>
              <w:snapToGrid w:val="0"/>
              <w:spacing w:line="420" w:lineRule="exact"/>
              <w:jc w:val="left"/>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磋商的顺序：按“政采云”系统的编号顺序。</w:t>
            </w:r>
          </w:p>
          <w:p w14:paraId="35EBFB6D">
            <w:pPr>
              <w:snapToGrid w:val="0"/>
              <w:spacing w:line="420" w:lineRule="exact"/>
              <w:jc w:val="left"/>
              <w:rPr>
                <w:rFonts w:ascii="宋体"/>
                <w:b/>
                <w:bCs/>
                <w:color w:val="000000" w:themeColor="text1"/>
                <w:highlight w:val="none"/>
                <w14:textFill>
                  <w14:solidFill>
                    <w14:schemeClr w14:val="tx1"/>
                  </w14:solidFill>
                </w14:textFill>
              </w:rPr>
            </w:pPr>
            <w:r>
              <w:rPr>
                <w:rFonts w:hint="eastAsia" w:ascii="宋体" w:hAnsi="宋体" w:cs="宋体"/>
                <w:b/>
                <w:bCs/>
                <w:color w:val="000000" w:themeColor="text1"/>
                <w:highlight w:val="none"/>
                <w14:textFill>
                  <w14:solidFill>
                    <w14:schemeClr w14:val="tx1"/>
                  </w14:solidFill>
                </w14:textFill>
              </w:rPr>
              <w:t>符合磋商资格的供应商必须在接到磋商通知后规定时间内参加磋商，未在规定时间内参加磋商的视同放弃参加磋商权利，其响应文件按无效响应处理。</w:t>
            </w:r>
          </w:p>
          <w:p w14:paraId="0BD3B2AC">
            <w:pPr>
              <w:snapToGrid w:val="0"/>
              <w:spacing w:line="420" w:lineRule="exact"/>
              <w:jc w:val="left"/>
              <w:rPr>
                <w:rFonts w:ascii="宋体"/>
                <w:color w:val="000000" w:themeColor="text1"/>
                <w:highlight w:val="none"/>
                <w14:textFill>
                  <w14:solidFill>
                    <w14:schemeClr w14:val="tx1"/>
                  </w14:solidFill>
                </w14:textFill>
              </w:rPr>
            </w:pPr>
            <w:r>
              <w:rPr>
                <w:rFonts w:hint="eastAsia" w:ascii="宋体" w:hAnsi="宋体" w:cs="宋体"/>
                <w:b/>
                <w:bCs/>
                <w:color w:val="000000" w:themeColor="text1"/>
                <w:highlight w:val="none"/>
                <w14:textFill>
                  <w14:solidFill>
                    <w14:schemeClr w14:val="tx1"/>
                  </w14:solidFill>
                </w14:textFill>
              </w:rPr>
              <w:t>注：参与磋商前，供应商法定代表人或者委托代理人向磋商小组出示本人有效证件原件</w:t>
            </w:r>
            <w:r>
              <w:rPr>
                <w:rFonts w:ascii="宋体" w:hAnsi="宋体" w:cs="宋体"/>
                <w:b/>
                <w:bCs/>
                <w:color w:val="000000" w:themeColor="text1"/>
                <w:highlight w:val="none"/>
                <w14:textFill>
                  <w14:solidFill>
                    <w14:schemeClr w14:val="tx1"/>
                  </w14:solidFill>
                </w14:textFill>
              </w:rPr>
              <w:t>[</w:t>
            </w:r>
            <w:r>
              <w:rPr>
                <w:rFonts w:hint="eastAsia" w:ascii="宋体" w:hAnsi="宋体" w:cs="宋体"/>
                <w:b/>
                <w:bCs/>
                <w:color w:val="000000" w:themeColor="text1"/>
                <w:highlight w:val="none"/>
                <w14:textFill>
                  <w14:solidFill>
                    <w14:schemeClr w14:val="tx1"/>
                  </w14:solidFill>
                </w14:textFill>
              </w:rPr>
              <w:t>有效证件可以是身份证（含临时身份证明）或者护照的其中一项</w:t>
            </w:r>
            <w:r>
              <w:rPr>
                <w:rFonts w:ascii="宋体" w:hAnsi="宋体" w:cs="宋体"/>
                <w:b/>
                <w:bCs/>
                <w:color w:val="000000" w:themeColor="text1"/>
                <w:highlight w:val="none"/>
                <w14:textFill>
                  <w14:solidFill>
                    <w14:schemeClr w14:val="tx1"/>
                  </w14:solidFill>
                </w14:textFill>
              </w:rPr>
              <w:t>]</w:t>
            </w:r>
            <w:r>
              <w:rPr>
                <w:rFonts w:hint="eastAsia" w:ascii="宋体" w:hAnsi="宋体" w:cs="宋体"/>
                <w:b/>
                <w:bCs/>
                <w:color w:val="000000" w:themeColor="text1"/>
                <w:highlight w:val="none"/>
                <w14:textFill>
                  <w14:solidFill>
                    <w14:schemeClr w14:val="tx1"/>
                  </w14:solidFill>
                </w14:textFill>
              </w:rPr>
              <w:t>。</w:t>
            </w:r>
          </w:p>
        </w:tc>
      </w:tr>
      <w:tr w14:paraId="1F8FAD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92" w:type="dxa"/>
            <w:vAlign w:val="center"/>
          </w:tcPr>
          <w:p w14:paraId="0FDBB875">
            <w:pPr>
              <w:spacing w:line="420" w:lineRule="exact"/>
              <w:jc w:val="center"/>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28.1</w:t>
            </w:r>
          </w:p>
        </w:tc>
        <w:tc>
          <w:tcPr>
            <w:tcW w:w="8627" w:type="dxa"/>
            <w:vAlign w:val="center"/>
          </w:tcPr>
          <w:p w14:paraId="4F8C9F56">
            <w:pPr>
              <w:autoSpaceDE w:val="0"/>
              <w:autoSpaceDN w:val="0"/>
              <w:snapToGrid w:val="0"/>
              <w:spacing w:line="360" w:lineRule="auto"/>
              <w:textAlignment w:val="bottom"/>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本项目收取履约保证金，具体规定如下：</w:t>
            </w:r>
          </w:p>
          <w:p w14:paraId="45B8CE53">
            <w:pPr>
              <w:spacing w:line="360" w:lineRule="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履约保证金金额：按成交金额的</w:t>
            </w:r>
            <w:r>
              <w:rPr>
                <w:rFonts w:ascii="宋体" w:hAnsi="宋体" w:cs="宋体"/>
                <w:color w:val="000000" w:themeColor="text1"/>
                <w:highlight w:val="none"/>
                <w14:textFill>
                  <w14:solidFill>
                    <w14:schemeClr w14:val="tx1"/>
                  </w14:solidFill>
                </w14:textFill>
              </w:rPr>
              <w:t>2%</w:t>
            </w:r>
            <w:r>
              <w:rPr>
                <w:rFonts w:hint="eastAsia" w:ascii="宋体" w:hAnsi="宋体" w:cs="宋体"/>
                <w:color w:val="000000" w:themeColor="text1"/>
                <w:highlight w:val="none"/>
                <w14:textFill>
                  <w14:solidFill>
                    <w14:schemeClr w14:val="tx1"/>
                  </w14:solidFill>
                </w14:textFill>
              </w:rPr>
              <w:t>。</w:t>
            </w:r>
          </w:p>
          <w:p w14:paraId="414732E5">
            <w:pPr>
              <w:spacing w:line="36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履约保证金提交方式：银行转账、支票、汇票、本票或者金融、担保机构出具的保函等非现金方式。</w:t>
            </w:r>
          </w:p>
          <w:p w14:paraId="452F5237">
            <w:pPr>
              <w:spacing w:line="36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履约保证金指定账户：</w:t>
            </w:r>
          </w:p>
          <w:p w14:paraId="3D946DE3">
            <w:pPr>
              <w:spacing w:line="36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开户名称：广西壮族自治区金秀公路养护中心</w:t>
            </w:r>
          </w:p>
          <w:p w14:paraId="1FC682E3">
            <w:pPr>
              <w:spacing w:line="36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开户银行：中国农业银行股份有限公司金秀桐木支行</w:t>
            </w:r>
          </w:p>
          <w:p w14:paraId="5FC36B72">
            <w:pPr>
              <w:spacing w:line="36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银行账号：20170601040003757</w:t>
            </w:r>
          </w:p>
          <w:p w14:paraId="76A19A2F">
            <w:pPr>
              <w:autoSpaceDE w:val="0"/>
              <w:autoSpaceDN w:val="0"/>
              <w:spacing w:line="360" w:lineRule="auto"/>
              <w:textAlignment w:val="bottom"/>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本项目收取质量保证金，具体规定如下：</w:t>
            </w:r>
          </w:p>
          <w:p w14:paraId="3346E073">
            <w:pPr>
              <w:spacing w:line="360" w:lineRule="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质量保证金金额：按成交金额的</w:t>
            </w:r>
            <w:r>
              <w:rPr>
                <w:rFonts w:ascii="宋体" w:hAnsi="宋体" w:cs="宋体"/>
                <w:color w:val="000000" w:themeColor="text1"/>
                <w:highlight w:val="none"/>
                <w14:textFill>
                  <w14:solidFill>
                    <w14:schemeClr w14:val="tx1"/>
                  </w14:solidFill>
                </w14:textFill>
              </w:rPr>
              <w:t xml:space="preserve">3% </w:t>
            </w:r>
          </w:p>
          <w:p w14:paraId="68A9F079">
            <w:pPr>
              <w:spacing w:line="360" w:lineRule="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质量保证金提交方式：银行转账、支票、汇票、本票或者金融、担保机构出具的保函等非现金方式。</w:t>
            </w:r>
          </w:p>
          <w:p w14:paraId="357252A1">
            <w:pPr>
              <w:spacing w:line="360" w:lineRule="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质量保证金相关规定：采用交通运输部《公路工程标准施工招标文件》（</w:t>
            </w:r>
            <w:r>
              <w:rPr>
                <w:rFonts w:ascii="宋体" w:hAnsi="宋体" w:cs="宋体"/>
                <w:color w:val="000000" w:themeColor="text1"/>
                <w:highlight w:val="none"/>
                <w14:textFill>
                  <w14:solidFill>
                    <w14:schemeClr w14:val="tx1"/>
                  </w14:solidFill>
                </w14:textFill>
              </w:rPr>
              <w:t xml:space="preserve">2018 </w:t>
            </w:r>
            <w:r>
              <w:rPr>
                <w:rFonts w:hint="eastAsia" w:ascii="宋体" w:hAnsi="宋体" w:cs="宋体"/>
                <w:color w:val="000000" w:themeColor="text1"/>
                <w:highlight w:val="none"/>
                <w14:textFill>
                  <w14:solidFill>
                    <w14:schemeClr w14:val="tx1"/>
                  </w14:solidFill>
                </w14:textFill>
              </w:rPr>
              <w:t>年版）的“通用合同条款”</w:t>
            </w:r>
            <w:r>
              <w:rPr>
                <w:rFonts w:hint="eastAsia"/>
                <w:b/>
                <w:bCs/>
                <w:color w:val="000000" w:themeColor="text1"/>
                <w:highlight w:val="none"/>
                <w14:textFill>
                  <w14:solidFill>
                    <w14:schemeClr w14:val="tx1"/>
                  </w14:solidFill>
                </w14:textFill>
              </w:rPr>
              <w:t>、</w:t>
            </w:r>
            <w:r>
              <w:rPr>
                <w:rFonts w:hint="eastAsia"/>
                <w:color w:val="000000" w:themeColor="text1"/>
                <w:highlight w:val="none"/>
                <w14:textFill>
                  <w14:solidFill>
                    <w14:schemeClr w14:val="tx1"/>
                  </w14:solidFill>
                </w14:textFill>
              </w:rPr>
              <w:t>“公路工程专用合同条款”相关条款执行。</w:t>
            </w:r>
          </w:p>
          <w:p w14:paraId="7AFA7561">
            <w:pPr>
              <w:spacing w:line="360" w:lineRule="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质量保证金指定账户：</w:t>
            </w:r>
          </w:p>
          <w:p w14:paraId="2513F4A5">
            <w:pPr>
              <w:spacing w:line="360" w:lineRule="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开户名称：广西壮族自治区金秀公路养护中心</w:t>
            </w:r>
          </w:p>
          <w:p w14:paraId="167B12FC">
            <w:pPr>
              <w:spacing w:line="360" w:lineRule="auto"/>
              <w:rPr>
                <w:rFonts w:hint="eastAsia"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开户银行：中国农业银行股份有限公司金秀桐木支行</w:t>
            </w:r>
          </w:p>
          <w:p w14:paraId="0D89AE72">
            <w:pPr>
              <w:spacing w:line="360" w:lineRule="auto"/>
              <w:rPr>
                <w:rFonts w:hint="eastAsia"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银行账号：20170601040003757</w:t>
            </w:r>
          </w:p>
          <w:p w14:paraId="02CA50A8">
            <w:pPr>
              <w:spacing w:line="360" w:lineRule="auto"/>
              <w:rPr>
                <w:rFonts w:hint="eastAsia"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备注：</w:t>
            </w:r>
          </w:p>
          <w:p w14:paraId="4E0EAD7E">
            <w:pPr>
              <w:spacing w:line="360" w:lineRule="auto"/>
              <w:rPr>
                <w:rFonts w:ascii="宋体" w:hAnsi="宋体" w:cs="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1.</w:t>
            </w:r>
            <w:r>
              <w:rPr>
                <w:rFonts w:hint="eastAsia" w:ascii="宋体" w:hAnsi="宋体" w:cs="宋体"/>
                <w:color w:val="000000" w:themeColor="text1"/>
                <w:highlight w:val="none"/>
                <w14:textFill>
                  <w14:solidFill>
                    <w14:schemeClr w14:val="tx1"/>
                  </w14:solidFill>
                </w14:textFill>
              </w:rPr>
              <w:t>根据《广西壮族自治区财政厅关于持续优化政府采购营商环境推动高质量发展的通知》（桂财采〔</w:t>
            </w:r>
            <w:r>
              <w:rPr>
                <w:rFonts w:ascii="宋体" w:hAnsi="宋体" w:cs="宋体"/>
                <w:color w:val="000000" w:themeColor="text1"/>
                <w:highlight w:val="none"/>
                <w14:textFill>
                  <w14:solidFill>
                    <w14:schemeClr w14:val="tx1"/>
                  </w14:solidFill>
                </w14:textFill>
              </w:rPr>
              <w:t>2024</w:t>
            </w:r>
            <w:r>
              <w:rPr>
                <w:rFonts w:hint="eastAsia" w:ascii="宋体" w:hAnsi="宋体" w:cs="宋体"/>
                <w:color w:val="000000" w:themeColor="text1"/>
                <w:highlight w:val="none"/>
                <w14:textFill>
                  <w14:solidFill>
                    <w14:schemeClr w14:val="tx1"/>
                  </w14:solidFill>
                </w14:textFill>
              </w:rPr>
              <w:t>〕</w:t>
            </w:r>
            <w:r>
              <w:rPr>
                <w:rFonts w:ascii="宋体" w:hAnsi="宋体" w:cs="宋体"/>
                <w:color w:val="000000" w:themeColor="text1"/>
                <w:highlight w:val="none"/>
                <w14:textFill>
                  <w14:solidFill>
                    <w14:schemeClr w14:val="tx1"/>
                  </w14:solidFill>
                </w14:textFill>
              </w:rPr>
              <w:t>55</w:t>
            </w:r>
            <w:r>
              <w:rPr>
                <w:rFonts w:hint="eastAsia" w:ascii="宋体" w:hAnsi="宋体" w:cs="宋体"/>
                <w:color w:val="000000" w:themeColor="text1"/>
                <w:highlight w:val="none"/>
                <w14:textFill>
                  <w14:solidFill>
                    <w14:schemeClr w14:val="tx1"/>
                  </w14:solidFill>
                </w14:textFill>
              </w:rPr>
              <w:t>号）规定，对中小企业收取的履约保证金数额不得超过政府采购合同金额的</w:t>
            </w:r>
            <w:r>
              <w:rPr>
                <w:rFonts w:ascii="宋体" w:hAnsi="宋体" w:cs="宋体"/>
                <w:color w:val="000000" w:themeColor="text1"/>
                <w:highlight w:val="none"/>
                <w14:textFill>
                  <w14:solidFill>
                    <w14:schemeClr w14:val="tx1"/>
                  </w14:solidFill>
                </w14:textFill>
              </w:rPr>
              <w:t xml:space="preserve"> 2%</w:t>
            </w:r>
            <w:r>
              <w:rPr>
                <w:rFonts w:hint="eastAsia" w:ascii="宋体" w:hAnsi="宋体" w:cs="宋体"/>
                <w:color w:val="000000" w:themeColor="text1"/>
                <w:highlight w:val="none"/>
                <w14:textFill>
                  <w14:solidFill>
                    <w14:schemeClr w14:val="tx1"/>
                  </w14:solidFill>
                </w14:textFill>
              </w:rPr>
              <w:t>。</w:t>
            </w:r>
          </w:p>
          <w:p w14:paraId="1AF6BE9C">
            <w:pPr>
              <w:spacing w:line="420" w:lineRule="exact"/>
              <w:rPr>
                <w:rFonts w:ascii="宋体" w:hAnsi="宋体" w:cs="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2.</w:t>
            </w:r>
            <w:r>
              <w:rPr>
                <w:rFonts w:hint="eastAsia" w:ascii="宋体" w:hAnsi="宋体" w:cs="宋体"/>
                <w:color w:val="000000" w:themeColor="text1"/>
                <w:highlight w:val="none"/>
                <w14:textFill>
                  <w14:solidFill>
                    <w14:schemeClr w14:val="tx1"/>
                  </w14:solidFill>
                </w14:textFill>
              </w:rPr>
              <w:t>履约保证金不足额缴纳的，或者金融、担保机构出具的保函额度不足的或者保函有效期低于合同履行期限（即签订采购合同之日起至履行完合同约定的权利及义务之日止）的，不予签订合同。</w:t>
            </w:r>
          </w:p>
          <w:p w14:paraId="286A03B0">
            <w:pPr>
              <w:spacing w:line="420" w:lineRule="exact"/>
              <w:rPr>
                <w:rFonts w:ascii="宋体" w:hAnsi="宋体" w:cs="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3.</w:t>
            </w:r>
            <w:r>
              <w:rPr>
                <w:rFonts w:hint="eastAsia" w:ascii="宋体" w:hAnsi="宋体" w:cs="宋体"/>
                <w:color w:val="000000" w:themeColor="text1"/>
                <w:highlight w:val="none"/>
                <w14:textFill>
                  <w14:solidFill>
                    <w14:schemeClr w14:val="tx1"/>
                  </w14:solidFill>
                </w14:textFill>
              </w:rPr>
              <w:t>采用金融、担保机构出具的保函的，必须为无条件保函，否则不予签订合同。</w:t>
            </w:r>
          </w:p>
        </w:tc>
      </w:tr>
      <w:tr w14:paraId="766BD6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92" w:type="dxa"/>
            <w:vAlign w:val="center"/>
          </w:tcPr>
          <w:p w14:paraId="6888B46D">
            <w:pPr>
              <w:spacing w:line="420" w:lineRule="exact"/>
              <w:jc w:val="center"/>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29.1</w:t>
            </w:r>
          </w:p>
        </w:tc>
        <w:tc>
          <w:tcPr>
            <w:tcW w:w="8627" w:type="dxa"/>
            <w:vAlign w:val="center"/>
          </w:tcPr>
          <w:p w14:paraId="55F8D9A2">
            <w:pPr>
              <w:autoSpaceDE w:val="0"/>
              <w:autoSpaceDN w:val="0"/>
              <w:snapToGrid w:val="0"/>
              <w:spacing w:line="420" w:lineRule="exact"/>
              <w:jc w:val="left"/>
              <w:textAlignment w:val="bottom"/>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签订合同携带的证明材料：</w:t>
            </w:r>
          </w:p>
          <w:p w14:paraId="231F2C80">
            <w:pPr>
              <w:autoSpaceDE w:val="0"/>
              <w:autoSpaceDN w:val="0"/>
              <w:snapToGrid w:val="0"/>
              <w:spacing w:line="420" w:lineRule="exact"/>
              <w:jc w:val="left"/>
              <w:textAlignment w:val="bottom"/>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1.</w:t>
            </w:r>
            <w:r>
              <w:rPr>
                <w:rFonts w:hint="eastAsia" w:ascii="宋体" w:hAnsi="宋体" w:cs="宋体"/>
                <w:color w:val="000000" w:themeColor="text1"/>
                <w:highlight w:val="none"/>
                <w14:textFill>
                  <w14:solidFill>
                    <w14:schemeClr w14:val="tx1"/>
                  </w14:solidFill>
                </w14:textFill>
              </w:rPr>
              <w:t>委托代理人负责签订合同的，须携带授权委托书及委托代理人身份证原件等其他资格证件。</w:t>
            </w:r>
          </w:p>
          <w:p w14:paraId="33F3F357">
            <w:pPr>
              <w:snapToGrid w:val="0"/>
              <w:spacing w:line="420" w:lineRule="exact"/>
              <w:jc w:val="left"/>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2.</w:t>
            </w:r>
            <w:r>
              <w:rPr>
                <w:rFonts w:hint="eastAsia" w:ascii="宋体" w:hAnsi="宋体" w:cs="宋体"/>
                <w:color w:val="000000" w:themeColor="text1"/>
                <w:highlight w:val="none"/>
                <w14:textFill>
                  <w14:solidFill>
                    <w14:schemeClr w14:val="tx1"/>
                  </w14:solidFill>
                </w14:textFill>
              </w:rPr>
              <w:t>法定代表人负责签订合同的，须携带法定代表人身份证明原件及身份证原件等其他证明材料。</w:t>
            </w:r>
          </w:p>
        </w:tc>
      </w:tr>
      <w:tr w14:paraId="42260E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92" w:type="dxa"/>
            <w:vAlign w:val="center"/>
          </w:tcPr>
          <w:p w14:paraId="12A1A65E">
            <w:pPr>
              <w:spacing w:line="420" w:lineRule="exact"/>
              <w:jc w:val="center"/>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31.2</w:t>
            </w:r>
          </w:p>
        </w:tc>
        <w:tc>
          <w:tcPr>
            <w:tcW w:w="8627" w:type="dxa"/>
            <w:vAlign w:val="center"/>
          </w:tcPr>
          <w:p w14:paraId="759184DA">
            <w:pPr>
              <w:pStyle w:val="29"/>
              <w:snapToGrid w:val="0"/>
              <w:spacing w:line="420" w:lineRule="exact"/>
              <w:jc w:val="left"/>
              <w:rPr>
                <w:rFonts w:hAnsi="宋体" w:cs="Times New Roman"/>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接收质疑函方式：以纸质书面形式。</w:t>
            </w:r>
          </w:p>
          <w:p w14:paraId="526B8E71">
            <w:pPr>
              <w:pStyle w:val="29"/>
              <w:snapToGrid w:val="0"/>
              <w:spacing w:line="420" w:lineRule="exact"/>
              <w:jc w:val="left"/>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质疑联系部门及联系方式：广西云凯工程咨询有限公司，质疑联系人：林京祷、刘子贵，联系电话：0772-4253223/19178093140，通讯地址：来宾市兴宾区滨江北路西68号滨江园小区二区第24栋B2-19号</w:t>
            </w:r>
            <w:r>
              <w:rPr>
                <w:rFonts w:hAnsi="宋体"/>
                <w:color w:val="000000" w:themeColor="text1"/>
                <w:sz w:val="21"/>
                <w:szCs w:val="21"/>
                <w:highlight w:val="none"/>
                <w14:textFill>
                  <w14:solidFill>
                    <w14:schemeClr w14:val="tx1"/>
                  </w14:solidFill>
                </w14:textFill>
              </w:rPr>
              <w:t xml:space="preserve"> </w:t>
            </w:r>
          </w:p>
          <w:p w14:paraId="5603873D">
            <w:pPr>
              <w:pStyle w:val="29"/>
              <w:snapToGrid w:val="0"/>
              <w:spacing w:line="420" w:lineRule="exact"/>
              <w:jc w:val="left"/>
              <w:rPr>
                <w:rFonts w:hAnsi="宋体" w:cs="Times New Roman"/>
                <w:color w:val="000000" w:themeColor="text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现场提交质疑办理业务时间：工作日，上午</w:t>
            </w:r>
            <w:r>
              <w:rPr>
                <w:rFonts w:hAnsi="宋体"/>
                <w:color w:val="000000" w:themeColor="text1"/>
                <w:sz w:val="21"/>
                <w:szCs w:val="21"/>
                <w:highlight w:val="none"/>
                <w14:textFill>
                  <w14:solidFill>
                    <w14:schemeClr w14:val="tx1"/>
                  </w14:solidFill>
                </w14:textFill>
              </w:rPr>
              <w:t>9</w:t>
            </w:r>
            <w:r>
              <w:rPr>
                <w:rFonts w:hint="eastAsia" w:hAnsi="宋体"/>
                <w:color w:val="000000" w:themeColor="text1"/>
                <w:sz w:val="21"/>
                <w:szCs w:val="21"/>
                <w:highlight w:val="none"/>
                <w14:textFill>
                  <w14:solidFill>
                    <w14:schemeClr w14:val="tx1"/>
                  </w14:solidFill>
                </w14:textFill>
              </w:rPr>
              <w:t>：</w:t>
            </w:r>
            <w:r>
              <w:rPr>
                <w:rFonts w:hAnsi="宋体"/>
                <w:color w:val="000000" w:themeColor="text1"/>
                <w:sz w:val="21"/>
                <w:szCs w:val="21"/>
                <w:highlight w:val="none"/>
                <w14:textFill>
                  <w14:solidFill>
                    <w14:schemeClr w14:val="tx1"/>
                  </w14:solidFill>
                </w14:textFill>
              </w:rPr>
              <w:t>00-12</w:t>
            </w:r>
            <w:r>
              <w:rPr>
                <w:rFonts w:hint="eastAsia" w:hAnsi="宋体"/>
                <w:color w:val="000000" w:themeColor="text1"/>
                <w:sz w:val="21"/>
                <w:szCs w:val="21"/>
                <w:highlight w:val="none"/>
                <w14:textFill>
                  <w14:solidFill>
                    <w14:schemeClr w14:val="tx1"/>
                  </w14:solidFill>
                </w14:textFill>
              </w:rPr>
              <w:t>：</w:t>
            </w:r>
            <w:r>
              <w:rPr>
                <w:rFonts w:hAnsi="宋体"/>
                <w:color w:val="000000" w:themeColor="text1"/>
                <w:sz w:val="21"/>
                <w:szCs w:val="21"/>
                <w:highlight w:val="none"/>
                <w14:textFill>
                  <w14:solidFill>
                    <w14:schemeClr w14:val="tx1"/>
                  </w14:solidFill>
                </w14:textFill>
              </w:rPr>
              <w:t>00</w:t>
            </w:r>
            <w:r>
              <w:rPr>
                <w:rFonts w:hint="eastAsia" w:hAnsi="宋体"/>
                <w:color w:val="000000" w:themeColor="text1"/>
                <w:sz w:val="21"/>
                <w:szCs w:val="21"/>
                <w:highlight w:val="none"/>
                <w14:textFill>
                  <w14:solidFill>
                    <w14:schemeClr w14:val="tx1"/>
                  </w14:solidFill>
                </w14:textFill>
              </w:rPr>
              <w:t>，下午</w:t>
            </w:r>
            <w:r>
              <w:rPr>
                <w:rFonts w:hAnsi="宋体"/>
                <w:color w:val="000000" w:themeColor="text1"/>
                <w:sz w:val="21"/>
                <w:szCs w:val="21"/>
                <w:highlight w:val="none"/>
                <w14:textFill>
                  <w14:solidFill>
                    <w14:schemeClr w14:val="tx1"/>
                  </w14:solidFill>
                </w14:textFill>
              </w:rPr>
              <w:t>15</w:t>
            </w:r>
            <w:r>
              <w:rPr>
                <w:rFonts w:hint="eastAsia" w:hAnsi="宋体"/>
                <w:color w:val="000000" w:themeColor="text1"/>
                <w:sz w:val="21"/>
                <w:szCs w:val="21"/>
                <w:highlight w:val="none"/>
                <w14:textFill>
                  <w14:solidFill>
                    <w14:schemeClr w14:val="tx1"/>
                  </w14:solidFill>
                </w14:textFill>
              </w:rPr>
              <w:t>：</w:t>
            </w:r>
            <w:r>
              <w:rPr>
                <w:rFonts w:hAnsi="宋体"/>
                <w:color w:val="000000" w:themeColor="text1"/>
                <w:sz w:val="21"/>
                <w:szCs w:val="21"/>
                <w:highlight w:val="none"/>
                <w14:textFill>
                  <w14:solidFill>
                    <w14:schemeClr w14:val="tx1"/>
                  </w14:solidFill>
                </w14:textFill>
              </w:rPr>
              <w:t>00-18</w:t>
            </w:r>
            <w:r>
              <w:rPr>
                <w:rFonts w:hint="eastAsia" w:hAnsi="宋体"/>
                <w:color w:val="000000" w:themeColor="text1"/>
                <w:sz w:val="21"/>
                <w:szCs w:val="21"/>
                <w:highlight w:val="none"/>
                <w14:textFill>
                  <w14:solidFill>
                    <w14:schemeClr w14:val="tx1"/>
                  </w14:solidFill>
                </w14:textFill>
              </w:rPr>
              <w:t>：</w:t>
            </w:r>
            <w:r>
              <w:rPr>
                <w:rFonts w:hAnsi="宋体"/>
                <w:color w:val="000000" w:themeColor="text1"/>
                <w:sz w:val="21"/>
                <w:szCs w:val="21"/>
                <w:highlight w:val="none"/>
                <w14:textFill>
                  <w14:solidFill>
                    <w14:schemeClr w14:val="tx1"/>
                  </w14:solidFill>
                </w14:textFill>
              </w:rPr>
              <w:t>00</w:t>
            </w:r>
            <w:r>
              <w:rPr>
                <w:rFonts w:hint="eastAsia" w:hAnsi="宋体"/>
                <w:color w:val="000000" w:themeColor="text1"/>
                <w:sz w:val="21"/>
                <w:szCs w:val="21"/>
                <w:highlight w:val="none"/>
                <w14:textFill>
                  <w14:solidFill>
                    <w14:schemeClr w14:val="tx1"/>
                  </w14:solidFill>
                </w14:textFill>
              </w:rPr>
              <w:t>（北京时间）</w:t>
            </w:r>
          </w:p>
        </w:tc>
      </w:tr>
      <w:tr w14:paraId="67F219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92" w:type="dxa"/>
            <w:vAlign w:val="center"/>
          </w:tcPr>
          <w:p w14:paraId="584A5CBA">
            <w:pPr>
              <w:spacing w:line="420" w:lineRule="exact"/>
              <w:jc w:val="center"/>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32.1</w:t>
            </w:r>
          </w:p>
        </w:tc>
        <w:tc>
          <w:tcPr>
            <w:tcW w:w="8627" w:type="dxa"/>
            <w:vAlign w:val="center"/>
          </w:tcPr>
          <w:p w14:paraId="33628812">
            <w:pPr>
              <w:pStyle w:val="29"/>
              <w:snapToGrid w:val="0"/>
              <w:spacing w:line="420" w:lineRule="exact"/>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1.采购代理服务费支付方式：</w:t>
            </w:r>
            <w:r>
              <w:rPr>
                <w:rFonts w:hint="eastAsia" w:ascii="宋体" w:hAnsi="宋体" w:eastAsia="宋体" w:cs="宋体"/>
                <w:sz w:val="21"/>
                <w:lang w:val="en-US" w:eastAsia="zh-CN"/>
              </w:rPr>
              <w:t>根据国家发展计划委员会计价格[2002]1980号《招标代理服务收费管理暂行办法》、《关于招标代理服务费收费有关问题的通知》（发改办价格[2003]857号）、《国家发展改革委关于降低部分建设项目收费标准规范收费行为等有关问题的通知》（发改价格[2011]534号）,经双方协商本项目招标代理服务费按30398.00元包干。</w:t>
            </w:r>
            <w:r>
              <w:rPr>
                <w:rFonts w:hint="eastAsia" w:ascii="宋体" w:hAnsi="宋体" w:eastAsia="宋体" w:cs="宋体"/>
                <w:color w:val="000000" w:themeColor="text1"/>
                <w:sz w:val="21"/>
                <w:szCs w:val="21"/>
                <w:highlight w:val="none"/>
                <w14:textFill>
                  <w14:solidFill>
                    <w14:schemeClr w14:val="tx1"/>
                  </w14:solidFill>
                </w14:textFill>
              </w:rPr>
              <w:t>按采购人与代理机构签订的委托代理合同中的金额计取，由采购人在采购代理机构将项目采购资料装订成册送采购人存档后一次性向代理机构支付。</w:t>
            </w:r>
          </w:p>
          <w:p w14:paraId="581B71F0">
            <w:pPr>
              <w:pStyle w:val="29"/>
              <w:snapToGrid w:val="0"/>
              <w:spacing w:line="420" w:lineRule="exact"/>
              <w:jc w:val="left"/>
              <w:rPr>
                <w:rFonts w:hint="eastAsia" w:hAnsi="宋体" w:eastAsia="宋体" w:cs="Times New Roman"/>
                <w:color w:val="000000" w:themeColor="text1"/>
                <w:sz w:val="21"/>
                <w:szCs w:val="21"/>
                <w:highlight w:val="none"/>
                <w:lang w:val="en-US" w:eastAsia="zh-CN"/>
                <w14:textFill>
                  <w14:solidFill>
                    <w14:schemeClr w14:val="tx1"/>
                  </w14:solidFill>
                </w14:textFill>
              </w:rPr>
            </w:pPr>
            <w:r>
              <w:rPr>
                <w:rFonts w:hint="eastAsia" w:hAnsi="宋体" w:cs="宋体"/>
                <w:color w:val="000000" w:themeColor="text1"/>
                <w:sz w:val="21"/>
                <w:szCs w:val="21"/>
                <w:highlight w:val="none"/>
                <w:lang w:val="en-US" w:eastAsia="zh-CN"/>
                <w14:textFill>
                  <w14:solidFill>
                    <w14:schemeClr w14:val="tx1"/>
                  </w14:solidFill>
                </w14:textFill>
              </w:rPr>
              <w:t>2.</w:t>
            </w:r>
            <w:r>
              <w:rPr>
                <w:rFonts w:hint="eastAsia" w:hAnsi="宋体" w:cs="宋体"/>
                <w:sz w:val="21"/>
                <w:lang w:val="en-US" w:eastAsia="zh-CN"/>
              </w:rPr>
              <w:t>本项目采购代理服务费由采购人支付，</w:t>
            </w:r>
            <w:r>
              <w:rPr>
                <w:rFonts w:hint="eastAsia" w:ascii="宋体" w:hAnsi="宋体" w:eastAsia="宋体" w:cs="宋体"/>
                <w:color w:val="000000" w:themeColor="text1"/>
                <w:sz w:val="21"/>
                <w:szCs w:val="21"/>
                <w:highlight w:val="none"/>
                <w14:textFill>
                  <w14:solidFill>
                    <w14:schemeClr w14:val="tx1"/>
                  </w14:solidFill>
                </w14:textFill>
              </w:rPr>
              <w:t>在采购代理机构将项目采购资料装订成册送采购人存档后一次性向代理机构支付</w:t>
            </w:r>
            <w:r>
              <w:rPr>
                <w:rFonts w:hint="eastAsia" w:ascii="宋体" w:hAnsi="宋体" w:eastAsia="宋体" w:cs="宋体"/>
                <w:color w:val="000000" w:themeColor="text1"/>
                <w:sz w:val="21"/>
                <w:szCs w:val="21"/>
                <w:highlight w:val="none"/>
                <w:lang w:eastAsia="zh-CN"/>
                <w14:textFill>
                  <w14:solidFill>
                    <w14:schemeClr w14:val="tx1"/>
                  </w14:solidFill>
                </w14:textFill>
              </w:rPr>
              <w:t>。</w:t>
            </w:r>
          </w:p>
        </w:tc>
      </w:tr>
      <w:tr w14:paraId="7E1B8B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992" w:type="dxa"/>
            <w:vAlign w:val="center"/>
          </w:tcPr>
          <w:p w14:paraId="141FCC9F">
            <w:pPr>
              <w:spacing w:line="420" w:lineRule="exact"/>
              <w:jc w:val="center"/>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33.1</w:t>
            </w:r>
          </w:p>
        </w:tc>
        <w:tc>
          <w:tcPr>
            <w:tcW w:w="8627" w:type="dxa"/>
            <w:vAlign w:val="center"/>
          </w:tcPr>
          <w:p w14:paraId="76005BAD">
            <w:pPr>
              <w:pStyle w:val="29"/>
              <w:snapToGrid w:val="0"/>
              <w:spacing w:line="420" w:lineRule="exact"/>
              <w:jc w:val="left"/>
              <w:rPr>
                <w:rFonts w:hAnsi="宋体" w:cs="Times New Roman"/>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解释：构成本磋商文件的各个组成文件应互为解释，互为说明；除磋商文件中有特别规定外，仅适用于磋商阶段的规定，按更正公告（澄清公告）、竞争性磋商公告、供应商须知、采购需求、评审程序、评审方法和评审标准、响应文件格式、合同文本的先后顺序解释；同一组成文件中就同一事项的规定或者约定不一致的，以编排顺序在后者为准；同一组成文件不同版本之间有不一致的，以形成时间在后者为准；更正公告（澄清公告）与同步更新的磋商文件不一致时以更正公告（澄清公告）为准。按本款前述规定仍不能形成结论的，由采购人或者采购代理机构负责解释。</w:t>
            </w:r>
          </w:p>
        </w:tc>
      </w:tr>
      <w:tr w14:paraId="42738E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92" w:type="dxa"/>
            <w:vAlign w:val="center"/>
          </w:tcPr>
          <w:p w14:paraId="65CEEB87">
            <w:pPr>
              <w:spacing w:line="420" w:lineRule="exact"/>
              <w:jc w:val="center"/>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33.2</w:t>
            </w:r>
          </w:p>
        </w:tc>
        <w:tc>
          <w:tcPr>
            <w:tcW w:w="8627" w:type="dxa"/>
            <w:vAlign w:val="center"/>
          </w:tcPr>
          <w:p w14:paraId="6F8C4A4F">
            <w:pPr>
              <w:pStyle w:val="29"/>
              <w:snapToGrid w:val="0"/>
              <w:spacing w:line="420" w:lineRule="exact"/>
              <w:jc w:val="left"/>
              <w:rPr>
                <w:rFonts w:hAnsi="宋体" w:cs="Times New Roman"/>
                <w:color w:val="000000" w:themeColor="text1"/>
                <w:sz w:val="21"/>
                <w:szCs w:val="21"/>
                <w:highlight w:val="none"/>
                <w14:textFill>
                  <w14:solidFill>
                    <w14:schemeClr w14:val="tx1"/>
                  </w14:solidFill>
                </w14:textFill>
              </w:rPr>
            </w:pPr>
            <w:r>
              <w:rPr>
                <w:rFonts w:hAnsi="宋体"/>
                <w:color w:val="000000" w:themeColor="text1"/>
                <w:sz w:val="21"/>
                <w:szCs w:val="21"/>
                <w:highlight w:val="none"/>
                <w14:textFill>
                  <w14:solidFill>
                    <w14:schemeClr w14:val="tx1"/>
                  </w14:solidFill>
                </w14:textFill>
              </w:rPr>
              <w:t>1.</w:t>
            </w:r>
            <w:r>
              <w:rPr>
                <w:rFonts w:hint="eastAsia" w:hAnsi="宋体"/>
                <w:color w:val="000000" w:themeColor="text1"/>
                <w:sz w:val="21"/>
                <w:szCs w:val="21"/>
                <w:highlight w:val="none"/>
                <w14:textFill>
                  <w14:solidFill>
                    <w14:schemeClr w14:val="tx1"/>
                  </w14:solidFill>
                </w14:textFill>
              </w:rPr>
              <w:t>本磋商文件中描述供应商的“公章”是指根据我国对公章的管理规定，用供应商法定主体行为名称制作的印章（含电子印章），除本磋商文件有特殊规定外，供应商的财务章、部门章、分公司章、工会章、合同章、磋商</w:t>
            </w:r>
            <w:r>
              <w:rPr>
                <w:rFonts w:hAnsi="宋体"/>
                <w:color w:val="000000" w:themeColor="text1"/>
                <w:sz w:val="21"/>
                <w:szCs w:val="21"/>
                <w:highlight w:val="none"/>
                <w14:textFill>
                  <w14:solidFill>
                    <w14:schemeClr w14:val="tx1"/>
                  </w14:solidFill>
                </w14:textFill>
              </w:rPr>
              <w:t>/</w:t>
            </w:r>
            <w:r>
              <w:rPr>
                <w:rFonts w:hint="eastAsia" w:hAnsi="宋体"/>
                <w:color w:val="000000" w:themeColor="text1"/>
                <w:sz w:val="21"/>
                <w:szCs w:val="21"/>
                <w:highlight w:val="none"/>
                <w14:textFill>
                  <w14:solidFill>
                    <w14:schemeClr w14:val="tx1"/>
                  </w14:solidFill>
                </w14:textFill>
              </w:rPr>
              <w:t>磋商专用章、业务专用章及银行的转账章、现金收讫章、现金付讫章等其他形式印章均不能代替公章。</w:t>
            </w:r>
          </w:p>
          <w:p w14:paraId="02BB91EA">
            <w:pPr>
              <w:pStyle w:val="29"/>
              <w:snapToGrid w:val="0"/>
              <w:spacing w:line="420" w:lineRule="exact"/>
              <w:jc w:val="left"/>
              <w:rPr>
                <w:rFonts w:hAnsi="宋体" w:cs="Times New Roman"/>
                <w:color w:val="000000" w:themeColor="text1"/>
                <w:sz w:val="21"/>
                <w:szCs w:val="21"/>
                <w:highlight w:val="none"/>
                <w14:textFill>
                  <w14:solidFill>
                    <w14:schemeClr w14:val="tx1"/>
                  </w14:solidFill>
                </w14:textFill>
              </w:rPr>
            </w:pPr>
            <w:r>
              <w:rPr>
                <w:rFonts w:hAnsi="宋体"/>
                <w:color w:val="000000" w:themeColor="text1"/>
                <w:sz w:val="21"/>
                <w:szCs w:val="21"/>
                <w:highlight w:val="none"/>
                <w14:textFill>
                  <w14:solidFill>
                    <w14:schemeClr w14:val="tx1"/>
                  </w14:solidFill>
                </w14:textFill>
              </w:rPr>
              <w:t>2.</w:t>
            </w:r>
            <w:r>
              <w:rPr>
                <w:rFonts w:hint="eastAsia" w:hAnsi="宋体"/>
                <w:color w:val="000000" w:themeColor="text1"/>
                <w:sz w:val="21"/>
                <w:szCs w:val="21"/>
                <w:highlight w:val="none"/>
                <w14:textFill>
                  <w14:solidFill>
                    <w14:schemeClr w14:val="tx1"/>
                  </w14:solidFill>
                </w14:textFill>
              </w:rPr>
              <w:t>供应商为其他组织或者自然人时，本磋商文件规定的法定代表人指负责人或者自然人。本磋商文件所称负责人是指参加磋商的其他组织营业执照或者执业许可证等证照上的负责人，本磋商文件所称自然人指参与磋商的自然人本人，且应具备独立承担民事责任能力，自然人应当为年满</w:t>
            </w:r>
            <w:r>
              <w:rPr>
                <w:rFonts w:hAnsi="宋体"/>
                <w:color w:val="000000" w:themeColor="text1"/>
                <w:sz w:val="21"/>
                <w:szCs w:val="21"/>
                <w:highlight w:val="none"/>
                <w14:textFill>
                  <w14:solidFill>
                    <w14:schemeClr w14:val="tx1"/>
                  </w14:solidFill>
                </w14:textFill>
              </w:rPr>
              <w:t>18</w:t>
            </w:r>
            <w:r>
              <w:rPr>
                <w:rFonts w:hint="eastAsia" w:hAnsi="宋体"/>
                <w:color w:val="000000" w:themeColor="text1"/>
                <w:sz w:val="21"/>
                <w:szCs w:val="21"/>
                <w:highlight w:val="none"/>
                <w14:textFill>
                  <w14:solidFill>
                    <w14:schemeClr w14:val="tx1"/>
                  </w14:solidFill>
                </w14:textFill>
              </w:rPr>
              <w:t>岁以上成年人（十六周岁以上的未成年人，以自己的劳动收入为主要生活来源的，视为完全民事行为能力人）。</w:t>
            </w:r>
          </w:p>
          <w:p w14:paraId="71111085">
            <w:pPr>
              <w:pStyle w:val="29"/>
              <w:snapToGrid w:val="0"/>
              <w:spacing w:line="420" w:lineRule="exact"/>
              <w:jc w:val="left"/>
              <w:rPr>
                <w:rFonts w:hAnsi="宋体" w:cs="Times New Roman"/>
                <w:color w:val="000000" w:themeColor="text1"/>
                <w:sz w:val="21"/>
                <w:szCs w:val="21"/>
                <w:highlight w:val="none"/>
                <w14:textFill>
                  <w14:solidFill>
                    <w14:schemeClr w14:val="tx1"/>
                  </w14:solidFill>
                </w14:textFill>
              </w:rPr>
            </w:pPr>
            <w:r>
              <w:rPr>
                <w:rFonts w:hAnsi="宋体"/>
                <w:color w:val="000000" w:themeColor="text1"/>
                <w:sz w:val="21"/>
                <w:szCs w:val="21"/>
                <w:highlight w:val="none"/>
                <w14:textFill>
                  <w14:solidFill>
                    <w14:schemeClr w14:val="tx1"/>
                  </w14:solidFill>
                </w14:textFill>
              </w:rPr>
              <w:t>3.</w:t>
            </w:r>
            <w:r>
              <w:rPr>
                <w:rFonts w:hint="eastAsia" w:hAnsi="宋体"/>
                <w:color w:val="000000" w:themeColor="text1"/>
                <w:sz w:val="21"/>
                <w:szCs w:val="21"/>
                <w:highlight w:val="none"/>
                <w14:textFill>
                  <w14:solidFill>
                    <w14:schemeClr w14:val="tx1"/>
                  </w14:solidFill>
                </w14:textFill>
              </w:rPr>
              <w:t>本磋商文件中描述供应商的“签字”是指供应商的法定代表人或者委托代理人在文件规定签署处签名（含电子签名）的行为，私章、印鉴等其他形式均不能代替签字。</w:t>
            </w:r>
          </w:p>
          <w:p w14:paraId="1D759629">
            <w:pPr>
              <w:pStyle w:val="29"/>
              <w:snapToGrid w:val="0"/>
              <w:spacing w:line="420" w:lineRule="exact"/>
              <w:jc w:val="left"/>
              <w:rPr>
                <w:rFonts w:hAnsi="宋体" w:cs="Times New Roman"/>
                <w:color w:val="000000" w:themeColor="text1"/>
                <w:sz w:val="21"/>
                <w:szCs w:val="21"/>
                <w:highlight w:val="none"/>
                <w14:textFill>
                  <w14:solidFill>
                    <w14:schemeClr w14:val="tx1"/>
                  </w14:solidFill>
                </w14:textFill>
              </w:rPr>
            </w:pPr>
            <w:r>
              <w:rPr>
                <w:rFonts w:hAnsi="宋体"/>
                <w:color w:val="000000" w:themeColor="text1"/>
                <w:sz w:val="21"/>
                <w:szCs w:val="21"/>
                <w:highlight w:val="none"/>
                <w14:textFill>
                  <w14:solidFill>
                    <w14:schemeClr w14:val="tx1"/>
                  </w14:solidFill>
                </w14:textFill>
              </w:rPr>
              <w:t>4.</w:t>
            </w:r>
            <w:r>
              <w:rPr>
                <w:rFonts w:hint="eastAsia" w:hAnsi="宋体"/>
                <w:color w:val="000000" w:themeColor="text1"/>
                <w:sz w:val="21"/>
                <w:szCs w:val="21"/>
                <w:highlight w:val="none"/>
                <w14:textFill>
                  <w14:solidFill>
                    <w14:schemeClr w14:val="tx1"/>
                  </w14:solidFill>
                </w14:textFill>
              </w:rPr>
              <w:t>自然人磋商的，磋商文件规定盖公章处由自然人摁手指指印。</w:t>
            </w:r>
          </w:p>
          <w:p w14:paraId="703E0070">
            <w:pPr>
              <w:pStyle w:val="29"/>
              <w:snapToGrid w:val="0"/>
              <w:spacing w:line="420" w:lineRule="exact"/>
              <w:jc w:val="left"/>
              <w:rPr>
                <w:rFonts w:hAnsi="宋体" w:cs="Times New Roman"/>
                <w:color w:val="000000" w:themeColor="text1"/>
                <w:sz w:val="21"/>
                <w:szCs w:val="21"/>
                <w:highlight w:val="none"/>
                <w14:textFill>
                  <w14:solidFill>
                    <w14:schemeClr w14:val="tx1"/>
                  </w14:solidFill>
                </w14:textFill>
              </w:rPr>
            </w:pPr>
            <w:r>
              <w:rPr>
                <w:rFonts w:hAnsi="宋体"/>
                <w:color w:val="000000" w:themeColor="text1"/>
                <w:sz w:val="21"/>
                <w:szCs w:val="21"/>
                <w:highlight w:val="none"/>
                <w14:textFill>
                  <w14:solidFill>
                    <w14:schemeClr w14:val="tx1"/>
                  </w14:solidFill>
                </w14:textFill>
              </w:rPr>
              <w:t>5.</w:t>
            </w:r>
            <w:r>
              <w:rPr>
                <w:rFonts w:hint="eastAsia" w:hAnsi="宋体"/>
                <w:color w:val="000000" w:themeColor="text1"/>
                <w:sz w:val="21"/>
                <w:szCs w:val="21"/>
                <w:highlight w:val="none"/>
                <w14:textFill>
                  <w14:solidFill>
                    <w14:schemeClr w14:val="tx1"/>
                  </w14:solidFill>
                </w14:textFill>
              </w:rPr>
              <w:t>本磋商文件所称的“以上”“以下”“以内”“届满”，包括本数；所称的“不满”“超过”“以外”，不包括本数。</w:t>
            </w:r>
          </w:p>
        </w:tc>
      </w:tr>
    </w:tbl>
    <w:p w14:paraId="5606D6AC">
      <w:pPr>
        <w:jc w:val="center"/>
        <w:rPr>
          <w:rFonts w:ascii="宋体"/>
          <w:b/>
          <w:bCs/>
          <w:color w:val="000000" w:themeColor="text1"/>
          <w:sz w:val="32"/>
          <w:szCs w:val="32"/>
          <w:highlight w:val="none"/>
          <w14:textFill>
            <w14:solidFill>
              <w14:schemeClr w14:val="tx1"/>
            </w14:solidFill>
          </w14:textFill>
        </w:rPr>
      </w:pPr>
      <w:r>
        <w:rPr>
          <w:rFonts w:ascii="宋体"/>
          <w:b/>
          <w:bCs/>
          <w:color w:val="000000" w:themeColor="text1"/>
          <w:sz w:val="32"/>
          <w:szCs w:val="32"/>
          <w:highlight w:val="none"/>
          <w14:textFill>
            <w14:solidFill>
              <w14:schemeClr w14:val="tx1"/>
            </w14:solidFill>
          </w14:textFill>
        </w:rPr>
        <w:br w:type="page"/>
      </w:r>
      <w:r>
        <w:rPr>
          <w:rFonts w:hint="eastAsia" w:ascii="宋体" w:hAnsi="宋体" w:cs="宋体"/>
          <w:b/>
          <w:bCs/>
          <w:color w:val="000000" w:themeColor="text1"/>
          <w:sz w:val="32"/>
          <w:szCs w:val="32"/>
          <w:highlight w:val="none"/>
          <w14:textFill>
            <w14:solidFill>
              <w14:schemeClr w14:val="tx1"/>
            </w14:solidFill>
          </w14:textFill>
        </w:rPr>
        <w:t>供应商须知正文</w:t>
      </w:r>
    </w:p>
    <w:p w14:paraId="7D6CF885">
      <w:pPr>
        <w:jc w:val="center"/>
        <w:rPr>
          <w:rFonts w:ascii="宋体"/>
          <w:b/>
          <w:bCs/>
          <w:color w:val="000000" w:themeColor="text1"/>
          <w:sz w:val="32"/>
          <w:szCs w:val="32"/>
          <w:highlight w:val="none"/>
          <w14:textFill>
            <w14:solidFill>
              <w14:schemeClr w14:val="tx1"/>
            </w14:solidFill>
          </w14:textFill>
        </w:rPr>
      </w:pPr>
    </w:p>
    <w:p w14:paraId="142EEDA4">
      <w:pPr>
        <w:jc w:val="center"/>
        <w:rPr>
          <w:rFonts w:ascii="宋体"/>
          <w:b/>
          <w:bCs/>
          <w:color w:val="000000" w:themeColor="text1"/>
          <w:sz w:val="32"/>
          <w:szCs w:val="32"/>
          <w:highlight w:val="none"/>
          <w14:textFill>
            <w14:solidFill>
              <w14:schemeClr w14:val="tx1"/>
            </w14:solidFill>
          </w14:textFill>
        </w:rPr>
      </w:pPr>
      <w:r>
        <w:rPr>
          <w:rFonts w:hint="eastAsia" w:ascii="宋体" w:hAnsi="宋体" w:cs="宋体"/>
          <w:b/>
          <w:bCs/>
          <w:color w:val="000000" w:themeColor="text1"/>
          <w:sz w:val="32"/>
          <w:szCs w:val="32"/>
          <w:highlight w:val="none"/>
          <w14:textFill>
            <w14:solidFill>
              <w14:schemeClr w14:val="tx1"/>
            </w14:solidFill>
          </w14:textFill>
        </w:rPr>
        <w:t>一、总则</w:t>
      </w:r>
    </w:p>
    <w:p w14:paraId="1794E8C1">
      <w:pPr>
        <w:spacing w:line="400" w:lineRule="exact"/>
        <w:rPr>
          <w:rFonts w:ascii="宋体"/>
          <w:color w:val="000000" w:themeColor="text1"/>
          <w:highlight w:val="none"/>
          <w14:textFill>
            <w14:solidFill>
              <w14:schemeClr w14:val="tx1"/>
            </w14:solidFill>
          </w14:textFill>
        </w:rPr>
      </w:pPr>
    </w:p>
    <w:p w14:paraId="5C0E6E41">
      <w:pPr>
        <w:spacing w:line="360" w:lineRule="auto"/>
        <w:ind w:firstLine="482" w:firstLineChars="200"/>
        <w:rPr>
          <w:rFonts w:ascii="宋体"/>
          <w:b/>
          <w:bCs/>
          <w:color w:val="000000" w:themeColor="text1"/>
          <w:sz w:val="24"/>
          <w:szCs w:val="24"/>
          <w:highlight w:val="none"/>
          <w14:textFill>
            <w14:solidFill>
              <w14:schemeClr w14:val="tx1"/>
            </w14:solidFill>
          </w14:textFill>
        </w:rPr>
      </w:pPr>
      <w:r>
        <w:rPr>
          <w:rFonts w:ascii="宋体" w:hAnsi="宋体" w:cs="宋体"/>
          <w:b/>
          <w:bCs/>
          <w:color w:val="000000" w:themeColor="text1"/>
          <w:sz w:val="24"/>
          <w:szCs w:val="24"/>
          <w:highlight w:val="none"/>
          <w14:textFill>
            <w14:solidFill>
              <w14:schemeClr w14:val="tx1"/>
            </w14:solidFill>
          </w14:textFill>
        </w:rPr>
        <w:t>1.</w:t>
      </w:r>
      <w:r>
        <w:rPr>
          <w:rFonts w:hint="eastAsia" w:ascii="宋体" w:hAnsi="宋体" w:cs="宋体"/>
          <w:b/>
          <w:bCs/>
          <w:color w:val="000000" w:themeColor="text1"/>
          <w:sz w:val="24"/>
          <w:szCs w:val="24"/>
          <w:highlight w:val="none"/>
          <w14:textFill>
            <w14:solidFill>
              <w14:schemeClr w14:val="tx1"/>
            </w14:solidFill>
          </w14:textFill>
        </w:rPr>
        <w:t>适用范围</w:t>
      </w:r>
    </w:p>
    <w:p w14:paraId="3388E3C7">
      <w:pPr>
        <w:spacing w:line="360" w:lineRule="auto"/>
        <w:ind w:firstLine="420" w:firstLineChars="200"/>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1.1</w:t>
      </w:r>
      <w:r>
        <w:rPr>
          <w:rFonts w:hint="eastAsia" w:ascii="宋体" w:hAnsi="宋体" w:cs="宋体"/>
          <w:color w:val="000000" w:themeColor="text1"/>
          <w:highlight w:val="none"/>
          <w14:textFill>
            <w14:solidFill>
              <w14:schemeClr w14:val="tx1"/>
            </w14:solidFill>
          </w14:textFill>
        </w:rPr>
        <w:t>本项目采购人、采购代理机构、供应商、磋商小组的相关行为均受《中华人民共和国政府采购法》《中华人民共和国政府采购法实施条例》《政府采购竞争性磋商采购方式管理暂行办法》《财政部关于政府采购竞争性磋商采购方式管理暂行办法有关问题的补充通知》及本项目本级和上级财政部门政府采购有关规定的约束和保护。</w:t>
      </w:r>
    </w:p>
    <w:p w14:paraId="55A16DCA">
      <w:pPr>
        <w:spacing w:line="360" w:lineRule="auto"/>
        <w:ind w:firstLine="420" w:firstLineChars="200"/>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1.2</w:t>
      </w:r>
      <w:r>
        <w:rPr>
          <w:rFonts w:hint="eastAsia" w:ascii="宋体" w:hAnsi="宋体" w:cs="宋体"/>
          <w:color w:val="000000" w:themeColor="text1"/>
          <w:spacing w:val="-6"/>
          <w:highlight w:val="none"/>
          <w14:textFill>
            <w14:solidFill>
              <w14:schemeClr w14:val="tx1"/>
            </w14:solidFill>
          </w14:textFill>
        </w:rPr>
        <w:t>本竞争性磋商文件（以下简称磋商文件）适用于本项目的所有采购程序和环节（法律、法规另有规定的，从其规定）。</w:t>
      </w:r>
    </w:p>
    <w:p w14:paraId="4FB56AF3">
      <w:pPr>
        <w:spacing w:line="360" w:lineRule="auto"/>
        <w:ind w:firstLine="482" w:firstLineChars="200"/>
        <w:rPr>
          <w:rFonts w:ascii="宋体"/>
          <w:b/>
          <w:bCs/>
          <w:color w:val="000000" w:themeColor="text1"/>
          <w:sz w:val="24"/>
          <w:szCs w:val="24"/>
          <w:highlight w:val="none"/>
          <w14:textFill>
            <w14:solidFill>
              <w14:schemeClr w14:val="tx1"/>
            </w14:solidFill>
          </w14:textFill>
        </w:rPr>
      </w:pPr>
      <w:r>
        <w:rPr>
          <w:rFonts w:ascii="宋体" w:hAnsi="宋体" w:cs="宋体"/>
          <w:b/>
          <w:bCs/>
          <w:color w:val="000000" w:themeColor="text1"/>
          <w:sz w:val="24"/>
          <w:szCs w:val="24"/>
          <w:highlight w:val="none"/>
          <w14:textFill>
            <w14:solidFill>
              <w14:schemeClr w14:val="tx1"/>
            </w14:solidFill>
          </w14:textFill>
        </w:rPr>
        <w:t>2.</w:t>
      </w:r>
      <w:r>
        <w:rPr>
          <w:rFonts w:hint="eastAsia" w:ascii="宋体" w:hAnsi="宋体" w:cs="宋体"/>
          <w:b/>
          <w:bCs/>
          <w:color w:val="000000" w:themeColor="text1"/>
          <w:sz w:val="24"/>
          <w:szCs w:val="24"/>
          <w:highlight w:val="none"/>
          <w14:textFill>
            <w14:solidFill>
              <w14:schemeClr w14:val="tx1"/>
            </w14:solidFill>
          </w14:textFill>
        </w:rPr>
        <w:t>定义</w:t>
      </w:r>
    </w:p>
    <w:p w14:paraId="03659966">
      <w:pPr>
        <w:spacing w:line="360" w:lineRule="auto"/>
        <w:ind w:firstLine="420" w:firstLineChars="200"/>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2.1</w:t>
      </w:r>
      <w:r>
        <w:rPr>
          <w:rFonts w:hint="eastAsia" w:ascii="宋体" w:hAnsi="宋体" w:cs="宋体"/>
          <w:color w:val="000000" w:themeColor="text1"/>
          <w:highlight w:val="none"/>
          <w14:textFill>
            <w14:solidFill>
              <w14:schemeClr w14:val="tx1"/>
            </w14:solidFill>
          </w14:textFill>
        </w:rPr>
        <w:t>“采购人”是指依法进行政府采购的国家机关、事业单位、团体组织。</w:t>
      </w:r>
    </w:p>
    <w:p w14:paraId="439577DB">
      <w:pPr>
        <w:spacing w:line="360" w:lineRule="auto"/>
        <w:ind w:firstLine="420" w:firstLineChars="200"/>
        <w:rPr>
          <w:rFonts w:ascii="宋体"/>
          <w:color w:val="000000" w:themeColor="text1"/>
          <w:highlight w:val="none"/>
          <w:u w:val="single"/>
          <w14:textFill>
            <w14:solidFill>
              <w14:schemeClr w14:val="tx1"/>
            </w14:solidFill>
          </w14:textFill>
        </w:rPr>
      </w:pPr>
      <w:r>
        <w:rPr>
          <w:rFonts w:ascii="宋体" w:hAnsi="宋体" w:cs="宋体"/>
          <w:color w:val="000000" w:themeColor="text1"/>
          <w:highlight w:val="none"/>
          <w14:textFill>
            <w14:solidFill>
              <w14:schemeClr w14:val="tx1"/>
            </w14:solidFill>
          </w14:textFill>
        </w:rPr>
        <w:t>2.2</w:t>
      </w:r>
      <w:r>
        <w:rPr>
          <w:rFonts w:hint="eastAsia" w:ascii="宋体" w:hAnsi="宋体" w:cs="宋体"/>
          <w:color w:val="000000" w:themeColor="text1"/>
          <w:highlight w:val="none"/>
          <w14:textFill>
            <w14:solidFill>
              <w14:schemeClr w14:val="tx1"/>
            </w14:solidFill>
          </w14:textFill>
        </w:rPr>
        <w:t>“采购代理机构”是指政府采购集中采购机构和集中采购机构以外的采购代理机构。</w:t>
      </w:r>
    </w:p>
    <w:p w14:paraId="01C51050">
      <w:pPr>
        <w:spacing w:line="360" w:lineRule="auto"/>
        <w:ind w:firstLine="420" w:firstLineChars="200"/>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2.3</w:t>
      </w:r>
      <w:r>
        <w:rPr>
          <w:rFonts w:hint="eastAsia" w:ascii="宋体" w:hAnsi="宋体" w:cs="宋体"/>
          <w:color w:val="000000" w:themeColor="text1"/>
          <w:highlight w:val="none"/>
          <w14:textFill>
            <w14:solidFill>
              <w14:schemeClr w14:val="tx1"/>
            </w14:solidFill>
          </w14:textFill>
        </w:rPr>
        <w:t>“供应商”是指向采购人提供货物、工程或者服务的法人、其他组织或者自然人。</w:t>
      </w:r>
    </w:p>
    <w:p w14:paraId="0EBB0118">
      <w:pPr>
        <w:spacing w:line="360" w:lineRule="auto"/>
        <w:ind w:firstLine="420" w:firstLineChars="200"/>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2.4</w:t>
      </w:r>
      <w:r>
        <w:rPr>
          <w:rFonts w:hint="eastAsia" w:ascii="宋体" w:hAnsi="宋体" w:cs="宋体"/>
          <w:color w:val="000000" w:themeColor="text1"/>
          <w:highlight w:val="none"/>
          <w14:textFill>
            <w14:solidFill>
              <w14:schemeClr w14:val="tx1"/>
            </w14:solidFill>
          </w14:textFill>
        </w:rPr>
        <w:t>“服务”是指除货物和工程以外的其他政府采购对象。</w:t>
      </w:r>
    </w:p>
    <w:p w14:paraId="0FD79072">
      <w:pPr>
        <w:spacing w:line="360" w:lineRule="auto"/>
        <w:ind w:firstLine="420" w:firstLineChars="200"/>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2.5</w:t>
      </w:r>
      <w:r>
        <w:rPr>
          <w:rFonts w:hint="eastAsia" w:ascii="宋体" w:hAnsi="宋体" w:cs="宋体"/>
          <w:color w:val="000000" w:themeColor="text1"/>
          <w:highlight w:val="none"/>
          <w14:textFill>
            <w14:solidFill>
              <w14:schemeClr w14:val="tx1"/>
            </w14:solidFill>
          </w14:textFill>
        </w:rPr>
        <w:t>“磋商”是指供应商按照本项目竞争性磋商公告或者邀请函规定的方式获取磋商文件、提交响应文件并希望获得标的的行为。</w:t>
      </w:r>
    </w:p>
    <w:p w14:paraId="2C0A4D53">
      <w:pPr>
        <w:spacing w:line="360" w:lineRule="auto"/>
        <w:ind w:firstLine="420" w:firstLineChars="200"/>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2.6</w:t>
      </w:r>
      <w:r>
        <w:rPr>
          <w:rFonts w:hint="eastAsia" w:ascii="宋体" w:hAnsi="宋体" w:cs="宋体"/>
          <w:color w:val="000000" w:themeColor="text1"/>
          <w:highlight w:val="none"/>
          <w14:textFill>
            <w14:solidFill>
              <w14:schemeClr w14:val="tx1"/>
            </w14:solidFill>
          </w14:textFill>
        </w:rPr>
        <w:t>“书面形式”是指合同书、信件和数据电文（包括电报、电传、传真、电子数据交换和电子邮件）等可以有形地表现所载内容的形式。</w:t>
      </w:r>
    </w:p>
    <w:p w14:paraId="41120927">
      <w:pPr>
        <w:spacing w:line="360" w:lineRule="auto"/>
        <w:ind w:firstLine="420" w:firstLineChars="200"/>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2.7</w:t>
      </w:r>
      <w:r>
        <w:rPr>
          <w:rFonts w:hint="eastAsia" w:ascii="宋体" w:hAnsi="宋体" w:cs="宋体"/>
          <w:color w:val="000000" w:themeColor="text1"/>
          <w:highlight w:val="none"/>
          <w14:textFill>
            <w14:solidFill>
              <w14:schemeClr w14:val="tx1"/>
            </w14:solidFill>
          </w14:textFill>
        </w:rPr>
        <w:t>“响应文件”</w:t>
      </w:r>
      <w:r>
        <w:rPr>
          <w:rFonts w:hint="eastAsia" w:ascii="宋体" w:hAnsi="宋体" w:cs="宋体"/>
          <w:color w:val="000000" w:themeColor="text1"/>
          <w:spacing w:val="-6"/>
          <w:highlight w:val="none"/>
          <w14:textFill>
            <w14:solidFill>
              <w14:schemeClr w14:val="tx1"/>
            </w14:solidFill>
          </w14:textFill>
        </w:rPr>
        <w:t>是指：供应商根据本磋商文件要求，编制包含资格证明、报价商务技术等所有内容的文件。</w:t>
      </w:r>
    </w:p>
    <w:p w14:paraId="14DB0A99">
      <w:pPr>
        <w:spacing w:line="360" w:lineRule="auto"/>
        <w:ind w:firstLine="420" w:firstLineChars="200"/>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2.8</w:t>
      </w:r>
      <w:r>
        <w:rPr>
          <w:rFonts w:hint="eastAsia" w:ascii="宋体" w:hAnsi="宋体" w:cs="宋体"/>
          <w:color w:val="000000" w:themeColor="text1"/>
          <w:highlight w:val="none"/>
          <w14:textFill>
            <w14:solidFill>
              <w14:schemeClr w14:val="tx1"/>
            </w14:solidFill>
          </w14:textFill>
        </w:rPr>
        <w:t>“实质性要求”是指磋商文件中已经指明不满足则响应文件按无效响应处理的条款，或者不能负偏离的条款，或者采购需求中带“▲”的条款。</w:t>
      </w:r>
    </w:p>
    <w:p w14:paraId="12E69DB1">
      <w:pPr>
        <w:spacing w:line="360" w:lineRule="auto"/>
        <w:ind w:firstLine="420" w:firstLineChars="200"/>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2.9</w:t>
      </w:r>
      <w:r>
        <w:rPr>
          <w:rFonts w:hint="eastAsia" w:ascii="宋体" w:hAnsi="宋体" w:cs="宋体"/>
          <w:color w:val="000000" w:themeColor="text1"/>
          <w:highlight w:val="none"/>
          <w14:textFill>
            <w14:solidFill>
              <w14:schemeClr w14:val="tx1"/>
            </w14:solidFill>
          </w14:textFill>
        </w:rPr>
        <w:t>“正偏离”，是指响应文件对磋商文件“采购需求”中有关条款作出的响应优于条款要求并有利于采购人的情形。</w:t>
      </w:r>
    </w:p>
    <w:p w14:paraId="577C170C">
      <w:pPr>
        <w:spacing w:line="360" w:lineRule="auto"/>
        <w:ind w:firstLine="420" w:firstLineChars="200"/>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2.10</w:t>
      </w:r>
      <w:r>
        <w:rPr>
          <w:rFonts w:hint="eastAsia" w:ascii="宋体" w:hAnsi="宋体" w:cs="宋体"/>
          <w:color w:val="000000" w:themeColor="text1"/>
          <w:highlight w:val="none"/>
          <w14:textFill>
            <w14:solidFill>
              <w14:schemeClr w14:val="tx1"/>
            </w14:solidFill>
          </w14:textFill>
        </w:rPr>
        <w:t>“负偏离”，是指响应文件对磋商文件“采购需求”中有关条款作出的响应不满足条款要求，导致采购人要求不能得到满足的情形。</w:t>
      </w:r>
    </w:p>
    <w:p w14:paraId="57322DDE">
      <w:pPr>
        <w:spacing w:line="360" w:lineRule="auto"/>
        <w:ind w:firstLine="420" w:firstLineChars="200"/>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2.11</w:t>
      </w:r>
      <w:r>
        <w:rPr>
          <w:rFonts w:hint="eastAsia" w:ascii="宋体" w:hAnsi="宋体" w:cs="宋体"/>
          <w:color w:val="000000" w:themeColor="text1"/>
          <w:highlight w:val="none"/>
          <w14:textFill>
            <w14:solidFill>
              <w14:schemeClr w14:val="tx1"/>
            </w14:solidFill>
          </w14:textFill>
        </w:rPr>
        <w:t>“允许负偏离的条款”是指采购需求中的不属于“实质性要求”的条款。</w:t>
      </w:r>
    </w:p>
    <w:p w14:paraId="2311D408">
      <w:pPr>
        <w:spacing w:line="360" w:lineRule="auto"/>
        <w:ind w:firstLine="420" w:firstLineChars="200"/>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2.12</w:t>
      </w:r>
      <w:r>
        <w:rPr>
          <w:rFonts w:hint="eastAsia" w:ascii="宋体" w:hAnsi="宋体" w:cs="宋体"/>
          <w:color w:val="000000" w:themeColor="text1"/>
          <w:highlight w:val="none"/>
          <w14:textFill>
            <w14:solidFill>
              <w14:schemeClr w14:val="tx1"/>
            </w14:solidFill>
          </w14:textFill>
        </w:rPr>
        <w:t>“首次报价”是指供应商提交的首次响应文件中的报价。</w:t>
      </w:r>
    </w:p>
    <w:p w14:paraId="7F0A56E2">
      <w:pPr>
        <w:spacing w:line="360" w:lineRule="auto"/>
        <w:ind w:firstLine="482" w:firstLineChars="200"/>
        <w:rPr>
          <w:rFonts w:ascii="宋体"/>
          <w:b/>
          <w:bCs/>
          <w:color w:val="000000" w:themeColor="text1"/>
          <w:sz w:val="24"/>
          <w:szCs w:val="24"/>
          <w:highlight w:val="none"/>
          <w14:textFill>
            <w14:solidFill>
              <w14:schemeClr w14:val="tx1"/>
            </w14:solidFill>
          </w14:textFill>
        </w:rPr>
      </w:pPr>
      <w:r>
        <w:rPr>
          <w:rFonts w:ascii="宋体" w:hAnsi="宋体" w:cs="宋体"/>
          <w:b/>
          <w:bCs/>
          <w:color w:val="000000" w:themeColor="text1"/>
          <w:sz w:val="24"/>
          <w:szCs w:val="24"/>
          <w:highlight w:val="none"/>
          <w14:textFill>
            <w14:solidFill>
              <w14:schemeClr w14:val="tx1"/>
            </w14:solidFill>
          </w14:textFill>
        </w:rPr>
        <w:t>3.</w:t>
      </w:r>
      <w:r>
        <w:rPr>
          <w:rFonts w:hint="eastAsia" w:ascii="宋体" w:hAnsi="宋体" w:cs="宋体"/>
          <w:b/>
          <w:bCs/>
          <w:color w:val="000000" w:themeColor="text1"/>
          <w:sz w:val="24"/>
          <w:szCs w:val="24"/>
          <w:highlight w:val="none"/>
          <w14:textFill>
            <w14:solidFill>
              <w14:schemeClr w14:val="tx1"/>
            </w14:solidFill>
          </w14:textFill>
        </w:rPr>
        <w:t>供应商的资格条件</w:t>
      </w:r>
    </w:p>
    <w:p w14:paraId="23E5465A">
      <w:pPr>
        <w:spacing w:line="360" w:lineRule="auto"/>
        <w:ind w:firstLine="420" w:firstLineChars="200"/>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供应商的资格条件详见“供应商须知前附表”。</w:t>
      </w:r>
    </w:p>
    <w:p w14:paraId="7A594163">
      <w:pPr>
        <w:spacing w:line="360" w:lineRule="auto"/>
        <w:ind w:firstLine="482" w:firstLineChars="200"/>
        <w:rPr>
          <w:rFonts w:ascii="宋体"/>
          <w:b/>
          <w:bCs/>
          <w:color w:val="000000" w:themeColor="text1"/>
          <w:sz w:val="24"/>
          <w:szCs w:val="24"/>
          <w:highlight w:val="none"/>
          <w14:textFill>
            <w14:solidFill>
              <w14:schemeClr w14:val="tx1"/>
            </w14:solidFill>
          </w14:textFill>
        </w:rPr>
      </w:pPr>
      <w:r>
        <w:rPr>
          <w:rFonts w:ascii="宋体" w:hAnsi="宋体" w:cs="宋体"/>
          <w:b/>
          <w:bCs/>
          <w:color w:val="000000" w:themeColor="text1"/>
          <w:sz w:val="24"/>
          <w:szCs w:val="24"/>
          <w:highlight w:val="none"/>
          <w14:textFill>
            <w14:solidFill>
              <w14:schemeClr w14:val="tx1"/>
            </w14:solidFill>
          </w14:textFill>
        </w:rPr>
        <w:t>4.</w:t>
      </w:r>
      <w:r>
        <w:rPr>
          <w:rFonts w:hint="eastAsia" w:ascii="宋体" w:hAnsi="宋体" w:cs="宋体"/>
          <w:b/>
          <w:bCs/>
          <w:color w:val="000000" w:themeColor="text1"/>
          <w:sz w:val="24"/>
          <w:szCs w:val="24"/>
          <w:highlight w:val="none"/>
          <w14:textFill>
            <w14:solidFill>
              <w14:schemeClr w14:val="tx1"/>
            </w14:solidFill>
          </w14:textFill>
        </w:rPr>
        <w:t>磋商费用</w:t>
      </w:r>
    </w:p>
    <w:p w14:paraId="30821741">
      <w:pPr>
        <w:spacing w:line="360" w:lineRule="auto"/>
        <w:ind w:firstLine="420" w:firstLineChars="200"/>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供应商应承担参与本次采购活动有关的所有费用，包括但不限于获取磋商文件、勘查现场、编制和提交响应文件、参加磋商与应答、签订合同等，不论磋商结果如何，均应自行承担。</w:t>
      </w:r>
    </w:p>
    <w:p w14:paraId="31440376">
      <w:pPr>
        <w:spacing w:line="360" w:lineRule="auto"/>
        <w:ind w:firstLine="482" w:firstLineChars="200"/>
        <w:rPr>
          <w:rFonts w:ascii="宋体"/>
          <w:b/>
          <w:bCs/>
          <w:color w:val="000000" w:themeColor="text1"/>
          <w:sz w:val="24"/>
          <w:szCs w:val="24"/>
          <w:highlight w:val="none"/>
          <w14:textFill>
            <w14:solidFill>
              <w14:schemeClr w14:val="tx1"/>
            </w14:solidFill>
          </w14:textFill>
        </w:rPr>
      </w:pPr>
      <w:r>
        <w:rPr>
          <w:rFonts w:ascii="宋体" w:hAnsi="宋体" w:cs="宋体"/>
          <w:b/>
          <w:bCs/>
          <w:color w:val="000000" w:themeColor="text1"/>
          <w:sz w:val="24"/>
          <w:szCs w:val="24"/>
          <w:highlight w:val="none"/>
          <w14:textFill>
            <w14:solidFill>
              <w14:schemeClr w14:val="tx1"/>
            </w14:solidFill>
          </w14:textFill>
        </w:rPr>
        <w:t>5.</w:t>
      </w:r>
      <w:r>
        <w:rPr>
          <w:rFonts w:hint="eastAsia" w:ascii="宋体" w:hAnsi="宋体" w:cs="宋体"/>
          <w:b/>
          <w:bCs/>
          <w:color w:val="000000" w:themeColor="text1"/>
          <w:sz w:val="24"/>
          <w:szCs w:val="24"/>
          <w:highlight w:val="none"/>
          <w14:textFill>
            <w14:solidFill>
              <w14:schemeClr w14:val="tx1"/>
            </w14:solidFill>
          </w14:textFill>
        </w:rPr>
        <w:t>联合体磋商</w:t>
      </w:r>
    </w:p>
    <w:p w14:paraId="51FACDD9">
      <w:pPr>
        <w:spacing w:line="360" w:lineRule="auto"/>
        <w:ind w:firstLine="420" w:firstLineChars="200"/>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5.1</w:t>
      </w:r>
      <w:r>
        <w:rPr>
          <w:rFonts w:hint="eastAsia" w:ascii="宋体" w:hAnsi="宋体" w:cs="宋体"/>
          <w:color w:val="000000" w:themeColor="text1"/>
          <w:highlight w:val="none"/>
          <w14:textFill>
            <w14:solidFill>
              <w14:schemeClr w14:val="tx1"/>
            </w14:solidFill>
          </w14:textFill>
        </w:rPr>
        <w:t>本项目是否接受联合体磋商，详见“供应商须知前附表”。</w:t>
      </w:r>
    </w:p>
    <w:p w14:paraId="4D4DCC25">
      <w:pPr>
        <w:spacing w:line="360" w:lineRule="auto"/>
        <w:ind w:firstLine="420" w:firstLineChars="200"/>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5.2</w:t>
      </w:r>
      <w:r>
        <w:rPr>
          <w:rFonts w:hint="eastAsia" w:ascii="宋体" w:hAnsi="宋体" w:cs="宋体"/>
          <w:color w:val="000000" w:themeColor="text1"/>
          <w:highlight w:val="none"/>
          <w14:textFill>
            <w14:solidFill>
              <w14:schemeClr w14:val="tx1"/>
            </w14:solidFill>
          </w14:textFill>
        </w:rPr>
        <w:t>如接受联合体磋商，联合体磋商要求详见“供应商须知前附表”。</w:t>
      </w:r>
    </w:p>
    <w:p w14:paraId="1153D990">
      <w:pPr>
        <w:spacing w:line="360" w:lineRule="auto"/>
        <w:ind w:firstLine="420" w:firstLineChars="200"/>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5.3</w:t>
      </w:r>
      <w:bookmarkStart w:id="21" w:name="_Hlk66782192"/>
      <w:r>
        <w:rPr>
          <w:rFonts w:hint="eastAsia" w:ascii="宋体" w:hAnsi="宋体" w:cs="宋体"/>
          <w:color w:val="000000" w:themeColor="text1"/>
          <w:highlight w:val="none"/>
          <w14:textFill>
            <w14:solidFill>
              <w14:schemeClr w14:val="tx1"/>
            </w14:solidFill>
          </w14:textFill>
        </w:rPr>
        <w:t>根据《政府采购促进中小企业发展管理办法》（财库〔</w:t>
      </w:r>
      <w:r>
        <w:rPr>
          <w:rFonts w:ascii="宋体" w:hAnsi="宋体" w:cs="宋体"/>
          <w:color w:val="000000" w:themeColor="text1"/>
          <w:highlight w:val="none"/>
          <w14:textFill>
            <w14:solidFill>
              <w14:schemeClr w14:val="tx1"/>
            </w14:solidFill>
          </w14:textFill>
        </w:rPr>
        <w:t>2020</w:t>
      </w:r>
      <w:r>
        <w:rPr>
          <w:rFonts w:hint="eastAsia" w:ascii="宋体" w:hAnsi="宋体" w:cs="宋体"/>
          <w:color w:val="000000" w:themeColor="text1"/>
          <w:highlight w:val="none"/>
          <w14:textFill>
            <w14:solidFill>
              <w14:schemeClr w14:val="tx1"/>
            </w14:solidFill>
          </w14:textFill>
        </w:rPr>
        <w:t>〕</w:t>
      </w:r>
      <w:r>
        <w:rPr>
          <w:rFonts w:ascii="宋体" w:hAnsi="宋体" w:cs="宋体"/>
          <w:color w:val="000000" w:themeColor="text1"/>
          <w:highlight w:val="none"/>
          <w14:textFill>
            <w14:solidFill>
              <w14:schemeClr w14:val="tx1"/>
            </w14:solidFill>
          </w14:textFill>
        </w:rPr>
        <w:t>46</w:t>
      </w:r>
      <w:r>
        <w:rPr>
          <w:rFonts w:hint="eastAsia" w:ascii="宋体" w:hAnsi="宋体" w:cs="宋体"/>
          <w:color w:val="000000" w:themeColor="text1"/>
          <w:highlight w:val="none"/>
          <w14:textFill>
            <w14:solidFill>
              <w14:schemeClr w14:val="tx1"/>
            </w14:solidFill>
          </w14:textFill>
        </w:rPr>
        <w:t>号）第九条第二款的规定，接受大中型企业与小微企业组成联合体或者允许大中型企业向一家或者多家小微企业分包的采购项目，对于联合协议或者分包意向协议约定小微企业的合同份额占到合同总金额</w:t>
      </w:r>
      <w:r>
        <w:rPr>
          <w:rFonts w:ascii="宋体" w:hAnsi="宋体" w:cs="宋体"/>
          <w:color w:val="000000" w:themeColor="text1"/>
          <w:highlight w:val="none"/>
          <w14:textFill>
            <w14:solidFill>
              <w14:schemeClr w14:val="tx1"/>
            </w14:solidFill>
          </w14:textFill>
        </w:rPr>
        <w:t>30%</w:t>
      </w:r>
      <w:r>
        <w:rPr>
          <w:rFonts w:hint="eastAsia" w:ascii="宋体" w:hAnsi="宋体" w:cs="宋体"/>
          <w:color w:val="000000" w:themeColor="text1"/>
          <w:highlight w:val="none"/>
          <w14:textFill>
            <w14:solidFill>
              <w14:schemeClr w14:val="tx1"/>
            </w14:solidFill>
          </w14:textFill>
        </w:rPr>
        <w:t>以上的，采购人、采购代理机构应当对联合体或者大中型企业的报价给予</w:t>
      </w:r>
      <w:r>
        <w:rPr>
          <w:rFonts w:ascii="宋体" w:hAnsi="宋体" w:cs="宋体"/>
          <w:color w:val="000000" w:themeColor="text1"/>
          <w:highlight w:val="none"/>
          <w14:textFill>
            <w14:solidFill>
              <w14:schemeClr w14:val="tx1"/>
            </w14:solidFill>
          </w14:textFill>
        </w:rPr>
        <w:t>2%-3%</w:t>
      </w:r>
      <w:r>
        <w:rPr>
          <w:rFonts w:hint="eastAsia" w:ascii="宋体" w:hAnsi="宋体" w:cs="宋体"/>
          <w:color w:val="000000" w:themeColor="text1"/>
          <w:highlight w:val="none"/>
          <w14:textFill>
            <w14:solidFill>
              <w14:schemeClr w14:val="tx1"/>
            </w14:solidFill>
          </w14:textFill>
        </w:rPr>
        <w:t>(工程项目为1%一2%)的扣除，用扣除后的价格参加评审。</w:t>
      </w:r>
      <w:bookmarkEnd w:id="21"/>
    </w:p>
    <w:p w14:paraId="46E71E0A">
      <w:pPr>
        <w:spacing w:line="360" w:lineRule="auto"/>
        <w:ind w:firstLine="482" w:firstLineChars="200"/>
        <w:rPr>
          <w:rFonts w:ascii="宋体"/>
          <w:b/>
          <w:bCs/>
          <w:color w:val="000000" w:themeColor="text1"/>
          <w:sz w:val="24"/>
          <w:szCs w:val="24"/>
          <w:highlight w:val="none"/>
          <w14:textFill>
            <w14:solidFill>
              <w14:schemeClr w14:val="tx1"/>
            </w14:solidFill>
          </w14:textFill>
        </w:rPr>
      </w:pPr>
      <w:r>
        <w:rPr>
          <w:rFonts w:ascii="宋体" w:hAnsi="宋体" w:cs="宋体"/>
          <w:b/>
          <w:bCs/>
          <w:color w:val="000000" w:themeColor="text1"/>
          <w:sz w:val="24"/>
          <w:szCs w:val="24"/>
          <w:highlight w:val="none"/>
          <w14:textFill>
            <w14:solidFill>
              <w14:schemeClr w14:val="tx1"/>
            </w14:solidFill>
          </w14:textFill>
        </w:rPr>
        <w:t>6.</w:t>
      </w:r>
      <w:r>
        <w:rPr>
          <w:rFonts w:hint="eastAsia" w:ascii="宋体" w:hAnsi="宋体" w:cs="宋体"/>
          <w:b/>
          <w:bCs/>
          <w:color w:val="000000" w:themeColor="text1"/>
          <w:sz w:val="24"/>
          <w:szCs w:val="24"/>
          <w:highlight w:val="none"/>
          <w14:textFill>
            <w14:solidFill>
              <w14:schemeClr w14:val="tx1"/>
            </w14:solidFill>
          </w14:textFill>
        </w:rPr>
        <w:t>转包与分包</w:t>
      </w:r>
      <w:r>
        <w:rPr>
          <w:rFonts w:ascii="宋体" w:hAnsi="宋体" w:cs="宋体"/>
          <w:b/>
          <w:bCs/>
          <w:color w:val="000000" w:themeColor="text1"/>
          <w:sz w:val="24"/>
          <w:szCs w:val="24"/>
          <w:highlight w:val="none"/>
          <w14:textFill>
            <w14:solidFill>
              <w14:schemeClr w14:val="tx1"/>
            </w14:solidFill>
          </w14:textFill>
        </w:rPr>
        <w:t xml:space="preserve">             </w:t>
      </w:r>
    </w:p>
    <w:p w14:paraId="7AC269CF">
      <w:pPr>
        <w:spacing w:line="360" w:lineRule="auto"/>
        <w:ind w:left="420" w:leftChars="200"/>
        <w:rPr>
          <w:rFonts w:ascii="宋体"/>
          <w:color w:val="000000" w:themeColor="text1"/>
          <w:highlight w:val="none"/>
          <w14:textFill>
            <w14:solidFill>
              <w14:schemeClr w14:val="tx1"/>
            </w14:solidFill>
          </w14:textFill>
        </w:rPr>
      </w:pPr>
      <w:bookmarkStart w:id="22" w:name="_Toc254970532"/>
      <w:bookmarkStart w:id="23" w:name="_Toc254970673"/>
      <w:r>
        <w:rPr>
          <w:rFonts w:ascii="宋体" w:hAnsi="宋体" w:cs="宋体"/>
          <w:color w:val="000000" w:themeColor="text1"/>
          <w:highlight w:val="none"/>
          <w14:textFill>
            <w14:solidFill>
              <w14:schemeClr w14:val="tx1"/>
            </w14:solidFill>
          </w14:textFill>
        </w:rPr>
        <w:t>6.1</w:t>
      </w:r>
      <w:r>
        <w:rPr>
          <w:rFonts w:hint="eastAsia" w:ascii="宋体" w:hAnsi="宋体" w:cs="宋体"/>
          <w:color w:val="000000" w:themeColor="text1"/>
          <w:highlight w:val="none"/>
          <w14:textFill>
            <w14:solidFill>
              <w14:schemeClr w14:val="tx1"/>
            </w14:solidFill>
          </w14:textFill>
        </w:rPr>
        <w:t>本项目不允许转包。</w:t>
      </w:r>
    </w:p>
    <w:p w14:paraId="3214BE08">
      <w:pPr>
        <w:spacing w:line="360" w:lineRule="auto"/>
        <w:ind w:firstLine="315" w:firstLineChars="150"/>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 6.2</w:t>
      </w:r>
      <w:r>
        <w:rPr>
          <w:rFonts w:hint="eastAsia" w:ascii="宋体" w:hAnsi="宋体" w:cs="宋体"/>
          <w:color w:val="000000" w:themeColor="text1"/>
          <w:highlight w:val="none"/>
          <w14:textFill>
            <w14:solidFill>
              <w14:schemeClr w14:val="tx1"/>
            </w14:solidFill>
          </w14:textFill>
        </w:rPr>
        <w:t>本项目是否允许分包详见“供应商须知前附表”，本项目不允许违法分包。允许分包的非主体、非关键性工作，根据法律法规规定承担该工作需要行政许可的，如该工作由供应商自行承担，供应商应具备相应的行政许可，如供应商不具备相应的行政许可必须采用分包的方式，但分包供应商应具备相应行政许可。</w:t>
      </w:r>
    </w:p>
    <w:p w14:paraId="31E263C2">
      <w:pPr>
        <w:spacing w:line="360" w:lineRule="auto"/>
        <w:ind w:firstLine="315" w:firstLineChars="150"/>
        <w:rPr>
          <w:rFonts w:ascii="宋体"/>
          <w:b/>
          <w:bCs/>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 6.3</w:t>
      </w:r>
      <w:r>
        <w:rPr>
          <w:rFonts w:hint="eastAsia" w:ascii="宋体" w:hAnsi="宋体" w:cs="宋体"/>
          <w:color w:val="000000" w:themeColor="text1"/>
          <w:highlight w:val="none"/>
          <w14:textFill>
            <w14:solidFill>
              <w14:schemeClr w14:val="tx1"/>
            </w14:solidFill>
          </w14:textFill>
        </w:rPr>
        <w:t>供应商根据磋商文件的规定和采购项目的实际情况，拟在成交后将成交项目的非主体、非关键性工作分包的，应当在响应文件中载明分包承担主体，分包承担主体应当具备相应资质条件且不得再次分包。</w:t>
      </w:r>
    </w:p>
    <w:p w14:paraId="4E363B35">
      <w:pPr>
        <w:spacing w:line="360" w:lineRule="auto"/>
        <w:ind w:firstLine="482" w:firstLineChars="200"/>
        <w:rPr>
          <w:rFonts w:ascii="宋体"/>
          <w:b/>
          <w:bCs/>
          <w:color w:val="000000" w:themeColor="text1"/>
          <w:sz w:val="24"/>
          <w:szCs w:val="24"/>
          <w:highlight w:val="none"/>
          <w14:textFill>
            <w14:solidFill>
              <w14:schemeClr w14:val="tx1"/>
            </w14:solidFill>
          </w14:textFill>
        </w:rPr>
      </w:pPr>
      <w:r>
        <w:rPr>
          <w:rFonts w:ascii="宋体" w:hAnsi="宋体" w:cs="宋体"/>
          <w:b/>
          <w:bCs/>
          <w:color w:val="000000" w:themeColor="text1"/>
          <w:sz w:val="24"/>
          <w:szCs w:val="24"/>
          <w:highlight w:val="none"/>
          <w14:textFill>
            <w14:solidFill>
              <w14:schemeClr w14:val="tx1"/>
            </w14:solidFill>
          </w14:textFill>
        </w:rPr>
        <w:t>7.</w:t>
      </w:r>
      <w:r>
        <w:rPr>
          <w:rFonts w:hint="eastAsia" w:ascii="宋体" w:hAnsi="宋体" w:cs="宋体"/>
          <w:b/>
          <w:bCs/>
          <w:color w:val="000000" w:themeColor="text1"/>
          <w:sz w:val="24"/>
          <w:szCs w:val="24"/>
          <w:highlight w:val="none"/>
          <w14:textFill>
            <w14:solidFill>
              <w14:schemeClr w14:val="tx1"/>
            </w14:solidFill>
          </w14:textFill>
        </w:rPr>
        <w:t>特别说明</w:t>
      </w:r>
      <w:bookmarkEnd w:id="22"/>
      <w:bookmarkEnd w:id="23"/>
    </w:p>
    <w:p w14:paraId="7F061D59">
      <w:pPr>
        <w:spacing w:line="360" w:lineRule="auto"/>
        <w:ind w:firstLine="420" w:firstLineChars="200"/>
        <w:rPr>
          <w:rFonts w:ascii="宋体"/>
          <w:color w:val="000000" w:themeColor="text1"/>
          <w:highlight w:val="none"/>
          <w14:textFill>
            <w14:solidFill>
              <w14:schemeClr w14:val="tx1"/>
            </w14:solidFill>
          </w14:textFill>
        </w:rPr>
      </w:pPr>
      <w:bookmarkStart w:id="24" w:name="_8_1提供相同品牌产品且通过资格审查、符合性审查的不同投标人参加同一合"/>
      <w:bookmarkEnd w:id="24"/>
      <w:r>
        <w:rPr>
          <w:rFonts w:ascii="宋体" w:hAnsi="宋体" w:cs="宋体"/>
          <w:color w:val="000000" w:themeColor="text1"/>
          <w:highlight w:val="none"/>
          <w14:textFill>
            <w14:solidFill>
              <w14:schemeClr w14:val="tx1"/>
            </w14:solidFill>
          </w14:textFill>
        </w:rPr>
        <w:t>7.1</w:t>
      </w:r>
      <w:bookmarkStart w:id="25" w:name="_Hlk65832145"/>
      <w:r>
        <w:rPr>
          <w:rFonts w:hint="eastAsia" w:ascii="宋体" w:hAnsi="宋体" w:cs="宋体"/>
          <w:color w:val="000000" w:themeColor="text1"/>
          <w:highlight w:val="none"/>
          <w14:textFill>
            <w14:solidFill>
              <w14:schemeClr w14:val="tx1"/>
            </w14:solidFill>
          </w14:textFill>
        </w:rPr>
        <w:t>如果本磋商文件要求提供供应商或制造商的资格、信誉、荣誉、业绩与企业认证等材料的，资格、信誉、荣誉、业绩与企业认证等必须为供应商或者制造商所拥有或自身获得</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w:t>
      </w:r>
    </w:p>
    <w:bookmarkEnd w:id="25"/>
    <w:p w14:paraId="6951D505">
      <w:pPr>
        <w:spacing w:line="360" w:lineRule="auto"/>
        <w:ind w:firstLine="420" w:firstLineChars="200"/>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7.2</w:t>
      </w:r>
      <w:r>
        <w:rPr>
          <w:rFonts w:hint="eastAsia" w:ascii="宋体" w:hAnsi="宋体" w:cs="宋体"/>
          <w:color w:val="000000" w:themeColor="text1"/>
          <w:highlight w:val="none"/>
          <w14:textFill>
            <w14:solidFill>
              <w14:schemeClr w14:val="tx1"/>
            </w14:solidFill>
          </w14:textFill>
        </w:rPr>
        <w:t>供应商应仔细阅读磋商文件的所有内容，按照磋商文件的要求提交响应文件，并对所提供的全部资料的真实性承担法律责任。</w:t>
      </w:r>
    </w:p>
    <w:p w14:paraId="18835C80">
      <w:pPr>
        <w:spacing w:line="360" w:lineRule="auto"/>
        <w:ind w:firstLine="420" w:firstLineChars="200"/>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7.3</w:t>
      </w:r>
      <w:r>
        <w:rPr>
          <w:rFonts w:hint="eastAsia" w:ascii="宋体" w:hAnsi="宋体" w:cs="宋体"/>
          <w:color w:val="000000" w:themeColor="text1"/>
          <w:highlight w:val="none"/>
          <w14:textFill>
            <w14:solidFill>
              <w14:schemeClr w14:val="tx1"/>
            </w14:solidFill>
          </w14:textFill>
        </w:rPr>
        <w:t>供应商在磋商活动中提供任何疑似虚假材料，将报监管部门查处；签订合同后发现的，成交供应商须依法赔偿采购人，且民事赔偿并不免除违法供应商的行政与刑事责任。</w:t>
      </w:r>
    </w:p>
    <w:p w14:paraId="6B805A14">
      <w:pPr>
        <w:spacing w:line="360" w:lineRule="auto"/>
        <w:ind w:firstLine="420" w:firstLineChars="200"/>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7.4</w:t>
      </w:r>
      <w:r>
        <w:rPr>
          <w:rFonts w:hint="eastAsia" w:ascii="宋体" w:hAnsi="宋体" w:cs="宋体"/>
          <w:color w:val="000000" w:themeColor="text1"/>
          <w:highlight w:val="none"/>
          <w14:textFill>
            <w14:solidFill>
              <w14:schemeClr w14:val="tx1"/>
            </w14:solidFill>
          </w14:textFill>
        </w:rPr>
        <w:t>在政府采购活动中，采购人员及相关人员与供应商有下列利害关系之一的，应当回避：</w:t>
      </w:r>
    </w:p>
    <w:p w14:paraId="01FA1752">
      <w:pPr>
        <w:spacing w:line="360" w:lineRule="auto"/>
        <w:ind w:firstLine="420" w:firstLineChars="200"/>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w:t>
      </w:r>
      <w:r>
        <w:rPr>
          <w:rFonts w:ascii="宋体" w:hAnsi="宋体" w:cs="宋体"/>
          <w:color w:val="000000" w:themeColor="text1"/>
          <w:highlight w:val="none"/>
          <w14:textFill>
            <w14:solidFill>
              <w14:schemeClr w14:val="tx1"/>
            </w14:solidFill>
          </w14:textFill>
        </w:rPr>
        <w:t>1</w:t>
      </w:r>
      <w:r>
        <w:rPr>
          <w:rFonts w:hint="eastAsia" w:ascii="宋体" w:hAnsi="宋体" w:cs="宋体"/>
          <w:color w:val="000000" w:themeColor="text1"/>
          <w:highlight w:val="none"/>
          <w14:textFill>
            <w14:solidFill>
              <w14:schemeClr w14:val="tx1"/>
            </w14:solidFill>
          </w14:textFill>
        </w:rPr>
        <w:t>）参加采购活动前</w:t>
      </w:r>
      <w:r>
        <w:rPr>
          <w:rFonts w:ascii="宋体" w:hAnsi="宋体" w:cs="宋体"/>
          <w:color w:val="000000" w:themeColor="text1"/>
          <w:highlight w:val="none"/>
          <w14:textFill>
            <w14:solidFill>
              <w14:schemeClr w14:val="tx1"/>
            </w14:solidFill>
          </w14:textFill>
        </w:rPr>
        <w:t>3</w:t>
      </w:r>
      <w:r>
        <w:rPr>
          <w:rFonts w:hint="eastAsia" w:ascii="宋体" w:hAnsi="宋体" w:cs="宋体"/>
          <w:color w:val="000000" w:themeColor="text1"/>
          <w:highlight w:val="none"/>
          <w14:textFill>
            <w14:solidFill>
              <w14:schemeClr w14:val="tx1"/>
            </w14:solidFill>
          </w14:textFill>
        </w:rPr>
        <w:t>年内与供应商存在劳动关系；</w:t>
      </w:r>
    </w:p>
    <w:p w14:paraId="7BDE51BB">
      <w:pPr>
        <w:spacing w:line="360" w:lineRule="auto"/>
        <w:ind w:firstLine="420" w:firstLineChars="200"/>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w:t>
      </w:r>
      <w:r>
        <w:rPr>
          <w:rFonts w:ascii="宋体" w:hAnsi="宋体" w:cs="宋体"/>
          <w:color w:val="000000" w:themeColor="text1"/>
          <w:highlight w:val="none"/>
          <w14:textFill>
            <w14:solidFill>
              <w14:schemeClr w14:val="tx1"/>
            </w14:solidFill>
          </w14:textFill>
        </w:rPr>
        <w:t>2</w:t>
      </w:r>
      <w:r>
        <w:rPr>
          <w:rFonts w:hint="eastAsia" w:ascii="宋体" w:hAnsi="宋体" w:cs="宋体"/>
          <w:color w:val="000000" w:themeColor="text1"/>
          <w:highlight w:val="none"/>
          <w14:textFill>
            <w14:solidFill>
              <w14:schemeClr w14:val="tx1"/>
            </w14:solidFill>
          </w14:textFill>
        </w:rPr>
        <w:t>）参加采购活动前</w:t>
      </w:r>
      <w:r>
        <w:rPr>
          <w:rFonts w:ascii="宋体" w:hAnsi="宋体" w:cs="宋体"/>
          <w:color w:val="000000" w:themeColor="text1"/>
          <w:highlight w:val="none"/>
          <w14:textFill>
            <w14:solidFill>
              <w14:schemeClr w14:val="tx1"/>
            </w14:solidFill>
          </w14:textFill>
        </w:rPr>
        <w:t>3</w:t>
      </w:r>
      <w:r>
        <w:rPr>
          <w:rFonts w:hint="eastAsia" w:ascii="宋体" w:hAnsi="宋体" w:cs="宋体"/>
          <w:color w:val="000000" w:themeColor="text1"/>
          <w:highlight w:val="none"/>
          <w14:textFill>
            <w14:solidFill>
              <w14:schemeClr w14:val="tx1"/>
            </w14:solidFill>
          </w14:textFill>
        </w:rPr>
        <w:t>年内担任供应商的董事、监事；</w:t>
      </w:r>
    </w:p>
    <w:p w14:paraId="18D6CA97">
      <w:pPr>
        <w:spacing w:line="360" w:lineRule="auto"/>
        <w:ind w:firstLine="420" w:firstLineChars="200"/>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w:t>
      </w:r>
      <w:r>
        <w:rPr>
          <w:rFonts w:ascii="宋体" w:hAnsi="宋体" w:cs="宋体"/>
          <w:color w:val="000000" w:themeColor="text1"/>
          <w:highlight w:val="none"/>
          <w14:textFill>
            <w14:solidFill>
              <w14:schemeClr w14:val="tx1"/>
            </w14:solidFill>
          </w14:textFill>
        </w:rPr>
        <w:t>3</w:t>
      </w:r>
      <w:r>
        <w:rPr>
          <w:rFonts w:hint="eastAsia" w:ascii="宋体" w:hAnsi="宋体" w:cs="宋体"/>
          <w:color w:val="000000" w:themeColor="text1"/>
          <w:highlight w:val="none"/>
          <w14:textFill>
            <w14:solidFill>
              <w14:schemeClr w14:val="tx1"/>
            </w14:solidFill>
          </w14:textFill>
        </w:rPr>
        <w:t>）参加采购活动前</w:t>
      </w:r>
      <w:r>
        <w:rPr>
          <w:rFonts w:ascii="宋体" w:hAnsi="宋体" w:cs="宋体"/>
          <w:color w:val="000000" w:themeColor="text1"/>
          <w:highlight w:val="none"/>
          <w14:textFill>
            <w14:solidFill>
              <w14:schemeClr w14:val="tx1"/>
            </w14:solidFill>
          </w14:textFill>
        </w:rPr>
        <w:t>3</w:t>
      </w:r>
      <w:r>
        <w:rPr>
          <w:rFonts w:hint="eastAsia" w:ascii="宋体" w:hAnsi="宋体" w:cs="宋体"/>
          <w:color w:val="000000" w:themeColor="text1"/>
          <w:highlight w:val="none"/>
          <w14:textFill>
            <w14:solidFill>
              <w14:schemeClr w14:val="tx1"/>
            </w14:solidFill>
          </w14:textFill>
        </w:rPr>
        <w:t>年内是供应商的控股股东或者实际控制人；</w:t>
      </w:r>
    </w:p>
    <w:p w14:paraId="3E0044AD">
      <w:pPr>
        <w:spacing w:line="360" w:lineRule="auto"/>
        <w:ind w:firstLine="420" w:firstLineChars="200"/>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w:t>
      </w:r>
      <w:r>
        <w:rPr>
          <w:rFonts w:ascii="宋体" w:hAnsi="宋体" w:cs="宋体"/>
          <w:color w:val="000000" w:themeColor="text1"/>
          <w:highlight w:val="none"/>
          <w14:textFill>
            <w14:solidFill>
              <w14:schemeClr w14:val="tx1"/>
            </w14:solidFill>
          </w14:textFill>
        </w:rPr>
        <w:t>4</w:t>
      </w:r>
      <w:r>
        <w:rPr>
          <w:rFonts w:hint="eastAsia" w:ascii="宋体" w:hAnsi="宋体" w:cs="宋体"/>
          <w:color w:val="000000" w:themeColor="text1"/>
          <w:highlight w:val="none"/>
          <w14:textFill>
            <w14:solidFill>
              <w14:schemeClr w14:val="tx1"/>
            </w14:solidFill>
          </w14:textFill>
        </w:rPr>
        <w:t>）与供应商的法定代表人或者负责人有夫妻、直系血亲、三代以内旁系血亲或者近姻亲关系；</w:t>
      </w:r>
    </w:p>
    <w:p w14:paraId="5F867308">
      <w:pPr>
        <w:spacing w:line="360" w:lineRule="auto"/>
        <w:ind w:firstLine="420" w:firstLineChars="200"/>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w:t>
      </w:r>
      <w:r>
        <w:rPr>
          <w:rFonts w:ascii="宋体" w:hAnsi="宋体" w:cs="宋体"/>
          <w:color w:val="000000" w:themeColor="text1"/>
          <w:highlight w:val="none"/>
          <w14:textFill>
            <w14:solidFill>
              <w14:schemeClr w14:val="tx1"/>
            </w14:solidFill>
          </w14:textFill>
        </w:rPr>
        <w:t>5</w:t>
      </w:r>
      <w:r>
        <w:rPr>
          <w:rFonts w:hint="eastAsia" w:ascii="宋体" w:hAnsi="宋体" w:cs="宋体"/>
          <w:color w:val="000000" w:themeColor="text1"/>
          <w:highlight w:val="none"/>
          <w14:textFill>
            <w14:solidFill>
              <w14:schemeClr w14:val="tx1"/>
            </w14:solidFill>
          </w14:textFill>
        </w:rPr>
        <w:t>）与供应商有其他可能影响政府采购活动公平、公正进行的关系。</w:t>
      </w:r>
    </w:p>
    <w:p w14:paraId="550785CA">
      <w:pPr>
        <w:spacing w:line="360" w:lineRule="auto"/>
        <w:ind w:firstLine="420" w:firstLineChars="200"/>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59A1A2CB">
      <w:pPr>
        <w:spacing w:line="360" w:lineRule="auto"/>
        <w:ind w:firstLine="420" w:firstLineChars="200"/>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7.5</w:t>
      </w:r>
      <w:r>
        <w:rPr>
          <w:rFonts w:hint="eastAsia" w:ascii="宋体" w:hAnsi="宋体" w:cs="宋体"/>
          <w:color w:val="000000" w:themeColor="text1"/>
          <w:highlight w:val="none"/>
          <w14:textFill>
            <w14:solidFill>
              <w14:schemeClr w14:val="tx1"/>
            </w14:solidFill>
          </w14:textFill>
        </w:rPr>
        <w:t>有下列情形之一的视为供应商相互串通磋商，响应文件将被视为无效：</w:t>
      </w:r>
    </w:p>
    <w:p w14:paraId="70425B62">
      <w:pPr>
        <w:spacing w:line="360" w:lineRule="auto"/>
        <w:ind w:firstLine="420" w:firstLineChars="200"/>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w:t>
      </w:r>
      <w:r>
        <w:rPr>
          <w:rFonts w:ascii="宋体" w:hAnsi="宋体" w:cs="宋体"/>
          <w:color w:val="000000" w:themeColor="text1"/>
          <w:highlight w:val="none"/>
          <w14:textFill>
            <w14:solidFill>
              <w14:schemeClr w14:val="tx1"/>
            </w14:solidFill>
          </w14:textFill>
        </w:rPr>
        <w:t>1</w:t>
      </w:r>
      <w:r>
        <w:rPr>
          <w:rFonts w:hint="eastAsia" w:ascii="宋体" w:hAnsi="宋体" w:cs="宋体"/>
          <w:color w:val="000000" w:themeColor="text1"/>
          <w:highlight w:val="none"/>
          <w14:textFill>
            <w14:solidFill>
              <w14:schemeClr w14:val="tx1"/>
            </w14:solidFill>
          </w14:textFill>
        </w:rPr>
        <w:t>）不同供应商的响应文件由同一单位或者个人编制；</w:t>
      </w:r>
      <w:r>
        <w:rPr>
          <w:rFonts w:ascii="宋体" w:hAnsi="宋体" w:cs="宋体"/>
          <w:color w:val="000000" w:themeColor="text1"/>
          <w:highlight w:val="none"/>
          <w14:textFill>
            <w14:solidFill>
              <w14:schemeClr w14:val="tx1"/>
            </w14:solidFill>
          </w14:textFill>
        </w:rPr>
        <w:t xml:space="preserve"> </w:t>
      </w:r>
    </w:p>
    <w:p w14:paraId="7E7976B4">
      <w:pPr>
        <w:spacing w:line="360" w:lineRule="auto"/>
        <w:ind w:firstLine="420" w:firstLineChars="200"/>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w:t>
      </w:r>
      <w:r>
        <w:rPr>
          <w:rFonts w:ascii="宋体" w:hAnsi="宋体" w:cs="宋体"/>
          <w:color w:val="000000" w:themeColor="text1"/>
          <w:highlight w:val="none"/>
          <w14:textFill>
            <w14:solidFill>
              <w14:schemeClr w14:val="tx1"/>
            </w14:solidFill>
          </w14:textFill>
        </w:rPr>
        <w:t>2</w:t>
      </w:r>
      <w:r>
        <w:rPr>
          <w:rFonts w:hint="eastAsia" w:ascii="宋体" w:hAnsi="宋体" w:cs="宋体"/>
          <w:color w:val="000000" w:themeColor="text1"/>
          <w:highlight w:val="none"/>
          <w14:textFill>
            <w14:solidFill>
              <w14:schemeClr w14:val="tx1"/>
            </w14:solidFill>
          </w14:textFill>
        </w:rPr>
        <w:t>）不同供应商委托同一单位或者个人办理磋商事宜；</w:t>
      </w:r>
    </w:p>
    <w:p w14:paraId="33F18C42">
      <w:pPr>
        <w:spacing w:line="360" w:lineRule="auto"/>
        <w:ind w:firstLine="420" w:firstLineChars="200"/>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w:t>
      </w:r>
      <w:r>
        <w:rPr>
          <w:rFonts w:ascii="宋体" w:hAnsi="宋体" w:cs="宋体"/>
          <w:color w:val="000000" w:themeColor="text1"/>
          <w:highlight w:val="none"/>
          <w14:textFill>
            <w14:solidFill>
              <w14:schemeClr w14:val="tx1"/>
            </w14:solidFill>
          </w14:textFill>
        </w:rPr>
        <w:t>3</w:t>
      </w:r>
      <w:r>
        <w:rPr>
          <w:rFonts w:hint="eastAsia" w:ascii="宋体" w:hAnsi="宋体" w:cs="宋体"/>
          <w:color w:val="000000" w:themeColor="text1"/>
          <w:highlight w:val="none"/>
          <w14:textFill>
            <w14:solidFill>
              <w14:schemeClr w14:val="tx1"/>
            </w14:solidFill>
          </w14:textFill>
        </w:rPr>
        <w:t>）不同的供应商的响应文件载明的项目管理员为同一个人；</w:t>
      </w:r>
    </w:p>
    <w:p w14:paraId="1543EA43">
      <w:pPr>
        <w:spacing w:line="360" w:lineRule="auto"/>
        <w:ind w:firstLine="420" w:firstLineChars="200"/>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w:t>
      </w:r>
      <w:r>
        <w:rPr>
          <w:rFonts w:ascii="宋体" w:hAnsi="宋体" w:cs="宋体"/>
          <w:color w:val="000000" w:themeColor="text1"/>
          <w:highlight w:val="none"/>
          <w14:textFill>
            <w14:solidFill>
              <w14:schemeClr w14:val="tx1"/>
            </w14:solidFill>
          </w14:textFill>
        </w:rPr>
        <w:t>4</w:t>
      </w:r>
      <w:r>
        <w:rPr>
          <w:rFonts w:hint="eastAsia" w:ascii="宋体" w:hAnsi="宋体" w:cs="宋体"/>
          <w:color w:val="000000" w:themeColor="text1"/>
          <w:highlight w:val="none"/>
          <w14:textFill>
            <w14:solidFill>
              <w14:schemeClr w14:val="tx1"/>
            </w14:solidFill>
          </w14:textFill>
        </w:rPr>
        <w:t>）不同供应商的响应文件异常一致或者报价呈规律性差异；</w:t>
      </w:r>
    </w:p>
    <w:p w14:paraId="277EF01A">
      <w:pPr>
        <w:spacing w:line="360" w:lineRule="auto"/>
        <w:ind w:firstLine="420" w:firstLineChars="200"/>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w:t>
      </w:r>
      <w:r>
        <w:rPr>
          <w:rFonts w:ascii="宋体" w:hAnsi="宋体" w:cs="宋体"/>
          <w:color w:val="000000" w:themeColor="text1"/>
          <w:highlight w:val="none"/>
          <w14:textFill>
            <w14:solidFill>
              <w14:schemeClr w14:val="tx1"/>
            </w14:solidFill>
          </w14:textFill>
        </w:rPr>
        <w:t>5</w:t>
      </w:r>
      <w:r>
        <w:rPr>
          <w:rFonts w:hint="eastAsia" w:ascii="宋体" w:hAnsi="宋体" w:cs="宋体"/>
          <w:color w:val="000000" w:themeColor="text1"/>
          <w:highlight w:val="none"/>
          <w14:textFill>
            <w14:solidFill>
              <w14:schemeClr w14:val="tx1"/>
            </w14:solidFill>
          </w14:textFill>
        </w:rPr>
        <w:t>）不同供应商的响应文件相互混装；</w:t>
      </w:r>
    </w:p>
    <w:p w14:paraId="28125E94">
      <w:pPr>
        <w:tabs>
          <w:tab w:val="left" w:pos="6931"/>
        </w:tabs>
        <w:spacing w:line="360" w:lineRule="auto"/>
        <w:ind w:firstLine="420" w:firstLineChars="200"/>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w:t>
      </w:r>
      <w:r>
        <w:rPr>
          <w:rFonts w:ascii="宋体" w:hAnsi="宋体" w:cs="宋体"/>
          <w:color w:val="000000" w:themeColor="text1"/>
          <w:highlight w:val="none"/>
          <w14:textFill>
            <w14:solidFill>
              <w14:schemeClr w14:val="tx1"/>
            </w14:solidFill>
          </w14:textFill>
        </w:rPr>
        <w:t>6</w:t>
      </w:r>
      <w:r>
        <w:rPr>
          <w:rFonts w:hint="eastAsia" w:ascii="宋体" w:hAnsi="宋体" w:cs="宋体"/>
          <w:color w:val="000000" w:themeColor="text1"/>
          <w:highlight w:val="none"/>
          <w14:textFill>
            <w14:solidFill>
              <w14:schemeClr w14:val="tx1"/>
            </w14:solidFill>
          </w14:textFill>
        </w:rPr>
        <w:t>）不同供应商的磋商保证金从同一单位或者个人账户转出。</w:t>
      </w:r>
      <w:r>
        <w:rPr>
          <w:rFonts w:ascii="宋体"/>
          <w:color w:val="000000" w:themeColor="text1"/>
          <w:highlight w:val="none"/>
          <w14:textFill>
            <w14:solidFill>
              <w14:schemeClr w14:val="tx1"/>
            </w14:solidFill>
          </w14:textFill>
        </w:rPr>
        <w:tab/>
      </w:r>
    </w:p>
    <w:p w14:paraId="68548C3B">
      <w:pPr>
        <w:spacing w:line="360" w:lineRule="auto"/>
        <w:ind w:firstLine="420" w:firstLineChars="200"/>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7.6</w:t>
      </w:r>
      <w:r>
        <w:rPr>
          <w:rFonts w:hint="eastAsia" w:ascii="宋体" w:hAnsi="宋体" w:cs="宋体"/>
          <w:color w:val="000000" w:themeColor="text1"/>
          <w:highlight w:val="none"/>
          <w14:textFill>
            <w14:solidFill>
              <w14:schemeClr w14:val="tx1"/>
            </w14:solidFill>
          </w14:textFill>
        </w:rPr>
        <w:t>供应商有下列情形之一的，属于恶意串通行为，将报同级监督管理部门：</w:t>
      </w:r>
    </w:p>
    <w:p w14:paraId="6F8261DC">
      <w:pPr>
        <w:spacing w:line="360" w:lineRule="auto"/>
        <w:ind w:firstLine="420" w:firstLineChars="200"/>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w:t>
      </w:r>
      <w:r>
        <w:rPr>
          <w:rFonts w:ascii="宋体" w:hAnsi="宋体" w:cs="宋体"/>
          <w:color w:val="000000" w:themeColor="text1"/>
          <w:highlight w:val="none"/>
          <w14:textFill>
            <w14:solidFill>
              <w14:schemeClr w14:val="tx1"/>
            </w14:solidFill>
          </w14:textFill>
        </w:rPr>
        <w:t>1</w:t>
      </w:r>
      <w:r>
        <w:rPr>
          <w:rFonts w:hint="eastAsia" w:ascii="宋体" w:hAnsi="宋体" w:cs="宋体"/>
          <w:color w:val="000000" w:themeColor="text1"/>
          <w:highlight w:val="none"/>
          <w14:textFill>
            <w14:solidFill>
              <w14:schemeClr w14:val="tx1"/>
            </w14:solidFill>
          </w14:textFill>
        </w:rPr>
        <w:t>）供应商直接或者间接从采购人或者采购代理机构处获得其他供应商的相关信息并修改其响应文件；</w:t>
      </w:r>
    </w:p>
    <w:p w14:paraId="547E9287">
      <w:pPr>
        <w:spacing w:line="360" w:lineRule="auto"/>
        <w:ind w:firstLine="420" w:firstLineChars="200"/>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w:t>
      </w:r>
      <w:r>
        <w:rPr>
          <w:rFonts w:ascii="宋体" w:hAnsi="宋体" w:cs="宋体"/>
          <w:color w:val="000000" w:themeColor="text1"/>
          <w:highlight w:val="none"/>
          <w14:textFill>
            <w14:solidFill>
              <w14:schemeClr w14:val="tx1"/>
            </w14:solidFill>
          </w14:textFill>
        </w:rPr>
        <w:t>2</w:t>
      </w:r>
      <w:r>
        <w:rPr>
          <w:rFonts w:hint="eastAsia" w:ascii="宋体" w:hAnsi="宋体" w:cs="宋体"/>
          <w:color w:val="000000" w:themeColor="text1"/>
          <w:highlight w:val="none"/>
          <w14:textFill>
            <w14:solidFill>
              <w14:schemeClr w14:val="tx1"/>
            </w14:solidFill>
          </w14:textFill>
        </w:rPr>
        <w:t>）供应商按照采购人或者采购代理机构的授意撤换、修改响应文件；</w:t>
      </w:r>
    </w:p>
    <w:p w14:paraId="491A0811">
      <w:pPr>
        <w:spacing w:line="360" w:lineRule="auto"/>
        <w:ind w:firstLine="420" w:firstLineChars="200"/>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w:t>
      </w:r>
      <w:r>
        <w:rPr>
          <w:rFonts w:ascii="宋体" w:hAnsi="宋体" w:cs="宋体"/>
          <w:color w:val="000000" w:themeColor="text1"/>
          <w:highlight w:val="none"/>
          <w14:textFill>
            <w14:solidFill>
              <w14:schemeClr w14:val="tx1"/>
            </w14:solidFill>
          </w14:textFill>
        </w:rPr>
        <w:t>3</w:t>
      </w:r>
      <w:r>
        <w:rPr>
          <w:rFonts w:hint="eastAsia" w:ascii="宋体" w:hAnsi="宋体" w:cs="宋体"/>
          <w:color w:val="000000" w:themeColor="text1"/>
          <w:highlight w:val="none"/>
          <w14:textFill>
            <w14:solidFill>
              <w14:schemeClr w14:val="tx1"/>
            </w14:solidFill>
          </w14:textFill>
        </w:rPr>
        <w:t>）供应商之间协商报价、技术方案等响应文件或者响应文件的实质性内容；</w:t>
      </w:r>
    </w:p>
    <w:p w14:paraId="1CCD25DF">
      <w:pPr>
        <w:spacing w:line="360" w:lineRule="auto"/>
        <w:ind w:firstLine="420" w:firstLineChars="200"/>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w:t>
      </w:r>
      <w:r>
        <w:rPr>
          <w:rFonts w:ascii="宋体" w:hAnsi="宋体" w:cs="宋体"/>
          <w:color w:val="000000" w:themeColor="text1"/>
          <w:highlight w:val="none"/>
          <w14:textFill>
            <w14:solidFill>
              <w14:schemeClr w14:val="tx1"/>
            </w14:solidFill>
          </w14:textFill>
        </w:rPr>
        <w:t>4</w:t>
      </w:r>
      <w:r>
        <w:rPr>
          <w:rFonts w:hint="eastAsia" w:ascii="宋体" w:hAnsi="宋体" w:cs="宋体"/>
          <w:color w:val="000000" w:themeColor="text1"/>
          <w:highlight w:val="none"/>
          <w14:textFill>
            <w14:solidFill>
              <w14:schemeClr w14:val="tx1"/>
            </w14:solidFill>
          </w14:textFill>
        </w:rPr>
        <w:t>）属于同一集团、协会、商会等组织成员的供应商按照该组织要求协同参加政府采购活动；</w:t>
      </w:r>
    </w:p>
    <w:p w14:paraId="1738CDA9">
      <w:pPr>
        <w:spacing w:line="360" w:lineRule="auto"/>
        <w:ind w:firstLine="420" w:firstLineChars="200"/>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w:t>
      </w:r>
      <w:r>
        <w:rPr>
          <w:rFonts w:ascii="宋体" w:hAnsi="宋体" w:cs="宋体"/>
          <w:color w:val="000000" w:themeColor="text1"/>
          <w:highlight w:val="none"/>
          <w14:textFill>
            <w14:solidFill>
              <w14:schemeClr w14:val="tx1"/>
            </w14:solidFill>
          </w14:textFill>
        </w:rPr>
        <w:t>5</w:t>
      </w:r>
      <w:r>
        <w:rPr>
          <w:rFonts w:hint="eastAsia" w:ascii="宋体" w:hAnsi="宋体" w:cs="宋体"/>
          <w:color w:val="000000" w:themeColor="text1"/>
          <w:highlight w:val="none"/>
          <w14:textFill>
            <w14:solidFill>
              <w14:schemeClr w14:val="tx1"/>
            </w14:solidFill>
          </w14:textFill>
        </w:rPr>
        <w:t>）供应商之间事先约定一致抬高或者压低报价，或者在政府采购活动中事先约定轮流以高价位或者低价位成交，或者事先约定由某一特定供应商成交，然后再参加磋商；</w:t>
      </w:r>
    </w:p>
    <w:p w14:paraId="33AFD3E2">
      <w:pPr>
        <w:spacing w:line="360" w:lineRule="auto"/>
        <w:ind w:firstLine="420" w:firstLineChars="200"/>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w:t>
      </w:r>
      <w:r>
        <w:rPr>
          <w:rFonts w:ascii="宋体" w:hAnsi="宋体" w:cs="宋体"/>
          <w:color w:val="000000" w:themeColor="text1"/>
          <w:highlight w:val="none"/>
          <w14:textFill>
            <w14:solidFill>
              <w14:schemeClr w14:val="tx1"/>
            </w14:solidFill>
          </w14:textFill>
        </w:rPr>
        <w:t>6</w:t>
      </w:r>
      <w:r>
        <w:rPr>
          <w:rFonts w:hint="eastAsia" w:ascii="宋体" w:hAnsi="宋体" w:cs="宋体"/>
          <w:color w:val="000000" w:themeColor="text1"/>
          <w:highlight w:val="none"/>
          <w14:textFill>
            <w14:solidFill>
              <w14:schemeClr w14:val="tx1"/>
            </w14:solidFill>
          </w14:textFill>
        </w:rPr>
        <w:t>）供应商之间商定部分供应商放弃参加政府采购活动或者放弃成交；</w:t>
      </w:r>
    </w:p>
    <w:p w14:paraId="0D59B872">
      <w:pPr>
        <w:spacing w:line="360" w:lineRule="auto"/>
        <w:ind w:firstLine="420" w:firstLineChars="200"/>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w:t>
      </w:r>
      <w:r>
        <w:rPr>
          <w:rFonts w:ascii="宋体" w:hAnsi="宋体" w:cs="宋体"/>
          <w:color w:val="000000" w:themeColor="text1"/>
          <w:highlight w:val="none"/>
          <w14:textFill>
            <w14:solidFill>
              <w14:schemeClr w14:val="tx1"/>
            </w14:solidFill>
          </w14:textFill>
        </w:rPr>
        <w:t>7</w:t>
      </w:r>
      <w:r>
        <w:rPr>
          <w:rFonts w:hint="eastAsia" w:ascii="宋体" w:hAnsi="宋体" w:cs="宋体"/>
          <w:color w:val="000000" w:themeColor="text1"/>
          <w:highlight w:val="none"/>
          <w14:textFill>
            <w14:solidFill>
              <w14:schemeClr w14:val="tx1"/>
            </w14:solidFill>
          </w14:textFill>
        </w:rPr>
        <w:t>）供应商与采购人或者采购代理机构之间、供应商相互之间，为谋求特定供应商成交或者排斥其他供应商的其他串通行为。</w:t>
      </w:r>
    </w:p>
    <w:p w14:paraId="7B7C8E31">
      <w:pPr>
        <w:spacing w:line="360" w:lineRule="auto"/>
        <w:rPr>
          <w:rFonts w:ascii="宋体"/>
          <w:color w:val="000000" w:themeColor="text1"/>
          <w:highlight w:val="none"/>
          <w14:textFill>
            <w14:solidFill>
              <w14:schemeClr w14:val="tx1"/>
            </w14:solidFill>
          </w14:textFill>
        </w:rPr>
      </w:pPr>
      <w:bookmarkStart w:id="26" w:name="_Toc254970675"/>
      <w:bookmarkStart w:id="27" w:name="_Toc254970534"/>
    </w:p>
    <w:p w14:paraId="3D93FF20">
      <w:pPr>
        <w:spacing w:line="360" w:lineRule="auto"/>
        <w:jc w:val="center"/>
        <w:rPr>
          <w:rFonts w:ascii="宋体"/>
          <w:b/>
          <w:bCs/>
          <w:color w:val="000000" w:themeColor="text1"/>
          <w:sz w:val="32"/>
          <w:szCs w:val="32"/>
          <w:highlight w:val="none"/>
          <w14:textFill>
            <w14:solidFill>
              <w14:schemeClr w14:val="tx1"/>
            </w14:solidFill>
          </w14:textFill>
        </w:rPr>
      </w:pPr>
      <w:r>
        <w:rPr>
          <w:rFonts w:hint="eastAsia" w:ascii="宋体" w:hAnsi="宋体" w:cs="宋体"/>
          <w:b/>
          <w:bCs/>
          <w:color w:val="000000" w:themeColor="text1"/>
          <w:sz w:val="32"/>
          <w:szCs w:val="32"/>
          <w:highlight w:val="none"/>
          <w14:textFill>
            <w14:solidFill>
              <w14:schemeClr w14:val="tx1"/>
            </w14:solidFill>
          </w14:textFill>
        </w:rPr>
        <w:t>二、磋商文件</w:t>
      </w:r>
      <w:bookmarkEnd w:id="26"/>
      <w:bookmarkEnd w:id="27"/>
    </w:p>
    <w:p w14:paraId="3FE40E0C">
      <w:pPr>
        <w:spacing w:line="360" w:lineRule="auto"/>
        <w:ind w:firstLine="482" w:firstLineChars="200"/>
        <w:rPr>
          <w:rFonts w:ascii="宋体"/>
          <w:b/>
          <w:bCs/>
          <w:color w:val="000000" w:themeColor="text1"/>
          <w:sz w:val="24"/>
          <w:szCs w:val="24"/>
          <w:highlight w:val="none"/>
          <w14:textFill>
            <w14:solidFill>
              <w14:schemeClr w14:val="tx1"/>
            </w14:solidFill>
          </w14:textFill>
        </w:rPr>
      </w:pPr>
    </w:p>
    <w:p w14:paraId="3C378B2E">
      <w:pPr>
        <w:spacing w:line="360" w:lineRule="auto"/>
        <w:ind w:firstLine="482" w:firstLineChars="200"/>
        <w:rPr>
          <w:rFonts w:ascii="宋体"/>
          <w:b/>
          <w:bCs/>
          <w:color w:val="000000" w:themeColor="text1"/>
          <w:sz w:val="24"/>
          <w:szCs w:val="24"/>
          <w:highlight w:val="none"/>
          <w14:textFill>
            <w14:solidFill>
              <w14:schemeClr w14:val="tx1"/>
            </w14:solidFill>
          </w14:textFill>
        </w:rPr>
      </w:pPr>
      <w:r>
        <w:rPr>
          <w:rFonts w:ascii="宋体" w:hAnsi="宋体" w:cs="宋体"/>
          <w:b/>
          <w:bCs/>
          <w:color w:val="000000" w:themeColor="text1"/>
          <w:sz w:val="24"/>
          <w:szCs w:val="24"/>
          <w:highlight w:val="none"/>
          <w14:textFill>
            <w14:solidFill>
              <w14:schemeClr w14:val="tx1"/>
            </w14:solidFill>
          </w14:textFill>
        </w:rPr>
        <w:t>8.</w:t>
      </w:r>
      <w:r>
        <w:rPr>
          <w:rFonts w:hint="eastAsia" w:ascii="宋体" w:hAnsi="宋体" w:cs="宋体"/>
          <w:b/>
          <w:bCs/>
          <w:color w:val="000000" w:themeColor="text1"/>
          <w:sz w:val="24"/>
          <w:szCs w:val="24"/>
          <w:highlight w:val="none"/>
          <w14:textFill>
            <w14:solidFill>
              <w14:schemeClr w14:val="tx1"/>
            </w14:solidFill>
          </w14:textFill>
        </w:rPr>
        <w:t>磋商文件的构成</w:t>
      </w:r>
    </w:p>
    <w:p w14:paraId="6BD65D1B">
      <w:pPr>
        <w:spacing w:line="360" w:lineRule="auto"/>
        <w:ind w:firstLine="420" w:firstLineChars="200"/>
        <w:jc w:val="left"/>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w:t>
      </w:r>
      <w:r>
        <w:rPr>
          <w:rFonts w:ascii="宋体" w:hAnsi="宋体" w:cs="宋体"/>
          <w:color w:val="000000" w:themeColor="text1"/>
          <w:highlight w:val="none"/>
          <w14:textFill>
            <w14:solidFill>
              <w14:schemeClr w14:val="tx1"/>
            </w14:solidFill>
          </w14:textFill>
        </w:rPr>
        <w:t>1</w:t>
      </w:r>
      <w:r>
        <w:rPr>
          <w:rFonts w:hint="eastAsia" w:ascii="宋体" w:hAnsi="宋体" w:cs="宋体"/>
          <w:color w:val="000000" w:themeColor="text1"/>
          <w:highlight w:val="none"/>
          <w14:textFill>
            <w14:solidFill>
              <w14:schemeClr w14:val="tx1"/>
            </w14:solidFill>
          </w14:textFill>
        </w:rPr>
        <w:t>）竞争性磋商公告；</w:t>
      </w:r>
    </w:p>
    <w:p w14:paraId="72AD46AE">
      <w:pPr>
        <w:spacing w:line="360" w:lineRule="auto"/>
        <w:ind w:firstLine="420" w:firstLineChars="200"/>
        <w:jc w:val="left"/>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w:t>
      </w:r>
      <w:r>
        <w:rPr>
          <w:rFonts w:ascii="宋体" w:hAnsi="宋体" w:cs="宋体"/>
          <w:color w:val="000000" w:themeColor="text1"/>
          <w:highlight w:val="none"/>
          <w14:textFill>
            <w14:solidFill>
              <w14:schemeClr w14:val="tx1"/>
            </w14:solidFill>
          </w14:textFill>
        </w:rPr>
        <w:t>2</w:t>
      </w:r>
      <w:r>
        <w:rPr>
          <w:rFonts w:hint="eastAsia" w:ascii="宋体" w:hAnsi="宋体" w:cs="宋体"/>
          <w:color w:val="000000" w:themeColor="text1"/>
          <w:highlight w:val="none"/>
          <w14:textFill>
            <w14:solidFill>
              <w14:schemeClr w14:val="tx1"/>
            </w14:solidFill>
          </w14:textFill>
        </w:rPr>
        <w:t>）供应商须知；</w:t>
      </w:r>
      <w:r>
        <w:rPr>
          <w:rFonts w:ascii="宋体" w:hAnsi="宋体" w:cs="宋体"/>
          <w:color w:val="000000" w:themeColor="text1"/>
          <w:highlight w:val="none"/>
          <w14:textFill>
            <w14:solidFill>
              <w14:schemeClr w14:val="tx1"/>
            </w14:solidFill>
          </w14:textFill>
        </w:rPr>
        <w:t xml:space="preserve"> </w:t>
      </w:r>
    </w:p>
    <w:p w14:paraId="5A65AF58">
      <w:pPr>
        <w:spacing w:line="360" w:lineRule="auto"/>
        <w:ind w:firstLine="420" w:firstLineChars="200"/>
        <w:jc w:val="left"/>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w:t>
      </w:r>
      <w:r>
        <w:rPr>
          <w:rFonts w:ascii="宋体" w:hAnsi="宋体" w:cs="宋体"/>
          <w:color w:val="000000" w:themeColor="text1"/>
          <w:highlight w:val="none"/>
          <w14:textFill>
            <w14:solidFill>
              <w14:schemeClr w14:val="tx1"/>
            </w14:solidFill>
          </w14:textFill>
        </w:rPr>
        <w:t>3</w:t>
      </w:r>
      <w:r>
        <w:rPr>
          <w:rFonts w:hint="eastAsia" w:ascii="宋体" w:hAnsi="宋体" w:cs="宋体"/>
          <w:color w:val="000000" w:themeColor="text1"/>
          <w:highlight w:val="none"/>
          <w14:textFill>
            <w14:solidFill>
              <w14:schemeClr w14:val="tx1"/>
            </w14:solidFill>
          </w14:textFill>
        </w:rPr>
        <w:t>）采购需求；</w:t>
      </w:r>
    </w:p>
    <w:p w14:paraId="25AFBBE2">
      <w:pPr>
        <w:spacing w:line="360" w:lineRule="auto"/>
        <w:ind w:firstLine="420" w:firstLineChars="200"/>
        <w:jc w:val="left"/>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w:t>
      </w:r>
      <w:r>
        <w:rPr>
          <w:rFonts w:ascii="宋体" w:hAnsi="宋体" w:cs="宋体"/>
          <w:color w:val="000000" w:themeColor="text1"/>
          <w:highlight w:val="none"/>
          <w14:textFill>
            <w14:solidFill>
              <w14:schemeClr w14:val="tx1"/>
            </w14:solidFill>
          </w14:textFill>
        </w:rPr>
        <w:t>4</w:t>
      </w:r>
      <w:r>
        <w:rPr>
          <w:rFonts w:hint="eastAsia" w:ascii="宋体" w:hAnsi="宋体" w:cs="宋体"/>
          <w:color w:val="000000" w:themeColor="text1"/>
          <w:highlight w:val="none"/>
          <w14:textFill>
            <w14:solidFill>
              <w14:schemeClr w14:val="tx1"/>
            </w14:solidFill>
          </w14:textFill>
        </w:rPr>
        <w:t>）评审程序、评审方法和评审标准；</w:t>
      </w:r>
    </w:p>
    <w:p w14:paraId="04176400">
      <w:pPr>
        <w:spacing w:line="360" w:lineRule="auto"/>
        <w:ind w:firstLine="420" w:firstLineChars="200"/>
        <w:jc w:val="left"/>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w:t>
      </w:r>
      <w:r>
        <w:rPr>
          <w:rFonts w:ascii="宋体" w:hAnsi="宋体" w:cs="宋体"/>
          <w:color w:val="000000" w:themeColor="text1"/>
          <w:highlight w:val="none"/>
          <w14:textFill>
            <w14:solidFill>
              <w14:schemeClr w14:val="tx1"/>
            </w14:solidFill>
          </w14:textFill>
        </w:rPr>
        <w:t>5</w:t>
      </w:r>
      <w:r>
        <w:rPr>
          <w:rFonts w:hint="eastAsia" w:ascii="宋体" w:hAnsi="宋体" w:cs="宋体"/>
          <w:color w:val="000000" w:themeColor="text1"/>
          <w:highlight w:val="none"/>
          <w14:textFill>
            <w14:solidFill>
              <w14:schemeClr w14:val="tx1"/>
            </w14:solidFill>
          </w14:textFill>
        </w:rPr>
        <w:t>）响应文件格式；</w:t>
      </w:r>
    </w:p>
    <w:p w14:paraId="6B40730A">
      <w:pPr>
        <w:spacing w:line="360" w:lineRule="auto"/>
        <w:ind w:firstLine="420" w:firstLineChars="200"/>
        <w:jc w:val="left"/>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w:t>
      </w:r>
      <w:r>
        <w:rPr>
          <w:rFonts w:ascii="宋体" w:hAnsi="宋体" w:cs="宋体"/>
          <w:color w:val="000000" w:themeColor="text1"/>
          <w:highlight w:val="none"/>
          <w14:textFill>
            <w14:solidFill>
              <w14:schemeClr w14:val="tx1"/>
            </w14:solidFill>
          </w14:textFill>
        </w:rPr>
        <w:t>6</w:t>
      </w:r>
      <w:r>
        <w:rPr>
          <w:rFonts w:hint="eastAsia" w:ascii="宋体" w:hAnsi="宋体" w:cs="宋体"/>
          <w:color w:val="000000" w:themeColor="text1"/>
          <w:highlight w:val="none"/>
          <w14:textFill>
            <w14:solidFill>
              <w14:schemeClr w14:val="tx1"/>
            </w14:solidFill>
          </w14:textFill>
        </w:rPr>
        <w:t>）合同文本。</w:t>
      </w:r>
    </w:p>
    <w:p w14:paraId="4878FB0C">
      <w:pPr>
        <w:spacing w:line="360" w:lineRule="auto"/>
        <w:ind w:firstLine="482" w:firstLineChars="200"/>
        <w:rPr>
          <w:rFonts w:ascii="宋体"/>
          <w:b/>
          <w:bCs/>
          <w:color w:val="000000" w:themeColor="text1"/>
          <w:sz w:val="24"/>
          <w:szCs w:val="24"/>
          <w:highlight w:val="none"/>
          <w14:textFill>
            <w14:solidFill>
              <w14:schemeClr w14:val="tx1"/>
            </w14:solidFill>
          </w14:textFill>
        </w:rPr>
      </w:pPr>
      <w:r>
        <w:rPr>
          <w:rFonts w:ascii="宋体" w:hAnsi="宋体" w:cs="宋体"/>
          <w:b/>
          <w:bCs/>
          <w:color w:val="000000" w:themeColor="text1"/>
          <w:sz w:val="24"/>
          <w:szCs w:val="24"/>
          <w:highlight w:val="none"/>
          <w14:textFill>
            <w14:solidFill>
              <w14:schemeClr w14:val="tx1"/>
            </w14:solidFill>
          </w14:textFill>
        </w:rPr>
        <w:t>9.</w:t>
      </w:r>
      <w:r>
        <w:rPr>
          <w:rFonts w:hint="eastAsia" w:ascii="宋体" w:hAnsi="宋体" w:cs="宋体"/>
          <w:b/>
          <w:bCs/>
          <w:color w:val="000000" w:themeColor="text1"/>
          <w:sz w:val="24"/>
          <w:szCs w:val="24"/>
          <w:highlight w:val="none"/>
          <w14:textFill>
            <w14:solidFill>
              <w14:schemeClr w14:val="tx1"/>
            </w14:solidFill>
          </w14:textFill>
        </w:rPr>
        <w:t>供应商的询问</w:t>
      </w:r>
    </w:p>
    <w:p w14:paraId="4F217784">
      <w:pPr>
        <w:spacing w:line="360" w:lineRule="auto"/>
        <w:ind w:firstLine="420" w:firstLineChars="200"/>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供应商应认真阅读磋商文件的采购需求，如供应商对磋商文件有疑问的，如要求采购人作出澄清或者修改的，供应商尽可能在提交首次响应文件截止之日前，以纸质书面形式向采购人、采购代理机构提出，否则，由此产生的后果由供应商自行负责。</w:t>
      </w:r>
    </w:p>
    <w:p w14:paraId="62F4BC58">
      <w:pPr>
        <w:spacing w:line="360" w:lineRule="auto"/>
        <w:ind w:firstLine="482" w:firstLineChars="200"/>
        <w:rPr>
          <w:rFonts w:ascii="宋体"/>
          <w:b/>
          <w:bCs/>
          <w:color w:val="000000" w:themeColor="text1"/>
          <w:sz w:val="24"/>
          <w:szCs w:val="24"/>
          <w:highlight w:val="none"/>
          <w14:textFill>
            <w14:solidFill>
              <w14:schemeClr w14:val="tx1"/>
            </w14:solidFill>
          </w14:textFill>
        </w:rPr>
      </w:pPr>
      <w:r>
        <w:rPr>
          <w:rFonts w:ascii="宋体" w:hAnsi="宋体" w:cs="宋体"/>
          <w:b/>
          <w:bCs/>
          <w:color w:val="000000" w:themeColor="text1"/>
          <w:sz w:val="24"/>
          <w:szCs w:val="24"/>
          <w:highlight w:val="none"/>
          <w14:textFill>
            <w14:solidFill>
              <w14:schemeClr w14:val="tx1"/>
            </w14:solidFill>
          </w14:textFill>
        </w:rPr>
        <w:t>10.</w:t>
      </w:r>
      <w:r>
        <w:rPr>
          <w:rFonts w:hint="eastAsia" w:ascii="宋体" w:hAnsi="宋体" w:cs="宋体"/>
          <w:b/>
          <w:bCs/>
          <w:color w:val="000000" w:themeColor="text1"/>
          <w:sz w:val="24"/>
          <w:szCs w:val="24"/>
          <w:highlight w:val="none"/>
          <w14:textFill>
            <w14:solidFill>
              <w14:schemeClr w14:val="tx1"/>
            </w14:solidFill>
          </w14:textFill>
        </w:rPr>
        <w:t>磋商文件的澄清和修改</w:t>
      </w:r>
    </w:p>
    <w:p w14:paraId="5C1A9790">
      <w:pPr>
        <w:spacing w:line="360" w:lineRule="auto"/>
        <w:ind w:firstLine="420" w:firstLineChars="200"/>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10.1</w:t>
      </w:r>
      <w:r>
        <w:rPr>
          <w:rFonts w:hint="eastAsia" w:ascii="宋体" w:hAnsi="宋体" w:cs="宋体"/>
          <w:color w:val="000000" w:themeColor="text1"/>
          <w:highlight w:val="none"/>
          <w14:textFill>
            <w14:solidFill>
              <w14:schemeClr w14:val="tx1"/>
            </w14:solidFill>
          </w14:textFill>
        </w:rPr>
        <w:t>提交首次响应文件截止之日前，采购人、采购代理机构或者磋商小组可以对已发出的磋商文件进行必要的澄清或者修改，澄清或者修改的内容作为磋商文件的组成部分。澄清或者修改将在原公告发布媒体上发布更正公告。澄清或者修改的内容可能影响响应文件编制的，采购人、采购代理机构应当在提交首次响应文件截止时间至少</w:t>
      </w:r>
      <w:r>
        <w:rPr>
          <w:rFonts w:ascii="宋体" w:hAnsi="宋体" w:cs="宋体"/>
          <w:color w:val="000000" w:themeColor="text1"/>
          <w:highlight w:val="none"/>
          <w14:textFill>
            <w14:solidFill>
              <w14:schemeClr w14:val="tx1"/>
            </w14:solidFill>
          </w14:textFill>
        </w:rPr>
        <w:t>5</w:t>
      </w:r>
      <w:r>
        <w:rPr>
          <w:rFonts w:hint="eastAsia" w:ascii="宋体" w:hAnsi="宋体" w:cs="宋体"/>
          <w:color w:val="000000" w:themeColor="text1"/>
          <w:highlight w:val="none"/>
          <w14:textFill>
            <w14:solidFill>
              <w14:schemeClr w14:val="tx1"/>
            </w14:solidFill>
          </w14:textFill>
        </w:rPr>
        <w:t>日前，在原公告发布媒体上发布更正公告；不足</w:t>
      </w:r>
      <w:r>
        <w:rPr>
          <w:rFonts w:ascii="宋体" w:hAnsi="宋体" w:cs="宋体"/>
          <w:color w:val="000000" w:themeColor="text1"/>
          <w:highlight w:val="none"/>
          <w14:textFill>
            <w14:solidFill>
              <w14:schemeClr w14:val="tx1"/>
            </w14:solidFill>
          </w14:textFill>
        </w:rPr>
        <w:t>5</w:t>
      </w:r>
      <w:r>
        <w:rPr>
          <w:rFonts w:hint="eastAsia" w:ascii="宋体" w:hAnsi="宋体" w:cs="宋体"/>
          <w:color w:val="000000" w:themeColor="text1"/>
          <w:highlight w:val="none"/>
          <w14:textFill>
            <w14:solidFill>
              <w14:schemeClr w14:val="tx1"/>
            </w14:solidFill>
          </w14:textFill>
        </w:rPr>
        <w:t>日的，采购人、采购代理机构应当顺延提交首次响应文件截止时间。</w:t>
      </w:r>
    </w:p>
    <w:p w14:paraId="4D15331C">
      <w:pPr>
        <w:spacing w:line="360" w:lineRule="auto"/>
        <w:ind w:firstLine="420" w:firstLineChars="200"/>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10.2</w:t>
      </w:r>
      <w:r>
        <w:rPr>
          <w:rFonts w:hint="eastAsia" w:ascii="宋体" w:hAnsi="宋体" w:cs="宋体"/>
          <w:color w:val="000000" w:themeColor="text1"/>
          <w:highlight w:val="none"/>
          <w14:textFill>
            <w14:solidFill>
              <w14:schemeClr w14:val="tx1"/>
            </w14:solidFill>
          </w14:textFill>
        </w:rPr>
        <w:t>采购人和采购代理机构可以视采购具体情况，变更首次响应文件提交截止时间和开启时间，并在原公告发布媒体上发布更正公告。</w:t>
      </w:r>
    </w:p>
    <w:p w14:paraId="36A7809C">
      <w:pPr>
        <w:spacing w:line="360" w:lineRule="auto"/>
        <w:ind w:firstLine="420" w:firstLineChars="200"/>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10.3</w:t>
      </w:r>
      <w:r>
        <w:rPr>
          <w:rFonts w:hint="eastAsia" w:ascii="宋体" w:hAnsi="宋体" w:cs="宋体"/>
          <w:color w:val="000000" w:themeColor="text1"/>
          <w:highlight w:val="none"/>
          <w14:textFill>
            <w14:solidFill>
              <w14:schemeClr w14:val="tx1"/>
            </w14:solidFill>
          </w14:textFill>
        </w:rPr>
        <w:t>磋商文件澄清、答复、修改、补充的内容为磋商文件的组成部分。</w:t>
      </w:r>
      <w:r>
        <w:rPr>
          <w:rFonts w:hint="eastAsia" w:ascii="宋体" w:hAnsi="宋体" w:cs="宋体"/>
          <w:b/>
          <w:bCs/>
          <w:color w:val="000000" w:themeColor="text1"/>
          <w:highlight w:val="none"/>
          <w14:textFill>
            <w14:solidFill>
              <w14:schemeClr w14:val="tx1"/>
            </w14:solidFill>
          </w14:textFill>
        </w:rPr>
        <w:t>当磋商文件与磋商文件的澄清、答复、修改、补充通知就同一内容的表述不一致时，以最后发出的文件为准。</w:t>
      </w:r>
    </w:p>
    <w:p w14:paraId="4124AC2F">
      <w:pPr>
        <w:spacing w:line="360" w:lineRule="auto"/>
        <w:ind w:firstLine="422" w:firstLineChars="200"/>
        <w:rPr>
          <w:rFonts w:ascii="宋体"/>
          <w:b/>
          <w:bCs/>
          <w:color w:val="000000" w:themeColor="text1"/>
          <w:highlight w:val="none"/>
          <w14:textFill>
            <w14:solidFill>
              <w14:schemeClr w14:val="tx1"/>
            </w14:solidFill>
          </w14:textFill>
        </w:rPr>
      </w:pPr>
      <w:r>
        <w:rPr>
          <w:rFonts w:ascii="宋体" w:hAnsi="宋体" w:cs="宋体"/>
          <w:b/>
          <w:bCs/>
          <w:color w:val="000000" w:themeColor="text1"/>
          <w:highlight w:val="none"/>
          <w14:textFill>
            <w14:solidFill>
              <w14:schemeClr w14:val="tx1"/>
            </w14:solidFill>
          </w14:textFill>
        </w:rPr>
        <w:t>10.4</w:t>
      </w:r>
      <w:r>
        <w:rPr>
          <w:rFonts w:hint="eastAsia" w:ascii="宋体" w:hAnsi="宋体" w:cs="宋体"/>
          <w:b/>
          <w:bCs/>
          <w:color w:val="000000" w:themeColor="text1"/>
          <w:highlight w:val="none"/>
          <w14:textFill>
            <w14:solidFill>
              <w14:schemeClr w14:val="tx1"/>
            </w14:solidFill>
          </w14:textFill>
        </w:rPr>
        <w:t>响应文件未按磋商文件的澄清、修改后的内容编制的，其响应文件作无效响应处理。</w:t>
      </w:r>
    </w:p>
    <w:p w14:paraId="12569EB3">
      <w:pPr>
        <w:spacing w:line="360" w:lineRule="auto"/>
        <w:ind w:firstLine="422" w:firstLineChars="200"/>
        <w:rPr>
          <w:rFonts w:ascii="宋体"/>
          <w:b/>
          <w:bCs/>
          <w:color w:val="000000" w:themeColor="text1"/>
          <w:highlight w:val="none"/>
          <w14:textFill>
            <w14:solidFill>
              <w14:schemeClr w14:val="tx1"/>
            </w14:solidFill>
          </w14:textFill>
        </w:rPr>
      </w:pPr>
    </w:p>
    <w:p w14:paraId="3A4204B3">
      <w:pPr>
        <w:spacing w:line="360" w:lineRule="auto"/>
        <w:jc w:val="center"/>
        <w:rPr>
          <w:rFonts w:ascii="宋体"/>
          <w:b/>
          <w:bCs/>
          <w:color w:val="000000" w:themeColor="text1"/>
          <w:sz w:val="32"/>
          <w:szCs w:val="32"/>
          <w:highlight w:val="none"/>
          <w14:textFill>
            <w14:solidFill>
              <w14:schemeClr w14:val="tx1"/>
            </w14:solidFill>
          </w14:textFill>
        </w:rPr>
      </w:pPr>
      <w:r>
        <w:rPr>
          <w:rFonts w:hint="eastAsia" w:ascii="宋体" w:hAnsi="宋体" w:cs="宋体"/>
          <w:b/>
          <w:bCs/>
          <w:color w:val="000000" w:themeColor="text1"/>
          <w:sz w:val="32"/>
          <w:szCs w:val="32"/>
          <w:highlight w:val="none"/>
          <w14:textFill>
            <w14:solidFill>
              <w14:schemeClr w14:val="tx1"/>
            </w14:solidFill>
          </w14:textFill>
        </w:rPr>
        <w:t>三、响应文件的编制</w:t>
      </w:r>
    </w:p>
    <w:p w14:paraId="1F0E59C2">
      <w:pPr>
        <w:spacing w:line="360" w:lineRule="auto"/>
        <w:ind w:firstLine="482" w:firstLineChars="200"/>
        <w:rPr>
          <w:rFonts w:ascii="宋体"/>
          <w:b/>
          <w:bCs/>
          <w:color w:val="000000" w:themeColor="text1"/>
          <w:sz w:val="24"/>
          <w:szCs w:val="24"/>
          <w:highlight w:val="none"/>
          <w14:textFill>
            <w14:solidFill>
              <w14:schemeClr w14:val="tx1"/>
            </w14:solidFill>
          </w14:textFill>
        </w:rPr>
      </w:pPr>
    </w:p>
    <w:p w14:paraId="5E139768">
      <w:pPr>
        <w:spacing w:line="360" w:lineRule="auto"/>
        <w:ind w:firstLine="482" w:firstLineChars="200"/>
        <w:rPr>
          <w:rFonts w:ascii="宋体"/>
          <w:b/>
          <w:bCs/>
          <w:color w:val="000000" w:themeColor="text1"/>
          <w:sz w:val="24"/>
          <w:szCs w:val="24"/>
          <w:highlight w:val="none"/>
          <w14:textFill>
            <w14:solidFill>
              <w14:schemeClr w14:val="tx1"/>
            </w14:solidFill>
          </w14:textFill>
        </w:rPr>
      </w:pPr>
      <w:r>
        <w:rPr>
          <w:rFonts w:ascii="宋体" w:hAnsi="宋体" w:cs="宋体"/>
          <w:b/>
          <w:bCs/>
          <w:color w:val="000000" w:themeColor="text1"/>
          <w:sz w:val="24"/>
          <w:szCs w:val="24"/>
          <w:highlight w:val="none"/>
          <w14:textFill>
            <w14:solidFill>
              <w14:schemeClr w14:val="tx1"/>
            </w14:solidFill>
          </w14:textFill>
        </w:rPr>
        <w:t>11.</w:t>
      </w:r>
      <w:r>
        <w:rPr>
          <w:rFonts w:hint="eastAsia" w:ascii="宋体" w:hAnsi="宋体" w:cs="宋体"/>
          <w:b/>
          <w:bCs/>
          <w:color w:val="000000" w:themeColor="text1"/>
          <w:sz w:val="24"/>
          <w:szCs w:val="24"/>
          <w:highlight w:val="none"/>
          <w14:textFill>
            <w14:solidFill>
              <w14:schemeClr w14:val="tx1"/>
            </w14:solidFill>
          </w14:textFill>
        </w:rPr>
        <w:t>响应文件的编制原则</w:t>
      </w:r>
    </w:p>
    <w:p w14:paraId="44AFB351">
      <w:pPr>
        <w:spacing w:line="360" w:lineRule="auto"/>
        <w:ind w:firstLine="420" w:firstLineChars="200"/>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供应商必须按照磋商文件的要求编制响应文件，并对其提交的响应文件的真实性、合法性承担法律责任。响应文件必须对磋商文件作出实质性响应。</w:t>
      </w:r>
    </w:p>
    <w:p w14:paraId="1A788A85">
      <w:pPr>
        <w:spacing w:line="360" w:lineRule="auto"/>
        <w:ind w:firstLine="482" w:firstLineChars="200"/>
        <w:rPr>
          <w:rFonts w:ascii="宋体"/>
          <w:b/>
          <w:bCs/>
          <w:color w:val="000000" w:themeColor="text1"/>
          <w:sz w:val="24"/>
          <w:szCs w:val="24"/>
          <w:highlight w:val="none"/>
          <w14:textFill>
            <w14:solidFill>
              <w14:schemeClr w14:val="tx1"/>
            </w14:solidFill>
          </w14:textFill>
        </w:rPr>
      </w:pPr>
      <w:r>
        <w:rPr>
          <w:rFonts w:ascii="宋体" w:hAnsi="宋体" w:cs="宋体"/>
          <w:b/>
          <w:bCs/>
          <w:color w:val="000000" w:themeColor="text1"/>
          <w:sz w:val="24"/>
          <w:szCs w:val="24"/>
          <w:highlight w:val="none"/>
          <w14:textFill>
            <w14:solidFill>
              <w14:schemeClr w14:val="tx1"/>
            </w14:solidFill>
          </w14:textFill>
        </w:rPr>
        <w:t>12.</w:t>
      </w:r>
      <w:r>
        <w:rPr>
          <w:rFonts w:hint="eastAsia" w:ascii="宋体" w:hAnsi="宋体" w:cs="宋体"/>
          <w:b/>
          <w:bCs/>
          <w:color w:val="000000" w:themeColor="text1"/>
          <w:sz w:val="24"/>
          <w:szCs w:val="24"/>
          <w:highlight w:val="none"/>
          <w14:textFill>
            <w14:solidFill>
              <w14:schemeClr w14:val="tx1"/>
            </w14:solidFill>
          </w14:textFill>
        </w:rPr>
        <w:t>响应文件的组成</w:t>
      </w:r>
    </w:p>
    <w:p w14:paraId="6182F703">
      <w:pPr>
        <w:spacing w:line="360" w:lineRule="auto"/>
        <w:ind w:firstLine="420" w:firstLineChars="200"/>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12.1</w:t>
      </w:r>
      <w:r>
        <w:rPr>
          <w:rFonts w:hint="eastAsia" w:ascii="宋体" w:hAnsi="宋体" w:cs="宋体"/>
          <w:color w:val="000000" w:themeColor="text1"/>
          <w:highlight w:val="none"/>
          <w14:textFill>
            <w14:solidFill>
              <w14:schemeClr w14:val="tx1"/>
            </w14:solidFill>
          </w14:textFill>
        </w:rPr>
        <w:t>响应文件由资格证明文件、报价文件、商务技术文件</w:t>
      </w:r>
      <w:r>
        <w:rPr>
          <w:rFonts w:hint="eastAsia" w:ascii="宋体" w:hAnsi="宋体" w:cs="宋体"/>
          <w:szCs w:val="21"/>
        </w:rPr>
        <w:t>三部分</w:t>
      </w:r>
      <w:r>
        <w:rPr>
          <w:rFonts w:hint="eastAsia" w:ascii="宋体" w:hAnsi="宋体" w:cs="宋体"/>
          <w:color w:val="000000" w:themeColor="text1"/>
          <w:highlight w:val="none"/>
          <w14:textFill>
            <w14:solidFill>
              <w14:schemeClr w14:val="tx1"/>
            </w14:solidFill>
          </w14:textFill>
        </w:rPr>
        <w:t>组成。</w:t>
      </w:r>
    </w:p>
    <w:p w14:paraId="5CFD9145">
      <w:pPr>
        <w:spacing w:line="360" w:lineRule="auto"/>
        <w:ind w:left="840" w:leftChars="200" w:hanging="420" w:hangingChars="200"/>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12.1.1</w:t>
      </w:r>
      <w:r>
        <w:rPr>
          <w:rFonts w:hint="eastAsia" w:ascii="宋体" w:hAnsi="宋体" w:cs="宋体"/>
          <w:color w:val="000000" w:themeColor="text1"/>
          <w:highlight w:val="none"/>
          <w14:textFill>
            <w14:solidFill>
              <w14:schemeClr w14:val="tx1"/>
            </w14:solidFill>
          </w14:textFill>
        </w:rPr>
        <w:t>资格证明文件：详见须知前附表</w:t>
      </w:r>
    </w:p>
    <w:p w14:paraId="5C33C885">
      <w:pPr>
        <w:spacing w:line="360" w:lineRule="auto"/>
        <w:ind w:left="840" w:leftChars="200" w:hanging="420" w:hangingChars="200"/>
        <w:rPr>
          <w:rFonts w:hint="eastAsia" w:ascii="宋体" w:hAnsi="宋体" w:cs="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12.1.2</w:t>
      </w:r>
      <w:r>
        <w:rPr>
          <w:rFonts w:hint="eastAsia" w:ascii="宋体" w:hAnsi="宋体" w:cs="宋体"/>
          <w:color w:val="000000" w:themeColor="text1"/>
          <w:highlight w:val="none"/>
          <w14:textFill>
            <w14:solidFill>
              <w14:schemeClr w14:val="tx1"/>
            </w14:solidFill>
          </w14:textFill>
        </w:rPr>
        <w:t>报价文件：详见须知前附表</w:t>
      </w:r>
    </w:p>
    <w:p w14:paraId="02DC4C0A">
      <w:pPr>
        <w:spacing w:line="360" w:lineRule="auto"/>
        <w:ind w:left="840" w:leftChars="200" w:hanging="420" w:hangingChars="200"/>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12.1.</w:t>
      </w:r>
      <w:r>
        <w:rPr>
          <w:rFonts w:hint="eastAsia" w:ascii="宋体" w:hAnsi="宋体" w:cs="宋体"/>
          <w:color w:val="000000" w:themeColor="text1"/>
          <w:highlight w:val="none"/>
          <w:lang w:val="en-US" w:eastAsia="zh-CN"/>
          <w14:textFill>
            <w14:solidFill>
              <w14:schemeClr w14:val="tx1"/>
            </w14:solidFill>
          </w14:textFill>
        </w:rPr>
        <w:t>3</w:t>
      </w:r>
      <w:r>
        <w:rPr>
          <w:rFonts w:hint="eastAsia" w:ascii="宋体" w:hAnsi="宋体" w:cs="宋体"/>
          <w:color w:val="000000" w:themeColor="text1"/>
          <w:highlight w:val="none"/>
          <w14:textFill>
            <w14:solidFill>
              <w14:schemeClr w14:val="tx1"/>
            </w14:solidFill>
          </w14:textFill>
        </w:rPr>
        <w:t>商务技术文件：详见须知前附表</w:t>
      </w:r>
    </w:p>
    <w:p w14:paraId="066B95CC">
      <w:pPr>
        <w:spacing w:line="360" w:lineRule="auto"/>
        <w:ind w:firstLine="482" w:firstLineChars="200"/>
        <w:rPr>
          <w:rFonts w:ascii="宋体"/>
          <w:b/>
          <w:bCs/>
          <w:color w:val="000000" w:themeColor="text1"/>
          <w:sz w:val="24"/>
          <w:szCs w:val="24"/>
          <w:highlight w:val="none"/>
          <w14:textFill>
            <w14:solidFill>
              <w14:schemeClr w14:val="tx1"/>
            </w14:solidFill>
          </w14:textFill>
        </w:rPr>
      </w:pPr>
      <w:r>
        <w:rPr>
          <w:rFonts w:ascii="宋体" w:hAnsi="宋体" w:cs="宋体"/>
          <w:b/>
          <w:bCs/>
          <w:color w:val="000000" w:themeColor="text1"/>
          <w:sz w:val="24"/>
          <w:szCs w:val="24"/>
          <w:highlight w:val="none"/>
          <w14:textFill>
            <w14:solidFill>
              <w14:schemeClr w14:val="tx1"/>
            </w14:solidFill>
          </w14:textFill>
        </w:rPr>
        <w:t>13.</w:t>
      </w:r>
      <w:r>
        <w:rPr>
          <w:rFonts w:hint="eastAsia" w:ascii="宋体" w:hAnsi="宋体" w:cs="宋体"/>
          <w:b/>
          <w:bCs/>
          <w:color w:val="000000" w:themeColor="text1"/>
          <w:sz w:val="24"/>
          <w:szCs w:val="24"/>
          <w:highlight w:val="none"/>
          <w14:textFill>
            <w14:solidFill>
              <w14:schemeClr w14:val="tx1"/>
            </w14:solidFill>
          </w14:textFill>
        </w:rPr>
        <w:t>计量单位</w:t>
      </w:r>
    </w:p>
    <w:p w14:paraId="72052D72">
      <w:pPr>
        <w:spacing w:line="360" w:lineRule="auto"/>
        <w:ind w:firstLine="420" w:firstLineChars="200"/>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磋商文件已有明确规定的，使用磋商文件规定的计量单位；磋商文件没有规定的，应采用中华人民共和国法定计量单位，货币种类为人民币，否则视同未响应。</w:t>
      </w:r>
    </w:p>
    <w:p w14:paraId="384B108A">
      <w:pPr>
        <w:spacing w:line="360" w:lineRule="auto"/>
        <w:ind w:firstLine="482" w:firstLineChars="200"/>
        <w:rPr>
          <w:rFonts w:ascii="宋体"/>
          <w:b/>
          <w:bCs/>
          <w:color w:val="000000" w:themeColor="text1"/>
          <w:sz w:val="24"/>
          <w:szCs w:val="24"/>
          <w:highlight w:val="none"/>
          <w14:textFill>
            <w14:solidFill>
              <w14:schemeClr w14:val="tx1"/>
            </w14:solidFill>
          </w14:textFill>
        </w:rPr>
      </w:pPr>
      <w:r>
        <w:rPr>
          <w:rFonts w:ascii="宋体" w:hAnsi="宋体" w:cs="宋体"/>
          <w:b/>
          <w:bCs/>
          <w:color w:val="000000" w:themeColor="text1"/>
          <w:sz w:val="24"/>
          <w:szCs w:val="24"/>
          <w:highlight w:val="none"/>
          <w14:textFill>
            <w14:solidFill>
              <w14:schemeClr w14:val="tx1"/>
            </w14:solidFill>
          </w14:textFill>
        </w:rPr>
        <w:t>14.</w:t>
      </w:r>
      <w:r>
        <w:rPr>
          <w:rFonts w:hint="eastAsia" w:ascii="宋体" w:hAnsi="宋体" w:cs="宋体"/>
          <w:b/>
          <w:bCs/>
          <w:color w:val="000000" w:themeColor="text1"/>
          <w:sz w:val="24"/>
          <w:szCs w:val="24"/>
          <w:highlight w:val="none"/>
          <w14:textFill>
            <w14:solidFill>
              <w14:schemeClr w14:val="tx1"/>
            </w14:solidFill>
          </w14:textFill>
        </w:rPr>
        <w:t>磋商的风险</w:t>
      </w:r>
    </w:p>
    <w:p w14:paraId="4AB98EA4">
      <w:pPr>
        <w:spacing w:line="360" w:lineRule="auto"/>
        <w:ind w:firstLine="420" w:firstLineChars="200"/>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供应商没有按照磋商文件要求提供全部资料，或者供应商没有对磋商文件在各方面作出实质性响应可能导致其响应无效，是供应商应当考虑的风险。</w:t>
      </w:r>
    </w:p>
    <w:p w14:paraId="48A5BA42">
      <w:pPr>
        <w:spacing w:line="360" w:lineRule="auto"/>
        <w:ind w:firstLine="482" w:firstLineChars="200"/>
        <w:rPr>
          <w:rFonts w:ascii="宋体"/>
          <w:b/>
          <w:bCs/>
          <w:color w:val="000000" w:themeColor="text1"/>
          <w:sz w:val="24"/>
          <w:szCs w:val="24"/>
          <w:highlight w:val="none"/>
          <w14:textFill>
            <w14:solidFill>
              <w14:schemeClr w14:val="tx1"/>
            </w14:solidFill>
          </w14:textFill>
        </w:rPr>
      </w:pPr>
      <w:r>
        <w:rPr>
          <w:rFonts w:ascii="宋体" w:hAnsi="宋体" w:cs="宋体"/>
          <w:b/>
          <w:bCs/>
          <w:color w:val="000000" w:themeColor="text1"/>
          <w:sz w:val="24"/>
          <w:szCs w:val="24"/>
          <w:highlight w:val="none"/>
          <w14:textFill>
            <w14:solidFill>
              <w14:schemeClr w14:val="tx1"/>
            </w14:solidFill>
          </w14:textFill>
        </w:rPr>
        <w:t>15.</w:t>
      </w:r>
      <w:r>
        <w:rPr>
          <w:rFonts w:hint="eastAsia" w:ascii="宋体" w:hAnsi="宋体" w:cs="宋体"/>
          <w:b/>
          <w:bCs/>
          <w:color w:val="000000" w:themeColor="text1"/>
          <w:sz w:val="24"/>
          <w:szCs w:val="24"/>
          <w:highlight w:val="none"/>
          <w14:textFill>
            <w14:solidFill>
              <w14:schemeClr w14:val="tx1"/>
            </w14:solidFill>
          </w14:textFill>
        </w:rPr>
        <w:t>磋商报价</w:t>
      </w:r>
    </w:p>
    <w:p w14:paraId="5EEB4F83">
      <w:pPr>
        <w:tabs>
          <w:tab w:val="left" w:pos="2492"/>
        </w:tabs>
        <w:spacing w:line="360" w:lineRule="auto"/>
        <w:ind w:firstLine="420" w:firstLineChars="200"/>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15.1</w:t>
      </w:r>
      <w:r>
        <w:rPr>
          <w:rFonts w:hint="eastAsia" w:ascii="宋体" w:hAnsi="宋体" w:cs="宋体"/>
          <w:color w:val="000000" w:themeColor="text1"/>
          <w:highlight w:val="none"/>
          <w14:textFill>
            <w14:solidFill>
              <w14:schemeClr w14:val="tx1"/>
            </w14:solidFill>
          </w14:textFill>
        </w:rPr>
        <w:t>磋商报价应按磋商文件中“磋商报价表”格式填写。</w:t>
      </w:r>
    </w:p>
    <w:p w14:paraId="7FA96DD9">
      <w:pPr>
        <w:tabs>
          <w:tab w:val="left" w:pos="2492"/>
        </w:tabs>
        <w:spacing w:line="360" w:lineRule="auto"/>
        <w:ind w:firstLine="420" w:firstLineChars="200"/>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15.2</w:t>
      </w:r>
      <w:r>
        <w:rPr>
          <w:rFonts w:hint="eastAsia" w:ascii="宋体" w:hAnsi="宋体" w:cs="宋体"/>
          <w:color w:val="000000" w:themeColor="text1"/>
          <w:highlight w:val="none"/>
          <w14:textFill>
            <w14:solidFill>
              <w14:schemeClr w14:val="tx1"/>
            </w14:solidFill>
          </w14:textFill>
        </w:rPr>
        <w:t>磋商报价的内容见“供应商须知前附表”。</w:t>
      </w:r>
    </w:p>
    <w:p w14:paraId="46D09364">
      <w:pPr>
        <w:spacing w:line="360" w:lineRule="auto"/>
        <w:ind w:left="426" w:leftChars="203"/>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15.3</w:t>
      </w:r>
      <w:r>
        <w:rPr>
          <w:rFonts w:hint="eastAsia" w:ascii="宋体" w:hAnsi="宋体" w:cs="宋体"/>
          <w:b/>
          <w:bCs/>
          <w:color w:val="000000" w:themeColor="text1"/>
          <w:highlight w:val="none"/>
          <w14:textFill>
            <w14:solidFill>
              <w14:schemeClr w14:val="tx1"/>
            </w14:solidFill>
          </w14:textFill>
        </w:rPr>
        <w:t>本工程的报价方式为工程量清单报价，合同承包方式为包工包料，以固定单价包干。</w:t>
      </w:r>
    </w:p>
    <w:p w14:paraId="215DA3BE">
      <w:pPr>
        <w:spacing w:line="360" w:lineRule="auto"/>
        <w:ind w:left="426" w:leftChars="203" w:firstLine="422" w:firstLineChars="200"/>
        <w:rPr>
          <w:rFonts w:ascii="宋体"/>
          <w:color w:val="000000" w:themeColor="text1"/>
          <w:highlight w:val="none"/>
          <w14:textFill>
            <w14:solidFill>
              <w14:schemeClr w14:val="tx1"/>
            </w14:solidFill>
          </w14:textFill>
        </w:rPr>
      </w:pPr>
      <w:r>
        <w:rPr>
          <w:rFonts w:hint="eastAsia" w:ascii="宋体" w:hAnsi="宋体" w:cs="宋体"/>
          <w:b/>
          <w:bCs/>
          <w:color w:val="000000" w:themeColor="text1"/>
          <w:highlight w:val="none"/>
          <w14:textFill>
            <w14:solidFill>
              <w14:schemeClr w14:val="tx1"/>
            </w14:solidFill>
          </w14:textFill>
        </w:rPr>
        <w:t>磋商供应商报价以工程量清单报价为准。</w:t>
      </w:r>
      <w:r>
        <w:rPr>
          <w:rFonts w:hint="eastAsia" w:ascii="宋体" w:hAnsi="宋体" w:cs="宋体"/>
          <w:color w:val="000000" w:themeColor="text1"/>
          <w:highlight w:val="none"/>
          <w14:textFill>
            <w14:solidFill>
              <w14:schemeClr w14:val="tx1"/>
            </w14:solidFill>
          </w14:textFill>
        </w:rPr>
        <w:t>磋商供应商的磋商报价须按竞争性磋商文件及澄清答疑中所确认的工程量清单进行报价。小写与大写不符的，以大写为准。如果因磋商供应商原因引起的报价失误，同时又被磋商时所接受，其后果由磋商供应商自负。</w:t>
      </w:r>
    </w:p>
    <w:p w14:paraId="4FCE4D82">
      <w:pPr>
        <w:spacing w:line="360" w:lineRule="auto"/>
        <w:ind w:firstLine="420" w:firstLineChars="200"/>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磋商报价表中的价格应包括为实施和完成合同工程所需的劳务、材料、机械、质检（自检）、安装、缺陷修复、管理、保险、税费、利润等费用，以及合同明示或暗示的所有责任、义务和一般风险。</w:t>
      </w:r>
    </w:p>
    <w:p w14:paraId="1AFD92C0">
      <w:pPr>
        <w:spacing w:line="360" w:lineRule="auto"/>
        <w:ind w:left="426" w:leftChars="203"/>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15.4</w:t>
      </w:r>
      <w:r>
        <w:rPr>
          <w:rFonts w:hint="eastAsia" w:ascii="宋体" w:hAnsi="宋体" w:cs="宋体"/>
          <w:color w:val="000000" w:themeColor="text1"/>
          <w:highlight w:val="none"/>
          <w14:textFill>
            <w14:solidFill>
              <w14:schemeClr w14:val="tx1"/>
            </w14:solidFill>
          </w14:textFill>
        </w:rPr>
        <w:t>磋商报价要求</w:t>
      </w:r>
    </w:p>
    <w:p w14:paraId="1A4825D6">
      <w:pPr>
        <w:spacing w:line="360" w:lineRule="auto"/>
        <w:ind w:firstLine="422" w:firstLineChars="200"/>
        <w:rPr>
          <w:rFonts w:ascii="宋体"/>
          <w:b/>
          <w:bCs/>
          <w:color w:val="000000" w:themeColor="text1"/>
          <w:highlight w:val="none"/>
          <w14:textFill>
            <w14:solidFill>
              <w14:schemeClr w14:val="tx1"/>
            </w14:solidFill>
          </w14:textFill>
        </w:rPr>
      </w:pPr>
      <w:r>
        <w:rPr>
          <w:rFonts w:ascii="宋体" w:hAnsi="宋体" w:cs="宋体"/>
          <w:b/>
          <w:bCs/>
          <w:color w:val="000000" w:themeColor="text1"/>
          <w:highlight w:val="none"/>
          <w14:textFill>
            <w14:solidFill>
              <w14:schemeClr w14:val="tx1"/>
            </w14:solidFill>
          </w14:textFill>
        </w:rPr>
        <w:t>15.4.1</w:t>
      </w:r>
      <w:r>
        <w:rPr>
          <w:rFonts w:hint="eastAsia" w:ascii="宋体" w:hAnsi="宋体" w:cs="宋体"/>
          <w:b/>
          <w:bCs/>
          <w:color w:val="000000" w:themeColor="text1"/>
          <w:highlight w:val="none"/>
          <w14:textFill>
            <w14:solidFill>
              <w14:schemeClr w14:val="tx1"/>
            </w14:solidFill>
          </w14:textFill>
        </w:rPr>
        <w:t>供应商的磋商报价应符合以下要求，否则响应文件按无效响应处理：</w:t>
      </w:r>
    </w:p>
    <w:p w14:paraId="3B79A35F">
      <w:pPr>
        <w:snapToGrid w:val="0"/>
        <w:spacing w:line="360" w:lineRule="auto"/>
        <w:ind w:firstLine="420" w:firstLineChars="200"/>
        <w:jc w:val="left"/>
        <w:rPr>
          <w:rFonts w:ascii="宋体"/>
          <w:b/>
          <w:bCs/>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w:t>
      </w:r>
      <w:r>
        <w:rPr>
          <w:rFonts w:ascii="宋体" w:hAnsi="宋体" w:cs="宋体"/>
          <w:color w:val="000000" w:themeColor="text1"/>
          <w:highlight w:val="none"/>
          <w14:textFill>
            <w14:solidFill>
              <w14:schemeClr w14:val="tx1"/>
            </w14:solidFill>
          </w14:textFill>
        </w:rPr>
        <w:t>1</w:t>
      </w:r>
      <w:r>
        <w:rPr>
          <w:rFonts w:hint="eastAsia" w:ascii="宋体" w:hAnsi="宋体" w:cs="宋体"/>
          <w:color w:val="000000" w:themeColor="text1"/>
          <w:highlight w:val="none"/>
          <w14:textFill>
            <w14:solidFill>
              <w14:schemeClr w14:val="tx1"/>
            </w14:solidFill>
          </w14:textFill>
        </w:rPr>
        <w:t>）供应商必须就“采购需求”中所磋商的全部内容分别作完整唯一总价报价。</w:t>
      </w:r>
    </w:p>
    <w:p w14:paraId="42BBD2A5">
      <w:pPr>
        <w:spacing w:line="360" w:lineRule="auto"/>
        <w:ind w:firstLine="422" w:firstLineChars="200"/>
        <w:rPr>
          <w:rFonts w:ascii="宋体"/>
          <w:b/>
          <w:bCs/>
          <w:color w:val="000000" w:themeColor="text1"/>
          <w:highlight w:val="none"/>
          <w14:textFill>
            <w14:solidFill>
              <w14:schemeClr w14:val="tx1"/>
            </w14:solidFill>
          </w14:textFill>
        </w:rPr>
      </w:pPr>
      <w:r>
        <w:rPr>
          <w:rFonts w:hint="eastAsia" w:ascii="宋体" w:hAnsi="宋体" w:cs="宋体"/>
          <w:b/>
          <w:bCs/>
          <w:color w:val="000000" w:themeColor="text1"/>
          <w:highlight w:val="none"/>
          <w14:textFill>
            <w14:solidFill>
              <w14:schemeClr w14:val="tx1"/>
            </w14:solidFill>
          </w14:textFill>
        </w:rPr>
        <w:t>（2）最后报价超过所磋商规定的采购预算金额或者最高限价的，其响应文件将按无效响应处理。</w:t>
      </w:r>
      <w:bookmarkStart w:id="28" w:name="_Hlk42592874"/>
    </w:p>
    <w:bookmarkEnd w:id="28"/>
    <w:p w14:paraId="1132746B">
      <w:pPr>
        <w:spacing w:line="360" w:lineRule="auto"/>
        <w:ind w:firstLine="482" w:firstLineChars="200"/>
        <w:rPr>
          <w:rFonts w:ascii="宋体"/>
          <w:b/>
          <w:bCs/>
          <w:color w:val="000000" w:themeColor="text1"/>
          <w:sz w:val="24"/>
          <w:szCs w:val="24"/>
          <w:highlight w:val="none"/>
          <w14:textFill>
            <w14:solidFill>
              <w14:schemeClr w14:val="tx1"/>
            </w14:solidFill>
          </w14:textFill>
        </w:rPr>
      </w:pPr>
      <w:r>
        <w:rPr>
          <w:rFonts w:ascii="宋体" w:hAnsi="宋体" w:cs="宋体"/>
          <w:b/>
          <w:bCs/>
          <w:color w:val="000000" w:themeColor="text1"/>
          <w:sz w:val="24"/>
          <w:szCs w:val="24"/>
          <w:highlight w:val="none"/>
          <w14:textFill>
            <w14:solidFill>
              <w14:schemeClr w14:val="tx1"/>
            </w14:solidFill>
          </w14:textFill>
        </w:rPr>
        <w:t>16.</w:t>
      </w:r>
      <w:r>
        <w:rPr>
          <w:rFonts w:hint="eastAsia" w:ascii="宋体" w:hAnsi="宋体" w:cs="宋体"/>
          <w:b/>
          <w:bCs/>
          <w:color w:val="000000" w:themeColor="text1"/>
          <w:sz w:val="24"/>
          <w:szCs w:val="24"/>
          <w:highlight w:val="none"/>
          <w14:textFill>
            <w14:solidFill>
              <w14:schemeClr w14:val="tx1"/>
            </w14:solidFill>
          </w14:textFill>
        </w:rPr>
        <w:t>磋商有效期</w:t>
      </w:r>
    </w:p>
    <w:p w14:paraId="2D0DA900">
      <w:pPr>
        <w:spacing w:line="360" w:lineRule="auto"/>
        <w:ind w:firstLine="420" w:firstLineChars="200"/>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16.1</w:t>
      </w:r>
      <w:r>
        <w:rPr>
          <w:rFonts w:hint="eastAsia" w:ascii="宋体" w:hAnsi="宋体" w:cs="宋体"/>
          <w:color w:val="000000" w:themeColor="text1"/>
          <w:highlight w:val="none"/>
          <w14:textFill>
            <w14:solidFill>
              <w14:schemeClr w14:val="tx1"/>
            </w14:solidFill>
          </w14:textFill>
        </w:rPr>
        <w:t>磋商有效期是指为保证采购人有足够的时间在提交响应文件后完成评审、确定成交供应商、合同签订等工作而要求供应商提交的响应文件在一定时间内保持有效的期限。</w:t>
      </w:r>
    </w:p>
    <w:p w14:paraId="3F50075F">
      <w:pPr>
        <w:spacing w:line="360" w:lineRule="auto"/>
        <w:ind w:firstLine="420" w:firstLineChars="200"/>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16.2 </w:t>
      </w:r>
      <w:r>
        <w:rPr>
          <w:rFonts w:hint="eastAsia" w:ascii="宋体" w:hAnsi="宋体" w:cs="宋体"/>
          <w:color w:val="000000" w:themeColor="text1"/>
          <w:highlight w:val="none"/>
          <w14:textFill>
            <w14:solidFill>
              <w14:schemeClr w14:val="tx1"/>
            </w14:solidFill>
          </w14:textFill>
        </w:rPr>
        <w:t>磋商有效期应由供应商按“供应商须知前附表”规定的期限作出响应。</w:t>
      </w:r>
    </w:p>
    <w:p w14:paraId="5BBE9FD5">
      <w:pPr>
        <w:spacing w:line="360" w:lineRule="auto"/>
        <w:ind w:firstLine="420" w:firstLineChars="200"/>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16.3</w:t>
      </w:r>
      <w:r>
        <w:rPr>
          <w:rFonts w:hint="eastAsia" w:ascii="宋体" w:hAnsi="宋体" w:cs="宋体"/>
          <w:color w:val="000000" w:themeColor="text1"/>
          <w:highlight w:val="none"/>
          <w14:textFill>
            <w14:solidFill>
              <w14:schemeClr w14:val="tx1"/>
            </w14:solidFill>
          </w14:textFill>
        </w:rPr>
        <w:t>供应商的响应文件在磋商有效期内均保持有效。</w:t>
      </w:r>
    </w:p>
    <w:p w14:paraId="3A9DF98D">
      <w:pPr>
        <w:spacing w:line="360" w:lineRule="auto"/>
        <w:ind w:firstLine="482" w:firstLineChars="200"/>
        <w:rPr>
          <w:rFonts w:ascii="宋体"/>
          <w:b/>
          <w:bCs/>
          <w:color w:val="000000" w:themeColor="text1"/>
          <w:sz w:val="24"/>
          <w:szCs w:val="24"/>
          <w:highlight w:val="none"/>
          <w14:textFill>
            <w14:solidFill>
              <w14:schemeClr w14:val="tx1"/>
            </w14:solidFill>
          </w14:textFill>
        </w:rPr>
      </w:pPr>
      <w:r>
        <w:rPr>
          <w:rFonts w:ascii="宋体" w:hAnsi="宋体" w:cs="宋体"/>
          <w:b/>
          <w:bCs/>
          <w:color w:val="000000" w:themeColor="text1"/>
          <w:sz w:val="24"/>
          <w:szCs w:val="24"/>
          <w:highlight w:val="none"/>
          <w14:textFill>
            <w14:solidFill>
              <w14:schemeClr w14:val="tx1"/>
            </w14:solidFill>
          </w14:textFill>
        </w:rPr>
        <w:t>17.</w:t>
      </w:r>
      <w:r>
        <w:rPr>
          <w:rFonts w:hint="eastAsia" w:ascii="宋体" w:hAnsi="宋体" w:cs="宋体"/>
          <w:b/>
          <w:bCs/>
          <w:color w:val="000000" w:themeColor="text1"/>
          <w:sz w:val="24"/>
          <w:szCs w:val="24"/>
          <w:highlight w:val="none"/>
          <w14:textFill>
            <w14:solidFill>
              <w14:schemeClr w14:val="tx1"/>
            </w14:solidFill>
          </w14:textFill>
        </w:rPr>
        <w:t>磋商保证金</w:t>
      </w:r>
    </w:p>
    <w:p w14:paraId="5B46059B">
      <w:pPr>
        <w:spacing w:line="360" w:lineRule="auto"/>
        <w:ind w:left="420" w:leftChars="200"/>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17.1</w:t>
      </w:r>
      <w:r>
        <w:rPr>
          <w:rFonts w:hint="eastAsia" w:ascii="宋体" w:hAnsi="宋体" w:cs="宋体"/>
          <w:color w:val="000000" w:themeColor="text1"/>
          <w:highlight w:val="none"/>
          <w14:textFill>
            <w14:solidFill>
              <w14:schemeClr w14:val="tx1"/>
            </w14:solidFill>
          </w14:textFill>
        </w:rPr>
        <w:t>供应商须按“供应商须知前附表”的规定提交磋商保证金。</w:t>
      </w:r>
    </w:p>
    <w:p w14:paraId="49F3F69A">
      <w:pPr>
        <w:spacing w:line="360" w:lineRule="auto"/>
        <w:ind w:left="420" w:leftChars="200"/>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17.2</w:t>
      </w:r>
      <w:r>
        <w:rPr>
          <w:rFonts w:hint="eastAsia" w:ascii="宋体" w:hAnsi="宋体" w:cs="宋体"/>
          <w:color w:val="000000" w:themeColor="text1"/>
          <w:highlight w:val="none"/>
          <w14:textFill>
            <w14:solidFill>
              <w14:schemeClr w14:val="tx1"/>
            </w14:solidFill>
          </w14:textFill>
        </w:rPr>
        <w:t>磋商保证金的退还</w:t>
      </w:r>
    </w:p>
    <w:p w14:paraId="0796627F">
      <w:pPr>
        <w:spacing w:line="360" w:lineRule="auto"/>
        <w:ind w:firstLine="420" w:firstLineChars="200"/>
        <w:rPr>
          <w:rFonts w:ascii="宋体"/>
          <w:color w:val="000000" w:themeColor="text1"/>
          <w:highlight w:val="none"/>
          <w14:textFill>
            <w14:solidFill>
              <w14:schemeClr w14:val="tx1"/>
            </w14:solidFill>
          </w14:textFill>
        </w:rPr>
      </w:pPr>
      <w:bookmarkStart w:id="29" w:name="_Hlk66782243"/>
      <w:r>
        <w:rPr>
          <w:rFonts w:hint="eastAsia" w:ascii="宋体" w:hAnsi="宋体" w:cs="宋体"/>
          <w:color w:val="000000" w:themeColor="text1"/>
          <w:highlight w:val="none"/>
          <w14:textFill>
            <w14:solidFill>
              <w14:schemeClr w14:val="tx1"/>
            </w14:solidFill>
          </w14:textFill>
        </w:rPr>
        <w:t>未</w:t>
      </w:r>
      <w:r>
        <w:rPr>
          <w:rFonts w:hint="eastAsia" w:ascii="宋体" w:hAnsi="宋体" w:cs="宋体"/>
          <w:color w:val="000000" w:themeColor="text1"/>
          <w:spacing w:val="-6"/>
          <w:highlight w:val="none"/>
          <w14:textFill>
            <w14:solidFill>
              <w14:schemeClr w14:val="tx1"/>
            </w14:solidFill>
          </w14:textFill>
        </w:rPr>
        <w:t>成交供应商的磋商保证金自成交通知书发出之日起</w:t>
      </w:r>
      <w:r>
        <w:rPr>
          <w:rFonts w:ascii="宋体" w:hAnsi="宋体" w:cs="宋体"/>
          <w:color w:val="000000" w:themeColor="text1"/>
          <w:spacing w:val="-6"/>
          <w:highlight w:val="none"/>
          <w14:textFill>
            <w14:solidFill>
              <w14:schemeClr w14:val="tx1"/>
            </w14:solidFill>
          </w14:textFill>
        </w:rPr>
        <w:t>4</w:t>
      </w:r>
      <w:r>
        <w:rPr>
          <w:rFonts w:hint="eastAsia" w:ascii="宋体" w:hAnsi="宋体" w:cs="宋体"/>
          <w:color w:val="000000" w:themeColor="text1"/>
          <w:spacing w:val="-6"/>
          <w:highlight w:val="none"/>
          <w14:textFill>
            <w14:solidFill>
              <w14:schemeClr w14:val="tx1"/>
            </w14:solidFill>
          </w14:textFill>
        </w:rPr>
        <w:t>个工作日内退还；</w:t>
      </w:r>
      <w:r>
        <w:rPr>
          <w:rFonts w:hint="eastAsia" w:ascii="宋体" w:hAnsi="宋体" w:cs="宋体"/>
          <w:color w:val="000000" w:themeColor="text1"/>
          <w:highlight w:val="none"/>
          <w14:textFill>
            <w14:solidFill>
              <w14:schemeClr w14:val="tx1"/>
            </w14:solidFill>
          </w14:textFill>
        </w:rPr>
        <w:t>成交供应商的磋商保证金自签订合同之日起</w:t>
      </w:r>
      <w:r>
        <w:rPr>
          <w:rFonts w:ascii="宋体" w:hAnsi="宋体" w:cs="宋体"/>
          <w:color w:val="000000" w:themeColor="text1"/>
          <w:highlight w:val="none"/>
          <w14:textFill>
            <w14:solidFill>
              <w14:schemeClr w14:val="tx1"/>
            </w14:solidFill>
          </w14:textFill>
        </w:rPr>
        <w:t>4</w:t>
      </w:r>
      <w:r>
        <w:rPr>
          <w:rFonts w:hint="eastAsia" w:ascii="宋体" w:hAnsi="宋体" w:cs="宋体"/>
          <w:color w:val="000000" w:themeColor="text1"/>
          <w:highlight w:val="none"/>
          <w14:textFill>
            <w14:solidFill>
              <w14:schemeClr w14:val="tx1"/>
            </w14:solidFill>
          </w14:textFill>
        </w:rPr>
        <w:t>个工作日内退还。</w:t>
      </w:r>
      <w:bookmarkEnd w:id="29"/>
      <w:r>
        <w:rPr>
          <w:rFonts w:ascii="宋体" w:hAnsi="宋体" w:cs="宋体"/>
          <w:color w:val="000000" w:themeColor="text1"/>
          <w:highlight w:val="none"/>
          <w14:textFill>
            <w14:solidFill>
              <w14:schemeClr w14:val="tx1"/>
            </w14:solidFill>
          </w14:textFill>
        </w:rPr>
        <w:t xml:space="preserve"> </w:t>
      </w:r>
    </w:p>
    <w:p w14:paraId="247AA9B2">
      <w:pPr>
        <w:spacing w:line="360" w:lineRule="auto"/>
        <w:ind w:left="420" w:leftChars="200"/>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17.3</w:t>
      </w:r>
      <w:r>
        <w:rPr>
          <w:rFonts w:hint="eastAsia" w:ascii="宋体" w:hAnsi="宋体" w:cs="宋体"/>
          <w:color w:val="000000" w:themeColor="text1"/>
          <w:highlight w:val="none"/>
          <w14:textFill>
            <w14:solidFill>
              <w14:schemeClr w14:val="tx1"/>
            </w14:solidFill>
          </w14:textFill>
        </w:rPr>
        <w:t>磋商保证金不计息。</w:t>
      </w:r>
    </w:p>
    <w:p w14:paraId="3DFDD83C">
      <w:pPr>
        <w:spacing w:line="360" w:lineRule="auto"/>
        <w:ind w:left="420" w:leftChars="200"/>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17.4</w:t>
      </w:r>
      <w:r>
        <w:rPr>
          <w:rFonts w:hint="eastAsia" w:ascii="宋体" w:hAnsi="宋体" w:cs="宋体"/>
          <w:color w:val="000000" w:themeColor="text1"/>
          <w:highlight w:val="none"/>
          <w14:textFill>
            <w14:solidFill>
              <w14:schemeClr w14:val="tx1"/>
            </w14:solidFill>
          </w14:textFill>
        </w:rPr>
        <w:t>供应商有下列情形之一的，磋商保证金将不予退还：</w:t>
      </w:r>
      <w:r>
        <w:rPr>
          <w:rFonts w:ascii="宋体" w:hAnsi="宋体" w:cs="宋体"/>
          <w:color w:val="000000" w:themeColor="text1"/>
          <w:highlight w:val="none"/>
          <w14:textFill>
            <w14:solidFill>
              <w14:schemeClr w14:val="tx1"/>
            </w14:solidFill>
          </w14:textFill>
        </w:rPr>
        <w:t xml:space="preserve"> </w:t>
      </w:r>
    </w:p>
    <w:p w14:paraId="60A28B1B">
      <w:pPr>
        <w:spacing w:line="360" w:lineRule="auto"/>
        <w:ind w:left="420" w:leftChars="200"/>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w:t>
      </w:r>
      <w:r>
        <w:rPr>
          <w:rFonts w:ascii="宋体" w:hAnsi="宋体" w:cs="宋体"/>
          <w:color w:val="000000" w:themeColor="text1"/>
          <w:highlight w:val="none"/>
          <w14:textFill>
            <w14:solidFill>
              <w14:schemeClr w14:val="tx1"/>
            </w14:solidFill>
          </w14:textFill>
        </w:rPr>
        <w:t>1</w:t>
      </w:r>
      <w:r>
        <w:rPr>
          <w:rFonts w:hint="eastAsia" w:ascii="宋体" w:hAnsi="宋体" w:cs="宋体"/>
          <w:color w:val="000000" w:themeColor="text1"/>
          <w:highlight w:val="none"/>
          <w14:textFill>
            <w14:solidFill>
              <w14:schemeClr w14:val="tx1"/>
            </w14:solidFill>
          </w14:textFill>
        </w:rPr>
        <w:t>）供应商在提交首次响应文件截止时间后撤回响应文件的；</w:t>
      </w:r>
    </w:p>
    <w:p w14:paraId="63C6252E">
      <w:pPr>
        <w:spacing w:line="360" w:lineRule="auto"/>
        <w:ind w:left="420" w:leftChars="200"/>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w:t>
      </w:r>
      <w:r>
        <w:rPr>
          <w:rFonts w:ascii="宋体" w:hAnsi="宋体" w:cs="宋体"/>
          <w:color w:val="000000" w:themeColor="text1"/>
          <w:highlight w:val="none"/>
          <w14:textFill>
            <w14:solidFill>
              <w14:schemeClr w14:val="tx1"/>
            </w14:solidFill>
          </w14:textFill>
        </w:rPr>
        <w:t>2</w:t>
      </w:r>
      <w:r>
        <w:rPr>
          <w:rFonts w:hint="eastAsia" w:ascii="宋体" w:hAnsi="宋体" w:cs="宋体"/>
          <w:color w:val="000000" w:themeColor="text1"/>
          <w:highlight w:val="none"/>
          <w14:textFill>
            <w14:solidFill>
              <w14:schemeClr w14:val="tx1"/>
            </w14:solidFill>
          </w14:textFill>
        </w:rPr>
        <w:t>）未按规定提交履约保证金的；</w:t>
      </w:r>
    </w:p>
    <w:p w14:paraId="1237B592">
      <w:pPr>
        <w:spacing w:line="360" w:lineRule="auto"/>
        <w:ind w:left="420" w:leftChars="200"/>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w:t>
      </w:r>
      <w:r>
        <w:rPr>
          <w:rFonts w:ascii="宋体" w:hAnsi="宋体" w:cs="宋体"/>
          <w:color w:val="000000" w:themeColor="text1"/>
          <w:highlight w:val="none"/>
          <w14:textFill>
            <w14:solidFill>
              <w14:schemeClr w14:val="tx1"/>
            </w14:solidFill>
          </w14:textFill>
        </w:rPr>
        <w:t>3</w:t>
      </w:r>
      <w:r>
        <w:rPr>
          <w:rFonts w:hint="eastAsia" w:ascii="宋体" w:hAnsi="宋体" w:cs="宋体"/>
          <w:color w:val="000000" w:themeColor="text1"/>
          <w:highlight w:val="none"/>
          <w14:textFill>
            <w14:solidFill>
              <w14:schemeClr w14:val="tx1"/>
            </w14:solidFill>
          </w14:textFill>
        </w:rPr>
        <w:t>）供应商在响应文件中提供虚假材料的；</w:t>
      </w:r>
    </w:p>
    <w:p w14:paraId="0C738D65">
      <w:pPr>
        <w:spacing w:line="360" w:lineRule="auto"/>
        <w:ind w:firstLine="420" w:firstLineChars="200"/>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w:t>
      </w:r>
      <w:r>
        <w:rPr>
          <w:rFonts w:ascii="宋体" w:hAnsi="宋体" w:cs="宋体"/>
          <w:color w:val="000000" w:themeColor="text1"/>
          <w:highlight w:val="none"/>
          <w14:textFill>
            <w14:solidFill>
              <w14:schemeClr w14:val="tx1"/>
            </w14:solidFill>
          </w14:textFill>
        </w:rPr>
        <w:t>4</w:t>
      </w:r>
      <w:r>
        <w:rPr>
          <w:rFonts w:hint="eastAsia" w:ascii="宋体" w:hAnsi="宋体" w:cs="宋体"/>
          <w:color w:val="000000" w:themeColor="text1"/>
          <w:highlight w:val="none"/>
          <w14:textFill>
            <w14:solidFill>
              <w14:schemeClr w14:val="tx1"/>
            </w14:solidFill>
          </w14:textFill>
        </w:rPr>
        <w:t>）除因不可抗力或者磋商文件认可的情形以外，成交供应商不与采购人签订合同的；</w:t>
      </w:r>
    </w:p>
    <w:p w14:paraId="43C4844B">
      <w:pPr>
        <w:spacing w:line="360" w:lineRule="auto"/>
        <w:ind w:left="420" w:leftChars="200"/>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w:t>
      </w:r>
      <w:r>
        <w:rPr>
          <w:rFonts w:ascii="宋体" w:hAnsi="宋体" w:cs="宋体"/>
          <w:color w:val="000000" w:themeColor="text1"/>
          <w:highlight w:val="none"/>
          <w14:textFill>
            <w14:solidFill>
              <w14:schemeClr w14:val="tx1"/>
            </w14:solidFill>
          </w14:textFill>
        </w:rPr>
        <w:t>5</w:t>
      </w:r>
      <w:r>
        <w:rPr>
          <w:rFonts w:hint="eastAsia" w:ascii="宋体" w:hAnsi="宋体" w:cs="宋体"/>
          <w:color w:val="000000" w:themeColor="text1"/>
          <w:highlight w:val="none"/>
          <w14:textFill>
            <w14:solidFill>
              <w14:schemeClr w14:val="tx1"/>
            </w14:solidFill>
          </w14:textFill>
        </w:rPr>
        <w:t>）供应商与采购人、其他供应商或者采购代理机构恶意串通的；</w:t>
      </w:r>
    </w:p>
    <w:p w14:paraId="115C1309">
      <w:pPr>
        <w:spacing w:line="360" w:lineRule="auto"/>
        <w:ind w:left="420" w:leftChars="200"/>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w:t>
      </w:r>
      <w:r>
        <w:rPr>
          <w:rFonts w:ascii="宋体" w:hAnsi="宋体" w:cs="宋体"/>
          <w:color w:val="000000" w:themeColor="text1"/>
          <w:highlight w:val="none"/>
          <w14:textFill>
            <w14:solidFill>
              <w14:schemeClr w14:val="tx1"/>
            </w14:solidFill>
          </w14:textFill>
        </w:rPr>
        <w:t>6</w:t>
      </w:r>
      <w:r>
        <w:rPr>
          <w:rFonts w:hint="eastAsia" w:ascii="宋体" w:hAnsi="宋体" w:cs="宋体"/>
          <w:color w:val="000000" w:themeColor="text1"/>
          <w:highlight w:val="none"/>
          <w14:textFill>
            <w14:solidFill>
              <w14:schemeClr w14:val="tx1"/>
            </w14:solidFill>
          </w14:textFill>
        </w:rPr>
        <w:t>）法律法规规定的其他情形。</w:t>
      </w:r>
    </w:p>
    <w:p w14:paraId="708DF712">
      <w:pPr>
        <w:spacing w:line="360" w:lineRule="auto"/>
        <w:ind w:firstLine="482" w:firstLineChars="200"/>
        <w:rPr>
          <w:rFonts w:ascii="宋体"/>
          <w:b/>
          <w:bCs/>
          <w:color w:val="000000" w:themeColor="text1"/>
          <w:sz w:val="24"/>
          <w:szCs w:val="24"/>
          <w:highlight w:val="none"/>
          <w14:textFill>
            <w14:solidFill>
              <w14:schemeClr w14:val="tx1"/>
            </w14:solidFill>
          </w14:textFill>
        </w:rPr>
      </w:pPr>
      <w:r>
        <w:rPr>
          <w:rFonts w:ascii="宋体" w:hAnsi="宋体" w:cs="宋体"/>
          <w:b/>
          <w:bCs/>
          <w:color w:val="000000" w:themeColor="text1"/>
          <w:sz w:val="24"/>
          <w:szCs w:val="24"/>
          <w:highlight w:val="none"/>
          <w14:textFill>
            <w14:solidFill>
              <w14:schemeClr w14:val="tx1"/>
            </w14:solidFill>
          </w14:textFill>
        </w:rPr>
        <w:t>18.</w:t>
      </w:r>
      <w:r>
        <w:rPr>
          <w:rFonts w:hint="eastAsia" w:ascii="宋体" w:hAnsi="宋体" w:cs="宋体"/>
          <w:b/>
          <w:bCs/>
          <w:color w:val="000000" w:themeColor="text1"/>
          <w:sz w:val="24"/>
          <w:szCs w:val="24"/>
          <w:highlight w:val="none"/>
          <w14:textFill>
            <w14:solidFill>
              <w14:schemeClr w14:val="tx1"/>
            </w14:solidFill>
          </w14:textFill>
        </w:rPr>
        <w:t>响应文件编制的要求</w:t>
      </w:r>
    </w:p>
    <w:p w14:paraId="43E3625F">
      <w:pPr>
        <w:spacing w:line="360" w:lineRule="auto"/>
        <w:ind w:firstLine="420" w:firstLineChars="200"/>
        <w:rPr>
          <w:rFonts w:ascii="宋体"/>
          <w:color w:val="000000" w:themeColor="text1"/>
          <w:spacing w:val="-6"/>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18.1</w:t>
      </w:r>
      <w:r>
        <w:rPr>
          <w:rFonts w:hint="eastAsia" w:ascii="宋体" w:hAnsi="宋体" w:cs="宋体"/>
          <w:color w:val="000000" w:themeColor="text1"/>
          <w:highlight w:val="none"/>
          <w14:textFill>
            <w14:solidFill>
              <w14:schemeClr w14:val="tx1"/>
            </w14:solidFill>
          </w14:textFill>
        </w:rPr>
        <w:t>供应商应按本磋商文件规定的格式和顺序编制响应文件并标注页码，响应文件内容</w:t>
      </w:r>
      <w:r>
        <w:rPr>
          <w:rFonts w:hint="eastAsia" w:ascii="宋体" w:hAnsi="宋体" w:cs="宋体"/>
          <w:color w:val="000000" w:themeColor="text1"/>
          <w:spacing w:val="-6"/>
          <w:highlight w:val="none"/>
          <w14:textFill>
            <w14:solidFill>
              <w14:schemeClr w14:val="tx1"/>
            </w14:solidFill>
          </w14:textFill>
        </w:rPr>
        <w:t>不完整、编排混乱导致响应文件被误读、漏读或者查找不到相关内容的，</w:t>
      </w:r>
      <w:r>
        <w:rPr>
          <w:rFonts w:hint="eastAsia" w:ascii="宋体" w:hAnsi="宋体" w:cs="宋体"/>
          <w:color w:val="000000" w:themeColor="text1"/>
          <w:highlight w:val="none"/>
          <w14:textFill>
            <w14:solidFill>
              <w14:schemeClr w14:val="tx1"/>
            </w14:solidFill>
          </w14:textFill>
        </w:rPr>
        <w:t>由此引发的</w:t>
      </w:r>
      <w:r>
        <w:rPr>
          <w:rFonts w:hint="eastAsia" w:ascii="宋体" w:hAnsi="宋体" w:cs="宋体"/>
          <w:color w:val="000000" w:themeColor="text1"/>
          <w:spacing w:val="-6"/>
          <w:highlight w:val="none"/>
          <w14:textFill>
            <w14:solidFill>
              <w14:schemeClr w14:val="tx1"/>
            </w14:solidFill>
          </w14:textFill>
        </w:rPr>
        <w:t>后果由供应商承担。</w:t>
      </w:r>
    </w:p>
    <w:p w14:paraId="435E44D5">
      <w:pPr>
        <w:spacing w:line="360" w:lineRule="auto"/>
        <w:ind w:firstLine="420" w:firstLineChars="200"/>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18.2</w:t>
      </w:r>
      <w:r>
        <w:rPr>
          <w:rFonts w:hint="eastAsia" w:ascii="宋体" w:hAnsi="宋体" w:cs="宋体"/>
          <w:color w:val="000000" w:themeColor="text1"/>
          <w:highlight w:val="none"/>
          <w14:textFill>
            <w14:solidFill>
              <w14:schemeClr w14:val="tx1"/>
            </w14:solidFill>
          </w14:textFill>
        </w:rPr>
        <w:t>响应文件应按资格证明文件、报价</w:t>
      </w:r>
      <w:r>
        <w:rPr>
          <w:rFonts w:hint="eastAsia" w:ascii="宋体" w:hAnsi="宋体" w:cs="宋体"/>
          <w:color w:val="000000" w:themeColor="text1"/>
          <w:highlight w:val="none"/>
          <w:lang w:val="en-US" w:eastAsia="zh-CN"/>
          <w14:textFill>
            <w14:solidFill>
              <w14:schemeClr w14:val="tx1"/>
            </w14:solidFill>
          </w14:textFill>
        </w:rPr>
        <w:t>文件、</w:t>
      </w:r>
      <w:r>
        <w:rPr>
          <w:rFonts w:hint="eastAsia" w:ascii="宋体" w:hAnsi="宋体" w:cs="宋体"/>
          <w:color w:val="000000" w:themeColor="text1"/>
          <w:highlight w:val="none"/>
          <w14:textFill>
            <w14:solidFill>
              <w14:schemeClr w14:val="tx1"/>
            </w14:solidFill>
          </w14:textFill>
        </w:rPr>
        <w:t>商务技术文件分别编制电子文件，并按广西政府采购云平台的要求编制、加密、上传。</w:t>
      </w:r>
    </w:p>
    <w:p w14:paraId="669C63D5">
      <w:pPr>
        <w:spacing w:line="360" w:lineRule="auto"/>
        <w:ind w:firstLine="420" w:firstLineChars="200"/>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18.</w:t>
      </w:r>
      <w:bookmarkStart w:id="30" w:name="_Hlk65832699"/>
      <w:r>
        <w:rPr>
          <w:rFonts w:ascii="宋体" w:hAnsi="宋体" w:cs="宋体"/>
          <w:color w:val="000000" w:themeColor="text1"/>
          <w:highlight w:val="none"/>
          <w14:textFill>
            <w14:solidFill>
              <w14:schemeClr w14:val="tx1"/>
            </w14:solidFill>
          </w14:textFill>
        </w:rPr>
        <w:t>3</w:t>
      </w:r>
      <w:r>
        <w:rPr>
          <w:rFonts w:hint="eastAsia" w:ascii="宋体" w:hAnsi="宋体" w:cs="宋体"/>
          <w:color w:val="000000" w:themeColor="text1"/>
          <w:highlight w:val="none"/>
          <w14:textFill>
            <w14:solidFill>
              <w14:schemeClr w14:val="tx1"/>
            </w14:solidFill>
          </w14:textFill>
        </w:rPr>
        <w:t>响应文件须由供应商在规定位置盖公章并签字</w:t>
      </w:r>
      <w:bookmarkStart w:id="31" w:name="_Hlk65832569"/>
      <w:r>
        <w:rPr>
          <w:rFonts w:hint="eastAsia" w:ascii="宋体" w:hAnsi="宋体" w:cs="宋体"/>
          <w:color w:val="000000" w:themeColor="text1"/>
          <w:highlight w:val="none"/>
          <w14:textFill>
            <w14:solidFill>
              <w14:schemeClr w14:val="tx1"/>
            </w14:solidFill>
          </w14:textFill>
        </w:rPr>
        <w:t>（具体以供应商须知前附表或响应文件格式规定为准）</w:t>
      </w:r>
      <w:bookmarkEnd w:id="30"/>
      <w:bookmarkEnd w:id="31"/>
      <w:r>
        <w:rPr>
          <w:rFonts w:hint="eastAsia" w:ascii="宋体" w:hAnsi="宋体" w:cs="宋体"/>
          <w:color w:val="000000" w:themeColor="text1"/>
          <w:highlight w:val="none"/>
          <w14:textFill>
            <w14:solidFill>
              <w14:schemeClr w14:val="tx1"/>
            </w14:solidFill>
          </w14:textFill>
        </w:rPr>
        <w:t>，否则其响应文件按无效响应处理。</w:t>
      </w:r>
    </w:p>
    <w:p w14:paraId="400BD725">
      <w:pPr>
        <w:spacing w:line="360" w:lineRule="auto"/>
        <w:ind w:firstLine="420" w:firstLineChars="200"/>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18.4</w:t>
      </w:r>
      <w:r>
        <w:rPr>
          <w:rFonts w:hint="eastAsia" w:ascii="宋体" w:hAnsi="宋体" w:cs="宋体"/>
          <w:color w:val="000000" w:themeColor="text1"/>
          <w:highlight w:val="none"/>
          <w14:textFill>
            <w14:solidFill>
              <w14:schemeClr w14:val="tx1"/>
            </w14:solidFill>
          </w14:textFill>
        </w:rPr>
        <w:t>响应文件中标注的供应商名称应与营业执照（事业单位法人证书、执业许可证、自然人身份证）及公章一致，否则其响应文件按无效响应处理。</w:t>
      </w:r>
    </w:p>
    <w:p w14:paraId="070BEFBE">
      <w:pPr>
        <w:spacing w:line="360" w:lineRule="auto"/>
        <w:ind w:firstLine="420" w:firstLineChars="200"/>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18.5</w:t>
      </w:r>
      <w:r>
        <w:rPr>
          <w:rFonts w:hint="eastAsia" w:ascii="宋体" w:hAnsi="宋体" w:cs="宋体"/>
          <w:color w:val="000000" w:themeColor="text1"/>
          <w:highlight w:val="none"/>
          <w14:textFill>
            <w14:solidFill>
              <w14:schemeClr w14:val="tx1"/>
            </w14:solidFill>
          </w14:textFill>
        </w:rPr>
        <w:t>响应文件应尽量避免涂改、行间插字或者删除。如果出现上述情况，改动之处应由供应商的法定代表人或者其委托代理人签字或者加盖公章。响应文件因涂改、行间插字或者删除导致字迹潦草或者表达不清所引起的后果由供应商承担。</w:t>
      </w:r>
    </w:p>
    <w:p w14:paraId="0A5928A0">
      <w:pPr>
        <w:spacing w:line="360" w:lineRule="auto"/>
        <w:ind w:firstLine="482" w:firstLineChars="200"/>
        <w:rPr>
          <w:rFonts w:ascii="宋体"/>
          <w:b/>
          <w:bCs/>
          <w:color w:val="000000" w:themeColor="text1"/>
          <w:sz w:val="24"/>
          <w:szCs w:val="24"/>
          <w:highlight w:val="none"/>
          <w14:textFill>
            <w14:solidFill>
              <w14:schemeClr w14:val="tx1"/>
            </w14:solidFill>
          </w14:textFill>
        </w:rPr>
      </w:pPr>
      <w:r>
        <w:rPr>
          <w:rFonts w:ascii="宋体" w:hAnsi="宋体" w:cs="宋体"/>
          <w:b/>
          <w:bCs/>
          <w:color w:val="000000" w:themeColor="text1"/>
          <w:sz w:val="24"/>
          <w:szCs w:val="24"/>
          <w:highlight w:val="none"/>
          <w14:textFill>
            <w14:solidFill>
              <w14:schemeClr w14:val="tx1"/>
            </w14:solidFill>
          </w14:textFill>
        </w:rPr>
        <w:t>19.</w:t>
      </w:r>
      <w:r>
        <w:rPr>
          <w:rFonts w:hint="eastAsia" w:ascii="宋体" w:hAnsi="宋体" w:cs="宋体"/>
          <w:b/>
          <w:bCs/>
          <w:color w:val="000000" w:themeColor="text1"/>
          <w:sz w:val="24"/>
          <w:szCs w:val="24"/>
          <w:highlight w:val="none"/>
          <w14:textFill>
            <w14:solidFill>
              <w14:schemeClr w14:val="tx1"/>
            </w14:solidFill>
          </w14:textFill>
        </w:rPr>
        <w:t>响应文件的加密、解密</w:t>
      </w:r>
    </w:p>
    <w:p w14:paraId="478C8408">
      <w:pPr>
        <w:spacing w:line="360" w:lineRule="auto"/>
        <w:ind w:firstLine="420" w:firstLineChars="200"/>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19.1</w:t>
      </w:r>
      <w:r>
        <w:rPr>
          <w:rFonts w:hint="eastAsia" w:ascii="宋体" w:hAnsi="宋体" w:cs="宋体"/>
          <w:color w:val="000000" w:themeColor="text1"/>
          <w:highlight w:val="none"/>
          <w14:textFill>
            <w14:solidFill>
              <w14:schemeClr w14:val="tx1"/>
            </w14:solidFill>
          </w14:textFill>
        </w:rPr>
        <w:t>电子响应文件编制完成后，供应商应按广西政府采购云平台的要求进行加密，并在规定时间内解密，否则，由此产生的后果由供应商自行负责。</w:t>
      </w:r>
    </w:p>
    <w:p w14:paraId="7A2A8F18">
      <w:pPr>
        <w:spacing w:line="360" w:lineRule="auto"/>
        <w:ind w:firstLine="482" w:firstLineChars="200"/>
        <w:rPr>
          <w:rFonts w:ascii="宋体"/>
          <w:b/>
          <w:bCs/>
          <w:color w:val="000000" w:themeColor="text1"/>
          <w:sz w:val="24"/>
          <w:szCs w:val="24"/>
          <w:highlight w:val="none"/>
          <w14:textFill>
            <w14:solidFill>
              <w14:schemeClr w14:val="tx1"/>
            </w14:solidFill>
          </w14:textFill>
        </w:rPr>
      </w:pPr>
      <w:r>
        <w:rPr>
          <w:rFonts w:ascii="宋体" w:hAnsi="宋体" w:cs="宋体"/>
          <w:b/>
          <w:bCs/>
          <w:color w:val="000000" w:themeColor="text1"/>
          <w:sz w:val="24"/>
          <w:szCs w:val="24"/>
          <w:highlight w:val="none"/>
          <w14:textFill>
            <w14:solidFill>
              <w14:schemeClr w14:val="tx1"/>
            </w14:solidFill>
          </w14:textFill>
        </w:rPr>
        <w:t>20.</w:t>
      </w:r>
      <w:r>
        <w:rPr>
          <w:rFonts w:hint="eastAsia" w:ascii="宋体" w:hAnsi="宋体" w:cs="宋体"/>
          <w:b/>
          <w:bCs/>
          <w:color w:val="000000" w:themeColor="text1"/>
          <w:sz w:val="24"/>
          <w:szCs w:val="24"/>
          <w:highlight w:val="none"/>
          <w14:textFill>
            <w14:solidFill>
              <w14:schemeClr w14:val="tx1"/>
            </w14:solidFill>
          </w14:textFill>
        </w:rPr>
        <w:t>响应文件的提交</w:t>
      </w:r>
    </w:p>
    <w:p w14:paraId="24EB0DD6">
      <w:pPr>
        <w:spacing w:line="360" w:lineRule="auto"/>
        <w:ind w:firstLine="420" w:firstLineChars="200"/>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20.1</w:t>
      </w:r>
      <w:r>
        <w:rPr>
          <w:rFonts w:hint="eastAsia" w:ascii="宋体" w:hAnsi="宋体" w:cs="宋体"/>
          <w:color w:val="000000" w:themeColor="text1"/>
          <w:highlight w:val="none"/>
          <w14:textFill>
            <w14:solidFill>
              <w14:schemeClr w14:val="tx1"/>
            </w14:solidFill>
          </w14:textFill>
        </w:rPr>
        <w:t>供应商必须在“供应商须知前附表”规定的时间和地点提交响应文件。</w:t>
      </w:r>
    </w:p>
    <w:p w14:paraId="16A43DCE">
      <w:pPr>
        <w:widowControl/>
        <w:spacing w:line="360" w:lineRule="auto"/>
        <w:ind w:firstLine="420" w:firstLineChars="200"/>
        <w:rPr>
          <w:rFonts w:ascii="宋体"/>
          <w:b/>
          <w:bCs/>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20.2</w:t>
      </w:r>
      <w:r>
        <w:rPr>
          <w:rFonts w:hint="eastAsia" w:ascii="宋体" w:hAnsi="宋体" w:cs="宋体"/>
          <w:color w:val="000000" w:themeColor="text1"/>
          <w:highlight w:val="none"/>
          <w14:textFill>
            <w14:solidFill>
              <w14:schemeClr w14:val="tx1"/>
            </w14:solidFill>
          </w14:textFill>
        </w:rPr>
        <w:t>本项目为全流程电子化政府采购项目，通过广西政府采购云平台（</w:t>
      </w:r>
      <w:r>
        <w:rPr>
          <w:rFonts w:ascii="宋体" w:hAnsi="宋体" w:cs="宋体"/>
          <w:color w:val="000000" w:themeColor="text1"/>
          <w:highlight w:val="none"/>
          <w14:textFill>
            <w14:solidFill>
              <w14:schemeClr w14:val="tx1"/>
            </w14:solidFill>
          </w14:textFill>
        </w:rPr>
        <w:t>https://www.gcy.zfcg.gxzf.gov.cn/</w:t>
      </w:r>
      <w:r>
        <w:rPr>
          <w:rFonts w:hint="eastAsia" w:ascii="宋体" w:hAnsi="宋体" w:cs="宋体"/>
          <w:color w:val="000000" w:themeColor="text1"/>
          <w:highlight w:val="none"/>
          <w14:textFill>
            <w14:solidFill>
              <w14:schemeClr w14:val="tx1"/>
            </w14:solidFill>
          </w14:textFill>
        </w:rPr>
        <w:t>）实行在线电子磋商，供应商应先安装“政采云电子交易客户端”（请自行前往广西政府采购云平台进行下载），并按照本项目竞争性磋商文件和广西政府采购云平台的要求编制、加密后在首次响应文件提交截止时间前通过网络上传至广西政府采购云平台，</w:t>
      </w:r>
      <w:r>
        <w:rPr>
          <w:rFonts w:hint="eastAsia" w:ascii="宋体" w:hAnsi="宋体" w:cs="宋体"/>
          <w:b/>
          <w:bCs/>
          <w:color w:val="000000" w:themeColor="text1"/>
          <w:highlight w:val="none"/>
          <w14:textFill>
            <w14:solidFill>
              <w14:schemeClr w14:val="tx1"/>
            </w14:solidFill>
          </w14:textFill>
        </w:rPr>
        <w:t>供应商在广西政府采购云平台提交电子版响应文件时，请填写参加远程开标活动经办人联系方式。</w:t>
      </w:r>
    </w:p>
    <w:p w14:paraId="1A09A029">
      <w:pPr>
        <w:spacing w:line="360" w:lineRule="auto"/>
        <w:ind w:firstLine="420" w:firstLineChars="200"/>
        <w:jc w:val="left"/>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20.3</w:t>
      </w:r>
      <w:r>
        <w:rPr>
          <w:rFonts w:hint="eastAsia" w:ascii="宋体" w:hAnsi="宋体" w:cs="宋体"/>
          <w:color w:val="000000" w:themeColor="text1"/>
          <w:highlight w:val="none"/>
          <w14:textFill>
            <w14:solidFill>
              <w14:schemeClr w14:val="tx1"/>
            </w14:solidFill>
          </w14:textFill>
        </w:rPr>
        <w:t>未在规定时间内上传或者未按广西政府采购云平台的要求编制、加密的电子响应文件，广西政府采购云平台将拒收。</w:t>
      </w:r>
    </w:p>
    <w:p w14:paraId="174C19CE">
      <w:pPr>
        <w:pStyle w:val="8"/>
        <w:spacing w:line="360" w:lineRule="auto"/>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20.4</w:t>
      </w:r>
      <w:r>
        <w:rPr>
          <w:rFonts w:hint="eastAsia" w:ascii="宋体" w:hAnsi="宋体" w:cs="宋体"/>
          <w:color w:val="000000" w:themeColor="text1"/>
          <w:highlight w:val="none"/>
          <w14:textFill>
            <w14:solidFill>
              <w14:schemeClr w14:val="tx1"/>
            </w14:solidFill>
          </w14:textFill>
        </w:rPr>
        <w:t>电子响应文件提交方式见“竞争性磋商公告”中“四、响应文件提交”。</w:t>
      </w:r>
    </w:p>
    <w:p w14:paraId="0B3110CD">
      <w:pPr>
        <w:spacing w:line="360" w:lineRule="auto"/>
        <w:ind w:firstLine="482" w:firstLineChars="200"/>
        <w:rPr>
          <w:rFonts w:ascii="宋体"/>
          <w:b/>
          <w:bCs/>
          <w:color w:val="000000" w:themeColor="text1"/>
          <w:sz w:val="24"/>
          <w:szCs w:val="24"/>
          <w:highlight w:val="none"/>
          <w14:textFill>
            <w14:solidFill>
              <w14:schemeClr w14:val="tx1"/>
            </w14:solidFill>
          </w14:textFill>
        </w:rPr>
      </w:pPr>
      <w:r>
        <w:rPr>
          <w:rFonts w:ascii="宋体" w:hAnsi="宋体" w:cs="宋体"/>
          <w:b/>
          <w:bCs/>
          <w:color w:val="000000" w:themeColor="text1"/>
          <w:sz w:val="24"/>
          <w:szCs w:val="24"/>
          <w:highlight w:val="none"/>
          <w14:textFill>
            <w14:solidFill>
              <w14:schemeClr w14:val="tx1"/>
            </w14:solidFill>
          </w14:textFill>
        </w:rPr>
        <w:t>21.</w:t>
      </w:r>
      <w:r>
        <w:rPr>
          <w:rFonts w:hint="eastAsia" w:ascii="宋体" w:hAnsi="宋体" w:cs="宋体"/>
          <w:b/>
          <w:bCs/>
          <w:color w:val="000000" w:themeColor="text1"/>
          <w:sz w:val="24"/>
          <w:szCs w:val="24"/>
          <w:highlight w:val="none"/>
          <w14:textFill>
            <w14:solidFill>
              <w14:schemeClr w14:val="tx1"/>
            </w14:solidFill>
          </w14:textFill>
        </w:rPr>
        <w:t>首次响应文件的补充、修改与撤回</w:t>
      </w:r>
    </w:p>
    <w:p w14:paraId="62225A42">
      <w:pPr>
        <w:spacing w:line="360" w:lineRule="auto"/>
        <w:ind w:firstLine="420" w:firstLineChars="200"/>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21.1</w:t>
      </w:r>
      <w:r>
        <w:rPr>
          <w:rFonts w:hint="eastAsia" w:ascii="宋体" w:hAnsi="宋体" w:cs="宋体"/>
          <w:color w:val="000000" w:themeColor="text1"/>
          <w:highlight w:val="none"/>
          <w14:textFill>
            <w14:solidFill>
              <w14:schemeClr w14:val="tx1"/>
            </w14:solidFill>
          </w14:textFill>
        </w:rPr>
        <w:t>供应商应当在首次响应文件提交截止时间前完成电子响应文件的上传、递交，首次响应文件提交截止时间前可以补充、修改或者撤回响应文件。补充或者修改响应文件的，应当先行撤回原文件，补充、修改后重新上传、递交。首次响应文件提交截止时间前未完成上传、递交的，视为撤回响应文件。首次响应文件提交截止时间以后上传递交的响应文件，广西政府采购云平台将予以拒收。</w:t>
      </w:r>
    </w:p>
    <w:p w14:paraId="773DEB5F">
      <w:pPr>
        <w:spacing w:line="360" w:lineRule="auto"/>
        <w:ind w:firstLine="482" w:firstLineChars="200"/>
        <w:rPr>
          <w:rFonts w:ascii="宋体"/>
          <w:b/>
          <w:bCs/>
          <w:color w:val="000000" w:themeColor="text1"/>
          <w:sz w:val="24"/>
          <w:szCs w:val="24"/>
          <w:highlight w:val="none"/>
          <w14:textFill>
            <w14:solidFill>
              <w14:schemeClr w14:val="tx1"/>
            </w14:solidFill>
          </w14:textFill>
        </w:rPr>
      </w:pPr>
      <w:bookmarkStart w:id="32" w:name="_Hlk45702405"/>
      <w:r>
        <w:rPr>
          <w:rFonts w:ascii="宋体" w:hAnsi="宋体" w:cs="宋体"/>
          <w:b/>
          <w:bCs/>
          <w:color w:val="000000" w:themeColor="text1"/>
          <w:sz w:val="24"/>
          <w:szCs w:val="24"/>
          <w:highlight w:val="none"/>
          <w14:textFill>
            <w14:solidFill>
              <w14:schemeClr w14:val="tx1"/>
            </w14:solidFill>
          </w14:textFill>
        </w:rPr>
        <w:t xml:space="preserve">22. </w:t>
      </w:r>
      <w:r>
        <w:rPr>
          <w:rFonts w:hint="eastAsia" w:ascii="宋体" w:hAnsi="宋体" w:cs="宋体"/>
          <w:b/>
          <w:bCs/>
          <w:color w:val="000000" w:themeColor="text1"/>
          <w:sz w:val="24"/>
          <w:szCs w:val="24"/>
          <w:highlight w:val="none"/>
          <w14:textFill>
            <w14:solidFill>
              <w14:schemeClr w14:val="tx1"/>
            </w14:solidFill>
          </w14:textFill>
        </w:rPr>
        <w:t>首次响应文件的退回</w:t>
      </w:r>
    </w:p>
    <w:p w14:paraId="1F096116">
      <w:pPr>
        <w:spacing w:line="360" w:lineRule="auto"/>
        <w:ind w:firstLine="420" w:firstLineChars="200"/>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22.1</w:t>
      </w:r>
      <w:r>
        <w:rPr>
          <w:rFonts w:hint="eastAsia" w:ascii="宋体" w:hAnsi="宋体" w:cs="宋体"/>
          <w:color w:val="000000" w:themeColor="text1"/>
          <w:highlight w:val="none"/>
          <w14:textFill>
            <w14:solidFill>
              <w14:schemeClr w14:val="tx1"/>
            </w14:solidFill>
          </w14:textFill>
        </w:rPr>
        <w:t>在首次响应文件提交截止时间止提交响应文件的供应商不足</w:t>
      </w:r>
      <w:r>
        <w:rPr>
          <w:rFonts w:ascii="宋体" w:hAnsi="宋体" w:cs="宋体"/>
          <w:color w:val="000000" w:themeColor="text1"/>
          <w:highlight w:val="none"/>
          <w14:textFill>
            <w14:solidFill>
              <w14:schemeClr w14:val="tx1"/>
            </w14:solidFill>
          </w14:textFill>
        </w:rPr>
        <w:t>3</w:t>
      </w:r>
      <w:r>
        <w:rPr>
          <w:rFonts w:hint="eastAsia" w:ascii="宋体" w:hAnsi="宋体" w:cs="宋体"/>
          <w:color w:val="000000" w:themeColor="text1"/>
          <w:highlight w:val="none"/>
          <w14:textFill>
            <w14:solidFill>
              <w14:schemeClr w14:val="tx1"/>
            </w14:solidFill>
          </w14:textFill>
        </w:rPr>
        <w:t>家时，采购代理机构将根据广西政府采购云平台的操作将电子版响应文件退回，除此之外采购人和采购代理机构对已提交的电子响应文件概不退回。</w:t>
      </w:r>
    </w:p>
    <w:p w14:paraId="7B2F431B">
      <w:pPr>
        <w:spacing w:line="360" w:lineRule="auto"/>
        <w:ind w:firstLine="482" w:firstLineChars="200"/>
        <w:rPr>
          <w:rFonts w:ascii="宋体"/>
          <w:b/>
          <w:bCs/>
          <w:color w:val="000000" w:themeColor="text1"/>
          <w:sz w:val="24"/>
          <w:szCs w:val="24"/>
          <w:highlight w:val="none"/>
          <w14:textFill>
            <w14:solidFill>
              <w14:schemeClr w14:val="tx1"/>
            </w14:solidFill>
          </w14:textFill>
        </w:rPr>
      </w:pPr>
      <w:r>
        <w:rPr>
          <w:rFonts w:ascii="宋体" w:hAnsi="宋体" w:cs="宋体"/>
          <w:b/>
          <w:bCs/>
          <w:color w:val="000000" w:themeColor="text1"/>
          <w:sz w:val="24"/>
          <w:szCs w:val="24"/>
          <w:highlight w:val="none"/>
          <w14:textFill>
            <w14:solidFill>
              <w14:schemeClr w14:val="tx1"/>
            </w14:solidFill>
          </w14:textFill>
        </w:rPr>
        <w:t xml:space="preserve">23. </w:t>
      </w:r>
      <w:r>
        <w:rPr>
          <w:rFonts w:hint="eastAsia" w:ascii="宋体" w:hAnsi="宋体" w:cs="宋体"/>
          <w:b/>
          <w:bCs/>
          <w:color w:val="000000" w:themeColor="text1"/>
          <w:sz w:val="24"/>
          <w:szCs w:val="24"/>
          <w:highlight w:val="none"/>
          <w14:textFill>
            <w14:solidFill>
              <w14:schemeClr w14:val="tx1"/>
            </w14:solidFill>
          </w14:textFill>
        </w:rPr>
        <w:t>截止时间后的撤回</w:t>
      </w:r>
    </w:p>
    <w:p w14:paraId="11E0DF01">
      <w:pPr>
        <w:spacing w:line="360" w:lineRule="auto"/>
        <w:ind w:firstLine="420" w:firstLineChars="200"/>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23.1</w:t>
      </w:r>
      <w:r>
        <w:rPr>
          <w:rFonts w:hint="eastAsia" w:ascii="宋体" w:hAnsi="宋体" w:cs="宋体"/>
          <w:color w:val="000000" w:themeColor="text1"/>
          <w:highlight w:val="none"/>
          <w14:textFill>
            <w14:solidFill>
              <w14:schemeClr w14:val="tx1"/>
            </w14:solidFill>
          </w14:textFill>
        </w:rPr>
        <w:t>供应商在首次响应文件提交截止时间后书面通知采购人、采购代理机构书面撤回响应文件的，将根据本须知正文</w:t>
      </w:r>
      <w:r>
        <w:rPr>
          <w:rFonts w:ascii="宋体" w:hAnsi="宋体" w:cs="宋体"/>
          <w:color w:val="000000" w:themeColor="text1"/>
          <w:highlight w:val="none"/>
          <w14:textFill>
            <w14:solidFill>
              <w14:schemeClr w14:val="tx1"/>
            </w14:solidFill>
          </w14:textFill>
        </w:rPr>
        <w:t>17.4</w:t>
      </w:r>
      <w:r>
        <w:rPr>
          <w:rFonts w:hint="eastAsia" w:ascii="宋体" w:hAnsi="宋体" w:cs="宋体"/>
          <w:color w:val="000000" w:themeColor="text1"/>
          <w:highlight w:val="none"/>
          <w14:textFill>
            <w14:solidFill>
              <w14:schemeClr w14:val="tx1"/>
            </w14:solidFill>
          </w14:textFill>
        </w:rPr>
        <w:t>的规定不予退还其磋商保证金。</w:t>
      </w:r>
    </w:p>
    <w:bookmarkEnd w:id="32"/>
    <w:p w14:paraId="6B4C43AE">
      <w:pPr>
        <w:spacing w:line="360" w:lineRule="auto"/>
        <w:rPr>
          <w:rFonts w:ascii="宋体"/>
          <w:color w:val="000000" w:themeColor="text1"/>
          <w:highlight w:val="none"/>
          <w14:textFill>
            <w14:solidFill>
              <w14:schemeClr w14:val="tx1"/>
            </w14:solidFill>
          </w14:textFill>
        </w:rPr>
      </w:pPr>
    </w:p>
    <w:p w14:paraId="0066DBDE">
      <w:pPr>
        <w:spacing w:line="360" w:lineRule="auto"/>
        <w:jc w:val="center"/>
        <w:rPr>
          <w:rFonts w:ascii="宋体"/>
          <w:b/>
          <w:bCs/>
          <w:color w:val="000000" w:themeColor="text1"/>
          <w:sz w:val="32"/>
          <w:szCs w:val="32"/>
          <w:highlight w:val="none"/>
          <w14:textFill>
            <w14:solidFill>
              <w14:schemeClr w14:val="tx1"/>
            </w14:solidFill>
          </w14:textFill>
        </w:rPr>
      </w:pPr>
      <w:r>
        <w:rPr>
          <w:rFonts w:hint="eastAsia" w:ascii="宋体" w:hAnsi="宋体" w:cs="宋体"/>
          <w:b/>
          <w:bCs/>
          <w:color w:val="000000" w:themeColor="text1"/>
          <w:sz w:val="32"/>
          <w:szCs w:val="32"/>
          <w:highlight w:val="none"/>
          <w14:textFill>
            <w14:solidFill>
              <w14:schemeClr w14:val="tx1"/>
            </w14:solidFill>
          </w14:textFill>
        </w:rPr>
        <w:t>四、评审及磋商</w:t>
      </w:r>
    </w:p>
    <w:p w14:paraId="75A9B4EA">
      <w:pPr>
        <w:spacing w:line="360" w:lineRule="auto"/>
        <w:ind w:firstLine="482" w:firstLineChars="200"/>
        <w:rPr>
          <w:rFonts w:ascii="宋体"/>
          <w:b/>
          <w:bCs/>
          <w:color w:val="000000" w:themeColor="text1"/>
          <w:sz w:val="24"/>
          <w:szCs w:val="24"/>
          <w:highlight w:val="none"/>
          <w14:textFill>
            <w14:solidFill>
              <w14:schemeClr w14:val="tx1"/>
            </w14:solidFill>
          </w14:textFill>
        </w:rPr>
      </w:pPr>
    </w:p>
    <w:p w14:paraId="20B53CFB">
      <w:pPr>
        <w:spacing w:line="360" w:lineRule="auto"/>
        <w:ind w:firstLine="482" w:firstLineChars="200"/>
        <w:rPr>
          <w:rFonts w:ascii="宋体"/>
          <w:b/>
          <w:bCs/>
          <w:color w:val="000000" w:themeColor="text1"/>
          <w:sz w:val="24"/>
          <w:szCs w:val="24"/>
          <w:highlight w:val="none"/>
          <w14:textFill>
            <w14:solidFill>
              <w14:schemeClr w14:val="tx1"/>
            </w14:solidFill>
          </w14:textFill>
        </w:rPr>
      </w:pPr>
      <w:r>
        <w:rPr>
          <w:rFonts w:ascii="宋体" w:hAnsi="宋体" w:cs="宋体"/>
          <w:b/>
          <w:bCs/>
          <w:color w:val="000000" w:themeColor="text1"/>
          <w:sz w:val="24"/>
          <w:szCs w:val="24"/>
          <w:highlight w:val="none"/>
          <w14:textFill>
            <w14:solidFill>
              <w14:schemeClr w14:val="tx1"/>
            </w14:solidFill>
          </w14:textFill>
        </w:rPr>
        <w:t>24.</w:t>
      </w:r>
      <w:r>
        <w:rPr>
          <w:rFonts w:hint="eastAsia" w:ascii="宋体" w:hAnsi="宋体" w:cs="宋体"/>
          <w:b/>
          <w:bCs/>
          <w:color w:val="000000" w:themeColor="text1"/>
          <w:sz w:val="24"/>
          <w:szCs w:val="24"/>
          <w:highlight w:val="none"/>
          <w14:textFill>
            <w14:solidFill>
              <w14:schemeClr w14:val="tx1"/>
            </w14:solidFill>
          </w14:textFill>
        </w:rPr>
        <w:t>磋商小组成立</w:t>
      </w:r>
    </w:p>
    <w:p w14:paraId="3973E0DC">
      <w:pPr>
        <w:spacing w:line="360" w:lineRule="auto"/>
        <w:ind w:firstLine="420" w:firstLineChars="200"/>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24.1</w:t>
      </w:r>
      <w:r>
        <w:rPr>
          <w:rFonts w:hint="eastAsia" w:ascii="宋体" w:hAnsi="宋体" w:cs="宋体"/>
          <w:color w:val="000000" w:themeColor="text1"/>
          <w:highlight w:val="none"/>
          <w14:textFill>
            <w14:solidFill>
              <w14:schemeClr w14:val="tx1"/>
            </w14:solidFill>
          </w14:textFill>
        </w:rPr>
        <w:t>磋商小组由采购人代表和评审专家共</w:t>
      </w:r>
      <w:r>
        <w:rPr>
          <w:rFonts w:ascii="宋体" w:hAnsi="宋体" w:cs="宋体"/>
          <w:color w:val="000000" w:themeColor="text1"/>
          <w:highlight w:val="none"/>
          <w14:textFill>
            <w14:solidFill>
              <w14:schemeClr w14:val="tx1"/>
            </w14:solidFill>
          </w14:textFill>
        </w:rPr>
        <w:t>3</w:t>
      </w:r>
      <w:r>
        <w:rPr>
          <w:rFonts w:hint="eastAsia" w:ascii="宋体" w:hAnsi="宋体" w:cs="宋体"/>
          <w:color w:val="000000" w:themeColor="text1"/>
          <w:highlight w:val="none"/>
          <w14:textFill>
            <w14:solidFill>
              <w14:schemeClr w14:val="tx1"/>
            </w14:solidFill>
          </w14:textFill>
        </w:rPr>
        <w:t>人以上单数组成，具体人数见“供应商须知前附表”，其中评审专家人数不得少于磋商小组成员总数的</w:t>
      </w:r>
      <w:r>
        <w:rPr>
          <w:rFonts w:ascii="宋体" w:hAnsi="宋体" w:cs="宋体"/>
          <w:color w:val="000000" w:themeColor="text1"/>
          <w:highlight w:val="none"/>
          <w14:textFill>
            <w14:solidFill>
              <w14:schemeClr w14:val="tx1"/>
            </w14:solidFill>
          </w14:textFill>
        </w:rPr>
        <w:t>2/3</w:t>
      </w:r>
      <w:r>
        <w:rPr>
          <w:rFonts w:hint="eastAsia" w:ascii="宋体" w:hAnsi="宋体" w:cs="宋体"/>
          <w:color w:val="000000" w:themeColor="text1"/>
          <w:highlight w:val="none"/>
          <w14:textFill>
            <w14:solidFill>
              <w14:schemeClr w14:val="tx1"/>
            </w14:solidFill>
          </w14:textFill>
        </w:rPr>
        <w:t>。采购人代表不得以评审专家身份参加本部门或者本单位采购项目的评审。采购代理机构人员不得参加本机构代理的采购项目的评审。达到公开招标数额标准的货物或者服务采购项目，或者达到公开招标规模标准的政府采购工程，经批准采用竞争性磋商方式采购的，磋商小组由</w:t>
      </w:r>
      <w:r>
        <w:rPr>
          <w:rFonts w:ascii="宋体" w:hAnsi="宋体" w:cs="宋体"/>
          <w:color w:val="000000" w:themeColor="text1"/>
          <w:highlight w:val="none"/>
          <w14:textFill>
            <w14:solidFill>
              <w14:schemeClr w14:val="tx1"/>
            </w14:solidFill>
          </w14:textFill>
        </w:rPr>
        <w:t>5</w:t>
      </w:r>
      <w:r>
        <w:rPr>
          <w:rFonts w:hint="eastAsia" w:ascii="宋体" w:hAnsi="宋体" w:cs="宋体"/>
          <w:color w:val="000000" w:themeColor="text1"/>
          <w:highlight w:val="none"/>
          <w14:textFill>
            <w14:solidFill>
              <w14:schemeClr w14:val="tx1"/>
            </w14:solidFill>
          </w14:textFill>
        </w:rPr>
        <w:t>人以上单数组成。</w:t>
      </w:r>
    </w:p>
    <w:p w14:paraId="0C53CBBE">
      <w:pPr>
        <w:spacing w:line="360" w:lineRule="auto"/>
        <w:ind w:firstLine="420" w:firstLineChars="200"/>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24.2</w:t>
      </w:r>
      <w:r>
        <w:rPr>
          <w:rFonts w:hint="eastAsia" w:ascii="宋体" w:hAnsi="宋体" w:cs="宋体"/>
          <w:color w:val="000000" w:themeColor="text1"/>
          <w:highlight w:val="none"/>
          <w14:textFill>
            <w14:solidFill>
              <w14:schemeClr w14:val="tx1"/>
            </w14:solidFill>
          </w14:textFill>
        </w:rPr>
        <w:t>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w:t>
      </w:r>
      <w:r>
        <w:rPr>
          <w:rFonts w:ascii="宋体" w:hAnsi="宋体" w:cs="宋体"/>
          <w:color w:val="000000" w:themeColor="text1"/>
          <w:highlight w:val="none"/>
          <w14:textFill>
            <w14:solidFill>
              <w14:schemeClr w14:val="tx1"/>
            </w14:solidFill>
          </w14:textFill>
        </w:rPr>
        <w:t>1</w:t>
      </w:r>
      <w:r>
        <w:rPr>
          <w:rFonts w:hint="eastAsia" w:ascii="宋体" w:hAnsi="宋体" w:cs="宋体"/>
          <w:color w:val="000000" w:themeColor="text1"/>
          <w:highlight w:val="none"/>
          <w14:textFill>
            <w14:solidFill>
              <w14:schemeClr w14:val="tx1"/>
            </w14:solidFill>
          </w14:textFill>
        </w:rPr>
        <w:t>名法律专家。</w:t>
      </w:r>
    </w:p>
    <w:p w14:paraId="3017B843">
      <w:pPr>
        <w:spacing w:line="360" w:lineRule="auto"/>
        <w:ind w:firstLine="482" w:firstLineChars="200"/>
        <w:rPr>
          <w:rFonts w:ascii="宋体"/>
          <w:b/>
          <w:bCs/>
          <w:color w:val="000000" w:themeColor="text1"/>
          <w:sz w:val="24"/>
          <w:szCs w:val="24"/>
          <w:highlight w:val="none"/>
          <w14:textFill>
            <w14:solidFill>
              <w14:schemeClr w14:val="tx1"/>
            </w14:solidFill>
          </w14:textFill>
        </w:rPr>
      </w:pPr>
      <w:r>
        <w:rPr>
          <w:rFonts w:ascii="宋体" w:hAnsi="宋体" w:cs="宋体"/>
          <w:b/>
          <w:bCs/>
          <w:color w:val="000000" w:themeColor="text1"/>
          <w:sz w:val="24"/>
          <w:szCs w:val="24"/>
          <w:highlight w:val="none"/>
          <w14:textFill>
            <w14:solidFill>
              <w14:schemeClr w14:val="tx1"/>
            </w14:solidFill>
          </w14:textFill>
        </w:rPr>
        <w:t>25.</w:t>
      </w:r>
      <w:r>
        <w:rPr>
          <w:rFonts w:hint="eastAsia" w:ascii="宋体" w:hAnsi="宋体" w:cs="宋体"/>
          <w:b/>
          <w:bCs/>
          <w:color w:val="000000" w:themeColor="text1"/>
          <w:sz w:val="24"/>
          <w:szCs w:val="24"/>
          <w:highlight w:val="none"/>
          <w14:textFill>
            <w14:solidFill>
              <w14:schemeClr w14:val="tx1"/>
            </w14:solidFill>
          </w14:textFill>
        </w:rPr>
        <w:t>首次响应文件的开启</w:t>
      </w:r>
    </w:p>
    <w:p w14:paraId="5E8553C9">
      <w:pPr>
        <w:spacing w:line="360" w:lineRule="auto"/>
        <w:ind w:firstLine="420" w:firstLineChars="200"/>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25.1</w:t>
      </w:r>
      <w:r>
        <w:rPr>
          <w:rFonts w:hint="eastAsia" w:ascii="宋体" w:hAnsi="宋体" w:cs="宋体"/>
          <w:color w:val="000000" w:themeColor="text1"/>
          <w:highlight w:val="none"/>
          <w14:textFill>
            <w14:solidFill>
              <w14:schemeClr w14:val="tx1"/>
            </w14:solidFill>
          </w14:textFill>
        </w:rPr>
        <w:t>首次响应文件由磋商小组或者采购代理机构在“供应商须知前附表”规定的时间开启。</w:t>
      </w:r>
    </w:p>
    <w:p w14:paraId="08068CA1">
      <w:pPr>
        <w:spacing w:line="360" w:lineRule="auto"/>
        <w:ind w:firstLine="420" w:firstLineChars="200"/>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25.2 </w:t>
      </w:r>
      <w:r>
        <w:rPr>
          <w:rFonts w:hint="eastAsia" w:ascii="宋体" w:hAnsi="宋体" w:cs="宋体"/>
          <w:color w:val="000000" w:themeColor="text1"/>
          <w:highlight w:val="none"/>
          <w14:textFill>
            <w14:solidFill>
              <w14:schemeClr w14:val="tx1"/>
            </w14:solidFill>
          </w14:textFill>
        </w:rPr>
        <w:t>响应文件解密：采购代理机构将在“供应商须知前附表”规定的时间通过电子交易平台组织响应文件开启，采购代理机构将依托电子交易平台发起开始解密指令，</w:t>
      </w:r>
      <w:r>
        <w:rPr>
          <w:rFonts w:hint="eastAsia" w:ascii="宋体" w:hAnsi="宋体" w:cs="宋体"/>
          <w:b/>
          <w:bCs/>
          <w:color w:val="000000" w:themeColor="text1"/>
          <w:highlight w:val="none"/>
          <w14:textFill>
            <w14:solidFill>
              <w14:schemeClr w14:val="tx1"/>
            </w14:solidFill>
          </w14:textFill>
        </w:rPr>
        <w:t>供应商的法定代表人或其委托代理人须携带加密时所用的</w:t>
      </w:r>
      <w:r>
        <w:rPr>
          <w:rFonts w:ascii="宋体" w:hAnsi="宋体" w:cs="宋体"/>
          <w:b/>
          <w:bCs/>
          <w:color w:val="000000" w:themeColor="text1"/>
          <w:highlight w:val="none"/>
          <w14:textFill>
            <w14:solidFill>
              <w14:schemeClr w14:val="tx1"/>
            </w14:solidFill>
          </w14:textFill>
        </w:rPr>
        <w:t>CA</w:t>
      </w:r>
      <w:r>
        <w:rPr>
          <w:rFonts w:hint="eastAsia" w:ascii="宋体" w:hAnsi="宋体" w:cs="宋体"/>
          <w:b/>
          <w:bCs/>
          <w:color w:val="000000" w:themeColor="text1"/>
          <w:highlight w:val="none"/>
          <w14:textFill>
            <w14:solidFill>
              <w14:schemeClr w14:val="tx1"/>
            </w14:solidFill>
          </w14:textFill>
        </w:rPr>
        <w:t>锁按平台提示和采购文件的规定登录到广西政府采购云平台电子开标大厅签到并在发起解密指令之时起</w:t>
      </w:r>
      <w:r>
        <w:rPr>
          <w:rFonts w:ascii="宋体" w:hAnsi="宋体" w:cs="宋体"/>
          <w:b/>
          <w:bCs/>
          <w:color w:val="000000" w:themeColor="text1"/>
          <w:highlight w:val="none"/>
          <w14:textFill>
            <w14:solidFill>
              <w14:schemeClr w14:val="tx1"/>
            </w14:solidFill>
          </w14:textFill>
        </w:rPr>
        <w:t>30</w:t>
      </w:r>
      <w:r>
        <w:rPr>
          <w:rFonts w:hint="eastAsia" w:ascii="宋体" w:hAnsi="宋体" w:cs="宋体"/>
          <w:b/>
          <w:bCs/>
          <w:color w:val="000000" w:themeColor="text1"/>
          <w:highlight w:val="none"/>
          <w14:textFill>
            <w14:solidFill>
              <w14:schemeClr w14:val="tx1"/>
            </w14:solidFill>
          </w14:textFill>
        </w:rPr>
        <w:t>分钟内完成对电子响应文件在线解密。响应文件未按时解密的，视为响应文件无效。</w:t>
      </w:r>
      <w:r>
        <w:rPr>
          <w:rFonts w:hint="eastAsia" w:ascii="宋体" w:hAnsi="宋体" w:cs="宋体"/>
          <w:color w:val="000000" w:themeColor="text1"/>
          <w:highlight w:val="none"/>
          <w14:textFill>
            <w14:solidFill>
              <w14:schemeClr w14:val="tx1"/>
            </w14:solidFill>
          </w14:textFill>
        </w:rPr>
        <w:t>（解密异常情况处理：详见本章</w:t>
      </w:r>
      <w:r>
        <w:rPr>
          <w:rFonts w:ascii="宋体" w:hAnsi="宋体" w:cs="宋体"/>
          <w:color w:val="000000" w:themeColor="text1"/>
          <w:highlight w:val="none"/>
          <w14:textFill>
            <w14:solidFill>
              <w14:schemeClr w14:val="tx1"/>
            </w14:solidFill>
          </w14:textFill>
        </w:rPr>
        <w:t>26.2</w:t>
      </w:r>
      <w:r>
        <w:rPr>
          <w:rFonts w:hint="eastAsia" w:ascii="宋体" w:hAnsi="宋体" w:cs="宋体"/>
          <w:color w:val="000000" w:themeColor="text1"/>
          <w:highlight w:val="none"/>
          <w14:textFill>
            <w14:solidFill>
              <w14:schemeClr w14:val="tx1"/>
            </w14:solidFill>
          </w14:textFill>
        </w:rPr>
        <w:t>电子交易活动的中止。）</w:t>
      </w:r>
    </w:p>
    <w:p w14:paraId="53EE9DF6">
      <w:pPr>
        <w:spacing w:line="360" w:lineRule="auto"/>
        <w:ind w:firstLine="420" w:firstLineChars="200"/>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25.3</w:t>
      </w:r>
      <w:r>
        <w:rPr>
          <w:rFonts w:hint="eastAsia" w:ascii="宋体" w:hAnsi="宋体" w:cs="宋体"/>
          <w:color w:val="000000" w:themeColor="text1"/>
          <w:highlight w:val="none"/>
          <w14:textFill>
            <w14:solidFill>
              <w14:schemeClr w14:val="tx1"/>
            </w14:solidFill>
          </w14:textFill>
        </w:rPr>
        <w:t>成功解密响应文件的供应商不足</w:t>
      </w:r>
      <w:r>
        <w:rPr>
          <w:rFonts w:ascii="宋体" w:hAnsi="宋体" w:cs="宋体"/>
          <w:color w:val="000000" w:themeColor="text1"/>
          <w:highlight w:val="none"/>
          <w14:textFill>
            <w14:solidFill>
              <w14:schemeClr w14:val="tx1"/>
            </w14:solidFill>
          </w14:textFill>
        </w:rPr>
        <w:t>3</w:t>
      </w:r>
      <w:r>
        <w:rPr>
          <w:rFonts w:hint="eastAsia" w:ascii="宋体" w:hAnsi="宋体" w:cs="宋体"/>
          <w:color w:val="000000" w:themeColor="text1"/>
          <w:highlight w:val="none"/>
          <w14:textFill>
            <w14:solidFill>
              <w14:schemeClr w14:val="tx1"/>
            </w14:solidFill>
          </w14:textFill>
        </w:rPr>
        <w:t>家的，不得磋商。</w:t>
      </w:r>
    </w:p>
    <w:p w14:paraId="379E7C93">
      <w:pPr>
        <w:spacing w:line="360" w:lineRule="auto"/>
        <w:ind w:firstLine="482" w:firstLineChars="200"/>
        <w:rPr>
          <w:rFonts w:ascii="宋体"/>
          <w:b/>
          <w:bCs/>
          <w:color w:val="000000" w:themeColor="text1"/>
          <w:sz w:val="24"/>
          <w:szCs w:val="24"/>
          <w:highlight w:val="none"/>
          <w14:textFill>
            <w14:solidFill>
              <w14:schemeClr w14:val="tx1"/>
            </w14:solidFill>
          </w14:textFill>
        </w:rPr>
      </w:pPr>
      <w:r>
        <w:rPr>
          <w:rFonts w:ascii="宋体" w:hAnsi="宋体" w:cs="宋体"/>
          <w:b/>
          <w:bCs/>
          <w:color w:val="000000" w:themeColor="text1"/>
          <w:sz w:val="24"/>
          <w:szCs w:val="24"/>
          <w:highlight w:val="none"/>
          <w14:textFill>
            <w14:solidFill>
              <w14:schemeClr w14:val="tx1"/>
            </w14:solidFill>
          </w14:textFill>
        </w:rPr>
        <w:t>26.</w:t>
      </w:r>
      <w:r>
        <w:rPr>
          <w:rFonts w:hint="eastAsia" w:ascii="宋体" w:hAnsi="宋体" w:cs="宋体"/>
          <w:b/>
          <w:bCs/>
          <w:color w:val="000000" w:themeColor="text1"/>
          <w:sz w:val="24"/>
          <w:szCs w:val="24"/>
          <w:highlight w:val="none"/>
          <w14:textFill>
            <w14:solidFill>
              <w14:schemeClr w14:val="tx1"/>
            </w14:solidFill>
          </w14:textFill>
        </w:rPr>
        <w:t>评审程序、评审方法和评审标准</w:t>
      </w:r>
    </w:p>
    <w:p w14:paraId="0DAAB278">
      <w:pPr>
        <w:spacing w:line="360" w:lineRule="auto"/>
        <w:ind w:firstLine="420" w:firstLineChars="200"/>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26.1</w:t>
      </w:r>
      <w:r>
        <w:rPr>
          <w:rFonts w:hint="eastAsia" w:ascii="宋体" w:hAnsi="宋体" w:cs="宋体"/>
          <w:color w:val="000000" w:themeColor="text1"/>
          <w:highlight w:val="none"/>
          <w14:textFill>
            <w14:solidFill>
              <w14:schemeClr w14:val="tx1"/>
            </w14:solidFill>
          </w14:textFill>
        </w:rPr>
        <w:t>磋商小组按照“第四章</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评审程序、评审方法和评审标准”规定的方法、评审因素、标准和程序对响应文件进行评审。</w:t>
      </w:r>
    </w:p>
    <w:p w14:paraId="377CAC3A">
      <w:pPr>
        <w:spacing w:line="360" w:lineRule="auto"/>
        <w:ind w:firstLine="420" w:firstLineChars="200"/>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26.2</w:t>
      </w:r>
      <w:r>
        <w:rPr>
          <w:rFonts w:hint="eastAsia" w:ascii="宋体" w:hAnsi="宋体" w:cs="宋体"/>
          <w:color w:val="000000" w:themeColor="text1"/>
          <w:highlight w:val="none"/>
          <w14:textFill>
            <w14:solidFill>
              <w14:schemeClr w14:val="tx1"/>
            </w14:solidFill>
          </w14:textFill>
        </w:rPr>
        <w:t>电子交易活动的中止。采购过程中出现以下情形，导致电子交易平台无法正常运行，或者无法保证电子交易的公平、公正和安全时，采购机构可中止电子交易活动：</w:t>
      </w:r>
    </w:p>
    <w:p w14:paraId="57177E35">
      <w:pPr>
        <w:spacing w:line="360" w:lineRule="auto"/>
        <w:ind w:firstLine="420" w:firstLineChars="200"/>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w:t>
      </w:r>
      <w:r>
        <w:rPr>
          <w:rFonts w:ascii="宋体" w:hAnsi="宋体" w:cs="宋体"/>
          <w:color w:val="000000" w:themeColor="text1"/>
          <w:highlight w:val="none"/>
          <w14:textFill>
            <w14:solidFill>
              <w14:schemeClr w14:val="tx1"/>
            </w14:solidFill>
          </w14:textFill>
        </w:rPr>
        <w:t>1</w:t>
      </w:r>
      <w:r>
        <w:rPr>
          <w:rFonts w:hint="eastAsia" w:ascii="宋体" w:hAnsi="宋体" w:cs="宋体"/>
          <w:color w:val="000000" w:themeColor="text1"/>
          <w:highlight w:val="none"/>
          <w14:textFill>
            <w14:solidFill>
              <w14:schemeClr w14:val="tx1"/>
            </w14:solidFill>
          </w14:textFill>
        </w:rPr>
        <w:t>）电子交易平台发生故障而无法登录访问的；</w:t>
      </w:r>
      <w:r>
        <w:rPr>
          <w:rFonts w:ascii="宋体" w:hAnsi="宋体" w:cs="宋体"/>
          <w:color w:val="000000" w:themeColor="text1"/>
          <w:highlight w:val="none"/>
          <w14:textFill>
            <w14:solidFill>
              <w14:schemeClr w14:val="tx1"/>
            </w14:solidFill>
          </w14:textFill>
        </w:rPr>
        <w:t xml:space="preserve"> </w:t>
      </w:r>
    </w:p>
    <w:p w14:paraId="7ED06892">
      <w:pPr>
        <w:spacing w:line="360" w:lineRule="auto"/>
        <w:ind w:firstLine="420" w:firstLineChars="200"/>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w:t>
      </w:r>
      <w:r>
        <w:rPr>
          <w:rFonts w:ascii="宋体" w:hAnsi="宋体" w:cs="宋体"/>
          <w:color w:val="000000" w:themeColor="text1"/>
          <w:highlight w:val="none"/>
          <w14:textFill>
            <w14:solidFill>
              <w14:schemeClr w14:val="tx1"/>
            </w14:solidFill>
          </w14:textFill>
        </w:rPr>
        <w:t>2</w:t>
      </w:r>
      <w:r>
        <w:rPr>
          <w:rFonts w:hint="eastAsia" w:ascii="宋体" w:hAnsi="宋体" w:cs="宋体"/>
          <w:color w:val="000000" w:themeColor="text1"/>
          <w:highlight w:val="none"/>
          <w14:textFill>
            <w14:solidFill>
              <w14:schemeClr w14:val="tx1"/>
            </w14:solidFill>
          </w14:textFill>
        </w:rPr>
        <w:t>）电子交易平台应用或数据库出现错误，不能进行正常操作的；</w:t>
      </w:r>
    </w:p>
    <w:p w14:paraId="3967DFCA">
      <w:pPr>
        <w:spacing w:line="360" w:lineRule="auto"/>
        <w:ind w:firstLine="420" w:firstLineChars="200"/>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w:t>
      </w:r>
      <w:r>
        <w:rPr>
          <w:rFonts w:ascii="宋体" w:hAnsi="宋体" w:cs="宋体"/>
          <w:color w:val="000000" w:themeColor="text1"/>
          <w:highlight w:val="none"/>
          <w14:textFill>
            <w14:solidFill>
              <w14:schemeClr w14:val="tx1"/>
            </w14:solidFill>
          </w14:textFill>
        </w:rPr>
        <w:t>3</w:t>
      </w:r>
      <w:r>
        <w:rPr>
          <w:rFonts w:hint="eastAsia" w:ascii="宋体" w:hAnsi="宋体" w:cs="宋体"/>
          <w:color w:val="000000" w:themeColor="text1"/>
          <w:highlight w:val="none"/>
          <w14:textFill>
            <w14:solidFill>
              <w14:schemeClr w14:val="tx1"/>
            </w14:solidFill>
          </w14:textFill>
        </w:rPr>
        <w:t>）电子交易平台发现严重安全漏洞，有潜在泄密危险的；</w:t>
      </w:r>
    </w:p>
    <w:p w14:paraId="74D48AD0">
      <w:pPr>
        <w:spacing w:line="360" w:lineRule="auto"/>
        <w:ind w:firstLine="420" w:firstLineChars="200"/>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w:t>
      </w:r>
      <w:r>
        <w:rPr>
          <w:rFonts w:ascii="宋体" w:hAnsi="宋体" w:cs="宋体"/>
          <w:color w:val="000000" w:themeColor="text1"/>
          <w:highlight w:val="none"/>
          <w14:textFill>
            <w14:solidFill>
              <w14:schemeClr w14:val="tx1"/>
            </w14:solidFill>
          </w14:textFill>
        </w:rPr>
        <w:t>4</w:t>
      </w:r>
      <w:r>
        <w:rPr>
          <w:rFonts w:hint="eastAsia" w:ascii="宋体" w:hAnsi="宋体" w:cs="宋体"/>
          <w:color w:val="000000" w:themeColor="text1"/>
          <w:highlight w:val="none"/>
          <w14:textFill>
            <w14:solidFill>
              <w14:schemeClr w14:val="tx1"/>
            </w14:solidFill>
          </w14:textFill>
        </w:rPr>
        <w:t>）病毒发作导致不能进行正常操作的；</w:t>
      </w:r>
      <w:r>
        <w:rPr>
          <w:rFonts w:ascii="宋体" w:hAnsi="宋体" w:cs="宋体"/>
          <w:color w:val="000000" w:themeColor="text1"/>
          <w:highlight w:val="none"/>
          <w14:textFill>
            <w14:solidFill>
              <w14:schemeClr w14:val="tx1"/>
            </w14:solidFill>
          </w14:textFill>
        </w:rPr>
        <w:t xml:space="preserve"> </w:t>
      </w:r>
    </w:p>
    <w:p w14:paraId="74CE39F6">
      <w:pPr>
        <w:spacing w:line="360" w:lineRule="auto"/>
        <w:ind w:firstLine="420" w:firstLineChars="200"/>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w:t>
      </w:r>
      <w:r>
        <w:rPr>
          <w:rFonts w:ascii="宋体" w:hAnsi="宋体" w:cs="宋体"/>
          <w:color w:val="000000" w:themeColor="text1"/>
          <w:highlight w:val="none"/>
          <w14:textFill>
            <w14:solidFill>
              <w14:schemeClr w14:val="tx1"/>
            </w14:solidFill>
          </w14:textFill>
        </w:rPr>
        <w:t>5</w:t>
      </w:r>
      <w:r>
        <w:rPr>
          <w:rFonts w:hint="eastAsia" w:ascii="宋体" w:hAnsi="宋体" w:cs="宋体"/>
          <w:color w:val="000000" w:themeColor="text1"/>
          <w:highlight w:val="none"/>
          <w14:textFill>
            <w14:solidFill>
              <w14:schemeClr w14:val="tx1"/>
            </w14:solidFill>
          </w14:textFill>
        </w:rPr>
        <w:t>）其他无法保证电子交易的公平、公正和安全的情况。</w:t>
      </w:r>
    </w:p>
    <w:p w14:paraId="4DBF718E">
      <w:pPr>
        <w:spacing w:line="360" w:lineRule="auto"/>
        <w:ind w:firstLine="420" w:firstLineChars="200"/>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26.3</w:t>
      </w:r>
      <w:r>
        <w:rPr>
          <w:rFonts w:hint="eastAsia" w:ascii="宋体" w:hAnsi="宋体" w:cs="宋体"/>
          <w:color w:val="000000" w:themeColor="text1"/>
          <w:highlight w:val="none"/>
          <w14:textFill>
            <w14:solidFill>
              <w14:schemeClr w14:val="tx1"/>
            </w14:solidFill>
          </w14:textFill>
        </w:rPr>
        <w:t>出现以上情形，不影响采购公平、公正性的，采购代理机构可以待上述情形消除后继续组织电子交易活动；影响或可能影响采购公平、公正性的，经采购代理机构确认后，应当重新采购。</w:t>
      </w:r>
    </w:p>
    <w:p w14:paraId="61767911">
      <w:pPr>
        <w:spacing w:line="360" w:lineRule="auto"/>
        <w:ind w:firstLine="482" w:firstLineChars="200"/>
        <w:rPr>
          <w:rFonts w:ascii="宋体"/>
          <w:b/>
          <w:bCs/>
          <w:color w:val="000000" w:themeColor="text1"/>
          <w:sz w:val="24"/>
          <w:szCs w:val="24"/>
          <w:highlight w:val="none"/>
          <w14:textFill>
            <w14:solidFill>
              <w14:schemeClr w14:val="tx1"/>
            </w14:solidFill>
          </w14:textFill>
        </w:rPr>
      </w:pPr>
      <w:r>
        <w:rPr>
          <w:rFonts w:ascii="宋体" w:hAnsi="宋体" w:cs="宋体"/>
          <w:b/>
          <w:bCs/>
          <w:color w:val="000000" w:themeColor="text1"/>
          <w:sz w:val="24"/>
          <w:szCs w:val="24"/>
          <w:highlight w:val="none"/>
          <w14:textFill>
            <w14:solidFill>
              <w14:schemeClr w14:val="tx1"/>
            </w14:solidFill>
          </w14:textFill>
        </w:rPr>
        <w:t>27.</w:t>
      </w:r>
      <w:r>
        <w:rPr>
          <w:rFonts w:hint="eastAsia" w:ascii="宋体" w:hAnsi="宋体" w:cs="宋体"/>
          <w:b/>
          <w:bCs/>
          <w:color w:val="000000" w:themeColor="text1"/>
          <w:sz w:val="24"/>
          <w:szCs w:val="24"/>
          <w:highlight w:val="none"/>
          <w14:textFill>
            <w14:solidFill>
              <w14:schemeClr w14:val="tx1"/>
            </w14:solidFill>
          </w14:textFill>
        </w:rPr>
        <w:t>确定成交供应商及结果公告</w:t>
      </w:r>
    </w:p>
    <w:p w14:paraId="36382F27">
      <w:pPr>
        <w:spacing w:line="360" w:lineRule="auto"/>
        <w:ind w:firstLine="420" w:firstLineChars="200"/>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27.1</w:t>
      </w:r>
      <w:r>
        <w:rPr>
          <w:rFonts w:hint="eastAsia" w:ascii="宋体" w:hAnsi="宋体" w:cs="宋体"/>
          <w:color w:val="000000" w:themeColor="text1"/>
          <w:highlight w:val="none"/>
          <w14:textFill>
            <w14:solidFill>
              <w14:schemeClr w14:val="tx1"/>
            </w14:solidFill>
          </w14:textFill>
        </w:rPr>
        <w:t>采购代理机构应当在评审结束后</w:t>
      </w:r>
      <w:r>
        <w:rPr>
          <w:rFonts w:ascii="宋体" w:hAnsi="宋体" w:cs="宋体"/>
          <w:color w:val="000000" w:themeColor="text1"/>
          <w:highlight w:val="none"/>
          <w14:textFill>
            <w14:solidFill>
              <w14:schemeClr w14:val="tx1"/>
            </w14:solidFill>
          </w14:textFill>
        </w:rPr>
        <w:t>2</w:t>
      </w:r>
      <w:r>
        <w:rPr>
          <w:rFonts w:hint="eastAsia" w:ascii="宋体" w:hAnsi="宋体" w:cs="宋体"/>
          <w:color w:val="000000" w:themeColor="text1"/>
          <w:highlight w:val="none"/>
          <w14:textFill>
            <w14:solidFill>
              <w14:schemeClr w14:val="tx1"/>
            </w14:solidFill>
          </w14:textFill>
        </w:rPr>
        <w:t>个工作日内将评审报告送采购人确认。采购人应当在收到评审报告后</w:t>
      </w:r>
      <w:r>
        <w:rPr>
          <w:rFonts w:ascii="宋体" w:hAnsi="宋体" w:cs="宋体"/>
          <w:color w:val="000000" w:themeColor="text1"/>
          <w:highlight w:val="none"/>
          <w14:textFill>
            <w14:solidFill>
              <w14:schemeClr w14:val="tx1"/>
            </w14:solidFill>
          </w14:textFill>
        </w:rPr>
        <w:t>5</w:t>
      </w:r>
      <w:r>
        <w:rPr>
          <w:rFonts w:hint="eastAsia" w:ascii="宋体" w:hAnsi="宋体" w:cs="宋体"/>
          <w:color w:val="000000" w:themeColor="text1"/>
          <w:highlight w:val="none"/>
          <w14:textFill>
            <w14:solidFill>
              <w14:schemeClr w14:val="tx1"/>
            </w14:solidFill>
          </w14:textFill>
        </w:rPr>
        <w:t>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7E6B8990">
      <w:pPr>
        <w:spacing w:line="360" w:lineRule="auto"/>
        <w:ind w:firstLine="420" w:firstLineChars="200"/>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27.2</w:t>
      </w:r>
      <w:r>
        <w:rPr>
          <w:rFonts w:hint="eastAsia" w:ascii="宋体" w:hAnsi="宋体" w:cs="宋体"/>
          <w:color w:val="000000" w:themeColor="text1"/>
          <w:highlight w:val="none"/>
          <w14:textFill>
            <w14:solidFill>
              <w14:schemeClr w14:val="tx1"/>
            </w14:solidFill>
          </w14:textFill>
        </w:rPr>
        <w:t>采购代理机构应当在</w:t>
      </w:r>
      <w:r>
        <w:rPr>
          <w:rFonts w:hint="eastAsia" w:ascii="宋体" w:hAnsi="宋体" w:cs="宋体"/>
          <w:color w:val="000000" w:themeColor="text1"/>
          <w:kern w:val="0"/>
          <w:highlight w:val="none"/>
          <w14:textFill>
            <w14:solidFill>
              <w14:schemeClr w14:val="tx1"/>
            </w14:solidFill>
          </w14:textFill>
        </w:rPr>
        <w:t>成交</w:t>
      </w:r>
      <w:r>
        <w:rPr>
          <w:rFonts w:hint="eastAsia" w:ascii="宋体" w:hAnsi="宋体" w:cs="宋体"/>
          <w:color w:val="000000" w:themeColor="text1"/>
          <w:highlight w:val="none"/>
          <w14:textFill>
            <w14:solidFill>
              <w14:schemeClr w14:val="tx1"/>
            </w14:solidFill>
          </w14:textFill>
        </w:rPr>
        <w:t>供应商确定后</w:t>
      </w:r>
      <w:r>
        <w:rPr>
          <w:rFonts w:ascii="宋体" w:hAnsi="宋体" w:cs="宋体"/>
          <w:color w:val="000000" w:themeColor="text1"/>
          <w:highlight w:val="none"/>
          <w14:textFill>
            <w14:solidFill>
              <w14:schemeClr w14:val="tx1"/>
            </w14:solidFill>
          </w14:textFill>
        </w:rPr>
        <w:t>2</w:t>
      </w:r>
      <w:r>
        <w:rPr>
          <w:rFonts w:hint="eastAsia" w:ascii="宋体" w:hAnsi="宋体" w:cs="宋体"/>
          <w:color w:val="000000" w:themeColor="text1"/>
          <w:highlight w:val="none"/>
          <w14:textFill>
            <w14:solidFill>
              <w14:schemeClr w14:val="tx1"/>
            </w14:solidFill>
          </w14:textFill>
        </w:rPr>
        <w:t>个工作日内，在省级以上财政部门指定的媒体上公告成交结果，同时向成交供应商发出成交通知书。</w:t>
      </w:r>
      <w:r>
        <w:rPr>
          <w:rFonts w:hint="eastAsia" w:ascii="宋体" w:hAnsi="宋体" w:cs="宋体"/>
          <w:b/>
          <w:bCs/>
          <w:color w:val="000000" w:themeColor="text1"/>
          <w:highlight w:val="none"/>
          <w14:textFill>
            <w14:solidFill>
              <w14:schemeClr w14:val="tx1"/>
            </w14:solidFill>
          </w14:textFill>
        </w:rPr>
        <w:t>采购人或者采购代理机构发出成交通知书前，应当对成交供应商信用进行查询，对列入失信被执行人、重大税收违法失信主体、政府采购严重违法失信行为记录名单及其他不符合《中华人民共和国政府采购法》第二十二条规定条件的供应商，取消其成交资格，并确定排名第二的成交候选人为成交供应商。</w:t>
      </w:r>
      <w:r>
        <w:rPr>
          <w:rFonts w:hint="eastAsia" w:ascii="宋体" w:hAnsi="宋体" w:cs="宋体"/>
          <w:color w:val="000000" w:themeColor="text1"/>
          <w:highlight w:val="none"/>
          <w14:textFill>
            <w14:solidFill>
              <w14:schemeClr w14:val="tx1"/>
            </w14:solidFill>
          </w14:textFill>
        </w:rPr>
        <w:t>排名第二的成交候选人因上述规定的同样原因被取消成交资格的，采购人可以确定排名第三的成交候选人为成交供应商，以此类推。以上信息查询记录及相关证据与磋商文件一并保存。</w:t>
      </w:r>
      <w:bookmarkStart w:id="33" w:name="_Hlk66782294"/>
      <w:r>
        <w:rPr>
          <w:rFonts w:hint="eastAsia" w:ascii="宋体" w:hAnsi="宋体" w:cs="宋体"/>
          <w:color w:val="000000" w:themeColor="text1"/>
          <w:highlight w:val="none"/>
          <w14:textFill>
            <w14:solidFill>
              <w14:schemeClr w14:val="tx1"/>
            </w14:solidFill>
          </w14:textFill>
        </w:rPr>
        <w:t>成交供应商享受《政府采购促进中小企业发展管理办法》（财库〔</w:t>
      </w:r>
      <w:r>
        <w:rPr>
          <w:rFonts w:ascii="宋体" w:hAnsi="宋体" w:cs="宋体"/>
          <w:color w:val="000000" w:themeColor="text1"/>
          <w:highlight w:val="none"/>
          <w14:textFill>
            <w14:solidFill>
              <w14:schemeClr w14:val="tx1"/>
            </w14:solidFill>
          </w14:textFill>
        </w:rPr>
        <w:t>2020</w:t>
      </w:r>
      <w:r>
        <w:rPr>
          <w:rFonts w:hint="eastAsia" w:ascii="宋体" w:hAnsi="宋体" w:cs="宋体"/>
          <w:color w:val="000000" w:themeColor="text1"/>
          <w:highlight w:val="none"/>
          <w14:textFill>
            <w14:solidFill>
              <w14:schemeClr w14:val="tx1"/>
            </w14:solidFill>
          </w14:textFill>
        </w:rPr>
        <w:t>〕</w:t>
      </w:r>
      <w:r>
        <w:rPr>
          <w:rFonts w:ascii="宋体" w:hAnsi="宋体" w:cs="宋体"/>
          <w:color w:val="000000" w:themeColor="text1"/>
          <w:highlight w:val="none"/>
          <w14:textFill>
            <w14:solidFill>
              <w14:schemeClr w14:val="tx1"/>
            </w14:solidFill>
          </w14:textFill>
        </w:rPr>
        <w:t>46</w:t>
      </w:r>
      <w:r>
        <w:rPr>
          <w:rFonts w:hint="eastAsia" w:ascii="宋体" w:hAnsi="宋体" w:cs="宋体"/>
          <w:color w:val="000000" w:themeColor="text1"/>
          <w:highlight w:val="none"/>
          <w14:textFill>
            <w14:solidFill>
              <w14:schemeClr w14:val="tx1"/>
            </w14:solidFill>
          </w14:textFill>
        </w:rPr>
        <w:t>号）规定的中小企业扶持政策的，采购人、采购代理机构应当随成交结果公开成交供应商的《中小企业声明函》。</w:t>
      </w:r>
      <w:bookmarkEnd w:id="33"/>
    </w:p>
    <w:p w14:paraId="0DD37F8D">
      <w:pPr>
        <w:spacing w:line="360" w:lineRule="auto"/>
        <w:ind w:firstLine="420" w:firstLineChars="200"/>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27.3</w:t>
      </w:r>
      <w:r>
        <w:rPr>
          <w:rFonts w:hint="eastAsia" w:ascii="宋体" w:hAnsi="宋体" w:cs="宋体"/>
          <w:color w:val="000000" w:themeColor="text1"/>
          <w:highlight w:val="none"/>
          <w14:textFill>
            <w14:solidFill>
              <w14:schemeClr w14:val="tx1"/>
            </w14:solidFill>
          </w14:textFill>
        </w:rPr>
        <w:t>成交供应商拒绝签订政府采购合同（包括但不限于放弃成交、因不可抗力不能履行合同而放弃签订合同），采购人可以按照评审报告推荐的成交候选人名单排序，确定下一候选人为成交供应商，也可以重新开展政府采购活动。拒绝签订政府采购合同的成交供应商不得参加对该项目重新开展的采购活动。</w:t>
      </w:r>
    </w:p>
    <w:p w14:paraId="59C27EB8">
      <w:pPr>
        <w:spacing w:line="360" w:lineRule="auto"/>
        <w:ind w:firstLine="482" w:firstLineChars="200"/>
        <w:rPr>
          <w:rFonts w:ascii="宋体"/>
          <w:b/>
          <w:bCs/>
          <w:color w:val="000000" w:themeColor="text1"/>
          <w:sz w:val="24"/>
          <w:szCs w:val="24"/>
          <w:highlight w:val="none"/>
          <w14:textFill>
            <w14:solidFill>
              <w14:schemeClr w14:val="tx1"/>
            </w14:solidFill>
          </w14:textFill>
        </w:rPr>
      </w:pPr>
      <w:r>
        <w:rPr>
          <w:rFonts w:ascii="宋体" w:hAnsi="宋体" w:cs="宋体"/>
          <w:b/>
          <w:bCs/>
          <w:color w:val="000000" w:themeColor="text1"/>
          <w:sz w:val="24"/>
          <w:szCs w:val="24"/>
          <w:highlight w:val="none"/>
          <w14:textFill>
            <w14:solidFill>
              <w14:schemeClr w14:val="tx1"/>
            </w14:solidFill>
          </w14:textFill>
        </w:rPr>
        <w:t>28.</w:t>
      </w:r>
      <w:r>
        <w:rPr>
          <w:rFonts w:hint="eastAsia" w:ascii="宋体" w:hAnsi="宋体" w:cs="宋体"/>
          <w:b/>
          <w:bCs/>
          <w:color w:val="000000" w:themeColor="text1"/>
          <w:sz w:val="24"/>
          <w:szCs w:val="24"/>
          <w:highlight w:val="none"/>
          <w14:textFill>
            <w14:solidFill>
              <w14:schemeClr w14:val="tx1"/>
            </w14:solidFill>
          </w14:textFill>
        </w:rPr>
        <w:t>履约保证金、质量保证金</w:t>
      </w:r>
    </w:p>
    <w:p w14:paraId="4A7CC01C">
      <w:pPr>
        <w:spacing w:line="360" w:lineRule="auto"/>
        <w:ind w:firstLine="424" w:firstLineChars="202"/>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28.1 </w:t>
      </w:r>
      <w:r>
        <w:rPr>
          <w:rFonts w:hint="eastAsia" w:ascii="宋体" w:hAnsi="宋体" w:cs="宋体"/>
          <w:color w:val="000000" w:themeColor="text1"/>
          <w:highlight w:val="none"/>
          <w14:textFill>
            <w14:solidFill>
              <w14:schemeClr w14:val="tx1"/>
            </w14:solidFill>
          </w14:textFill>
        </w:rPr>
        <w:t>履约保证金、质量保证金的金额的相关规定详见</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“供应商须知前附表”。成交供应商未按规定提交履约保证金的，视为拒绝与采购人签订合同。</w:t>
      </w:r>
    </w:p>
    <w:p w14:paraId="5A62A2F4">
      <w:pPr>
        <w:spacing w:line="360" w:lineRule="auto"/>
        <w:ind w:firstLine="424" w:firstLineChars="202"/>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28.2</w:t>
      </w:r>
      <w:r>
        <w:rPr>
          <w:rFonts w:hint="eastAsia" w:ascii="宋体" w:hAnsi="宋体" w:cs="宋体"/>
          <w:color w:val="000000" w:themeColor="text1"/>
          <w:highlight w:val="none"/>
          <w14:textFill>
            <w14:solidFill>
              <w14:schemeClr w14:val="tx1"/>
            </w14:solidFill>
          </w14:textFill>
        </w:rPr>
        <w:t>在履约保证金、质量保证金的退还日期前，若成交供应商的开户名称、开户银行、帐号有变动的，请以书面形式通知履约保证金收取单位，否则由此产生的后果由成交供应商自行承担。</w:t>
      </w:r>
    </w:p>
    <w:p w14:paraId="364E965C">
      <w:pPr>
        <w:spacing w:line="360" w:lineRule="auto"/>
        <w:ind w:firstLine="482" w:firstLineChars="200"/>
        <w:rPr>
          <w:rFonts w:ascii="宋体"/>
          <w:b/>
          <w:bCs/>
          <w:color w:val="000000" w:themeColor="text1"/>
          <w:sz w:val="24"/>
          <w:szCs w:val="24"/>
          <w:highlight w:val="none"/>
          <w14:textFill>
            <w14:solidFill>
              <w14:schemeClr w14:val="tx1"/>
            </w14:solidFill>
          </w14:textFill>
        </w:rPr>
      </w:pPr>
      <w:r>
        <w:rPr>
          <w:rFonts w:ascii="宋体" w:hAnsi="宋体" w:cs="宋体"/>
          <w:b/>
          <w:bCs/>
          <w:color w:val="000000" w:themeColor="text1"/>
          <w:sz w:val="24"/>
          <w:szCs w:val="24"/>
          <w:highlight w:val="none"/>
          <w14:textFill>
            <w14:solidFill>
              <w14:schemeClr w14:val="tx1"/>
            </w14:solidFill>
          </w14:textFill>
        </w:rPr>
        <w:t>29.</w:t>
      </w:r>
      <w:r>
        <w:rPr>
          <w:rFonts w:hint="eastAsia" w:ascii="宋体" w:hAnsi="宋体" w:cs="宋体"/>
          <w:b/>
          <w:bCs/>
          <w:color w:val="000000" w:themeColor="text1"/>
          <w:sz w:val="24"/>
          <w:szCs w:val="24"/>
          <w:highlight w:val="none"/>
          <w14:textFill>
            <w14:solidFill>
              <w14:schemeClr w14:val="tx1"/>
            </w14:solidFill>
          </w14:textFill>
        </w:rPr>
        <w:t>签订合同</w:t>
      </w:r>
    </w:p>
    <w:p w14:paraId="6A81C351">
      <w:pPr>
        <w:spacing w:line="360" w:lineRule="auto"/>
        <w:ind w:firstLine="424" w:firstLineChars="202"/>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29.1</w:t>
      </w:r>
      <w:r>
        <w:rPr>
          <w:rFonts w:hint="eastAsia" w:ascii="宋体" w:hAnsi="宋体" w:cs="宋体"/>
          <w:color w:val="000000" w:themeColor="text1"/>
          <w:highlight w:val="none"/>
          <w14:textFill>
            <w14:solidFill>
              <w14:schemeClr w14:val="tx1"/>
            </w14:solidFill>
          </w14:textFill>
        </w:rPr>
        <w:t>成交供应商在收到成交通知书（书面或电子）后，应当在签订合同时向采购人出示相关证明材料，具体内容详见</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“供应商须知前附表”，经采购人核验合格后方可签订合同（书面或电子）。如成交供应商为联合体的，联合体各方应当共同与采购人签订采购合同，就采购合同约定的事项对采购人承担连带责任。</w:t>
      </w:r>
    </w:p>
    <w:p w14:paraId="400EFB85">
      <w:pPr>
        <w:spacing w:line="360" w:lineRule="auto"/>
        <w:ind w:firstLine="424" w:firstLineChars="202"/>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29.2</w:t>
      </w:r>
      <w:r>
        <w:rPr>
          <w:rFonts w:hint="eastAsia" w:ascii="宋体" w:hAnsi="宋体" w:cs="宋体"/>
          <w:color w:val="000000" w:themeColor="text1"/>
          <w:highlight w:val="none"/>
          <w14:textFill>
            <w14:solidFill>
              <w14:schemeClr w14:val="tx1"/>
            </w14:solidFill>
          </w14:textFill>
        </w:rPr>
        <w:t>签订合同时间：按成交通知书规定的时间与采购人签订政府采购合同（最长不能超过</w:t>
      </w:r>
      <w:r>
        <w:rPr>
          <w:rFonts w:ascii="宋体" w:hAnsi="宋体" w:cs="宋体"/>
          <w:color w:val="000000" w:themeColor="text1"/>
          <w:highlight w:val="none"/>
          <w14:textFill>
            <w14:solidFill>
              <w14:schemeClr w14:val="tx1"/>
            </w14:solidFill>
          </w14:textFill>
        </w:rPr>
        <w:t>25</w:t>
      </w:r>
      <w:r>
        <w:rPr>
          <w:rFonts w:hint="eastAsia" w:ascii="宋体" w:hAnsi="宋体" w:cs="宋体"/>
          <w:color w:val="000000" w:themeColor="text1"/>
          <w:highlight w:val="none"/>
          <w14:textFill>
            <w14:solidFill>
              <w14:schemeClr w14:val="tx1"/>
            </w14:solidFill>
          </w14:textFill>
        </w:rPr>
        <w:t>日）。</w:t>
      </w:r>
    </w:p>
    <w:p w14:paraId="3AF525ED">
      <w:pPr>
        <w:spacing w:line="360" w:lineRule="auto"/>
        <w:ind w:firstLine="424" w:firstLineChars="202"/>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29.3</w:t>
      </w:r>
      <w:r>
        <w:rPr>
          <w:rFonts w:hint="eastAsia" w:ascii="宋体" w:hAnsi="宋体" w:cs="宋体"/>
          <w:color w:val="000000" w:themeColor="text1"/>
          <w:highlight w:val="none"/>
          <w14:textFill>
            <w14:solidFill>
              <w14:schemeClr w14:val="tx1"/>
            </w14:solidFill>
          </w14:textFill>
        </w:rPr>
        <w:t>成交供应商拒绝与采购人签订合同的，按照本须知正文第</w:t>
      </w:r>
      <w:r>
        <w:rPr>
          <w:rFonts w:ascii="宋体" w:hAnsi="宋体" w:cs="宋体"/>
          <w:color w:val="000000" w:themeColor="text1"/>
          <w:highlight w:val="none"/>
          <w14:textFill>
            <w14:solidFill>
              <w14:schemeClr w14:val="tx1"/>
            </w14:solidFill>
          </w14:textFill>
        </w:rPr>
        <w:t>27.3</w:t>
      </w:r>
      <w:r>
        <w:rPr>
          <w:rFonts w:hint="eastAsia" w:ascii="宋体" w:hAnsi="宋体" w:cs="宋体"/>
          <w:color w:val="000000" w:themeColor="text1"/>
          <w:highlight w:val="none"/>
          <w14:textFill>
            <w14:solidFill>
              <w14:schemeClr w14:val="tx1"/>
            </w14:solidFill>
          </w14:textFill>
        </w:rPr>
        <w:t>条的规定执行。</w:t>
      </w:r>
    </w:p>
    <w:p w14:paraId="2905E075">
      <w:pPr>
        <w:spacing w:line="360" w:lineRule="auto"/>
        <w:ind w:firstLine="482" w:firstLineChars="200"/>
        <w:rPr>
          <w:rFonts w:ascii="宋体"/>
          <w:b/>
          <w:bCs/>
          <w:color w:val="000000" w:themeColor="text1"/>
          <w:sz w:val="24"/>
          <w:szCs w:val="24"/>
          <w:highlight w:val="none"/>
          <w14:textFill>
            <w14:solidFill>
              <w14:schemeClr w14:val="tx1"/>
            </w14:solidFill>
          </w14:textFill>
        </w:rPr>
      </w:pPr>
      <w:r>
        <w:rPr>
          <w:rFonts w:ascii="宋体" w:hAnsi="宋体" w:cs="宋体"/>
          <w:b/>
          <w:bCs/>
          <w:color w:val="000000" w:themeColor="text1"/>
          <w:sz w:val="24"/>
          <w:szCs w:val="24"/>
          <w:highlight w:val="none"/>
          <w14:textFill>
            <w14:solidFill>
              <w14:schemeClr w14:val="tx1"/>
            </w14:solidFill>
          </w14:textFill>
        </w:rPr>
        <w:t>30.</w:t>
      </w:r>
      <w:r>
        <w:rPr>
          <w:rFonts w:hint="eastAsia" w:ascii="宋体" w:hAnsi="宋体" w:cs="宋体"/>
          <w:b/>
          <w:bCs/>
          <w:color w:val="000000" w:themeColor="text1"/>
          <w:sz w:val="24"/>
          <w:szCs w:val="24"/>
          <w:highlight w:val="none"/>
          <w14:textFill>
            <w14:solidFill>
              <w14:schemeClr w14:val="tx1"/>
            </w14:solidFill>
          </w14:textFill>
        </w:rPr>
        <w:t>政府采购合同公告</w:t>
      </w:r>
    </w:p>
    <w:p w14:paraId="5CE41A72">
      <w:pPr>
        <w:spacing w:line="360" w:lineRule="auto"/>
        <w:ind w:firstLine="420" w:firstLineChars="200"/>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根据《中华人民共和国政府采购法实施条例》第五十条规定，采购人应当自政府采购合同签订之日起</w:t>
      </w:r>
      <w:r>
        <w:rPr>
          <w:rFonts w:ascii="宋体" w:hAnsi="宋体" w:cs="宋体"/>
          <w:color w:val="000000" w:themeColor="text1"/>
          <w:highlight w:val="none"/>
          <w14:textFill>
            <w14:solidFill>
              <w14:schemeClr w14:val="tx1"/>
            </w14:solidFill>
          </w14:textFill>
        </w:rPr>
        <w:t>2</w:t>
      </w:r>
      <w:r>
        <w:rPr>
          <w:rFonts w:hint="eastAsia" w:ascii="宋体" w:hAnsi="宋体" w:cs="宋体"/>
          <w:color w:val="000000" w:themeColor="text1"/>
          <w:highlight w:val="none"/>
          <w14:textFill>
            <w14:solidFill>
              <w14:schemeClr w14:val="tx1"/>
            </w14:solidFill>
          </w14:textFill>
        </w:rPr>
        <w:t>个工作日内，将政府采购合同在省级以上人民政府财政部门指定的媒体上公告，但政府采购合同中涉及国家秘密、商业秘密的内容除外。</w:t>
      </w:r>
    </w:p>
    <w:p w14:paraId="0C78028F">
      <w:pPr>
        <w:spacing w:line="360" w:lineRule="auto"/>
        <w:ind w:firstLine="482" w:firstLineChars="200"/>
        <w:rPr>
          <w:rFonts w:ascii="宋体"/>
          <w:b/>
          <w:bCs/>
          <w:color w:val="000000" w:themeColor="text1"/>
          <w:sz w:val="24"/>
          <w:szCs w:val="24"/>
          <w:highlight w:val="none"/>
          <w14:textFill>
            <w14:solidFill>
              <w14:schemeClr w14:val="tx1"/>
            </w14:solidFill>
          </w14:textFill>
        </w:rPr>
      </w:pPr>
      <w:r>
        <w:rPr>
          <w:rFonts w:ascii="宋体" w:hAnsi="宋体" w:cs="宋体"/>
          <w:b/>
          <w:bCs/>
          <w:color w:val="000000" w:themeColor="text1"/>
          <w:sz w:val="24"/>
          <w:szCs w:val="24"/>
          <w:highlight w:val="none"/>
          <w14:textFill>
            <w14:solidFill>
              <w14:schemeClr w14:val="tx1"/>
            </w14:solidFill>
          </w14:textFill>
        </w:rPr>
        <w:t>31.</w:t>
      </w:r>
      <w:r>
        <w:rPr>
          <w:rFonts w:hint="eastAsia" w:ascii="宋体" w:hAnsi="宋体" w:cs="宋体"/>
          <w:b/>
          <w:bCs/>
          <w:color w:val="000000" w:themeColor="text1"/>
          <w:sz w:val="24"/>
          <w:szCs w:val="24"/>
          <w:highlight w:val="none"/>
          <w14:textFill>
            <w14:solidFill>
              <w14:schemeClr w14:val="tx1"/>
            </w14:solidFill>
          </w14:textFill>
        </w:rPr>
        <w:t>询问、质疑和投诉</w:t>
      </w:r>
    </w:p>
    <w:p w14:paraId="2846358D">
      <w:pPr>
        <w:pStyle w:val="8"/>
        <w:spacing w:line="360" w:lineRule="auto"/>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31.1</w:t>
      </w:r>
      <w:r>
        <w:rPr>
          <w:rFonts w:hint="eastAsia" w:ascii="宋体" w:hAnsi="宋体" w:cs="宋体"/>
          <w:color w:val="000000" w:themeColor="text1"/>
          <w:highlight w:val="none"/>
          <w14:textFill>
            <w14:solidFill>
              <w14:schemeClr w14:val="tx1"/>
            </w14:solidFill>
          </w14:textFill>
        </w:rPr>
        <w:t>供应商对政府采购活动事项有疑问的，可以向采购人、采购代理机构提出询问，采购人或者采购代理机构应当在</w:t>
      </w:r>
      <w:r>
        <w:rPr>
          <w:rFonts w:ascii="宋体" w:hAnsi="宋体" w:cs="宋体"/>
          <w:color w:val="000000" w:themeColor="text1"/>
          <w:highlight w:val="none"/>
          <w14:textFill>
            <w14:solidFill>
              <w14:schemeClr w14:val="tx1"/>
            </w14:solidFill>
          </w14:textFill>
        </w:rPr>
        <w:t>3</w:t>
      </w:r>
      <w:r>
        <w:rPr>
          <w:rFonts w:hint="eastAsia" w:ascii="宋体" w:hAnsi="宋体" w:cs="宋体"/>
          <w:color w:val="000000" w:themeColor="text1"/>
          <w:highlight w:val="none"/>
          <w14:textFill>
            <w14:solidFill>
              <w14:schemeClr w14:val="tx1"/>
            </w14:solidFill>
          </w14:textFill>
        </w:rPr>
        <w:t>个工作日内对供应商依法提出的询问作出答复，但答复的内容不得涉及商业秘密。</w:t>
      </w:r>
    </w:p>
    <w:p w14:paraId="00C275BC">
      <w:pPr>
        <w:spacing w:line="360" w:lineRule="auto"/>
        <w:ind w:firstLine="420" w:firstLineChars="200"/>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31.2</w:t>
      </w:r>
      <w:r>
        <w:rPr>
          <w:rFonts w:hint="eastAsia" w:ascii="宋体" w:hAnsi="宋体" w:cs="宋体"/>
          <w:color w:val="000000" w:themeColor="text1"/>
          <w:highlight w:val="none"/>
          <w14:textFill>
            <w14:solidFill>
              <w14:schemeClr w14:val="tx1"/>
            </w14:solidFill>
          </w14:textFill>
        </w:rPr>
        <w:t>供应商认为磋商文件、采购过程或者成交结果使自己的合法权益受到损害的，应当在知道或者应知其权益受到损害之日起</w:t>
      </w:r>
      <w:r>
        <w:rPr>
          <w:rFonts w:ascii="宋体" w:hAnsi="宋体" w:cs="宋体"/>
          <w:color w:val="000000" w:themeColor="text1"/>
          <w:highlight w:val="none"/>
          <w14:textFill>
            <w14:solidFill>
              <w14:schemeClr w14:val="tx1"/>
            </w14:solidFill>
          </w14:textFill>
        </w:rPr>
        <w:t>7</w:t>
      </w:r>
      <w:r>
        <w:rPr>
          <w:rFonts w:hint="eastAsia" w:ascii="宋体" w:hAnsi="宋体" w:cs="宋体"/>
          <w:color w:val="000000" w:themeColor="text1"/>
          <w:highlight w:val="none"/>
          <w14:textFill>
            <w14:solidFill>
              <w14:schemeClr w14:val="tx1"/>
            </w14:solidFill>
          </w14:textFill>
        </w:rPr>
        <w:t>个工作日内，以纸质书面形式向采购人、采购代理机构提出质疑，</w:t>
      </w:r>
      <w:r>
        <w:rPr>
          <w:rFonts w:hint="eastAsia" w:ascii="宋体" w:hAnsi="宋体" w:cs="宋体"/>
          <w:color w:val="000000" w:themeColor="text1"/>
          <w:highlight w:val="none"/>
          <w:shd w:val="clear" w:color="auto" w:fill="FFFFFF"/>
          <w14:textFill>
            <w14:solidFill>
              <w14:schemeClr w14:val="tx1"/>
            </w14:solidFill>
          </w14:textFill>
        </w:rPr>
        <w:t>接收质疑函的方式、联系部门、联系电话和通讯地址等信息详见</w:t>
      </w:r>
      <w:r>
        <w:rPr>
          <w:rFonts w:hint="eastAsia" w:ascii="宋体" w:hAnsi="宋体" w:cs="宋体"/>
          <w:color w:val="000000" w:themeColor="text1"/>
          <w:highlight w:val="none"/>
          <w14:textFill>
            <w14:solidFill>
              <w14:schemeClr w14:val="tx1"/>
            </w14:solidFill>
          </w14:textFill>
        </w:rPr>
        <w:t>“供应商须知前附表”。具体质疑起算时间如下：</w:t>
      </w:r>
    </w:p>
    <w:p w14:paraId="7F073080">
      <w:pPr>
        <w:spacing w:line="360" w:lineRule="auto"/>
        <w:ind w:firstLine="420" w:firstLineChars="200"/>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w:t>
      </w:r>
      <w:r>
        <w:rPr>
          <w:rFonts w:ascii="宋体" w:hAnsi="宋体" w:cs="宋体"/>
          <w:color w:val="000000" w:themeColor="text1"/>
          <w:highlight w:val="none"/>
          <w14:textFill>
            <w14:solidFill>
              <w14:schemeClr w14:val="tx1"/>
            </w14:solidFill>
          </w14:textFill>
        </w:rPr>
        <w:t>1</w:t>
      </w:r>
      <w:r>
        <w:rPr>
          <w:rFonts w:hint="eastAsia" w:ascii="宋体" w:hAnsi="宋体" w:cs="宋体"/>
          <w:color w:val="000000" w:themeColor="text1"/>
          <w:highlight w:val="none"/>
          <w14:textFill>
            <w14:solidFill>
              <w14:schemeClr w14:val="tx1"/>
            </w14:solidFill>
          </w14:textFill>
        </w:rPr>
        <w:t>）对可以质疑的磋商文件提出质疑的，为收到磋商文件之日或者竞争性磋商公告期限届满之日；</w:t>
      </w:r>
    </w:p>
    <w:p w14:paraId="5CC0B324">
      <w:pPr>
        <w:spacing w:line="360" w:lineRule="auto"/>
        <w:ind w:firstLine="420" w:firstLineChars="200"/>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w:t>
      </w:r>
      <w:r>
        <w:rPr>
          <w:rFonts w:ascii="宋体" w:hAnsi="宋体" w:cs="宋体"/>
          <w:color w:val="000000" w:themeColor="text1"/>
          <w:highlight w:val="none"/>
          <w14:textFill>
            <w14:solidFill>
              <w14:schemeClr w14:val="tx1"/>
            </w14:solidFill>
          </w14:textFill>
        </w:rPr>
        <w:t>2</w:t>
      </w:r>
      <w:r>
        <w:rPr>
          <w:rFonts w:hint="eastAsia" w:ascii="宋体" w:hAnsi="宋体" w:cs="宋体"/>
          <w:color w:val="000000" w:themeColor="text1"/>
          <w:highlight w:val="none"/>
          <w14:textFill>
            <w14:solidFill>
              <w14:schemeClr w14:val="tx1"/>
            </w14:solidFill>
          </w14:textFill>
        </w:rPr>
        <w:t>）对采购过程提出质疑的，为各采购程序环节结束之日；</w:t>
      </w:r>
    </w:p>
    <w:p w14:paraId="0CD76B7F">
      <w:pPr>
        <w:spacing w:line="360" w:lineRule="auto"/>
        <w:ind w:firstLine="420" w:firstLineChars="200"/>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w:t>
      </w:r>
      <w:r>
        <w:rPr>
          <w:rFonts w:ascii="宋体" w:hAnsi="宋体" w:cs="宋体"/>
          <w:color w:val="000000" w:themeColor="text1"/>
          <w:highlight w:val="none"/>
          <w14:textFill>
            <w14:solidFill>
              <w14:schemeClr w14:val="tx1"/>
            </w14:solidFill>
          </w14:textFill>
        </w:rPr>
        <w:t>3</w:t>
      </w:r>
      <w:r>
        <w:rPr>
          <w:rFonts w:hint="eastAsia" w:ascii="宋体" w:hAnsi="宋体" w:cs="宋体"/>
          <w:color w:val="000000" w:themeColor="text1"/>
          <w:highlight w:val="none"/>
          <w14:textFill>
            <w14:solidFill>
              <w14:schemeClr w14:val="tx1"/>
            </w14:solidFill>
          </w14:textFill>
        </w:rPr>
        <w:t>）对成交结果提出质疑的，为成交结果公告期限届满之日。</w:t>
      </w:r>
    </w:p>
    <w:p w14:paraId="3E64EA80">
      <w:pPr>
        <w:spacing w:line="360" w:lineRule="auto"/>
        <w:ind w:firstLine="420" w:firstLineChars="200"/>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31.3</w:t>
      </w:r>
      <w:r>
        <w:rPr>
          <w:rFonts w:hint="eastAsia" w:ascii="宋体" w:hAnsi="宋体" w:cs="宋体"/>
          <w:color w:val="000000" w:themeColor="text1"/>
          <w:highlight w:val="none"/>
          <w14:textFill>
            <w14:solidFill>
              <w14:schemeClr w14:val="tx1"/>
            </w14:solidFill>
          </w14:textFill>
        </w:rPr>
        <w:t>供应商提出的询问或者质疑超出采购人对采购代理机构委托授权范围的，采购代理机构应当告知供应商向采购人提出。政府采购评审专家应当配合采购人或者采购代理机构答复供应商的询问和质疑。</w:t>
      </w:r>
    </w:p>
    <w:p w14:paraId="0970DCE5">
      <w:pPr>
        <w:spacing w:line="360" w:lineRule="auto"/>
        <w:ind w:firstLine="420" w:firstLineChars="200"/>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31.4 </w:t>
      </w:r>
      <w:r>
        <w:rPr>
          <w:rFonts w:hint="eastAsia" w:ascii="宋体" w:hAnsi="宋体" w:cs="宋体"/>
          <w:color w:val="000000" w:themeColor="text1"/>
          <w:highlight w:val="none"/>
          <w14:textFill>
            <w14:solidFill>
              <w14:schemeClr w14:val="tx1"/>
            </w14:solidFill>
          </w14:textFill>
        </w:rPr>
        <w:t>供应商提出质疑应当提交质疑函和必要的证明材料，针对同一采购程序环节的质疑必须在法定质疑期内一次性提出。质疑函应当包括下列内容（质疑函格式后附）：</w:t>
      </w:r>
    </w:p>
    <w:p w14:paraId="55B879C8">
      <w:pPr>
        <w:spacing w:line="360" w:lineRule="auto"/>
        <w:ind w:firstLine="420" w:firstLineChars="200"/>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w:t>
      </w:r>
      <w:r>
        <w:rPr>
          <w:rFonts w:ascii="宋体" w:hAnsi="宋体" w:cs="宋体"/>
          <w:color w:val="000000" w:themeColor="text1"/>
          <w:highlight w:val="none"/>
          <w14:textFill>
            <w14:solidFill>
              <w14:schemeClr w14:val="tx1"/>
            </w14:solidFill>
          </w14:textFill>
        </w:rPr>
        <w:t>1</w:t>
      </w:r>
      <w:r>
        <w:rPr>
          <w:rFonts w:hint="eastAsia" w:ascii="宋体" w:hAnsi="宋体" w:cs="宋体"/>
          <w:color w:val="000000" w:themeColor="text1"/>
          <w:highlight w:val="none"/>
          <w14:textFill>
            <w14:solidFill>
              <w14:schemeClr w14:val="tx1"/>
            </w14:solidFill>
          </w14:textFill>
        </w:rPr>
        <w:t>）供应商的姓名或者名称、地址、邮编、联系人及联系电话；</w:t>
      </w:r>
    </w:p>
    <w:p w14:paraId="06841827">
      <w:pPr>
        <w:spacing w:line="360" w:lineRule="auto"/>
        <w:ind w:firstLine="420" w:firstLineChars="200"/>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w:t>
      </w:r>
      <w:r>
        <w:rPr>
          <w:rFonts w:ascii="宋体" w:hAnsi="宋体" w:cs="宋体"/>
          <w:color w:val="000000" w:themeColor="text1"/>
          <w:highlight w:val="none"/>
          <w14:textFill>
            <w14:solidFill>
              <w14:schemeClr w14:val="tx1"/>
            </w14:solidFill>
          </w14:textFill>
        </w:rPr>
        <w:t>2</w:t>
      </w:r>
      <w:r>
        <w:rPr>
          <w:rFonts w:hint="eastAsia" w:ascii="宋体" w:hAnsi="宋体" w:cs="宋体"/>
          <w:color w:val="000000" w:themeColor="text1"/>
          <w:highlight w:val="none"/>
          <w14:textFill>
            <w14:solidFill>
              <w14:schemeClr w14:val="tx1"/>
            </w14:solidFill>
          </w14:textFill>
        </w:rPr>
        <w:t>）质疑项目的名称、编号；</w:t>
      </w:r>
    </w:p>
    <w:p w14:paraId="3CDB6255">
      <w:pPr>
        <w:spacing w:line="360" w:lineRule="auto"/>
        <w:ind w:firstLine="420" w:firstLineChars="200"/>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w:t>
      </w:r>
      <w:r>
        <w:rPr>
          <w:rFonts w:ascii="宋体" w:hAnsi="宋体" w:cs="宋体"/>
          <w:color w:val="000000" w:themeColor="text1"/>
          <w:highlight w:val="none"/>
          <w14:textFill>
            <w14:solidFill>
              <w14:schemeClr w14:val="tx1"/>
            </w14:solidFill>
          </w14:textFill>
        </w:rPr>
        <w:t>3</w:t>
      </w:r>
      <w:r>
        <w:rPr>
          <w:rFonts w:hint="eastAsia" w:ascii="宋体" w:hAnsi="宋体" w:cs="宋体"/>
          <w:color w:val="000000" w:themeColor="text1"/>
          <w:highlight w:val="none"/>
          <w14:textFill>
            <w14:solidFill>
              <w14:schemeClr w14:val="tx1"/>
            </w14:solidFill>
          </w14:textFill>
        </w:rPr>
        <w:t>）具体、明确的质疑事项和与质疑事项相关的请求；</w:t>
      </w:r>
    </w:p>
    <w:p w14:paraId="6ED8F407">
      <w:pPr>
        <w:spacing w:line="360" w:lineRule="auto"/>
        <w:ind w:firstLine="420" w:firstLineChars="200"/>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w:t>
      </w:r>
      <w:r>
        <w:rPr>
          <w:rFonts w:ascii="宋体" w:hAnsi="宋体" w:cs="宋体"/>
          <w:color w:val="000000" w:themeColor="text1"/>
          <w:highlight w:val="none"/>
          <w14:textFill>
            <w14:solidFill>
              <w14:schemeClr w14:val="tx1"/>
            </w14:solidFill>
          </w14:textFill>
        </w:rPr>
        <w:t>4</w:t>
      </w:r>
      <w:r>
        <w:rPr>
          <w:rFonts w:hint="eastAsia" w:ascii="宋体" w:hAnsi="宋体" w:cs="宋体"/>
          <w:color w:val="000000" w:themeColor="text1"/>
          <w:highlight w:val="none"/>
          <w14:textFill>
            <w14:solidFill>
              <w14:schemeClr w14:val="tx1"/>
            </w14:solidFill>
          </w14:textFill>
        </w:rPr>
        <w:t>）事实依据；</w:t>
      </w:r>
    </w:p>
    <w:p w14:paraId="667DC1DC">
      <w:pPr>
        <w:spacing w:line="360" w:lineRule="auto"/>
        <w:ind w:firstLine="420" w:firstLineChars="200"/>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w:t>
      </w:r>
      <w:r>
        <w:rPr>
          <w:rFonts w:ascii="宋体" w:hAnsi="宋体" w:cs="宋体"/>
          <w:color w:val="000000" w:themeColor="text1"/>
          <w:highlight w:val="none"/>
          <w14:textFill>
            <w14:solidFill>
              <w14:schemeClr w14:val="tx1"/>
            </w14:solidFill>
          </w14:textFill>
        </w:rPr>
        <w:t>5</w:t>
      </w:r>
      <w:r>
        <w:rPr>
          <w:rFonts w:hint="eastAsia" w:ascii="宋体" w:hAnsi="宋体" w:cs="宋体"/>
          <w:color w:val="000000" w:themeColor="text1"/>
          <w:highlight w:val="none"/>
          <w14:textFill>
            <w14:solidFill>
              <w14:schemeClr w14:val="tx1"/>
            </w14:solidFill>
          </w14:textFill>
        </w:rPr>
        <w:t>）必要的法律依据；</w:t>
      </w:r>
    </w:p>
    <w:p w14:paraId="58F5E354">
      <w:pPr>
        <w:spacing w:line="360" w:lineRule="auto"/>
        <w:ind w:firstLine="420" w:firstLineChars="200"/>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w:t>
      </w:r>
      <w:r>
        <w:rPr>
          <w:rFonts w:ascii="宋体" w:hAnsi="宋体" w:cs="宋体"/>
          <w:color w:val="000000" w:themeColor="text1"/>
          <w:highlight w:val="none"/>
          <w14:textFill>
            <w14:solidFill>
              <w14:schemeClr w14:val="tx1"/>
            </w14:solidFill>
          </w14:textFill>
        </w:rPr>
        <w:t>6</w:t>
      </w:r>
      <w:r>
        <w:rPr>
          <w:rFonts w:hint="eastAsia" w:ascii="宋体" w:hAnsi="宋体" w:cs="宋体"/>
          <w:color w:val="000000" w:themeColor="text1"/>
          <w:highlight w:val="none"/>
          <w14:textFill>
            <w14:solidFill>
              <w14:schemeClr w14:val="tx1"/>
            </w14:solidFill>
          </w14:textFill>
        </w:rPr>
        <w:t>）提出质疑的日期。</w:t>
      </w:r>
    </w:p>
    <w:p w14:paraId="22C0C006">
      <w:pPr>
        <w:spacing w:line="360" w:lineRule="auto"/>
        <w:ind w:firstLine="420" w:firstLineChars="200"/>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供应商为自然人的，应当由本人签字；供应商为法人或者其他组织的，应当由法定代表人、主要负责人，或者其委托代理人签字或者盖章，并加盖公章。</w:t>
      </w:r>
    </w:p>
    <w:p w14:paraId="01FCBDF5">
      <w:pPr>
        <w:spacing w:line="360" w:lineRule="auto"/>
        <w:ind w:firstLine="420" w:firstLineChars="200"/>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31.5</w:t>
      </w:r>
      <w:r>
        <w:rPr>
          <w:rFonts w:hint="eastAsia" w:ascii="宋体" w:hAnsi="宋体" w:cs="宋体"/>
          <w:color w:val="000000" w:themeColor="text1"/>
          <w:highlight w:val="none"/>
          <w14:textFill>
            <w14:solidFill>
              <w14:schemeClr w14:val="tx1"/>
            </w14:solidFill>
          </w14:textFill>
        </w:rPr>
        <w:t>采购人、采购代理机构认为供应商质疑不成立，或者成立但未对成交结果构成影响的，继续开展采购活动；认为供应商质疑成立且影响或者可能影响成交结果的，按照下列情况处理：</w:t>
      </w:r>
    </w:p>
    <w:p w14:paraId="0B360C46">
      <w:pPr>
        <w:spacing w:line="360" w:lineRule="auto"/>
        <w:ind w:firstLine="420" w:firstLineChars="200"/>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w:t>
      </w:r>
      <w:r>
        <w:rPr>
          <w:rFonts w:ascii="宋体" w:hAnsi="宋体" w:cs="宋体"/>
          <w:color w:val="000000" w:themeColor="text1"/>
          <w:highlight w:val="none"/>
          <w14:textFill>
            <w14:solidFill>
              <w14:schemeClr w14:val="tx1"/>
            </w14:solidFill>
          </w14:textFill>
        </w:rPr>
        <w:t>1</w:t>
      </w:r>
      <w:r>
        <w:rPr>
          <w:rFonts w:hint="eastAsia" w:ascii="宋体" w:hAnsi="宋体" w:cs="宋体"/>
          <w:color w:val="000000" w:themeColor="text1"/>
          <w:highlight w:val="none"/>
          <w14:textFill>
            <w14:solidFill>
              <w14:schemeClr w14:val="tx1"/>
            </w14:solidFill>
          </w14:textFill>
        </w:rPr>
        <w:t>）对采购文件提出的质疑，依法通过澄清或者修改可以继续开展采购活动的，澄清或者修改采购文件后继续开展采购活动；否则应当修改采购文件后重新开展采购活动。</w:t>
      </w:r>
    </w:p>
    <w:p w14:paraId="12DC0530">
      <w:pPr>
        <w:spacing w:line="360" w:lineRule="auto"/>
        <w:ind w:firstLine="420" w:firstLineChars="200"/>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w:t>
      </w:r>
      <w:r>
        <w:rPr>
          <w:rFonts w:ascii="宋体" w:hAnsi="宋体" w:cs="宋体"/>
          <w:color w:val="000000" w:themeColor="text1"/>
          <w:highlight w:val="none"/>
          <w14:textFill>
            <w14:solidFill>
              <w14:schemeClr w14:val="tx1"/>
            </w14:solidFill>
          </w14:textFill>
        </w:rPr>
        <w:t>2</w:t>
      </w:r>
      <w:r>
        <w:rPr>
          <w:rFonts w:hint="eastAsia" w:ascii="宋体" w:hAnsi="宋体" w:cs="宋体"/>
          <w:color w:val="000000" w:themeColor="text1"/>
          <w:highlight w:val="none"/>
          <w14:textFill>
            <w14:solidFill>
              <w14:schemeClr w14:val="tx1"/>
            </w14:solidFill>
          </w14:textFill>
        </w:rPr>
        <w:t>）对采购过程或者成交结果提出的质疑，合格供应商符合法定数量时，可以从合格的成交候选人中另行确定成交供应商的，应当依法另行确定成交供应商；否则应当重新开展采购活动。</w:t>
      </w:r>
    </w:p>
    <w:p w14:paraId="1D0C6563">
      <w:pPr>
        <w:spacing w:line="360" w:lineRule="auto"/>
        <w:ind w:firstLine="420" w:firstLineChars="200"/>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质疑答复导致成交结果改变的，采购人或者采购代理机构应当将有关情况书面报告本级财政部门。</w:t>
      </w:r>
    </w:p>
    <w:p w14:paraId="3DAA7B5A">
      <w:pPr>
        <w:spacing w:line="360" w:lineRule="auto"/>
        <w:ind w:firstLine="420" w:firstLineChars="200"/>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31.6</w:t>
      </w:r>
      <w:r>
        <w:rPr>
          <w:rFonts w:hint="eastAsia" w:ascii="宋体" w:hAnsi="宋体" w:cs="宋体"/>
          <w:color w:val="000000" w:themeColor="text1"/>
          <w:highlight w:val="none"/>
          <w14:textFill>
            <w14:solidFill>
              <w14:schemeClr w14:val="tx1"/>
            </w14:solidFill>
          </w14:textFill>
        </w:rPr>
        <w:t>质疑供应商对采购人、采购代理机构的答复不满意，或者采购人、采购代理机构未在规定时间内作出答复的，可以在答复期满后</w:t>
      </w:r>
      <w:r>
        <w:rPr>
          <w:rFonts w:ascii="宋体" w:hAnsi="宋体" w:cs="宋体"/>
          <w:color w:val="000000" w:themeColor="text1"/>
          <w:highlight w:val="none"/>
          <w14:textFill>
            <w14:solidFill>
              <w14:schemeClr w14:val="tx1"/>
            </w14:solidFill>
          </w14:textFill>
        </w:rPr>
        <w:t>15</w:t>
      </w:r>
      <w:r>
        <w:rPr>
          <w:rFonts w:hint="eastAsia" w:ascii="宋体" w:hAnsi="宋体" w:cs="宋体"/>
          <w:color w:val="000000" w:themeColor="text1"/>
          <w:highlight w:val="none"/>
          <w14:textFill>
            <w14:solidFill>
              <w14:schemeClr w14:val="tx1"/>
            </w14:solidFill>
          </w14:textFill>
        </w:rPr>
        <w:t>个工作日内向《政府采购质疑和投诉办法》执行（投诉书格式后附）。</w:t>
      </w:r>
    </w:p>
    <w:p w14:paraId="1A96138B">
      <w:pPr>
        <w:spacing w:line="360" w:lineRule="auto"/>
        <w:ind w:firstLine="482" w:firstLineChars="200"/>
        <w:rPr>
          <w:rFonts w:ascii="宋体"/>
          <w:b/>
          <w:bCs/>
          <w:color w:val="000000" w:themeColor="text1"/>
          <w:sz w:val="24"/>
          <w:szCs w:val="24"/>
          <w:highlight w:val="none"/>
          <w14:textFill>
            <w14:solidFill>
              <w14:schemeClr w14:val="tx1"/>
            </w14:solidFill>
          </w14:textFill>
        </w:rPr>
      </w:pPr>
      <w:r>
        <w:rPr>
          <w:rFonts w:ascii="宋体" w:hAnsi="宋体" w:cs="宋体"/>
          <w:b/>
          <w:bCs/>
          <w:color w:val="000000" w:themeColor="text1"/>
          <w:sz w:val="24"/>
          <w:szCs w:val="24"/>
          <w:highlight w:val="none"/>
          <w14:textFill>
            <w14:solidFill>
              <w14:schemeClr w14:val="tx1"/>
            </w14:solidFill>
          </w14:textFill>
        </w:rPr>
        <w:t>32.</w:t>
      </w:r>
      <w:r>
        <w:rPr>
          <w:rFonts w:hint="eastAsia" w:ascii="宋体" w:hAnsi="宋体" w:cs="宋体"/>
          <w:b/>
          <w:bCs/>
          <w:color w:val="000000" w:themeColor="text1"/>
          <w:sz w:val="24"/>
          <w:szCs w:val="24"/>
          <w:highlight w:val="none"/>
          <w14:textFill>
            <w14:solidFill>
              <w14:schemeClr w14:val="tx1"/>
            </w14:solidFill>
          </w14:textFill>
        </w:rPr>
        <w:t>其他内容</w:t>
      </w:r>
    </w:p>
    <w:p w14:paraId="7E7F4E22">
      <w:pPr>
        <w:spacing w:line="360" w:lineRule="auto"/>
        <w:ind w:firstLine="420" w:firstLineChars="200"/>
        <w:rPr>
          <w:rFonts w:ascii="宋体"/>
          <w:color w:val="000000" w:themeColor="text1"/>
          <w:kern w:val="0"/>
          <w:highlight w:val="none"/>
          <w14:textFill>
            <w14:solidFill>
              <w14:schemeClr w14:val="tx1"/>
            </w14:solidFill>
          </w14:textFill>
        </w:rPr>
      </w:pPr>
      <w:r>
        <w:rPr>
          <w:rFonts w:ascii="宋体" w:hAnsi="宋体" w:cs="宋体"/>
          <w:color w:val="000000" w:themeColor="text1"/>
          <w:kern w:val="0"/>
          <w:highlight w:val="none"/>
          <w14:textFill>
            <w14:solidFill>
              <w14:schemeClr w14:val="tx1"/>
            </w14:solidFill>
          </w14:textFill>
        </w:rPr>
        <w:t>32.1</w:t>
      </w:r>
      <w:r>
        <w:rPr>
          <w:rFonts w:hint="eastAsia" w:ascii="宋体" w:hAnsi="宋体" w:cs="宋体"/>
          <w:color w:val="000000" w:themeColor="text1"/>
          <w:kern w:val="0"/>
          <w:highlight w:val="none"/>
          <w14:textFill>
            <w14:solidFill>
              <w14:schemeClr w14:val="tx1"/>
            </w14:solidFill>
          </w14:textFill>
        </w:rPr>
        <w:t>代理服务费：代理服务收取标准及缴费账户详见“供应商须知前附表”，供应商为联合体的，可以由联合体中的一方或者多方共同交纳代理服务费。</w:t>
      </w:r>
    </w:p>
    <w:p w14:paraId="6C6693E9">
      <w:pPr>
        <w:spacing w:line="360" w:lineRule="auto"/>
        <w:ind w:firstLine="420" w:firstLineChars="200"/>
        <w:rPr>
          <w:rFonts w:ascii="宋体" w:hAnsi="宋体" w:cs="宋体"/>
          <w:color w:val="000000" w:themeColor="text1"/>
          <w:kern w:val="0"/>
          <w:highlight w:val="none"/>
          <w14:textFill>
            <w14:solidFill>
              <w14:schemeClr w14:val="tx1"/>
            </w14:solidFill>
          </w14:textFill>
        </w:rPr>
      </w:pPr>
      <w:r>
        <w:rPr>
          <w:rFonts w:ascii="宋体" w:hAnsi="宋体" w:cs="宋体"/>
          <w:color w:val="000000" w:themeColor="text1"/>
          <w:kern w:val="0"/>
          <w:highlight w:val="none"/>
          <w14:textFill>
            <w14:solidFill>
              <w14:schemeClr w14:val="tx1"/>
            </w14:solidFill>
          </w14:textFill>
        </w:rPr>
        <w:t>32.2</w:t>
      </w:r>
      <w:r>
        <w:rPr>
          <w:rFonts w:hint="eastAsia" w:ascii="宋体" w:hAnsi="宋体" w:cs="宋体"/>
          <w:color w:val="000000" w:themeColor="text1"/>
          <w:kern w:val="0"/>
          <w:highlight w:val="none"/>
          <w14:textFill>
            <w14:solidFill>
              <w14:schemeClr w14:val="tx1"/>
            </w14:solidFill>
          </w14:textFill>
        </w:rPr>
        <w:t>代理服务费收费计算标准：</w:t>
      </w:r>
    </w:p>
    <w:tbl>
      <w:tblPr>
        <w:tblStyle w:val="5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72"/>
        <w:gridCol w:w="1659"/>
        <w:gridCol w:w="1532"/>
        <w:gridCol w:w="1546"/>
      </w:tblGrid>
      <w:tr w14:paraId="4D005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Borders>
              <w:tl2br w:val="single" w:color="auto" w:sz="4" w:space="0"/>
            </w:tcBorders>
          </w:tcPr>
          <w:p w14:paraId="59424E5A">
            <w:pPr>
              <w:spacing w:line="360" w:lineRule="auto"/>
              <w:ind w:firstLine="420" w:firstLineChars="200"/>
              <w:rPr>
                <w:rFonts w:ascii="宋体"/>
                <w:color w:val="000000" w:themeColor="text1"/>
                <w:kern w:val="0"/>
                <w:highlight w:val="none"/>
                <w14:textFill>
                  <w14:solidFill>
                    <w14:schemeClr w14:val="tx1"/>
                  </w14:solidFill>
                </w14:textFill>
              </w:rPr>
            </w:pPr>
            <w:r>
              <w:rPr>
                <w:rFonts w:ascii="宋体" w:hAnsi="宋体" w:cs="宋体"/>
                <w:color w:val="000000" w:themeColor="text1"/>
                <w:kern w:val="0"/>
                <w:highlight w:val="none"/>
                <w14:textFill>
                  <w14:solidFill>
                    <w14:schemeClr w14:val="tx1"/>
                  </w14:solidFill>
                </w14:textFill>
              </w:rPr>
              <w:t xml:space="preserve">               </w:t>
            </w:r>
            <w:r>
              <w:rPr>
                <w:rFonts w:hint="eastAsia" w:ascii="宋体" w:hAnsi="宋体" w:cs="宋体"/>
                <w:color w:val="000000" w:themeColor="text1"/>
                <w:kern w:val="0"/>
                <w:highlight w:val="none"/>
                <w14:textFill>
                  <w14:solidFill>
                    <w14:schemeClr w14:val="tx1"/>
                  </w14:solidFill>
                </w14:textFill>
              </w:rPr>
              <w:t>费率</w:t>
            </w:r>
          </w:p>
          <w:p w14:paraId="1E3BEA18">
            <w:pPr>
              <w:spacing w:line="360" w:lineRule="auto"/>
              <w:ind w:firstLine="420" w:firstLineChars="200"/>
              <w:rPr>
                <w:rFonts w:ascii="宋体"/>
                <w:color w:val="000000" w:themeColor="text1"/>
                <w:kern w:val="0"/>
                <w:highlight w:val="none"/>
                <w14:textFill>
                  <w14:solidFill>
                    <w14:schemeClr w14:val="tx1"/>
                  </w14:solidFill>
                </w14:textFill>
              </w:rPr>
            </w:pPr>
            <w:r>
              <w:rPr>
                <w:rFonts w:hint="eastAsia" w:ascii="宋体" w:hAnsi="宋体" w:cs="宋体"/>
                <w:color w:val="000000" w:themeColor="text1"/>
                <w:kern w:val="0"/>
                <w:highlight w:val="none"/>
                <w14:textFill>
                  <w14:solidFill>
                    <w14:schemeClr w14:val="tx1"/>
                  </w14:solidFill>
                </w14:textFill>
              </w:rPr>
              <w:t>金额</w:t>
            </w:r>
          </w:p>
        </w:tc>
        <w:tc>
          <w:tcPr>
            <w:tcW w:w="1659" w:type="dxa"/>
            <w:vAlign w:val="center"/>
          </w:tcPr>
          <w:p w14:paraId="17F97F05">
            <w:pPr>
              <w:spacing w:line="360" w:lineRule="auto"/>
              <w:ind w:firstLine="420" w:firstLineChars="200"/>
              <w:rPr>
                <w:rFonts w:ascii="宋体"/>
                <w:color w:val="000000" w:themeColor="text1"/>
                <w:kern w:val="0"/>
                <w:highlight w:val="none"/>
                <w14:textFill>
                  <w14:solidFill>
                    <w14:schemeClr w14:val="tx1"/>
                  </w14:solidFill>
                </w14:textFill>
              </w:rPr>
            </w:pPr>
            <w:r>
              <w:rPr>
                <w:rFonts w:hint="eastAsia" w:ascii="宋体" w:hAnsi="宋体" w:cs="宋体"/>
                <w:color w:val="000000" w:themeColor="text1"/>
                <w:kern w:val="0"/>
                <w:highlight w:val="none"/>
                <w14:textFill>
                  <w14:solidFill>
                    <w14:schemeClr w14:val="tx1"/>
                  </w14:solidFill>
                </w14:textFill>
              </w:rPr>
              <w:t>货物类</w:t>
            </w:r>
          </w:p>
        </w:tc>
        <w:tc>
          <w:tcPr>
            <w:tcW w:w="1532" w:type="dxa"/>
            <w:vAlign w:val="center"/>
          </w:tcPr>
          <w:p w14:paraId="063AC1C7">
            <w:pPr>
              <w:spacing w:line="360" w:lineRule="auto"/>
              <w:ind w:firstLine="420" w:firstLineChars="200"/>
              <w:rPr>
                <w:rFonts w:ascii="宋体"/>
                <w:color w:val="000000" w:themeColor="text1"/>
                <w:kern w:val="0"/>
                <w:highlight w:val="none"/>
                <w14:textFill>
                  <w14:solidFill>
                    <w14:schemeClr w14:val="tx1"/>
                  </w14:solidFill>
                </w14:textFill>
              </w:rPr>
            </w:pPr>
            <w:r>
              <w:rPr>
                <w:rFonts w:hint="eastAsia" w:ascii="宋体" w:hAnsi="宋体" w:cs="宋体"/>
                <w:color w:val="000000" w:themeColor="text1"/>
                <w:kern w:val="0"/>
                <w:highlight w:val="none"/>
                <w14:textFill>
                  <w14:solidFill>
                    <w14:schemeClr w14:val="tx1"/>
                  </w14:solidFill>
                </w14:textFill>
              </w:rPr>
              <w:t>服务类</w:t>
            </w:r>
          </w:p>
        </w:tc>
        <w:tc>
          <w:tcPr>
            <w:tcW w:w="1546" w:type="dxa"/>
            <w:vAlign w:val="center"/>
          </w:tcPr>
          <w:p w14:paraId="51926E88">
            <w:pPr>
              <w:spacing w:line="360" w:lineRule="auto"/>
              <w:ind w:firstLine="420" w:firstLineChars="200"/>
              <w:rPr>
                <w:rFonts w:ascii="宋体"/>
                <w:color w:val="000000" w:themeColor="text1"/>
                <w:kern w:val="0"/>
                <w:highlight w:val="none"/>
                <w14:textFill>
                  <w14:solidFill>
                    <w14:schemeClr w14:val="tx1"/>
                  </w14:solidFill>
                </w14:textFill>
              </w:rPr>
            </w:pPr>
            <w:r>
              <w:rPr>
                <w:rFonts w:hint="eastAsia" w:ascii="宋体" w:hAnsi="宋体" w:cs="宋体"/>
                <w:color w:val="000000" w:themeColor="text1"/>
                <w:kern w:val="0"/>
                <w:highlight w:val="none"/>
                <w14:textFill>
                  <w14:solidFill>
                    <w14:schemeClr w14:val="tx1"/>
                  </w14:solidFill>
                </w14:textFill>
              </w:rPr>
              <w:t>工程类</w:t>
            </w:r>
          </w:p>
        </w:tc>
      </w:tr>
      <w:tr w14:paraId="4184D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14:paraId="71987E19">
            <w:pPr>
              <w:spacing w:line="360" w:lineRule="auto"/>
              <w:ind w:firstLine="420" w:firstLineChars="200"/>
              <w:rPr>
                <w:rFonts w:ascii="宋体"/>
                <w:color w:val="000000" w:themeColor="text1"/>
                <w:kern w:val="0"/>
                <w:highlight w:val="none"/>
                <w14:textFill>
                  <w14:solidFill>
                    <w14:schemeClr w14:val="tx1"/>
                  </w14:solidFill>
                </w14:textFill>
              </w:rPr>
            </w:pPr>
            <w:r>
              <w:rPr>
                <w:rFonts w:ascii="宋体" w:hAnsi="宋体" w:cs="宋体"/>
                <w:color w:val="000000" w:themeColor="text1"/>
                <w:kern w:val="0"/>
                <w:highlight w:val="none"/>
                <w14:textFill>
                  <w14:solidFill>
                    <w14:schemeClr w14:val="tx1"/>
                  </w14:solidFill>
                </w14:textFill>
              </w:rPr>
              <w:t>100</w:t>
            </w:r>
            <w:r>
              <w:rPr>
                <w:rFonts w:hint="eastAsia" w:ascii="宋体" w:hAnsi="宋体" w:cs="宋体"/>
                <w:color w:val="000000" w:themeColor="text1"/>
                <w:kern w:val="0"/>
                <w:highlight w:val="none"/>
                <w14:textFill>
                  <w14:solidFill>
                    <w14:schemeClr w14:val="tx1"/>
                  </w14:solidFill>
                </w14:textFill>
              </w:rPr>
              <w:t>万元以下</w:t>
            </w:r>
          </w:p>
        </w:tc>
        <w:tc>
          <w:tcPr>
            <w:tcW w:w="1659" w:type="dxa"/>
          </w:tcPr>
          <w:p w14:paraId="6C8FA5D8">
            <w:pPr>
              <w:spacing w:line="360" w:lineRule="auto"/>
              <w:ind w:firstLine="420" w:firstLineChars="200"/>
              <w:rPr>
                <w:rFonts w:ascii="宋体"/>
                <w:color w:val="000000" w:themeColor="text1"/>
                <w:kern w:val="0"/>
                <w:highlight w:val="none"/>
                <w14:textFill>
                  <w14:solidFill>
                    <w14:schemeClr w14:val="tx1"/>
                  </w14:solidFill>
                </w14:textFill>
              </w:rPr>
            </w:pPr>
            <w:r>
              <w:rPr>
                <w:rFonts w:ascii="宋体" w:hAnsi="宋体" w:cs="宋体"/>
                <w:color w:val="000000" w:themeColor="text1"/>
                <w:kern w:val="0"/>
                <w:highlight w:val="none"/>
                <w14:textFill>
                  <w14:solidFill>
                    <w14:schemeClr w14:val="tx1"/>
                  </w14:solidFill>
                </w14:textFill>
              </w:rPr>
              <w:t xml:space="preserve">1.5%                </w:t>
            </w:r>
          </w:p>
        </w:tc>
        <w:tc>
          <w:tcPr>
            <w:tcW w:w="1532" w:type="dxa"/>
          </w:tcPr>
          <w:p w14:paraId="5EFACA1F">
            <w:pPr>
              <w:spacing w:line="360" w:lineRule="auto"/>
              <w:ind w:firstLine="420" w:firstLineChars="200"/>
              <w:rPr>
                <w:rFonts w:ascii="宋体"/>
                <w:color w:val="000000" w:themeColor="text1"/>
                <w:kern w:val="0"/>
                <w:highlight w:val="none"/>
                <w14:textFill>
                  <w14:solidFill>
                    <w14:schemeClr w14:val="tx1"/>
                  </w14:solidFill>
                </w14:textFill>
              </w:rPr>
            </w:pPr>
            <w:r>
              <w:rPr>
                <w:rFonts w:ascii="宋体" w:hAnsi="宋体" w:cs="宋体"/>
                <w:color w:val="000000" w:themeColor="text1"/>
                <w:kern w:val="0"/>
                <w:highlight w:val="none"/>
                <w14:textFill>
                  <w14:solidFill>
                    <w14:schemeClr w14:val="tx1"/>
                  </w14:solidFill>
                </w14:textFill>
              </w:rPr>
              <w:t>1.5%</w:t>
            </w:r>
          </w:p>
        </w:tc>
        <w:tc>
          <w:tcPr>
            <w:tcW w:w="1546" w:type="dxa"/>
          </w:tcPr>
          <w:p w14:paraId="737EA404">
            <w:pPr>
              <w:spacing w:line="360" w:lineRule="auto"/>
              <w:ind w:firstLine="420" w:firstLineChars="200"/>
              <w:rPr>
                <w:rFonts w:ascii="宋体"/>
                <w:color w:val="000000" w:themeColor="text1"/>
                <w:kern w:val="0"/>
                <w:highlight w:val="none"/>
                <w14:textFill>
                  <w14:solidFill>
                    <w14:schemeClr w14:val="tx1"/>
                  </w14:solidFill>
                </w14:textFill>
              </w:rPr>
            </w:pPr>
            <w:r>
              <w:rPr>
                <w:rFonts w:ascii="宋体" w:hAnsi="宋体" w:cs="宋体"/>
                <w:color w:val="000000" w:themeColor="text1"/>
                <w:kern w:val="0"/>
                <w:highlight w:val="none"/>
                <w14:textFill>
                  <w14:solidFill>
                    <w14:schemeClr w14:val="tx1"/>
                  </w14:solidFill>
                </w14:textFill>
              </w:rPr>
              <w:t xml:space="preserve">1.0% </w:t>
            </w:r>
          </w:p>
        </w:tc>
      </w:tr>
      <w:tr w14:paraId="702D6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14:paraId="4956F7BF">
            <w:pPr>
              <w:spacing w:line="360" w:lineRule="auto"/>
              <w:ind w:firstLine="420" w:firstLineChars="200"/>
              <w:rPr>
                <w:rFonts w:ascii="宋体"/>
                <w:color w:val="000000" w:themeColor="text1"/>
                <w:kern w:val="0"/>
                <w:highlight w:val="none"/>
                <w14:textFill>
                  <w14:solidFill>
                    <w14:schemeClr w14:val="tx1"/>
                  </w14:solidFill>
                </w14:textFill>
              </w:rPr>
            </w:pPr>
            <w:r>
              <w:rPr>
                <w:rFonts w:ascii="宋体" w:hAnsi="宋体" w:cs="宋体"/>
                <w:color w:val="000000" w:themeColor="text1"/>
                <w:kern w:val="0"/>
                <w:highlight w:val="none"/>
                <w14:textFill>
                  <w14:solidFill>
                    <w14:schemeClr w14:val="tx1"/>
                  </w14:solidFill>
                </w14:textFill>
              </w:rPr>
              <w:t>100</w:t>
            </w:r>
            <w:r>
              <w:rPr>
                <w:rFonts w:hint="eastAsia" w:ascii="宋体" w:hAnsi="宋体" w:cs="宋体"/>
                <w:color w:val="000000" w:themeColor="text1"/>
                <w:kern w:val="0"/>
                <w:highlight w:val="none"/>
                <w14:textFill>
                  <w14:solidFill>
                    <w14:schemeClr w14:val="tx1"/>
                  </w14:solidFill>
                </w14:textFill>
              </w:rPr>
              <w:t>～</w:t>
            </w:r>
            <w:r>
              <w:rPr>
                <w:rFonts w:ascii="宋体" w:hAnsi="宋体" w:cs="宋体"/>
                <w:color w:val="000000" w:themeColor="text1"/>
                <w:kern w:val="0"/>
                <w:highlight w:val="none"/>
                <w14:textFill>
                  <w14:solidFill>
                    <w14:schemeClr w14:val="tx1"/>
                  </w14:solidFill>
                </w14:textFill>
              </w:rPr>
              <w:t>500</w:t>
            </w:r>
            <w:r>
              <w:rPr>
                <w:rFonts w:hint="eastAsia" w:ascii="宋体" w:hAnsi="宋体" w:cs="宋体"/>
                <w:color w:val="000000" w:themeColor="text1"/>
                <w:kern w:val="0"/>
                <w:highlight w:val="none"/>
                <w14:textFill>
                  <w14:solidFill>
                    <w14:schemeClr w14:val="tx1"/>
                  </w14:solidFill>
                </w14:textFill>
              </w:rPr>
              <w:t>万元</w:t>
            </w:r>
          </w:p>
        </w:tc>
        <w:tc>
          <w:tcPr>
            <w:tcW w:w="1659" w:type="dxa"/>
          </w:tcPr>
          <w:p w14:paraId="35126822">
            <w:pPr>
              <w:spacing w:line="360" w:lineRule="auto"/>
              <w:ind w:firstLine="420" w:firstLineChars="200"/>
              <w:rPr>
                <w:rFonts w:ascii="宋体"/>
                <w:color w:val="000000" w:themeColor="text1"/>
                <w:kern w:val="0"/>
                <w:highlight w:val="none"/>
                <w14:textFill>
                  <w14:solidFill>
                    <w14:schemeClr w14:val="tx1"/>
                  </w14:solidFill>
                </w14:textFill>
              </w:rPr>
            </w:pPr>
            <w:r>
              <w:rPr>
                <w:rFonts w:ascii="宋体" w:hAnsi="宋体" w:cs="宋体"/>
                <w:color w:val="000000" w:themeColor="text1"/>
                <w:kern w:val="0"/>
                <w:highlight w:val="none"/>
                <w14:textFill>
                  <w14:solidFill>
                    <w14:schemeClr w14:val="tx1"/>
                  </w14:solidFill>
                </w14:textFill>
              </w:rPr>
              <w:t xml:space="preserve">1.1%                 </w:t>
            </w:r>
          </w:p>
        </w:tc>
        <w:tc>
          <w:tcPr>
            <w:tcW w:w="1532" w:type="dxa"/>
          </w:tcPr>
          <w:p w14:paraId="39CCCB6A">
            <w:pPr>
              <w:spacing w:line="360" w:lineRule="auto"/>
              <w:ind w:firstLine="420" w:firstLineChars="200"/>
              <w:rPr>
                <w:rFonts w:ascii="宋体"/>
                <w:color w:val="000000" w:themeColor="text1"/>
                <w:kern w:val="0"/>
                <w:highlight w:val="none"/>
                <w14:textFill>
                  <w14:solidFill>
                    <w14:schemeClr w14:val="tx1"/>
                  </w14:solidFill>
                </w14:textFill>
              </w:rPr>
            </w:pPr>
            <w:r>
              <w:rPr>
                <w:rFonts w:ascii="宋体" w:hAnsi="宋体" w:cs="宋体"/>
                <w:color w:val="000000" w:themeColor="text1"/>
                <w:kern w:val="0"/>
                <w:highlight w:val="none"/>
                <w14:textFill>
                  <w14:solidFill>
                    <w14:schemeClr w14:val="tx1"/>
                  </w14:solidFill>
                </w14:textFill>
              </w:rPr>
              <w:t>0.8%</w:t>
            </w:r>
          </w:p>
        </w:tc>
        <w:tc>
          <w:tcPr>
            <w:tcW w:w="1546" w:type="dxa"/>
          </w:tcPr>
          <w:p w14:paraId="1D9E441F">
            <w:pPr>
              <w:spacing w:line="360" w:lineRule="auto"/>
              <w:ind w:firstLine="420" w:firstLineChars="200"/>
              <w:rPr>
                <w:rFonts w:ascii="宋体"/>
                <w:color w:val="000000" w:themeColor="text1"/>
                <w:kern w:val="0"/>
                <w:highlight w:val="none"/>
                <w14:textFill>
                  <w14:solidFill>
                    <w14:schemeClr w14:val="tx1"/>
                  </w14:solidFill>
                </w14:textFill>
              </w:rPr>
            </w:pPr>
            <w:r>
              <w:rPr>
                <w:rFonts w:ascii="宋体" w:hAnsi="宋体" w:cs="宋体"/>
                <w:color w:val="000000" w:themeColor="text1"/>
                <w:kern w:val="0"/>
                <w:highlight w:val="none"/>
                <w14:textFill>
                  <w14:solidFill>
                    <w14:schemeClr w14:val="tx1"/>
                  </w14:solidFill>
                </w14:textFill>
              </w:rPr>
              <w:t xml:space="preserve">0.7% </w:t>
            </w:r>
          </w:p>
        </w:tc>
      </w:tr>
      <w:tr w14:paraId="31F34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14:paraId="2EBC0904">
            <w:pPr>
              <w:spacing w:line="360" w:lineRule="auto"/>
              <w:ind w:firstLine="420" w:firstLineChars="200"/>
              <w:rPr>
                <w:rFonts w:ascii="宋体"/>
                <w:color w:val="000000" w:themeColor="text1"/>
                <w:kern w:val="0"/>
                <w:highlight w:val="none"/>
                <w14:textFill>
                  <w14:solidFill>
                    <w14:schemeClr w14:val="tx1"/>
                  </w14:solidFill>
                </w14:textFill>
              </w:rPr>
            </w:pPr>
            <w:r>
              <w:rPr>
                <w:rFonts w:ascii="宋体" w:hAnsi="宋体" w:cs="宋体"/>
                <w:color w:val="000000" w:themeColor="text1"/>
                <w:kern w:val="0"/>
                <w:highlight w:val="none"/>
                <w14:textFill>
                  <w14:solidFill>
                    <w14:schemeClr w14:val="tx1"/>
                  </w14:solidFill>
                </w14:textFill>
              </w:rPr>
              <w:t>500</w:t>
            </w:r>
            <w:r>
              <w:rPr>
                <w:rFonts w:hint="eastAsia" w:ascii="宋体" w:hAnsi="宋体" w:cs="宋体"/>
                <w:color w:val="000000" w:themeColor="text1"/>
                <w:kern w:val="0"/>
                <w:highlight w:val="none"/>
                <w14:textFill>
                  <w14:solidFill>
                    <w14:schemeClr w14:val="tx1"/>
                  </w14:solidFill>
                </w14:textFill>
              </w:rPr>
              <w:t>～</w:t>
            </w:r>
            <w:r>
              <w:rPr>
                <w:rFonts w:ascii="宋体" w:hAnsi="宋体" w:cs="宋体"/>
                <w:color w:val="000000" w:themeColor="text1"/>
                <w:kern w:val="0"/>
                <w:highlight w:val="none"/>
                <w14:textFill>
                  <w14:solidFill>
                    <w14:schemeClr w14:val="tx1"/>
                  </w14:solidFill>
                </w14:textFill>
              </w:rPr>
              <w:t>1000</w:t>
            </w:r>
            <w:r>
              <w:rPr>
                <w:rFonts w:hint="eastAsia" w:ascii="宋体" w:hAnsi="宋体" w:cs="宋体"/>
                <w:color w:val="000000" w:themeColor="text1"/>
                <w:kern w:val="0"/>
                <w:highlight w:val="none"/>
                <w14:textFill>
                  <w14:solidFill>
                    <w14:schemeClr w14:val="tx1"/>
                  </w14:solidFill>
                </w14:textFill>
              </w:rPr>
              <w:t>万元</w:t>
            </w:r>
          </w:p>
        </w:tc>
        <w:tc>
          <w:tcPr>
            <w:tcW w:w="1659" w:type="dxa"/>
          </w:tcPr>
          <w:p w14:paraId="6D6F89BA">
            <w:pPr>
              <w:spacing w:line="360" w:lineRule="auto"/>
              <w:ind w:firstLine="420" w:firstLineChars="200"/>
              <w:rPr>
                <w:rFonts w:ascii="宋体"/>
                <w:color w:val="000000" w:themeColor="text1"/>
                <w:kern w:val="0"/>
                <w:highlight w:val="none"/>
                <w14:textFill>
                  <w14:solidFill>
                    <w14:schemeClr w14:val="tx1"/>
                  </w14:solidFill>
                </w14:textFill>
              </w:rPr>
            </w:pPr>
            <w:r>
              <w:rPr>
                <w:rFonts w:ascii="宋体" w:hAnsi="宋体" w:cs="宋体"/>
                <w:color w:val="000000" w:themeColor="text1"/>
                <w:kern w:val="0"/>
                <w:highlight w:val="none"/>
                <w14:textFill>
                  <w14:solidFill>
                    <w14:schemeClr w14:val="tx1"/>
                  </w14:solidFill>
                </w14:textFill>
              </w:rPr>
              <w:t xml:space="preserve">0.8%                </w:t>
            </w:r>
          </w:p>
        </w:tc>
        <w:tc>
          <w:tcPr>
            <w:tcW w:w="1532" w:type="dxa"/>
          </w:tcPr>
          <w:p w14:paraId="1FC5ADD5">
            <w:pPr>
              <w:spacing w:line="360" w:lineRule="auto"/>
              <w:ind w:firstLine="420" w:firstLineChars="200"/>
              <w:rPr>
                <w:rFonts w:ascii="宋体"/>
                <w:color w:val="000000" w:themeColor="text1"/>
                <w:kern w:val="0"/>
                <w:highlight w:val="none"/>
                <w14:textFill>
                  <w14:solidFill>
                    <w14:schemeClr w14:val="tx1"/>
                  </w14:solidFill>
                </w14:textFill>
              </w:rPr>
            </w:pPr>
            <w:r>
              <w:rPr>
                <w:rFonts w:ascii="宋体" w:hAnsi="宋体" w:cs="宋体"/>
                <w:color w:val="000000" w:themeColor="text1"/>
                <w:kern w:val="0"/>
                <w:highlight w:val="none"/>
                <w14:textFill>
                  <w14:solidFill>
                    <w14:schemeClr w14:val="tx1"/>
                  </w14:solidFill>
                </w14:textFill>
              </w:rPr>
              <w:t>0.45%</w:t>
            </w:r>
          </w:p>
        </w:tc>
        <w:tc>
          <w:tcPr>
            <w:tcW w:w="1546" w:type="dxa"/>
          </w:tcPr>
          <w:p w14:paraId="77E7684C">
            <w:pPr>
              <w:spacing w:line="360" w:lineRule="auto"/>
              <w:ind w:firstLine="420" w:firstLineChars="200"/>
              <w:rPr>
                <w:rFonts w:ascii="宋体"/>
                <w:color w:val="000000" w:themeColor="text1"/>
                <w:kern w:val="0"/>
                <w:highlight w:val="none"/>
                <w14:textFill>
                  <w14:solidFill>
                    <w14:schemeClr w14:val="tx1"/>
                  </w14:solidFill>
                </w14:textFill>
              </w:rPr>
            </w:pPr>
            <w:r>
              <w:rPr>
                <w:rFonts w:ascii="宋体" w:hAnsi="宋体" w:cs="宋体"/>
                <w:color w:val="000000" w:themeColor="text1"/>
                <w:kern w:val="0"/>
                <w:highlight w:val="none"/>
                <w14:textFill>
                  <w14:solidFill>
                    <w14:schemeClr w14:val="tx1"/>
                  </w14:solidFill>
                </w14:textFill>
              </w:rPr>
              <w:t>0.55%</w:t>
            </w:r>
          </w:p>
        </w:tc>
      </w:tr>
      <w:tr w14:paraId="390D4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14:paraId="7C0D3184">
            <w:pPr>
              <w:spacing w:line="360" w:lineRule="auto"/>
              <w:ind w:firstLine="420" w:firstLineChars="200"/>
              <w:rPr>
                <w:rFonts w:ascii="宋体"/>
                <w:color w:val="000000" w:themeColor="text1"/>
                <w:kern w:val="0"/>
                <w:highlight w:val="none"/>
                <w14:textFill>
                  <w14:solidFill>
                    <w14:schemeClr w14:val="tx1"/>
                  </w14:solidFill>
                </w14:textFill>
              </w:rPr>
            </w:pPr>
            <w:r>
              <w:rPr>
                <w:rFonts w:ascii="宋体" w:hAnsi="宋体" w:cs="宋体"/>
                <w:color w:val="000000" w:themeColor="text1"/>
                <w:kern w:val="0"/>
                <w:highlight w:val="none"/>
                <w14:textFill>
                  <w14:solidFill>
                    <w14:schemeClr w14:val="tx1"/>
                  </w14:solidFill>
                </w14:textFill>
              </w:rPr>
              <w:t>1000</w:t>
            </w:r>
            <w:r>
              <w:rPr>
                <w:rFonts w:hint="eastAsia" w:ascii="宋体" w:hAnsi="宋体" w:cs="宋体"/>
                <w:color w:val="000000" w:themeColor="text1"/>
                <w:kern w:val="0"/>
                <w:highlight w:val="none"/>
                <w14:textFill>
                  <w14:solidFill>
                    <w14:schemeClr w14:val="tx1"/>
                  </w14:solidFill>
                </w14:textFill>
              </w:rPr>
              <w:t>～</w:t>
            </w:r>
            <w:r>
              <w:rPr>
                <w:rFonts w:ascii="宋体" w:hAnsi="宋体" w:cs="宋体"/>
                <w:color w:val="000000" w:themeColor="text1"/>
                <w:kern w:val="0"/>
                <w:highlight w:val="none"/>
                <w14:textFill>
                  <w14:solidFill>
                    <w14:schemeClr w14:val="tx1"/>
                  </w14:solidFill>
                </w14:textFill>
              </w:rPr>
              <w:t>5000</w:t>
            </w:r>
            <w:r>
              <w:rPr>
                <w:rFonts w:hint="eastAsia" w:ascii="宋体" w:hAnsi="宋体" w:cs="宋体"/>
                <w:color w:val="000000" w:themeColor="text1"/>
                <w:kern w:val="0"/>
                <w:highlight w:val="none"/>
                <w14:textFill>
                  <w14:solidFill>
                    <w14:schemeClr w14:val="tx1"/>
                  </w14:solidFill>
                </w14:textFill>
              </w:rPr>
              <w:t>万元</w:t>
            </w:r>
          </w:p>
        </w:tc>
        <w:tc>
          <w:tcPr>
            <w:tcW w:w="1659" w:type="dxa"/>
          </w:tcPr>
          <w:p w14:paraId="36DAAB20">
            <w:pPr>
              <w:spacing w:line="360" w:lineRule="auto"/>
              <w:ind w:firstLine="420" w:firstLineChars="200"/>
              <w:rPr>
                <w:rFonts w:ascii="宋体"/>
                <w:color w:val="000000" w:themeColor="text1"/>
                <w:kern w:val="0"/>
                <w:highlight w:val="none"/>
                <w14:textFill>
                  <w14:solidFill>
                    <w14:schemeClr w14:val="tx1"/>
                  </w14:solidFill>
                </w14:textFill>
              </w:rPr>
            </w:pPr>
            <w:r>
              <w:rPr>
                <w:rFonts w:ascii="宋体" w:hAnsi="宋体" w:cs="宋体"/>
                <w:color w:val="000000" w:themeColor="text1"/>
                <w:kern w:val="0"/>
                <w:highlight w:val="none"/>
                <w14:textFill>
                  <w14:solidFill>
                    <w14:schemeClr w14:val="tx1"/>
                  </w14:solidFill>
                </w14:textFill>
              </w:rPr>
              <w:t xml:space="preserve">0.5%                </w:t>
            </w:r>
          </w:p>
        </w:tc>
        <w:tc>
          <w:tcPr>
            <w:tcW w:w="1532" w:type="dxa"/>
          </w:tcPr>
          <w:p w14:paraId="611A4D4F">
            <w:pPr>
              <w:spacing w:line="360" w:lineRule="auto"/>
              <w:ind w:firstLine="420" w:firstLineChars="200"/>
              <w:rPr>
                <w:rFonts w:ascii="宋体"/>
                <w:color w:val="000000" w:themeColor="text1"/>
                <w:kern w:val="0"/>
                <w:highlight w:val="none"/>
                <w14:textFill>
                  <w14:solidFill>
                    <w14:schemeClr w14:val="tx1"/>
                  </w14:solidFill>
                </w14:textFill>
              </w:rPr>
            </w:pPr>
            <w:r>
              <w:rPr>
                <w:rFonts w:ascii="宋体" w:hAnsi="宋体" w:cs="宋体"/>
                <w:color w:val="000000" w:themeColor="text1"/>
                <w:kern w:val="0"/>
                <w:highlight w:val="none"/>
                <w14:textFill>
                  <w14:solidFill>
                    <w14:schemeClr w14:val="tx1"/>
                  </w14:solidFill>
                </w14:textFill>
              </w:rPr>
              <w:t>0.25%</w:t>
            </w:r>
          </w:p>
        </w:tc>
        <w:tc>
          <w:tcPr>
            <w:tcW w:w="1546" w:type="dxa"/>
          </w:tcPr>
          <w:p w14:paraId="7A38D7FF">
            <w:pPr>
              <w:spacing w:line="360" w:lineRule="auto"/>
              <w:ind w:firstLine="420" w:firstLineChars="200"/>
              <w:rPr>
                <w:rFonts w:ascii="宋体"/>
                <w:color w:val="000000" w:themeColor="text1"/>
                <w:kern w:val="0"/>
                <w:highlight w:val="none"/>
                <w14:textFill>
                  <w14:solidFill>
                    <w14:schemeClr w14:val="tx1"/>
                  </w14:solidFill>
                </w14:textFill>
              </w:rPr>
            </w:pPr>
            <w:r>
              <w:rPr>
                <w:rFonts w:ascii="宋体" w:hAnsi="宋体" w:cs="宋体"/>
                <w:color w:val="000000" w:themeColor="text1"/>
                <w:kern w:val="0"/>
                <w:highlight w:val="none"/>
                <w14:textFill>
                  <w14:solidFill>
                    <w14:schemeClr w14:val="tx1"/>
                  </w14:solidFill>
                </w14:textFill>
              </w:rPr>
              <w:t xml:space="preserve">0.35% </w:t>
            </w:r>
          </w:p>
        </w:tc>
      </w:tr>
      <w:tr w14:paraId="75BF7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14:paraId="7D95EEDC">
            <w:pPr>
              <w:spacing w:line="360" w:lineRule="auto"/>
              <w:ind w:firstLine="420" w:firstLineChars="200"/>
              <w:rPr>
                <w:rFonts w:ascii="宋体"/>
                <w:color w:val="000000" w:themeColor="text1"/>
                <w:kern w:val="0"/>
                <w:highlight w:val="none"/>
                <w14:textFill>
                  <w14:solidFill>
                    <w14:schemeClr w14:val="tx1"/>
                  </w14:solidFill>
                </w14:textFill>
              </w:rPr>
            </w:pPr>
            <w:r>
              <w:rPr>
                <w:rFonts w:ascii="宋体" w:hAnsi="宋体" w:cs="宋体"/>
                <w:color w:val="000000" w:themeColor="text1"/>
                <w:kern w:val="0"/>
                <w:highlight w:val="none"/>
                <w14:textFill>
                  <w14:solidFill>
                    <w14:schemeClr w14:val="tx1"/>
                  </w14:solidFill>
                </w14:textFill>
              </w:rPr>
              <w:t>5000</w:t>
            </w:r>
            <w:r>
              <w:rPr>
                <w:rFonts w:hint="eastAsia" w:ascii="宋体" w:hAnsi="宋体" w:cs="宋体"/>
                <w:color w:val="000000" w:themeColor="text1"/>
                <w:kern w:val="0"/>
                <w:highlight w:val="none"/>
                <w14:textFill>
                  <w14:solidFill>
                    <w14:schemeClr w14:val="tx1"/>
                  </w14:solidFill>
                </w14:textFill>
              </w:rPr>
              <w:t>万元～</w:t>
            </w:r>
            <w:r>
              <w:rPr>
                <w:rFonts w:ascii="宋体" w:hAnsi="宋体" w:cs="宋体"/>
                <w:color w:val="000000" w:themeColor="text1"/>
                <w:kern w:val="0"/>
                <w:highlight w:val="none"/>
                <w14:textFill>
                  <w14:solidFill>
                    <w14:schemeClr w14:val="tx1"/>
                  </w14:solidFill>
                </w14:textFill>
              </w:rPr>
              <w:t>1</w:t>
            </w:r>
            <w:r>
              <w:rPr>
                <w:rFonts w:hint="eastAsia" w:ascii="宋体" w:hAnsi="宋体" w:cs="宋体"/>
                <w:color w:val="000000" w:themeColor="text1"/>
                <w:kern w:val="0"/>
                <w:highlight w:val="none"/>
                <w14:textFill>
                  <w14:solidFill>
                    <w14:schemeClr w14:val="tx1"/>
                  </w14:solidFill>
                </w14:textFill>
              </w:rPr>
              <w:t>亿元</w:t>
            </w:r>
          </w:p>
        </w:tc>
        <w:tc>
          <w:tcPr>
            <w:tcW w:w="1659" w:type="dxa"/>
          </w:tcPr>
          <w:p w14:paraId="73DB5788">
            <w:pPr>
              <w:spacing w:line="360" w:lineRule="auto"/>
              <w:ind w:firstLine="420" w:firstLineChars="200"/>
              <w:rPr>
                <w:rFonts w:ascii="宋体"/>
                <w:color w:val="000000" w:themeColor="text1"/>
                <w:kern w:val="0"/>
                <w:highlight w:val="none"/>
                <w14:textFill>
                  <w14:solidFill>
                    <w14:schemeClr w14:val="tx1"/>
                  </w14:solidFill>
                </w14:textFill>
              </w:rPr>
            </w:pPr>
            <w:r>
              <w:rPr>
                <w:rFonts w:ascii="宋体" w:hAnsi="宋体" w:cs="宋体"/>
                <w:color w:val="000000" w:themeColor="text1"/>
                <w:kern w:val="0"/>
                <w:highlight w:val="none"/>
                <w14:textFill>
                  <w14:solidFill>
                    <w14:schemeClr w14:val="tx1"/>
                  </w14:solidFill>
                </w14:textFill>
              </w:rPr>
              <w:t xml:space="preserve">0.25%                 </w:t>
            </w:r>
          </w:p>
        </w:tc>
        <w:tc>
          <w:tcPr>
            <w:tcW w:w="1532" w:type="dxa"/>
          </w:tcPr>
          <w:p w14:paraId="691942A2">
            <w:pPr>
              <w:spacing w:line="360" w:lineRule="auto"/>
              <w:ind w:firstLine="420" w:firstLineChars="200"/>
              <w:rPr>
                <w:rFonts w:ascii="宋体"/>
                <w:color w:val="000000" w:themeColor="text1"/>
                <w:kern w:val="0"/>
                <w:highlight w:val="none"/>
                <w14:textFill>
                  <w14:solidFill>
                    <w14:schemeClr w14:val="tx1"/>
                  </w14:solidFill>
                </w14:textFill>
              </w:rPr>
            </w:pPr>
            <w:r>
              <w:rPr>
                <w:rFonts w:ascii="宋体" w:hAnsi="宋体" w:cs="宋体"/>
                <w:color w:val="000000" w:themeColor="text1"/>
                <w:kern w:val="0"/>
                <w:highlight w:val="none"/>
                <w14:textFill>
                  <w14:solidFill>
                    <w14:schemeClr w14:val="tx1"/>
                  </w14:solidFill>
                </w14:textFill>
              </w:rPr>
              <w:t>0.1%</w:t>
            </w:r>
          </w:p>
        </w:tc>
        <w:tc>
          <w:tcPr>
            <w:tcW w:w="1546" w:type="dxa"/>
          </w:tcPr>
          <w:p w14:paraId="342BA6BC">
            <w:pPr>
              <w:spacing w:line="360" w:lineRule="auto"/>
              <w:ind w:firstLine="420" w:firstLineChars="200"/>
              <w:rPr>
                <w:rFonts w:ascii="宋体"/>
                <w:color w:val="000000" w:themeColor="text1"/>
                <w:kern w:val="0"/>
                <w:highlight w:val="none"/>
                <w14:textFill>
                  <w14:solidFill>
                    <w14:schemeClr w14:val="tx1"/>
                  </w14:solidFill>
                </w14:textFill>
              </w:rPr>
            </w:pPr>
            <w:r>
              <w:rPr>
                <w:rFonts w:ascii="宋体" w:hAnsi="宋体" w:cs="宋体"/>
                <w:color w:val="000000" w:themeColor="text1"/>
                <w:kern w:val="0"/>
                <w:highlight w:val="none"/>
                <w14:textFill>
                  <w14:solidFill>
                    <w14:schemeClr w14:val="tx1"/>
                  </w14:solidFill>
                </w14:textFill>
              </w:rPr>
              <w:t>0.2%</w:t>
            </w:r>
          </w:p>
        </w:tc>
      </w:tr>
      <w:tr w14:paraId="7803F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14:paraId="6AFC0293">
            <w:pPr>
              <w:spacing w:line="360" w:lineRule="auto"/>
              <w:ind w:firstLine="420" w:firstLineChars="200"/>
              <w:rPr>
                <w:rFonts w:ascii="宋体"/>
                <w:color w:val="000000" w:themeColor="text1"/>
                <w:kern w:val="0"/>
                <w:highlight w:val="none"/>
                <w14:textFill>
                  <w14:solidFill>
                    <w14:schemeClr w14:val="tx1"/>
                  </w14:solidFill>
                </w14:textFill>
              </w:rPr>
            </w:pPr>
            <w:r>
              <w:rPr>
                <w:rFonts w:ascii="宋体" w:hAnsi="宋体" w:cs="宋体"/>
                <w:color w:val="000000" w:themeColor="text1"/>
                <w:kern w:val="0"/>
                <w:highlight w:val="none"/>
                <w14:textFill>
                  <w14:solidFill>
                    <w14:schemeClr w14:val="tx1"/>
                  </w14:solidFill>
                </w14:textFill>
              </w:rPr>
              <w:t>1</w:t>
            </w:r>
            <w:r>
              <w:rPr>
                <w:rFonts w:hint="eastAsia" w:ascii="宋体" w:hAnsi="宋体" w:cs="宋体"/>
                <w:color w:val="000000" w:themeColor="text1"/>
                <w:kern w:val="0"/>
                <w:highlight w:val="none"/>
                <w14:textFill>
                  <w14:solidFill>
                    <w14:schemeClr w14:val="tx1"/>
                  </w14:solidFill>
                </w14:textFill>
              </w:rPr>
              <w:t>～</w:t>
            </w:r>
            <w:r>
              <w:rPr>
                <w:rFonts w:ascii="宋体" w:hAnsi="宋体" w:cs="宋体"/>
                <w:color w:val="000000" w:themeColor="text1"/>
                <w:kern w:val="0"/>
                <w:highlight w:val="none"/>
                <w14:textFill>
                  <w14:solidFill>
                    <w14:schemeClr w14:val="tx1"/>
                  </w14:solidFill>
                </w14:textFill>
              </w:rPr>
              <w:t>5</w:t>
            </w:r>
            <w:r>
              <w:rPr>
                <w:rFonts w:hint="eastAsia" w:ascii="宋体" w:hAnsi="宋体" w:cs="宋体"/>
                <w:color w:val="000000" w:themeColor="text1"/>
                <w:kern w:val="0"/>
                <w:highlight w:val="none"/>
                <w14:textFill>
                  <w14:solidFill>
                    <w14:schemeClr w14:val="tx1"/>
                  </w14:solidFill>
                </w14:textFill>
              </w:rPr>
              <w:t>亿元</w:t>
            </w:r>
          </w:p>
        </w:tc>
        <w:tc>
          <w:tcPr>
            <w:tcW w:w="1659" w:type="dxa"/>
          </w:tcPr>
          <w:p w14:paraId="28911171">
            <w:pPr>
              <w:spacing w:line="360" w:lineRule="auto"/>
              <w:ind w:firstLine="420" w:firstLineChars="200"/>
              <w:rPr>
                <w:rFonts w:ascii="宋体"/>
                <w:color w:val="000000" w:themeColor="text1"/>
                <w:kern w:val="0"/>
                <w:highlight w:val="none"/>
                <w14:textFill>
                  <w14:solidFill>
                    <w14:schemeClr w14:val="tx1"/>
                  </w14:solidFill>
                </w14:textFill>
              </w:rPr>
            </w:pPr>
            <w:r>
              <w:rPr>
                <w:rFonts w:ascii="宋体" w:hAnsi="宋体" w:cs="宋体"/>
                <w:color w:val="000000" w:themeColor="text1"/>
                <w:kern w:val="0"/>
                <w:highlight w:val="none"/>
                <w14:textFill>
                  <w14:solidFill>
                    <w14:schemeClr w14:val="tx1"/>
                  </w14:solidFill>
                </w14:textFill>
              </w:rPr>
              <w:t>0.05%</w:t>
            </w:r>
          </w:p>
        </w:tc>
        <w:tc>
          <w:tcPr>
            <w:tcW w:w="1532" w:type="dxa"/>
          </w:tcPr>
          <w:p w14:paraId="4B5607FE">
            <w:pPr>
              <w:spacing w:line="360" w:lineRule="auto"/>
              <w:ind w:firstLine="420" w:firstLineChars="200"/>
              <w:rPr>
                <w:rFonts w:ascii="宋体"/>
                <w:color w:val="000000" w:themeColor="text1"/>
                <w:kern w:val="0"/>
                <w:highlight w:val="none"/>
                <w14:textFill>
                  <w14:solidFill>
                    <w14:schemeClr w14:val="tx1"/>
                  </w14:solidFill>
                </w14:textFill>
              </w:rPr>
            </w:pPr>
            <w:r>
              <w:rPr>
                <w:rFonts w:ascii="宋体" w:hAnsi="宋体" w:cs="宋体"/>
                <w:color w:val="000000" w:themeColor="text1"/>
                <w:kern w:val="0"/>
                <w:highlight w:val="none"/>
                <w14:textFill>
                  <w14:solidFill>
                    <w14:schemeClr w14:val="tx1"/>
                  </w14:solidFill>
                </w14:textFill>
              </w:rPr>
              <w:t>0.05%</w:t>
            </w:r>
          </w:p>
        </w:tc>
        <w:tc>
          <w:tcPr>
            <w:tcW w:w="1546" w:type="dxa"/>
          </w:tcPr>
          <w:p w14:paraId="3EEA9FC3">
            <w:pPr>
              <w:spacing w:line="360" w:lineRule="auto"/>
              <w:ind w:firstLine="420" w:firstLineChars="200"/>
              <w:rPr>
                <w:rFonts w:ascii="宋体"/>
                <w:color w:val="000000" w:themeColor="text1"/>
                <w:kern w:val="0"/>
                <w:highlight w:val="none"/>
                <w14:textFill>
                  <w14:solidFill>
                    <w14:schemeClr w14:val="tx1"/>
                  </w14:solidFill>
                </w14:textFill>
              </w:rPr>
            </w:pPr>
            <w:r>
              <w:rPr>
                <w:rFonts w:ascii="宋体" w:hAnsi="宋体" w:cs="宋体"/>
                <w:color w:val="000000" w:themeColor="text1"/>
                <w:kern w:val="0"/>
                <w:highlight w:val="none"/>
                <w14:textFill>
                  <w14:solidFill>
                    <w14:schemeClr w14:val="tx1"/>
                  </w14:solidFill>
                </w14:textFill>
              </w:rPr>
              <w:t>0.05%</w:t>
            </w:r>
          </w:p>
        </w:tc>
      </w:tr>
      <w:tr w14:paraId="761B9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14:paraId="6EC777D1">
            <w:pPr>
              <w:spacing w:line="360" w:lineRule="auto"/>
              <w:ind w:firstLine="420" w:firstLineChars="200"/>
              <w:rPr>
                <w:rFonts w:ascii="宋体"/>
                <w:color w:val="000000" w:themeColor="text1"/>
                <w:kern w:val="0"/>
                <w:highlight w:val="none"/>
                <w14:textFill>
                  <w14:solidFill>
                    <w14:schemeClr w14:val="tx1"/>
                  </w14:solidFill>
                </w14:textFill>
              </w:rPr>
            </w:pPr>
            <w:r>
              <w:rPr>
                <w:rFonts w:ascii="宋体" w:hAnsi="宋体" w:cs="宋体"/>
                <w:color w:val="000000" w:themeColor="text1"/>
                <w:kern w:val="0"/>
                <w:highlight w:val="none"/>
                <w14:textFill>
                  <w14:solidFill>
                    <w14:schemeClr w14:val="tx1"/>
                  </w14:solidFill>
                </w14:textFill>
              </w:rPr>
              <w:t>5</w:t>
            </w:r>
            <w:r>
              <w:rPr>
                <w:rFonts w:hint="eastAsia" w:ascii="宋体" w:hAnsi="宋体" w:cs="宋体"/>
                <w:color w:val="000000" w:themeColor="text1"/>
                <w:kern w:val="0"/>
                <w:highlight w:val="none"/>
                <w14:textFill>
                  <w14:solidFill>
                    <w14:schemeClr w14:val="tx1"/>
                  </w14:solidFill>
                </w14:textFill>
              </w:rPr>
              <w:t>～</w:t>
            </w:r>
            <w:r>
              <w:rPr>
                <w:rFonts w:ascii="宋体" w:hAnsi="宋体" w:cs="宋体"/>
                <w:color w:val="000000" w:themeColor="text1"/>
                <w:kern w:val="0"/>
                <w:highlight w:val="none"/>
                <w14:textFill>
                  <w14:solidFill>
                    <w14:schemeClr w14:val="tx1"/>
                  </w14:solidFill>
                </w14:textFill>
              </w:rPr>
              <w:t>10</w:t>
            </w:r>
            <w:r>
              <w:rPr>
                <w:rFonts w:hint="eastAsia" w:ascii="宋体" w:hAnsi="宋体" w:cs="宋体"/>
                <w:color w:val="000000" w:themeColor="text1"/>
                <w:kern w:val="0"/>
                <w:highlight w:val="none"/>
                <w14:textFill>
                  <w14:solidFill>
                    <w14:schemeClr w14:val="tx1"/>
                  </w14:solidFill>
                </w14:textFill>
              </w:rPr>
              <w:t>亿元</w:t>
            </w:r>
          </w:p>
        </w:tc>
        <w:tc>
          <w:tcPr>
            <w:tcW w:w="1659" w:type="dxa"/>
          </w:tcPr>
          <w:p w14:paraId="0A28D121">
            <w:pPr>
              <w:spacing w:line="360" w:lineRule="auto"/>
              <w:ind w:firstLine="420" w:firstLineChars="200"/>
              <w:rPr>
                <w:rFonts w:ascii="宋体"/>
                <w:color w:val="000000" w:themeColor="text1"/>
                <w:kern w:val="0"/>
                <w:highlight w:val="none"/>
                <w14:textFill>
                  <w14:solidFill>
                    <w14:schemeClr w14:val="tx1"/>
                  </w14:solidFill>
                </w14:textFill>
              </w:rPr>
            </w:pPr>
            <w:r>
              <w:rPr>
                <w:rFonts w:ascii="宋体" w:hAnsi="宋体" w:cs="宋体"/>
                <w:color w:val="000000" w:themeColor="text1"/>
                <w:kern w:val="0"/>
                <w:highlight w:val="none"/>
                <w14:textFill>
                  <w14:solidFill>
                    <w14:schemeClr w14:val="tx1"/>
                  </w14:solidFill>
                </w14:textFill>
              </w:rPr>
              <w:t>0.035%</w:t>
            </w:r>
          </w:p>
        </w:tc>
        <w:tc>
          <w:tcPr>
            <w:tcW w:w="1532" w:type="dxa"/>
          </w:tcPr>
          <w:p w14:paraId="225BCA18">
            <w:pPr>
              <w:spacing w:line="360" w:lineRule="auto"/>
              <w:ind w:firstLine="420" w:firstLineChars="200"/>
              <w:rPr>
                <w:rFonts w:ascii="宋体"/>
                <w:color w:val="000000" w:themeColor="text1"/>
                <w:kern w:val="0"/>
                <w:highlight w:val="none"/>
                <w14:textFill>
                  <w14:solidFill>
                    <w14:schemeClr w14:val="tx1"/>
                  </w14:solidFill>
                </w14:textFill>
              </w:rPr>
            </w:pPr>
            <w:r>
              <w:rPr>
                <w:rFonts w:ascii="宋体" w:hAnsi="宋体" w:cs="宋体"/>
                <w:color w:val="000000" w:themeColor="text1"/>
                <w:kern w:val="0"/>
                <w:highlight w:val="none"/>
                <w14:textFill>
                  <w14:solidFill>
                    <w14:schemeClr w14:val="tx1"/>
                  </w14:solidFill>
                </w14:textFill>
              </w:rPr>
              <w:t>0.035%</w:t>
            </w:r>
          </w:p>
        </w:tc>
        <w:tc>
          <w:tcPr>
            <w:tcW w:w="1546" w:type="dxa"/>
          </w:tcPr>
          <w:p w14:paraId="319745B8">
            <w:pPr>
              <w:spacing w:line="360" w:lineRule="auto"/>
              <w:ind w:firstLine="420" w:firstLineChars="200"/>
              <w:rPr>
                <w:rFonts w:ascii="宋体"/>
                <w:color w:val="000000" w:themeColor="text1"/>
                <w:kern w:val="0"/>
                <w:highlight w:val="none"/>
                <w14:textFill>
                  <w14:solidFill>
                    <w14:schemeClr w14:val="tx1"/>
                  </w14:solidFill>
                </w14:textFill>
              </w:rPr>
            </w:pPr>
            <w:r>
              <w:rPr>
                <w:rFonts w:ascii="宋体" w:hAnsi="宋体" w:cs="宋体"/>
                <w:color w:val="000000" w:themeColor="text1"/>
                <w:kern w:val="0"/>
                <w:highlight w:val="none"/>
                <w14:textFill>
                  <w14:solidFill>
                    <w14:schemeClr w14:val="tx1"/>
                  </w14:solidFill>
                </w14:textFill>
              </w:rPr>
              <w:t>0.035%</w:t>
            </w:r>
          </w:p>
        </w:tc>
      </w:tr>
      <w:tr w14:paraId="414D7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14:paraId="28826077">
            <w:pPr>
              <w:spacing w:line="360" w:lineRule="auto"/>
              <w:ind w:firstLine="420" w:firstLineChars="200"/>
              <w:rPr>
                <w:rFonts w:ascii="宋体"/>
                <w:color w:val="000000" w:themeColor="text1"/>
                <w:kern w:val="0"/>
                <w:highlight w:val="none"/>
                <w14:textFill>
                  <w14:solidFill>
                    <w14:schemeClr w14:val="tx1"/>
                  </w14:solidFill>
                </w14:textFill>
              </w:rPr>
            </w:pPr>
            <w:r>
              <w:rPr>
                <w:rFonts w:ascii="宋体" w:hAnsi="宋体" w:cs="宋体"/>
                <w:color w:val="000000" w:themeColor="text1"/>
                <w:kern w:val="0"/>
                <w:highlight w:val="none"/>
                <w14:textFill>
                  <w14:solidFill>
                    <w14:schemeClr w14:val="tx1"/>
                  </w14:solidFill>
                </w14:textFill>
              </w:rPr>
              <w:t>10</w:t>
            </w:r>
            <w:r>
              <w:rPr>
                <w:rFonts w:hint="eastAsia" w:ascii="宋体" w:hAnsi="宋体" w:cs="宋体"/>
                <w:color w:val="000000" w:themeColor="text1"/>
                <w:kern w:val="0"/>
                <w:highlight w:val="none"/>
                <w14:textFill>
                  <w14:solidFill>
                    <w14:schemeClr w14:val="tx1"/>
                  </w14:solidFill>
                </w14:textFill>
              </w:rPr>
              <w:t>～</w:t>
            </w:r>
            <w:r>
              <w:rPr>
                <w:rFonts w:ascii="宋体" w:hAnsi="宋体" w:cs="宋体"/>
                <w:color w:val="000000" w:themeColor="text1"/>
                <w:kern w:val="0"/>
                <w:highlight w:val="none"/>
                <w14:textFill>
                  <w14:solidFill>
                    <w14:schemeClr w14:val="tx1"/>
                  </w14:solidFill>
                </w14:textFill>
              </w:rPr>
              <w:t>50</w:t>
            </w:r>
            <w:r>
              <w:rPr>
                <w:rFonts w:hint="eastAsia" w:ascii="宋体" w:hAnsi="宋体" w:cs="宋体"/>
                <w:color w:val="000000" w:themeColor="text1"/>
                <w:kern w:val="0"/>
                <w:highlight w:val="none"/>
                <w14:textFill>
                  <w14:solidFill>
                    <w14:schemeClr w14:val="tx1"/>
                  </w14:solidFill>
                </w14:textFill>
              </w:rPr>
              <w:t>亿元</w:t>
            </w:r>
          </w:p>
        </w:tc>
        <w:tc>
          <w:tcPr>
            <w:tcW w:w="1659" w:type="dxa"/>
          </w:tcPr>
          <w:p w14:paraId="03F979F4">
            <w:pPr>
              <w:spacing w:line="360" w:lineRule="auto"/>
              <w:ind w:firstLine="420" w:firstLineChars="200"/>
              <w:rPr>
                <w:rFonts w:ascii="宋体"/>
                <w:color w:val="000000" w:themeColor="text1"/>
                <w:kern w:val="0"/>
                <w:highlight w:val="none"/>
                <w14:textFill>
                  <w14:solidFill>
                    <w14:schemeClr w14:val="tx1"/>
                  </w14:solidFill>
                </w14:textFill>
              </w:rPr>
            </w:pPr>
            <w:r>
              <w:rPr>
                <w:rFonts w:ascii="宋体" w:hAnsi="宋体" w:cs="宋体"/>
                <w:color w:val="000000" w:themeColor="text1"/>
                <w:kern w:val="0"/>
                <w:highlight w:val="none"/>
                <w14:textFill>
                  <w14:solidFill>
                    <w14:schemeClr w14:val="tx1"/>
                  </w14:solidFill>
                </w14:textFill>
              </w:rPr>
              <w:t>0.008%</w:t>
            </w:r>
          </w:p>
        </w:tc>
        <w:tc>
          <w:tcPr>
            <w:tcW w:w="1532" w:type="dxa"/>
          </w:tcPr>
          <w:p w14:paraId="49672C4D">
            <w:pPr>
              <w:spacing w:line="360" w:lineRule="auto"/>
              <w:ind w:firstLine="420" w:firstLineChars="200"/>
              <w:rPr>
                <w:rFonts w:ascii="宋体"/>
                <w:color w:val="000000" w:themeColor="text1"/>
                <w:kern w:val="0"/>
                <w:highlight w:val="none"/>
                <w14:textFill>
                  <w14:solidFill>
                    <w14:schemeClr w14:val="tx1"/>
                  </w14:solidFill>
                </w14:textFill>
              </w:rPr>
            </w:pPr>
            <w:r>
              <w:rPr>
                <w:rFonts w:ascii="宋体" w:hAnsi="宋体" w:cs="宋体"/>
                <w:color w:val="000000" w:themeColor="text1"/>
                <w:kern w:val="0"/>
                <w:highlight w:val="none"/>
                <w14:textFill>
                  <w14:solidFill>
                    <w14:schemeClr w14:val="tx1"/>
                  </w14:solidFill>
                </w14:textFill>
              </w:rPr>
              <w:t>0.008%</w:t>
            </w:r>
          </w:p>
        </w:tc>
        <w:tc>
          <w:tcPr>
            <w:tcW w:w="1546" w:type="dxa"/>
          </w:tcPr>
          <w:p w14:paraId="3E23DED8">
            <w:pPr>
              <w:spacing w:line="360" w:lineRule="auto"/>
              <w:ind w:firstLine="420" w:firstLineChars="200"/>
              <w:rPr>
                <w:rFonts w:ascii="宋体"/>
                <w:color w:val="000000" w:themeColor="text1"/>
                <w:kern w:val="0"/>
                <w:highlight w:val="none"/>
                <w14:textFill>
                  <w14:solidFill>
                    <w14:schemeClr w14:val="tx1"/>
                  </w14:solidFill>
                </w14:textFill>
              </w:rPr>
            </w:pPr>
            <w:r>
              <w:rPr>
                <w:rFonts w:ascii="宋体" w:hAnsi="宋体" w:cs="宋体"/>
                <w:color w:val="000000" w:themeColor="text1"/>
                <w:kern w:val="0"/>
                <w:highlight w:val="none"/>
                <w14:textFill>
                  <w14:solidFill>
                    <w14:schemeClr w14:val="tx1"/>
                  </w14:solidFill>
                </w14:textFill>
              </w:rPr>
              <w:t>0.008%</w:t>
            </w:r>
          </w:p>
        </w:tc>
      </w:tr>
      <w:tr w14:paraId="5033E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14:paraId="1A848004">
            <w:pPr>
              <w:spacing w:line="360" w:lineRule="auto"/>
              <w:ind w:firstLine="420" w:firstLineChars="200"/>
              <w:rPr>
                <w:rFonts w:ascii="宋体"/>
                <w:color w:val="000000" w:themeColor="text1"/>
                <w:kern w:val="0"/>
                <w:highlight w:val="none"/>
                <w14:textFill>
                  <w14:solidFill>
                    <w14:schemeClr w14:val="tx1"/>
                  </w14:solidFill>
                </w14:textFill>
              </w:rPr>
            </w:pPr>
            <w:r>
              <w:rPr>
                <w:rFonts w:ascii="宋体" w:hAnsi="宋体" w:cs="宋体"/>
                <w:color w:val="000000" w:themeColor="text1"/>
                <w:kern w:val="0"/>
                <w:highlight w:val="none"/>
                <w14:textFill>
                  <w14:solidFill>
                    <w14:schemeClr w14:val="tx1"/>
                  </w14:solidFill>
                </w14:textFill>
              </w:rPr>
              <w:t>50</w:t>
            </w:r>
            <w:r>
              <w:rPr>
                <w:rFonts w:hint="eastAsia" w:ascii="宋体" w:hAnsi="宋体" w:cs="宋体"/>
                <w:color w:val="000000" w:themeColor="text1"/>
                <w:kern w:val="0"/>
                <w:highlight w:val="none"/>
                <w14:textFill>
                  <w14:solidFill>
                    <w14:schemeClr w14:val="tx1"/>
                  </w14:solidFill>
                </w14:textFill>
              </w:rPr>
              <w:t>～</w:t>
            </w:r>
            <w:r>
              <w:rPr>
                <w:rFonts w:ascii="宋体" w:hAnsi="宋体" w:cs="宋体"/>
                <w:color w:val="000000" w:themeColor="text1"/>
                <w:kern w:val="0"/>
                <w:highlight w:val="none"/>
                <w14:textFill>
                  <w14:solidFill>
                    <w14:schemeClr w14:val="tx1"/>
                  </w14:solidFill>
                </w14:textFill>
              </w:rPr>
              <w:t>100</w:t>
            </w:r>
            <w:r>
              <w:rPr>
                <w:rFonts w:hint="eastAsia" w:ascii="宋体" w:hAnsi="宋体" w:cs="宋体"/>
                <w:color w:val="000000" w:themeColor="text1"/>
                <w:kern w:val="0"/>
                <w:highlight w:val="none"/>
                <w14:textFill>
                  <w14:solidFill>
                    <w14:schemeClr w14:val="tx1"/>
                  </w14:solidFill>
                </w14:textFill>
              </w:rPr>
              <w:t>亿元</w:t>
            </w:r>
          </w:p>
        </w:tc>
        <w:tc>
          <w:tcPr>
            <w:tcW w:w="1659" w:type="dxa"/>
          </w:tcPr>
          <w:p w14:paraId="72DAF759">
            <w:pPr>
              <w:spacing w:line="360" w:lineRule="auto"/>
              <w:ind w:firstLine="420" w:firstLineChars="200"/>
              <w:rPr>
                <w:rFonts w:ascii="宋体"/>
                <w:color w:val="000000" w:themeColor="text1"/>
                <w:kern w:val="0"/>
                <w:highlight w:val="none"/>
                <w14:textFill>
                  <w14:solidFill>
                    <w14:schemeClr w14:val="tx1"/>
                  </w14:solidFill>
                </w14:textFill>
              </w:rPr>
            </w:pPr>
            <w:r>
              <w:rPr>
                <w:rFonts w:ascii="宋体" w:hAnsi="宋体" w:cs="宋体"/>
                <w:color w:val="000000" w:themeColor="text1"/>
                <w:kern w:val="0"/>
                <w:highlight w:val="none"/>
                <w14:textFill>
                  <w14:solidFill>
                    <w14:schemeClr w14:val="tx1"/>
                  </w14:solidFill>
                </w14:textFill>
              </w:rPr>
              <w:t>0.006%</w:t>
            </w:r>
          </w:p>
        </w:tc>
        <w:tc>
          <w:tcPr>
            <w:tcW w:w="1532" w:type="dxa"/>
          </w:tcPr>
          <w:p w14:paraId="7AB1E22D">
            <w:pPr>
              <w:spacing w:line="360" w:lineRule="auto"/>
              <w:ind w:firstLine="420" w:firstLineChars="200"/>
              <w:rPr>
                <w:rFonts w:ascii="宋体"/>
                <w:color w:val="000000" w:themeColor="text1"/>
                <w:kern w:val="0"/>
                <w:highlight w:val="none"/>
                <w14:textFill>
                  <w14:solidFill>
                    <w14:schemeClr w14:val="tx1"/>
                  </w14:solidFill>
                </w14:textFill>
              </w:rPr>
            </w:pPr>
            <w:r>
              <w:rPr>
                <w:rFonts w:ascii="宋体" w:hAnsi="宋体" w:cs="宋体"/>
                <w:color w:val="000000" w:themeColor="text1"/>
                <w:kern w:val="0"/>
                <w:highlight w:val="none"/>
                <w14:textFill>
                  <w14:solidFill>
                    <w14:schemeClr w14:val="tx1"/>
                  </w14:solidFill>
                </w14:textFill>
              </w:rPr>
              <w:t>0.006%</w:t>
            </w:r>
          </w:p>
        </w:tc>
        <w:tc>
          <w:tcPr>
            <w:tcW w:w="1546" w:type="dxa"/>
          </w:tcPr>
          <w:p w14:paraId="5F731ACB">
            <w:pPr>
              <w:spacing w:line="360" w:lineRule="auto"/>
              <w:ind w:firstLine="420" w:firstLineChars="200"/>
              <w:rPr>
                <w:rFonts w:ascii="宋体"/>
                <w:color w:val="000000" w:themeColor="text1"/>
                <w:kern w:val="0"/>
                <w:highlight w:val="none"/>
                <w14:textFill>
                  <w14:solidFill>
                    <w14:schemeClr w14:val="tx1"/>
                  </w14:solidFill>
                </w14:textFill>
              </w:rPr>
            </w:pPr>
            <w:r>
              <w:rPr>
                <w:rFonts w:ascii="宋体" w:hAnsi="宋体" w:cs="宋体"/>
                <w:color w:val="000000" w:themeColor="text1"/>
                <w:kern w:val="0"/>
                <w:highlight w:val="none"/>
                <w14:textFill>
                  <w14:solidFill>
                    <w14:schemeClr w14:val="tx1"/>
                  </w14:solidFill>
                </w14:textFill>
              </w:rPr>
              <w:t>0.006%</w:t>
            </w:r>
          </w:p>
        </w:tc>
      </w:tr>
      <w:tr w14:paraId="3D778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14:paraId="0AB661F6">
            <w:pPr>
              <w:spacing w:line="360" w:lineRule="auto"/>
              <w:ind w:firstLine="420" w:firstLineChars="200"/>
              <w:rPr>
                <w:rFonts w:ascii="宋体"/>
                <w:color w:val="000000" w:themeColor="text1"/>
                <w:kern w:val="0"/>
                <w:highlight w:val="none"/>
                <w14:textFill>
                  <w14:solidFill>
                    <w14:schemeClr w14:val="tx1"/>
                  </w14:solidFill>
                </w14:textFill>
              </w:rPr>
            </w:pPr>
            <w:r>
              <w:rPr>
                <w:rFonts w:ascii="宋体" w:hAnsi="宋体" w:cs="宋体"/>
                <w:color w:val="000000" w:themeColor="text1"/>
                <w:kern w:val="0"/>
                <w:highlight w:val="none"/>
                <w14:textFill>
                  <w14:solidFill>
                    <w14:schemeClr w14:val="tx1"/>
                  </w14:solidFill>
                </w14:textFill>
              </w:rPr>
              <w:t>100</w:t>
            </w:r>
            <w:r>
              <w:rPr>
                <w:rFonts w:hint="eastAsia" w:ascii="宋体" w:hAnsi="宋体" w:cs="宋体"/>
                <w:color w:val="000000" w:themeColor="text1"/>
                <w:kern w:val="0"/>
                <w:highlight w:val="none"/>
                <w14:textFill>
                  <w14:solidFill>
                    <w14:schemeClr w14:val="tx1"/>
                  </w14:solidFill>
                </w14:textFill>
              </w:rPr>
              <w:t>亿以上</w:t>
            </w:r>
          </w:p>
        </w:tc>
        <w:tc>
          <w:tcPr>
            <w:tcW w:w="1659" w:type="dxa"/>
          </w:tcPr>
          <w:p w14:paraId="2B574346">
            <w:pPr>
              <w:spacing w:line="360" w:lineRule="auto"/>
              <w:ind w:firstLine="420" w:firstLineChars="200"/>
              <w:rPr>
                <w:rFonts w:ascii="宋体"/>
                <w:color w:val="000000" w:themeColor="text1"/>
                <w:kern w:val="0"/>
                <w:highlight w:val="none"/>
                <w14:textFill>
                  <w14:solidFill>
                    <w14:schemeClr w14:val="tx1"/>
                  </w14:solidFill>
                </w14:textFill>
              </w:rPr>
            </w:pPr>
            <w:r>
              <w:rPr>
                <w:rFonts w:ascii="宋体" w:hAnsi="宋体" w:cs="宋体"/>
                <w:color w:val="000000" w:themeColor="text1"/>
                <w:kern w:val="0"/>
                <w:highlight w:val="none"/>
                <w14:textFill>
                  <w14:solidFill>
                    <w14:schemeClr w14:val="tx1"/>
                  </w14:solidFill>
                </w14:textFill>
              </w:rPr>
              <w:t>0.004%</w:t>
            </w:r>
          </w:p>
        </w:tc>
        <w:tc>
          <w:tcPr>
            <w:tcW w:w="1532" w:type="dxa"/>
          </w:tcPr>
          <w:p w14:paraId="0920D308">
            <w:pPr>
              <w:spacing w:line="360" w:lineRule="auto"/>
              <w:ind w:firstLine="420" w:firstLineChars="200"/>
              <w:rPr>
                <w:rFonts w:ascii="宋体"/>
                <w:color w:val="000000" w:themeColor="text1"/>
                <w:kern w:val="0"/>
                <w:highlight w:val="none"/>
                <w14:textFill>
                  <w14:solidFill>
                    <w14:schemeClr w14:val="tx1"/>
                  </w14:solidFill>
                </w14:textFill>
              </w:rPr>
            </w:pPr>
            <w:r>
              <w:rPr>
                <w:rFonts w:ascii="宋体" w:hAnsi="宋体" w:cs="宋体"/>
                <w:color w:val="000000" w:themeColor="text1"/>
                <w:kern w:val="0"/>
                <w:highlight w:val="none"/>
                <w14:textFill>
                  <w14:solidFill>
                    <w14:schemeClr w14:val="tx1"/>
                  </w14:solidFill>
                </w14:textFill>
              </w:rPr>
              <w:t>0.004%</w:t>
            </w:r>
          </w:p>
        </w:tc>
        <w:tc>
          <w:tcPr>
            <w:tcW w:w="1546" w:type="dxa"/>
          </w:tcPr>
          <w:p w14:paraId="6EB9FDFE">
            <w:pPr>
              <w:spacing w:line="360" w:lineRule="auto"/>
              <w:ind w:firstLine="420" w:firstLineChars="200"/>
              <w:rPr>
                <w:rFonts w:ascii="宋体"/>
                <w:color w:val="000000" w:themeColor="text1"/>
                <w:kern w:val="0"/>
                <w:highlight w:val="none"/>
                <w14:textFill>
                  <w14:solidFill>
                    <w14:schemeClr w14:val="tx1"/>
                  </w14:solidFill>
                </w14:textFill>
              </w:rPr>
            </w:pPr>
            <w:r>
              <w:rPr>
                <w:rFonts w:ascii="宋体" w:hAnsi="宋体" w:cs="宋体"/>
                <w:color w:val="000000" w:themeColor="text1"/>
                <w:kern w:val="0"/>
                <w:highlight w:val="none"/>
                <w14:textFill>
                  <w14:solidFill>
                    <w14:schemeClr w14:val="tx1"/>
                  </w14:solidFill>
                </w14:textFill>
              </w:rPr>
              <w:t>0.004%</w:t>
            </w:r>
          </w:p>
        </w:tc>
      </w:tr>
    </w:tbl>
    <w:p w14:paraId="6DEDF0F6">
      <w:pPr>
        <w:spacing w:line="360" w:lineRule="auto"/>
        <w:ind w:firstLine="420" w:firstLineChars="200"/>
        <w:rPr>
          <w:rFonts w:ascii="宋体"/>
          <w:color w:val="000000" w:themeColor="text1"/>
          <w:kern w:val="0"/>
          <w:highlight w:val="none"/>
          <w14:textFill>
            <w14:solidFill>
              <w14:schemeClr w14:val="tx1"/>
            </w14:solidFill>
          </w14:textFill>
        </w:rPr>
      </w:pPr>
      <w:r>
        <w:rPr>
          <w:rFonts w:hint="eastAsia" w:ascii="宋体" w:hAnsi="宋体" w:cs="宋体"/>
          <w:color w:val="000000" w:themeColor="text1"/>
          <w:kern w:val="0"/>
          <w:highlight w:val="none"/>
          <w14:textFill>
            <w14:solidFill>
              <w14:schemeClr w14:val="tx1"/>
            </w14:solidFill>
          </w14:textFill>
        </w:rPr>
        <w:t>注：</w:t>
      </w:r>
    </w:p>
    <w:p w14:paraId="2D0B5935">
      <w:pPr>
        <w:spacing w:line="360" w:lineRule="auto"/>
        <w:ind w:firstLine="420" w:firstLineChars="200"/>
        <w:rPr>
          <w:rFonts w:ascii="宋体"/>
          <w:color w:val="000000" w:themeColor="text1"/>
          <w:kern w:val="0"/>
          <w:highlight w:val="none"/>
          <w14:textFill>
            <w14:solidFill>
              <w14:schemeClr w14:val="tx1"/>
            </w14:solidFill>
          </w14:textFill>
        </w:rPr>
      </w:pPr>
      <w:r>
        <w:rPr>
          <w:rFonts w:hint="eastAsia" w:ascii="宋体" w:hAnsi="宋体" w:cs="宋体"/>
          <w:color w:val="000000" w:themeColor="text1"/>
          <w:kern w:val="0"/>
          <w:highlight w:val="none"/>
          <w14:textFill>
            <w14:solidFill>
              <w14:schemeClr w14:val="tx1"/>
            </w14:solidFill>
          </w14:textFill>
        </w:rPr>
        <w:t>（</w:t>
      </w:r>
      <w:r>
        <w:rPr>
          <w:rFonts w:ascii="宋体" w:hAnsi="宋体" w:cs="宋体"/>
          <w:color w:val="000000" w:themeColor="text1"/>
          <w:kern w:val="0"/>
          <w:highlight w:val="none"/>
          <w14:textFill>
            <w14:solidFill>
              <w14:schemeClr w14:val="tx1"/>
            </w14:solidFill>
          </w14:textFill>
        </w:rPr>
        <w:t>1</w:t>
      </w:r>
      <w:r>
        <w:rPr>
          <w:rFonts w:hint="eastAsia" w:ascii="宋体" w:hAnsi="宋体" w:cs="宋体"/>
          <w:color w:val="000000" w:themeColor="text1"/>
          <w:kern w:val="0"/>
          <w:highlight w:val="none"/>
          <w14:textFill>
            <w14:solidFill>
              <w14:schemeClr w14:val="tx1"/>
            </w14:solidFill>
          </w14:textFill>
        </w:rPr>
        <w:t>）按本表费率（工程类）计算的收费为采购代理的收费基准价格；</w:t>
      </w:r>
    </w:p>
    <w:p w14:paraId="645DA0DD">
      <w:pPr>
        <w:spacing w:line="360" w:lineRule="auto"/>
        <w:ind w:firstLine="420" w:firstLineChars="200"/>
        <w:rPr>
          <w:rFonts w:ascii="宋体"/>
          <w:color w:val="000000" w:themeColor="text1"/>
          <w:kern w:val="0"/>
          <w:highlight w:val="none"/>
          <w14:textFill>
            <w14:solidFill>
              <w14:schemeClr w14:val="tx1"/>
            </w14:solidFill>
          </w14:textFill>
        </w:rPr>
      </w:pPr>
      <w:r>
        <w:rPr>
          <w:rFonts w:hint="eastAsia" w:ascii="宋体" w:hAnsi="宋体" w:cs="宋体"/>
          <w:color w:val="000000" w:themeColor="text1"/>
          <w:kern w:val="0"/>
          <w:highlight w:val="none"/>
          <w14:textFill>
            <w14:solidFill>
              <w14:schemeClr w14:val="tx1"/>
            </w14:solidFill>
          </w14:textFill>
        </w:rPr>
        <w:t>（</w:t>
      </w:r>
      <w:r>
        <w:rPr>
          <w:rFonts w:ascii="宋体" w:hAnsi="宋体" w:cs="宋体"/>
          <w:color w:val="000000" w:themeColor="text1"/>
          <w:kern w:val="0"/>
          <w:highlight w:val="none"/>
          <w14:textFill>
            <w14:solidFill>
              <w14:schemeClr w14:val="tx1"/>
            </w14:solidFill>
          </w14:textFill>
        </w:rPr>
        <w:t>2</w:t>
      </w:r>
      <w:r>
        <w:rPr>
          <w:rFonts w:hint="eastAsia" w:ascii="宋体" w:hAnsi="宋体" w:cs="宋体"/>
          <w:color w:val="000000" w:themeColor="text1"/>
          <w:kern w:val="0"/>
          <w:highlight w:val="none"/>
          <w14:textFill>
            <w14:solidFill>
              <w14:schemeClr w14:val="tx1"/>
            </w14:solidFill>
          </w14:textFill>
        </w:rPr>
        <w:t>）采购代理收费按差额定率累进法计算。</w:t>
      </w:r>
    </w:p>
    <w:p w14:paraId="27DED6DD">
      <w:pPr>
        <w:spacing w:line="360" w:lineRule="auto"/>
        <w:ind w:firstLine="420" w:firstLineChars="200"/>
        <w:rPr>
          <w:rFonts w:ascii="宋体"/>
          <w:color w:val="000000" w:themeColor="text1"/>
          <w:kern w:val="0"/>
          <w:highlight w:val="none"/>
          <w14:textFill>
            <w14:solidFill>
              <w14:schemeClr w14:val="tx1"/>
            </w14:solidFill>
          </w14:textFill>
        </w:rPr>
      </w:pPr>
      <w:r>
        <w:rPr>
          <w:rFonts w:hint="eastAsia" w:ascii="宋体" w:hAnsi="宋体" w:cs="宋体"/>
          <w:color w:val="000000" w:themeColor="text1"/>
          <w:kern w:val="0"/>
          <w:highlight w:val="none"/>
          <w14:textFill>
            <w14:solidFill>
              <w14:schemeClr w14:val="tx1"/>
            </w14:solidFill>
          </w14:textFill>
        </w:rPr>
        <w:t>例如：某工程类采购代理业务成交金额或者暂定价为</w:t>
      </w:r>
      <w:r>
        <w:rPr>
          <w:rFonts w:ascii="宋体" w:hAnsi="宋体" w:cs="宋体"/>
          <w:color w:val="000000" w:themeColor="text1"/>
          <w:kern w:val="0"/>
          <w:highlight w:val="none"/>
          <w14:textFill>
            <w14:solidFill>
              <w14:schemeClr w14:val="tx1"/>
            </w14:solidFill>
          </w14:textFill>
        </w:rPr>
        <w:t>350</w:t>
      </w:r>
      <w:r>
        <w:rPr>
          <w:rFonts w:hint="eastAsia" w:ascii="宋体" w:hAnsi="宋体" w:cs="宋体"/>
          <w:color w:val="000000" w:themeColor="text1"/>
          <w:kern w:val="0"/>
          <w:highlight w:val="none"/>
          <w14:textFill>
            <w14:solidFill>
              <w14:schemeClr w14:val="tx1"/>
            </w14:solidFill>
          </w14:textFill>
        </w:rPr>
        <w:t>万元，计算采购代理收费额如下：</w:t>
      </w:r>
    </w:p>
    <w:p w14:paraId="0687D924">
      <w:pPr>
        <w:spacing w:line="360" w:lineRule="auto"/>
        <w:ind w:firstLine="420" w:firstLineChars="200"/>
        <w:rPr>
          <w:rFonts w:ascii="宋体"/>
          <w:color w:val="000000" w:themeColor="text1"/>
          <w:kern w:val="0"/>
          <w:highlight w:val="none"/>
          <w14:textFill>
            <w14:solidFill>
              <w14:schemeClr w14:val="tx1"/>
            </w14:solidFill>
          </w14:textFill>
        </w:rPr>
      </w:pPr>
      <w:r>
        <w:rPr>
          <w:rFonts w:ascii="宋体" w:hAnsi="宋体" w:cs="宋体"/>
          <w:color w:val="000000" w:themeColor="text1"/>
          <w:kern w:val="0"/>
          <w:highlight w:val="none"/>
          <w14:textFill>
            <w14:solidFill>
              <w14:schemeClr w14:val="tx1"/>
            </w14:solidFill>
          </w14:textFill>
        </w:rPr>
        <w:t xml:space="preserve">100 </w:t>
      </w:r>
      <w:r>
        <w:rPr>
          <w:rFonts w:hint="eastAsia" w:ascii="宋体" w:hAnsi="宋体" w:cs="宋体"/>
          <w:color w:val="000000" w:themeColor="text1"/>
          <w:kern w:val="0"/>
          <w:highlight w:val="none"/>
          <w14:textFill>
            <w14:solidFill>
              <w14:schemeClr w14:val="tx1"/>
            </w14:solidFill>
          </w14:textFill>
        </w:rPr>
        <w:t>万元</w:t>
      </w:r>
      <w:r>
        <w:rPr>
          <w:rFonts w:ascii="宋体" w:hAnsi="宋体" w:cs="宋体"/>
          <w:color w:val="000000" w:themeColor="text1"/>
          <w:kern w:val="0"/>
          <w:highlight w:val="none"/>
          <w14:textFill>
            <w14:solidFill>
              <w14:schemeClr w14:val="tx1"/>
            </w14:solidFill>
          </w14:textFill>
        </w:rPr>
        <w:t xml:space="preserve"> </w:t>
      </w:r>
      <w:r>
        <w:rPr>
          <w:rFonts w:hint="eastAsia" w:ascii="宋体" w:hAnsi="宋体" w:cs="宋体"/>
          <w:color w:val="000000" w:themeColor="text1"/>
          <w:kern w:val="0"/>
          <w:highlight w:val="none"/>
          <w14:textFill>
            <w14:solidFill>
              <w14:schemeClr w14:val="tx1"/>
            </w14:solidFill>
          </w14:textFill>
        </w:rPr>
        <w:t>×</w:t>
      </w:r>
      <w:r>
        <w:rPr>
          <w:rFonts w:ascii="宋体" w:hAnsi="宋体" w:cs="宋体"/>
          <w:color w:val="000000" w:themeColor="text1"/>
          <w:kern w:val="0"/>
          <w:highlight w:val="none"/>
          <w14:textFill>
            <w14:solidFill>
              <w14:schemeClr w14:val="tx1"/>
            </w14:solidFill>
          </w14:textFill>
        </w:rPr>
        <w:t>l.0 %</w:t>
      </w:r>
      <w:r>
        <w:rPr>
          <w:rFonts w:hint="eastAsia" w:ascii="宋体" w:hAnsi="宋体" w:cs="宋体"/>
          <w:color w:val="000000" w:themeColor="text1"/>
          <w:kern w:val="0"/>
          <w:highlight w:val="none"/>
          <w14:textFill>
            <w14:solidFill>
              <w14:schemeClr w14:val="tx1"/>
            </w14:solidFill>
          </w14:textFill>
        </w:rPr>
        <w:t>＝</w:t>
      </w:r>
      <w:r>
        <w:rPr>
          <w:rFonts w:ascii="宋体" w:hAnsi="宋体" w:cs="宋体"/>
          <w:color w:val="000000" w:themeColor="text1"/>
          <w:kern w:val="0"/>
          <w:highlight w:val="none"/>
          <w14:textFill>
            <w14:solidFill>
              <w14:schemeClr w14:val="tx1"/>
            </w14:solidFill>
          </w14:textFill>
        </w:rPr>
        <w:t xml:space="preserve"> 1.0</w:t>
      </w:r>
      <w:r>
        <w:rPr>
          <w:rFonts w:hint="eastAsia" w:ascii="宋体" w:hAnsi="宋体" w:cs="宋体"/>
          <w:color w:val="000000" w:themeColor="text1"/>
          <w:kern w:val="0"/>
          <w:highlight w:val="none"/>
          <w14:textFill>
            <w14:solidFill>
              <w14:schemeClr w14:val="tx1"/>
            </w14:solidFill>
          </w14:textFill>
        </w:rPr>
        <w:t>万元</w:t>
      </w:r>
    </w:p>
    <w:p w14:paraId="10C73DE6">
      <w:pPr>
        <w:spacing w:line="360" w:lineRule="auto"/>
        <w:ind w:firstLine="420" w:firstLineChars="200"/>
        <w:rPr>
          <w:rFonts w:ascii="宋体"/>
          <w:color w:val="000000" w:themeColor="text1"/>
          <w:kern w:val="0"/>
          <w:highlight w:val="none"/>
          <w14:textFill>
            <w14:solidFill>
              <w14:schemeClr w14:val="tx1"/>
            </w14:solidFill>
          </w14:textFill>
        </w:rPr>
      </w:pPr>
      <w:r>
        <w:rPr>
          <w:rFonts w:hint="eastAsia" w:ascii="宋体" w:hAnsi="宋体" w:cs="宋体"/>
          <w:color w:val="000000" w:themeColor="text1"/>
          <w:kern w:val="0"/>
          <w:highlight w:val="none"/>
          <w14:textFill>
            <w14:solidFill>
              <w14:schemeClr w14:val="tx1"/>
            </w14:solidFill>
          </w14:textFill>
        </w:rPr>
        <w:t>（</w:t>
      </w:r>
      <w:r>
        <w:rPr>
          <w:rFonts w:ascii="宋体" w:hAnsi="宋体" w:cs="宋体"/>
          <w:color w:val="000000" w:themeColor="text1"/>
          <w:kern w:val="0"/>
          <w:highlight w:val="none"/>
          <w14:textFill>
            <w14:solidFill>
              <w14:schemeClr w14:val="tx1"/>
            </w14:solidFill>
          </w14:textFill>
        </w:rPr>
        <w:t xml:space="preserve"> 350 </w:t>
      </w:r>
      <w:r>
        <w:rPr>
          <w:rFonts w:hint="eastAsia" w:ascii="宋体" w:hAnsi="宋体" w:cs="宋体"/>
          <w:color w:val="000000" w:themeColor="text1"/>
          <w:kern w:val="0"/>
          <w:highlight w:val="none"/>
          <w14:textFill>
            <w14:solidFill>
              <w14:schemeClr w14:val="tx1"/>
            </w14:solidFill>
          </w14:textFill>
        </w:rPr>
        <w:t>－</w:t>
      </w:r>
      <w:r>
        <w:rPr>
          <w:rFonts w:ascii="宋体" w:hAnsi="宋体" w:cs="宋体"/>
          <w:color w:val="000000" w:themeColor="text1"/>
          <w:kern w:val="0"/>
          <w:highlight w:val="none"/>
          <w14:textFill>
            <w14:solidFill>
              <w14:schemeClr w14:val="tx1"/>
            </w14:solidFill>
          </w14:textFill>
        </w:rPr>
        <w:t xml:space="preserve"> 100 </w:t>
      </w:r>
      <w:r>
        <w:rPr>
          <w:rFonts w:hint="eastAsia" w:ascii="宋体" w:hAnsi="宋体" w:cs="宋体"/>
          <w:color w:val="000000" w:themeColor="text1"/>
          <w:kern w:val="0"/>
          <w:highlight w:val="none"/>
          <w14:textFill>
            <w14:solidFill>
              <w14:schemeClr w14:val="tx1"/>
            </w14:solidFill>
          </w14:textFill>
        </w:rPr>
        <w:t>）万元</w:t>
      </w:r>
      <w:r>
        <w:rPr>
          <w:rFonts w:ascii="宋体" w:hAnsi="宋体" w:cs="宋体"/>
          <w:color w:val="000000" w:themeColor="text1"/>
          <w:kern w:val="0"/>
          <w:highlight w:val="none"/>
          <w14:textFill>
            <w14:solidFill>
              <w14:schemeClr w14:val="tx1"/>
            </w14:solidFill>
          </w14:textFill>
        </w:rPr>
        <w:t xml:space="preserve"> </w:t>
      </w:r>
      <w:r>
        <w:rPr>
          <w:rFonts w:hint="eastAsia" w:ascii="宋体" w:hAnsi="宋体" w:cs="宋体"/>
          <w:color w:val="000000" w:themeColor="text1"/>
          <w:kern w:val="0"/>
          <w:highlight w:val="none"/>
          <w14:textFill>
            <w14:solidFill>
              <w14:schemeClr w14:val="tx1"/>
            </w14:solidFill>
          </w14:textFill>
        </w:rPr>
        <w:t>×</w:t>
      </w:r>
      <w:r>
        <w:rPr>
          <w:rFonts w:ascii="宋体" w:cs="宋体"/>
          <w:color w:val="000000" w:themeColor="text1"/>
          <w:kern w:val="0"/>
          <w:highlight w:val="none"/>
          <w14:textFill>
            <w14:solidFill>
              <w14:schemeClr w14:val="tx1"/>
            </w14:solidFill>
          </w14:textFill>
        </w:rPr>
        <w:t>0.</w:t>
      </w:r>
      <w:r>
        <w:rPr>
          <w:rFonts w:ascii="宋体" w:hAnsi="宋体" w:cs="宋体"/>
          <w:color w:val="000000" w:themeColor="text1"/>
          <w:kern w:val="0"/>
          <w:highlight w:val="none"/>
          <w14:textFill>
            <w14:solidFill>
              <w14:schemeClr w14:val="tx1"/>
            </w14:solidFill>
          </w14:textFill>
        </w:rPr>
        <w:t>7%</w:t>
      </w:r>
      <w:r>
        <w:rPr>
          <w:rFonts w:hint="eastAsia" w:ascii="宋体" w:hAnsi="宋体" w:cs="宋体"/>
          <w:color w:val="000000" w:themeColor="text1"/>
          <w:kern w:val="0"/>
          <w:highlight w:val="none"/>
          <w14:textFill>
            <w14:solidFill>
              <w14:schemeClr w14:val="tx1"/>
            </w14:solidFill>
          </w14:textFill>
        </w:rPr>
        <w:t>＝</w:t>
      </w:r>
      <w:r>
        <w:rPr>
          <w:rFonts w:ascii="宋体" w:hAnsi="宋体" w:cs="宋体"/>
          <w:color w:val="000000" w:themeColor="text1"/>
          <w:kern w:val="0"/>
          <w:highlight w:val="none"/>
          <w14:textFill>
            <w14:solidFill>
              <w14:schemeClr w14:val="tx1"/>
            </w14:solidFill>
          </w14:textFill>
        </w:rPr>
        <w:t xml:space="preserve"> 1.75</w:t>
      </w:r>
      <w:r>
        <w:rPr>
          <w:rFonts w:hint="eastAsia" w:ascii="宋体" w:hAnsi="宋体" w:cs="宋体"/>
          <w:color w:val="000000" w:themeColor="text1"/>
          <w:kern w:val="0"/>
          <w:highlight w:val="none"/>
          <w14:textFill>
            <w14:solidFill>
              <w14:schemeClr w14:val="tx1"/>
            </w14:solidFill>
          </w14:textFill>
        </w:rPr>
        <w:t>万元</w:t>
      </w:r>
    </w:p>
    <w:p w14:paraId="7EE09FE3">
      <w:pPr>
        <w:spacing w:line="360" w:lineRule="auto"/>
        <w:ind w:firstLine="420" w:firstLineChars="200"/>
        <w:rPr>
          <w:rFonts w:ascii="宋体"/>
          <w:color w:val="000000" w:themeColor="text1"/>
          <w:kern w:val="0"/>
          <w:highlight w:val="none"/>
          <w14:textFill>
            <w14:solidFill>
              <w14:schemeClr w14:val="tx1"/>
            </w14:solidFill>
          </w14:textFill>
        </w:rPr>
      </w:pPr>
      <w:r>
        <w:rPr>
          <w:rFonts w:hint="eastAsia" w:ascii="宋体" w:hAnsi="宋体" w:cs="宋体"/>
          <w:color w:val="000000" w:themeColor="text1"/>
          <w:kern w:val="0"/>
          <w:highlight w:val="none"/>
          <w14:textFill>
            <w14:solidFill>
              <w14:schemeClr w14:val="tx1"/>
            </w14:solidFill>
          </w14:textFill>
        </w:rPr>
        <w:t>合计收费＝</w:t>
      </w:r>
      <w:r>
        <w:rPr>
          <w:rFonts w:ascii="宋体" w:hAnsi="宋体" w:cs="宋体"/>
          <w:color w:val="000000" w:themeColor="text1"/>
          <w:kern w:val="0"/>
          <w:highlight w:val="none"/>
          <w14:textFill>
            <w14:solidFill>
              <w14:schemeClr w14:val="tx1"/>
            </w14:solidFill>
          </w14:textFill>
        </w:rPr>
        <w:t xml:space="preserve"> 1.0</w:t>
      </w:r>
      <w:r>
        <w:rPr>
          <w:rFonts w:hint="eastAsia" w:ascii="宋体" w:hAnsi="宋体" w:cs="宋体"/>
          <w:color w:val="000000" w:themeColor="text1"/>
          <w:kern w:val="0"/>
          <w:highlight w:val="none"/>
          <w14:textFill>
            <w14:solidFill>
              <w14:schemeClr w14:val="tx1"/>
            </w14:solidFill>
          </w14:textFill>
        </w:rPr>
        <w:t>＋</w:t>
      </w:r>
      <w:r>
        <w:rPr>
          <w:rFonts w:ascii="宋体" w:hAnsi="宋体" w:cs="宋体"/>
          <w:color w:val="000000" w:themeColor="text1"/>
          <w:kern w:val="0"/>
          <w:highlight w:val="none"/>
          <w14:textFill>
            <w14:solidFill>
              <w14:schemeClr w14:val="tx1"/>
            </w14:solidFill>
          </w14:textFill>
        </w:rPr>
        <w:t>1.75</w:t>
      </w:r>
      <w:r>
        <w:rPr>
          <w:rFonts w:hint="eastAsia" w:ascii="宋体" w:hAnsi="宋体" w:cs="宋体"/>
          <w:color w:val="000000" w:themeColor="text1"/>
          <w:kern w:val="0"/>
          <w:highlight w:val="none"/>
          <w14:textFill>
            <w14:solidFill>
              <w14:schemeClr w14:val="tx1"/>
            </w14:solidFill>
          </w14:textFill>
        </w:rPr>
        <w:t>＝</w:t>
      </w:r>
      <w:r>
        <w:rPr>
          <w:rFonts w:ascii="宋体" w:hAnsi="宋体" w:cs="宋体"/>
          <w:color w:val="000000" w:themeColor="text1"/>
          <w:kern w:val="0"/>
          <w:highlight w:val="none"/>
          <w14:textFill>
            <w14:solidFill>
              <w14:schemeClr w14:val="tx1"/>
            </w14:solidFill>
          </w14:textFill>
        </w:rPr>
        <w:t xml:space="preserve"> 2.75</w:t>
      </w:r>
      <w:r>
        <w:rPr>
          <w:rFonts w:hint="eastAsia" w:ascii="宋体" w:hAnsi="宋体" w:cs="宋体"/>
          <w:color w:val="000000" w:themeColor="text1"/>
          <w:kern w:val="0"/>
          <w:highlight w:val="none"/>
          <w14:textFill>
            <w14:solidFill>
              <w14:schemeClr w14:val="tx1"/>
            </w14:solidFill>
          </w14:textFill>
        </w:rPr>
        <w:t>万元</w:t>
      </w:r>
    </w:p>
    <w:p w14:paraId="2460458E">
      <w:pPr>
        <w:spacing w:line="360" w:lineRule="auto"/>
        <w:ind w:firstLine="482" w:firstLineChars="200"/>
        <w:rPr>
          <w:rFonts w:ascii="宋体"/>
          <w:b/>
          <w:bCs/>
          <w:color w:val="000000" w:themeColor="text1"/>
          <w:sz w:val="24"/>
          <w:szCs w:val="24"/>
          <w:highlight w:val="none"/>
          <w14:textFill>
            <w14:solidFill>
              <w14:schemeClr w14:val="tx1"/>
            </w14:solidFill>
          </w14:textFill>
        </w:rPr>
      </w:pPr>
      <w:r>
        <w:rPr>
          <w:rFonts w:ascii="宋体" w:hAnsi="宋体" w:cs="宋体"/>
          <w:b/>
          <w:bCs/>
          <w:color w:val="000000" w:themeColor="text1"/>
          <w:sz w:val="24"/>
          <w:szCs w:val="24"/>
          <w:highlight w:val="none"/>
          <w14:textFill>
            <w14:solidFill>
              <w14:schemeClr w14:val="tx1"/>
            </w14:solidFill>
          </w14:textFill>
        </w:rPr>
        <w:t>33.</w:t>
      </w:r>
      <w:r>
        <w:rPr>
          <w:rFonts w:hint="eastAsia" w:ascii="宋体" w:hAnsi="宋体" w:cs="宋体"/>
          <w:b/>
          <w:bCs/>
          <w:color w:val="000000" w:themeColor="text1"/>
          <w:sz w:val="24"/>
          <w:szCs w:val="24"/>
          <w:highlight w:val="none"/>
          <w14:textFill>
            <w14:solidFill>
              <w14:schemeClr w14:val="tx1"/>
            </w14:solidFill>
          </w14:textFill>
        </w:rPr>
        <w:t>需要补充的其他内容</w:t>
      </w:r>
    </w:p>
    <w:p w14:paraId="569A409B">
      <w:pPr>
        <w:pStyle w:val="29"/>
        <w:spacing w:line="360" w:lineRule="auto"/>
        <w:ind w:firstLine="420" w:firstLineChars="200"/>
        <w:textAlignment w:val="center"/>
        <w:rPr>
          <w:rFonts w:hAnsi="宋体" w:cs="Times New Roman"/>
          <w:color w:val="000000" w:themeColor="text1"/>
          <w:kern w:val="2"/>
          <w:sz w:val="21"/>
          <w:szCs w:val="21"/>
          <w:highlight w:val="none"/>
          <w14:textFill>
            <w14:solidFill>
              <w14:schemeClr w14:val="tx1"/>
            </w14:solidFill>
          </w14:textFill>
        </w:rPr>
      </w:pPr>
      <w:r>
        <w:rPr>
          <w:rFonts w:hAnsi="宋体"/>
          <w:color w:val="000000" w:themeColor="text1"/>
          <w:kern w:val="2"/>
          <w:sz w:val="21"/>
          <w:szCs w:val="21"/>
          <w:highlight w:val="none"/>
          <w14:textFill>
            <w14:solidFill>
              <w14:schemeClr w14:val="tx1"/>
            </w14:solidFill>
          </w14:textFill>
        </w:rPr>
        <w:t>33.1</w:t>
      </w:r>
      <w:r>
        <w:rPr>
          <w:rFonts w:hint="eastAsia" w:hAnsi="宋体"/>
          <w:color w:val="000000" w:themeColor="text1"/>
          <w:kern w:val="2"/>
          <w:sz w:val="21"/>
          <w:szCs w:val="21"/>
          <w:highlight w:val="none"/>
          <w14:textFill>
            <w14:solidFill>
              <w14:schemeClr w14:val="tx1"/>
            </w14:solidFill>
          </w14:textFill>
        </w:rPr>
        <w:t>本磋商文件解释规则详见“供应商须知前附表”。</w:t>
      </w:r>
    </w:p>
    <w:p w14:paraId="591BBFFE">
      <w:pPr>
        <w:pStyle w:val="29"/>
        <w:spacing w:line="360" w:lineRule="auto"/>
        <w:ind w:firstLine="420" w:firstLineChars="200"/>
        <w:textAlignment w:val="center"/>
        <w:rPr>
          <w:rFonts w:hAnsi="宋体" w:cs="Times New Roman"/>
          <w:color w:val="000000" w:themeColor="text1"/>
          <w:kern w:val="2"/>
          <w:sz w:val="21"/>
          <w:szCs w:val="21"/>
          <w:highlight w:val="none"/>
          <w14:textFill>
            <w14:solidFill>
              <w14:schemeClr w14:val="tx1"/>
            </w14:solidFill>
          </w14:textFill>
        </w:rPr>
      </w:pPr>
      <w:r>
        <w:rPr>
          <w:rFonts w:hAnsi="宋体"/>
          <w:color w:val="000000" w:themeColor="text1"/>
          <w:kern w:val="2"/>
          <w:sz w:val="21"/>
          <w:szCs w:val="21"/>
          <w:highlight w:val="none"/>
          <w14:textFill>
            <w14:solidFill>
              <w14:schemeClr w14:val="tx1"/>
            </w14:solidFill>
          </w14:textFill>
        </w:rPr>
        <w:t xml:space="preserve">33.2 </w:t>
      </w:r>
      <w:r>
        <w:rPr>
          <w:rFonts w:hint="eastAsia" w:hAnsi="宋体"/>
          <w:color w:val="000000" w:themeColor="text1"/>
          <w:kern w:val="2"/>
          <w:sz w:val="21"/>
          <w:szCs w:val="21"/>
          <w:highlight w:val="none"/>
          <w14:textFill>
            <w14:solidFill>
              <w14:schemeClr w14:val="tx1"/>
            </w14:solidFill>
          </w14:textFill>
        </w:rPr>
        <w:t>其他事项详见“供应商须知前附表”。</w:t>
      </w:r>
    </w:p>
    <w:p w14:paraId="62C02BB3">
      <w:pPr>
        <w:pStyle w:val="29"/>
        <w:spacing w:line="360" w:lineRule="auto"/>
        <w:ind w:firstLine="420" w:firstLineChars="200"/>
        <w:textAlignment w:val="center"/>
        <w:rPr>
          <w:rFonts w:hAnsi="宋体" w:cs="Times New Roman"/>
          <w:color w:val="000000" w:themeColor="text1"/>
          <w:kern w:val="2"/>
          <w:sz w:val="21"/>
          <w:szCs w:val="21"/>
          <w:highlight w:val="none"/>
          <w14:textFill>
            <w14:solidFill>
              <w14:schemeClr w14:val="tx1"/>
            </w14:solidFill>
          </w14:textFill>
        </w:rPr>
      </w:pPr>
      <w:r>
        <w:rPr>
          <w:rFonts w:hAnsi="宋体"/>
          <w:color w:val="000000" w:themeColor="text1"/>
          <w:kern w:val="2"/>
          <w:sz w:val="21"/>
          <w:szCs w:val="21"/>
          <w:highlight w:val="none"/>
          <w14:textFill>
            <w14:solidFill>
              <w14:schemeClr w14:val="tx1"/>
            </w14:solidFill>
          </w14:textFill>
        </w:rPr>
        <w:t>33.3</w:t>
      </w:r>
      <w:r>
        <w:rPr>
          <w:rFonts w:hint="eastAsia" w:hAnsi="宋体"/>
          <w:color w:val="000000" w:themeColor="text1"/>
          <w:kern w:val="2"/>
          <w:sz w:val="21"/>
          <w:szCs w:val="21"/>
          <w:highlight w:val="none"/>
          <w14:textFill>
            <w14:solidFill>
              <w14:schemeClr w14:val="tx1"/>
            </w14:solidFill>
          </w14:textFill>
        </w:rPr>
        <w:t>本磋商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磋商文件规定的中小企业扶持政策：</w:t>
      </w:r>
    </w:p>
    <w:p w14:paraId="5EE49500">
      <w:pPr>
        <w:pStyle w:val="29"/>
        <w:spacing w:line="360" w:lineRule="auto"/>
        <w:ind w:firstLine="420" w:firstLineChars="200"/>
        <w:rPr>
          <w:rFonts w:hAnsi="宋体" w:cs="Times New Roman"/>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w:t>
      </w:r>
      <w:r>
        <w:rPr>
          <w:rFonts w:hAnsi="宋体"/>
          <w:color w:val="000000" w:themeColor="text1"/>
          <w:sz w:val="21"/>
          <w:szCs w:val="21"/>
          <w:highlight w:val="none"/>
          <w14:textFill>
            <w14:solidFill>
              <w14:schemeClr w14:val="tx1"/>
            </w14:solidFill>
          </w14:textFill>
        </w:rPr>
        <w:t>1</w:t>
      </w:r>
      <w:r>
        <w:rPr>
          <w:rFonts w:hint="eastAsia" w:hAnsi="宋体"/>
          <w:color w:val="000000" w:themeColor="text1"/>
          <w:sz w:val="21"/>
          <w:szCs w:val="21"/>
          <w:highlight w:val="none"/>
          <w14:textFill>
            <w14:solidFill>
              <w14:schemeClr w14:val="tx1"/>
            </w14:solidFill>
          </w14:textFill>
        </w:rPr>
        <w:t>）在货物采购项目中，货物由中小企业制造，即货物由中小企业生产且使用该中小企业商号或者注册商标，不对其中涉及的工程承建商和服务的承接商作出要求；</w:t>
      </w:r>
    </w:p>
    <w:p w14:paraId="339DCD45">
      <w:pPr>
        <w:pStyle w:val="29"/>
        <w:spacing w:line="360" w:lineRule="auto"/>
        <w:ind w:firstLine="420" w:firstLineChars="200"/>
        <w:rPr>
          <w:rFonts w:hAnsi="宋体" w:cs="Times New Roman"/>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w:t>
      </w:r>
      <w:r>
        <w:rPr>
          <w:rFonts w:hAnsi="宋体"/>
          <w:color w:val="000000" w:themeColor="text1"/>
          <w:sz w:val="21"/>
          <w:szCs w:val="21"/>
          <w:highlight w:val="none"/>
          <w14:textFill>
            <w14:solidFill>
              <w14:schemeClr w14:val="tx1"/>
            </w14:solidFill>
          </w14:textFill>
        </w:rPr>
        <w:t>2</w:t>
      </w:r>
      <w:r>
        <w:rPr>
          <w:rFonts w:hint="eastAsia" w:hAnsi="宋体"/>
          <w:color w:val="000000" w:themeColor="text1"/>
          <w:sz w:val="21"/>
          <w:szCs w:val="21"/>
          <w:highlight w:val="none"/>
          <w14:textFill>
            <w14:solidFill>
              <w14:schemeClr w14:val="tx1"/>
            </w14:solidFill>
          </w14:textFill>
        </w:rPr>
        <w:t>）在工程采购项目中，工程由中小企业承建，即工程施工单位为中小企业，不对其中涉及的货物的制造商和服务的承接商作出要求；</w:t>
      </w:r>
    </w:p>
    <w:p w14:paraId="7CB8DEAF">
      <w:pPr>
        <w:pStyle w:val="29"/>
        <w:spacing w:line="360" w:lineRule="auto"/>
        <w:ind w:firstLine="420" w:firstLineChars="200"/>
        <w:rPr>
          <w:rFonts w:hAnsi="宋体" w:cs="Times New Roman"/>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w:t>
      </w:r>
      <w:r>
        <w:rPr>
          <w:rFonts w:hAnsi="宋体"/>
          <w:color w:val="000000" w:themeColor="text1"/>
          <w:sz w:val="21"/>
          <w:szCs w:val="21"/>
          <w:highlight w:val="none"/>
          <w14:textFill>
            <w14:solidFill>
              <w14:schemeClr w14:val="tx1"/>
            </w14:solidFill>
          </w14:textFill>
        </w:rPr>
        <w:t>3</w:t>
      </w:r>
      <w:r>
        <w:rPr>
          <w:rFonts w:hint="eastAsia" w:hAnsi="宋体"/>
          <w:color w:val="000000" w:themeColor="text1"/>
          <w:sz w:val="21"/>
          <w:szCs w:val="21"/>
          <w:highlight w:val="none"/>
          <w14:textFill>
            <w14:solidFill>
              <w14:schemeClr w14:val="tx1"/>
            </w14:solidFill>
          </w14:textFill>
        </w:rPr>
        <w:t>）在服务采购项目中，服务由中小企业承接，即提供服务的人员为中小企业依照《中华人民共和国劳动合同法》订立劳动合同的从业人员，不对其中涉及的货物的制造商和工程承建商作出要求。</w:t>
      </w:r>
    </w:p>
    <w:p w14:paraId="2284D6CF">
      <w:pPr>
        <w:pStyle w:val="29"/>
        <w:spacing w:line="360" w:lineRule="auto"/>
        <w:ind w:firstLine="420" w:firstLineChars="200"/>
        <w:textAlignment w:val="center"/>
        <w:rPr>
          <w:rFonts w:hAnsi="宋体" w:cs="Times New Roman"/>
          <w:color w:val="000000" w:themeColor="text1"/>
          <w:kern w:val="2"/>
          <w:sz w:val="21"/>
          <w:szCs w:val="21"/>
          <w:highlight w:val="none"/>
          <w14:textFill>
            <w14:solidFill>
              <w14:schemeClr w14:val="tx1"/>
            </w14:solidFill>
          </w14:textFill>
        </w:rPr>
      </w:pPr>
      <w:r>
        <w:rPr>
          <w:rFonts w:hint="eastAsia" w:hAnsi="宋体"/>
          <w:color w:val="000000" w:themeColor="text1"/>
          <w:kern w:val="2"/>
          <w:sz w:val="21"/>
          <w:szCs w:val="21"/>
          <w:highlight w:val="none"/>
          <w14:textFill>
            <w14:solidFill>
              <w14:schemeClr w14:val="tx1"/>
            </w14:solidFill>
          </w14:textFill>
        </w:rPr>
        <w:t>在货物采购项目中，供应商提供的货物既有中小企业制造货物，也有大型企业制造货物的，不享受本磋商文件规定的中小企业扶持政策。以联合体形式参加政府采购活动，联合体各方均为中小企业的，联合体视同中小企业。其中，联合体各方均为小微企业的，联合体视同小微企业。</w:t>
      </w:r>
    </w:p>
    <w:p w14:paraId="4B3AF074">
      <w:pPr>
        <w:pStyle w:val="29"/>
        <w:spacing w:line="360" w:lineRule="auto"/>
        <w:ind w:firstLine="420" w:firstLineChars="200"/>
        <w:textAlignment w:val="center"/>
        <w:rPr>
          <w:rFonts w:hAnsi="宋体" w:cs="Times New Roman"/>
          <w:color w:val="000000" w:themeColor="text1"/>
          <w:kern w:val="2"/>
          <w:sz w:val="21"/>
          <w:szCs w:val="21"/>
          <w:highlight w:val="none"/>
          <w14:textFill>
            <w14:solidFill>
              <w14:schemeClr w14:val="tx1"/>
            </w14:solidFill>
          </w14:textFill>
        </w:rPr>
      </w:pPr>
      <w:r>
        <w:rPr>
          <w:rFonts w:hint="eastAsia" w:hAnsi="宋体"/>
          <w:color w:val="000000" w:themeColor="text1"/>
          <w:kern w:val="2"/>
          <w:sz w:val="21"/>
          <w:szCs w:val="21"/>
          <w:highlight w:val="none"/>
          <w14:textFill>
            <w14:solidFill>
              <w14:schemeClr w14:val="tx1"/>
            </w14:solidFill>
          </w14:textFill>
        </w:rPr>
        <w:t>依据本磋商文件规定享受扶持政策获得政府采购合同的，小微企业不得将合同分包给大中型企业，中型企业不得将合同分包给大型企业。</w:t>
      </w:r>
    </w:p>
    <w:p w14:paraId="0AA3AC95">
      <w:pPr>
        <w:pStyle w:val="29"/>
        <w:snapToGrid w:val="0"/>
        <w:spacing w:before="120" w:after="120"/>
        <w:rPr>
          <w:rFonts w:hAnsi="宋体" w:cs="Times New Roman"/>
          <w:color w:val="000000" w:themeColor="text1"/>
          <w:highlight w:val="none"/>
          <w14:textFill>
            <w14:solidFill>
              <w14:schemeClr w14:val="tx1"/>
            </w14:solidFill>
          </w14:textFill>
        </w:rPr>
      </w:pPr>
    </w:p>
    <w:p w14:paraId="70D49493">
      <w:pPr>
        <w:pStyle w:val="2"/>
        <w:spacing w:before="300" w:after="310" w:line="240" w:lineRule="auto"/>
        <w:jc w:val="center"/>
        <w:rPr>
          <w:rFonts w:ascii="宋体"/>
          <w:color w:val="000000" w:themeColor="text1"/>
          <w:highlight w:val="none"/>
          <w14:textFill>
            <w14:solidFill>
              <w14:schemeClr w14:val="tx1"/>
            </w14:solidFill>
          </w14:textFill>
        </w:rPr>
      </w:pPr>
      <w:bookmarkStart w:id="34" w:name="_Toc24594"/>
      <w:r>
        <w:rPr>
          <w:rFonts w:hint="eastAsia" w:ascii="宋体" w:hAnsi="宋体" w:cs="宋体"/>
          <w:color w:val="000000" w:themeColor="text1"/>
          <w:highlight w:val="none"/>
          <w14:textFill>
            <w14:solidFill>
              <w14:schemeClr w14:val="tx1"/>
            </w14:solidFill>
          </w14:textFill>
        </w:rPr>
        <w:t>第三章</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采购需求</w:t>
      </w:r>
      <w:bookmarkEnd w:id="34"/>
    </w:p>
    <w:p w14:paraId="7A11DCBC">
      <w:pPr>
        <w:kinsoku w:val="0"/>
        <w:wordWrap w:val="0"/>
        <w:spacing w:line="420" w:lineRule="exact"/>
        <w:jc w:val="center"/>
        <w:rPr>
          <w:rFonts w:ascii="宋体"/>
          <w:b/>
          <w:bCs/>
          <w:color w:val="000000" w:themeColor="text1"/>
          <w:sz w:val="32"/>
          <w:szCs w:val="32"/>
          <w:highlight w:val="none"/>
          <w14:textFill>
            <w14:solidFill>
              <w14:schemeClr w14:val="tx1"/>
            </w14:solidFill>
          </w14:textFill>
        </w:rPr>
      </w:pPr>
      <w:r>
        <w:rPr>
          <w:rFonts w:hint="eastAsia" w:ascii="宋体" w:hAnsi="宋体" w:cs="宋体"/>
          <w:b/>
          <w:bCs/>
          <w:color w:val="000000" w:themeColor="text1"/>
          <w:sz w:val="32"/>
          <w:szCs w:val="32"/>
          <w:highlight w:val="none"/>
          <w14:textFill>
            <w14:solidFill>
              <w14:schemeClr w14:val="tx1"/>
            </w14:solidFill>
          </w14:textFill>
        </w:rPr>
        <w:t>一、项目概况</w:t>
      </w:r>
    </w:p>
    <w:p w14:paraId="32BB0F7B">
      <w:pPr>
        <w:kinsoku w:val="0"/>
        <w:wordWrap w:val="0"/>
        <w:spacing w:line="420" w:lineRule="exact"/>
        <w:jc w:val="center"/>
        <w:rPr>
          <w:rFonts w:ascii="宋体"/>
          <w:b/>
          <w:bCs/>
          <w:color w:val="000000" w:themeColor="text1"/>
          <w:sz w:val="32"/>
          <w:szCs w:val="32"/>
          <w:highlight w:val="none"/>
          <w14:textFill>
            <w14:solidFill>
              <w14:schemeClr w14:val="tx1"/>
            </w14:solidFill>
          </w14:textFill>
        </w:rPr>
      </w:pPr>
    </w:p>
    <w:p w14:paraId="2E87A745">
      <w:pPr>
        <w:kinsoku w:val="0"/>
        <w:spacing w:line="360" w:lineRule="auto"/>
        <w:ind w:firstLine="420" w:firstLineChars="200"/>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1.</w:t>
      </w:r>
      <w:r>
        <w:rPr>
          <w:rFonts w:hint="eastAsia" w:ascii="宋体" w:hAnsi="宋体" w:cs="宋体"/>
          <w:color w:val="000000" w:themeColor="text1"/>
          <w:highlight w:val="none"/>
          <w14:textFill>
            <w14:solidFill>
              <w14:schemeClr w14:val="tx1"/>
            </w14:solidFill>
          </w14:textFill>
        </w:rPr>
        <w:t>项目概况：</w:t>
      </w:r>
      <w:r>
        <w:rPr>
          <w:rFonts w:hint="eastAsia" w:ascii="宋体" w:hAnsi="宋体" w:eastAsia="宋体" w:cs="宋体"/>
          <w:color w:val="000000" w:themeColor="text1"/>
          <w:highlight w:val="none"/>
          <w14:textFill>
            <w14:solidFill>
              <w14:schemeClr w14:val="tx1"/>
            </w14:solidFill>
          </w14:textFill>
        </w:rPr>
        <w:t>S206线K25+642～K53+000段安全设施精细化提升工程,公路</w:t>
      </w:r>
      <w:r>
        <w:rPr>
          <w:rFonts w:hint="eastAsia" w:ascii="宋体" w:hAnsi="宋体" w:cs="宋体"/>
          <w:color w:val="000000" w:themeColor="text1"/>
          <w:highlight w:val="none"/>
          <w14:textFill>
            <w14:solidFill>
              <w14:schemeClr w14:val="tx1"/>
            </w14:solidFill>
          </w14:textFill>
        </w:rPr>
        <w:t>等级为四级公路，全长27.358km。实施范围为S206线K25+642～K53+000路段,路线长27.358km</w:t>
      </w:r>
      <w:r>
        <w:rPr>
          <w:rFonts w:hint="eastAsia" w:cs="宋体"/>
          <w:color w:val="000000" w:themeColor="text1"/>
          <w:highlight w:val="none"/>
          <w14:textFill>
            <w14:solidFill>
              <w14:schemeClr w14:val="tx1"/>
            </w14:solidFill>
          </w14:textFill>
        </w:rPr>
        <w:t>。</w:t>
      </w:r>
    </w:p>
    <w:p w14:paraId="709C4AEF">
      <w:pPr>
        <w:kinsoku w:val="0"/>
        <w:spacing w:line="360" w:lineRule="auto"/>
        <w:ind w:firstLine="420" w:firstLineChars="200"/>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项目施工主要内容：对原有的交通安全设施进行更换及局部补充完善，对存在严重安全隐患的路段，按现行规范采取新增或补充的措施，完善整个路段交通安全设施。主要交通安全设施设计内容为路侧安全护栏、轮廓标、交通标志，具体详见施工图设计及工程量清单。</w:t>
      </w:r>
    </w:p>
    <w:p w14:paraId="37929929">
      <w:pPr>
        <w:kinsoku w:val="0"/>
        <w:spacing w:line="360" w:lineRule="auto"/>
        <w:ind w:firstLine="420" w:firstLineChars="200"/>
        <w:rPr>
          <w:color w:val="000000" w:themeColor="text1"/>
          <w:spacing w:val="-3"/>
          <w:highlight w:val="none"/>
          <w:u w:val="single"/>
          <w14:textFill>
            <w14:solidFill>
              <w14:schemeClr w14:val="tx1"/>
            </w14:solidFill>
          </w14:textFill>
        </w:rPr>
      </w:pPr>
      <w:r>
        <w:rPr>
          <w:rFonts w:ascii="宋体" w:hAnsi="宋体" w:cs="宋体"/>
          <w:color w:val="000000" w:themeColor="text1"/>
          <w:highlight w:val="none"/>
          <w14:textFill>
            <w14:solidFill>
              <w14:schemeClr w14:val="tx1"/>
            </w14:solidFill>
          </w14:textFill>
        </w:rPr>
        <w:t>3.</w:t>
      </w:r>
      <w:r>
        <w:rPr>
          <w:rFonts w:hint="eastAsia" w:cs="宋体"/>
          <w:color w:val="000000" w:themeColor="text1"/>
          <w:spacing w:val="-3"/>
          <w:highlight w:val="none"/>
          <w14:textFill>
            <w14:solidFill>
              <w14:schemeClr w14:val="tx1"/>
            </w14:solidFill>
          </w14:textFill>
        </w:rPr>
        <w:t>标段工程交</w:t>
      </w:r>
      <w:r>
        <w:rPr>
          <w:rFonts w:hint="eastAsia" w:cs="宋体"/>
          <w:color w:val="000000" w:themeColor="text1"/>
          <w:highlight w:val="none"/>
          <w14:textFill>
            <w14:solidFill>
              <w14:schemeClr w14:val="tx1"/>
            </w14:solidFill>
          </w14:textFill>
        </w:rPr>
        <w:t>工</w:t>
      </w:r>
      <w:r>
        <w:rPr>
          <w:rFonts w:hint="eastAsia" w:cs="宋体"/>
          <w:color w:val="000000" w:themeColor="text1"/>
          <w:spacing w:val="-3"/>
          <w:highlight w:val="none"/>
          <w14:textFill>
            <w14:solidFill>
              <w14:schemeClr w14:val="tx1"/>
            </w14:solidFill>
          </w14:textFill>
        </w:rPr>
        <w:t>验</w:t>
      </w:r>
      <w:r>
        <w:rPr>
          <w:rFonts w:hint="eastAsia" w:cs="宋体"/>
          <w:color w:val="000000" w:themeColor="text1"/>
          <w:highlight w:val="none"/>
          <w14:textFill>
            <w14:solidFill>
              <w14:schemeClr w14:val="tx1"/>
            </w14:solidFill>
          </w14:textFill>
        </w:rPr>
        <w:t>收</w:t>
      </w:r>
      <w:r>
        <w:rPr>
          <w:rFonts w:hint="eastAsia" w:cs="宋体"/>
          <w:color w:val="000000" w:themeColor="text1"/>
          <w:spacing w:val="-3"/>
          <w:highlight w:val="none"/>
          <w14:textFill>
            <w14:solidFill>
              <w14:schemeClr w14:val="tx1"/>
            </w14:solidFill>
          </w14:textFill>
        </w:rPr>
        <w:t>的</w:t>
      </w:r>
      <w:r>
        <w:rPr>
          <w:rFonts w:hint="eastAsia" w:cs="宋体"/>
          <w:color w:val="000000" w:themeColor="text1"/>
          <w:highlight w:val="none"/>
          <w14:textFill>
            <w14:solidFill>
              <w14:schemeClr w14:val="tx1"/>
            </w14:solidFill>
          </w14:textFill>
        </w:rPr>
        <w:t>质</w:t>
      </w:r>
      <w:r>
        <w:rPr>
          <w:rFonts w:hint="eastAsia" w:cs="宋体"/>
          <w:color w:val="000000" w:themeColor="text1"/>
          <w:spacing w:val="-3"/>
          <w:highlight w:val="none"/>
          <w14:textFill>
            <w14:solidFill>
              <w14:schemeClr w14:val="tx1"/>
            </w14:solidFill>
          </w14:textFill>
        </w:rPr>
        <w:t>量</w:t>
      </w:r>
      <w:r>
        <w:rPr>
          <w:rFonts w:hint="eastAsia" w:cs="宋体"/>
          <w:color w:val="000000" w:themeColor="text1"/>
          <w:highlight w:val="none"/>
          <w14:textFill>
            <w14:solidFill>
              <w14:schemeClr w14:val="tx1"/>
            </w14:solidFill>
          </w14:textFill>
        </w:rPr>
        <w:t>评定</w:t>
      </w:r>
      <w:r>
        <w:rPr>
          <w:rFonts w:hint="eastAsia" w:ascii="宋体" w:hAnsi="宋体" w:cs="宋体"/>
          <w:color w:val="000000" w:themeColor="text1"/>
          <w:highlight w:val="none"/>
          <w14:textFill>
            <w14:solidFill>
              <w14:schemeClr w14:val="tx1"/>
            </w14:solidFill>
          </w14:textFill>
        </w:rPr>
        <w:t>：合格，竣工验收质量评定：优良。</w:t>
      </w:r>
    </w:p>
    <w:p w14:paraId="5DB75A76">
      <w:pPr>
        <w:kinsoku w:val="0"/>
        <w:spacing w:line="360" w:lineRule="auto"/>
        <w:ind w:firstLine="420" w:firstLineChars="200"/>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4.</w:t>
      </w:r>
      <w:r>
        <w:rPr>
          <w:rFonts w:hint="eastAsia" w:ascii="宋体" w:hAnsi="宋体" w:cs="宋体"/>
          <w:color w:val="000000" w:themeColor="text1"/>
          <w:highlight w:val="none"/>
          <w14:textFill>
            <w14:solidFill>
              <w14:schemeClr w14:val="tx1"/>
            </w14:solidFill>
          </w14:textFill>
        </w:rPr>
        <w:t>安全目标：无安全生产责任事故。</w:t>
      </w:r>
    </w:p>
    <w:p w14:paraId="11FC3B68">
      <w:pPr>
        <w:kinsoku w:val="0"/>
        <w:spacing w:line="360" w:lineRule="auto"/>
        <w:ind w:firstLine="420" w:firstLineChars="200"/>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5.</w:t>
      </w:r>
      <w:r>
        <w:rPr>
          <w:rFonts w:hint="eastAsia" w:ascii="宋体" w:hAnsi="宋体" w:cs="宋体"/>
          <w:color w:val="000000" w:themeColor="text1"/>
          <w:highlight w:val="none"/>
          <w14:textFill>
            <w14:solidFill>
              <w14:schemeClr w14:val="tx1"/>
            </w14:solidFill>
          </w14:textFill>
        </w:rPr>
        <w:t>工期12</w:t>
      </w:r>
      <w:r>
        <w:rPr>
          <w:rFonts w:ascii="宋体" w:hAnsi="宋体" w:cs="宋体"/>
          <w:color w:val="000000" w:themeColor="text1"/>
          <w:highlight w:val="none"/>
          <w14:textFill>
            <w14:solidFill>
              <w14:schemeClr w14:val="tx1"/>
            </w14:solidFill>
          </w14:textFill>
        </w:rPr>
        <w:t>0</w:t>
      </w:r>
      <w:r>
        <w:rPr>
          <w:rFonts w:hint="eastAsia" w:ascii="宋体" w:hAnsi="宋体" w:cs="宋体"/>
          <w:color w:val="000000" w:themeColor="text1"/>
          <w:highlight w:val="none"/>
          <w14:textFill>
            <w14:solidFill>
              <w14:schemeClr w14:val="tx1"/>
            </w14:solidFill>
          </w14:textFill>
        </w:rPr>
        <w:t>日历天。</w:t>
      </w:r>
    </w:p>
    <w:p w14:paraId="6370668D">
      <w:pPr>
        <w:kinsoku w:val="0"/>
        <w:spacing w:line="360" w:lineRule="auto"/>
        <w:ind w:firstLine="420" w:firstLineChars="200"/>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6.</w:t>
      </w:r>
      <w:r>
        <w:rPr>
          <w:rFonts w:hint="eastAsia" w:ascii="宋体" w:hAnsi="宋体" w:cs="宋体"/>
          <w:color w:val="000000" w:themeColor="text1"/>
          <w:highlight w:val="none"/>
          <w14:textFill>
            <w14:solidFill>
              <w14:schemeClr w14:val="tx1"/>
            </w14:solidFill>
          </w14:textFill>
        </w:rPr>
        <w:t>具体内容详见施工图设计及工程量清单。</w:t>
      </w:r>
    </w:p>
    <w:p w14:paraId="76C52B1B">
      <w:pPr>
        <w:kinsoku w:val="0"/>
        <w:spacing w:line="360" w:lineRule="auto"/>
        <w:ind w:firstLine="420" w:firstLineChars="200"/>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7.</w:t>
      </w:r>
      <w:r>
        <w:rPr>
          <w:rFonts w:hint="eastAsia" w:ascii="宋体" w:hAnsi="宋体" w:cs="宋体"/>
          <w:color w:val="000000" w:themeColor="text1"/>
          <w:highlight w:val="none"/>
          <w14:textFill>
            <w14:solidFill>
              <w14:schemeClr w14:val="tx1"/>
            </w14:solidFill>
          </w14:textFill>
        </w:rPr>
        <w:t>采购项目最高限价（人民币）：3914122.00元。</w:t>
      </w:r>
    </w:p>
    <w:p w14:paraId="2946D56C">
      <w:pPr>
        <w:adjustRightInd w:val="0"/>
        <w:snapToGrid w:val="0"/>
        <w:spacing w:line="360" w:lineRule="auto"/>
        <w:ind w:firstLine="420" w:firstLineChars="200"/>
        <w:rPr>
          <w:rFonts w:ascii="Calibri" w:hAnsi="Calibri" w:cs="Calibri"/>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8.</w:t>
      </w:r>
      <w:r>
        <w:rPr>
          <w:rFonts w:hint="eastAsia" w:cs="宋体"/>
          <w:color w:val="000000" w:themeColor="text1"/>
          <w:highlight w:val="none"/>
          <w14:textFill>
            <w14:solidFill>
              <w14:schemeClr w14:val="tx1"/>
            </w14:solidFill>
          </w14:textFill>
        </w:rPr>
        <w:t>踏勘现场：</w:t>
      </w:r>
      <w:r>
        <w:rPr>
          <w:rFonts w:hint="eastAsia" w:ascii="Calibri" w:hAnsi="Calibri" w:cs="宋体"/>
          <w:color w:val="000000" w:themeColor="text1"/>
          <w:highlight w:val="none"/>
          <w14:textFill>
            <w14:solidFill>
              <w14:schemeClr w14:val="tx1"/>
            </w14:solidFill>
          </w14:textFill>
        </w:rPr>
        <w:t>不组织。</w:t>
      </w:r>
    </w:p>
    <w:p w14:paraId="1C73A920">
      <w:pPr>
        <w:kinsoku w:val="0"/>
        <w:spacing w:line="360" w:lineRule="auto"/>
        <w:ind w:firstLine="420" w:firstLineChars="200"/>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9</w:t>
      </w:r>
      <w:r>
        <w:rPr>
          <w:rFonts w:ascii="宋体" w:cs="宋体"/>
          <w:color w:val="000000" w:themeColor="text1"/>
          <w:highlight w:val="none"/>
          <w14:textFill>
            <w14:solidFill>
              <w14:schemeClr w14:val="tx1"/>
            </w14:solidFill>
          </w14:textFill>
        </w:rPr>
        <w:t>.</w:t>
      </w:r>
      <w:r>
        <w:rPr>
          <w:rFonts w:hint="eastAsia" w:ascii="宋体" w:hAnsi="宋体" w:cs="宋体"/>
          <w:color w:val="000000" w:themeColor="text1"/>
          <w:highlight w:val="none"/>
          <w14:textFill>
            <w14:solidFill>
              <w14:schemeClr w14:val="tx1"/>
            </w14:solidFill>
          </w14:textFill>
        </w:rPr>
        <w:t>本项目所属行业为：建筑业。</w:t>
      </w:r>
    </w:p>
    <w:p w14:paraId="59066588">
      <w:pPr>
        <w:kinsoku w:val="0"/>
        <w:spacing w:line="360" w:lineRule="auto"/>
        <w:jc w:val="center"/>
        <w:rPr>
          <w:rFonts w:ascii="宋体"/>
          <w:b/>
          <w:bCs/>
          <w:color w:val="000000" w:themeColor="text1"/>
          <w:highlight w:val="none"/>
          <w14:textFill>
            <w14:solidFill>
              <w14:schemeClr w14:val="tx1"/>
            </w14:solidFill>
          </w14:textFill>
        </w:rPr>
      </w:pPr>
      <w:bookmarkStart w:id="35" w:name="_Toc105009995"/>
      <w:bookmarkStart w:id="36" w:name="_Toc30623"/>
      <w:bookmarkStart w:id="37" w:name="_Toc129015962"/>
    </w:p>
    <w:p w14:paraId="044270B6">
      <w:pPr>
        <w:spacing w:before="114" w:line="225" w:lineRule="auto"/>
        <w:ind w:left="2813"/>
        <w:outlineLvl w:val="1"/>
        <w:rPr>
          <w:rFonts w:ascii="黑体" w:hAnsi="黑体" w:eastAsia="黑体" w:cs="黑体"/>
          <w:color w:val="000000" w:themeColor="text1"/>
          <w:sz w:val="35"/>
          <w:szCs w:val="35"/>
          <w:highlight w:val="none"/>
          <w14:textFill>
            <w14:solidFill>
              <w14:schemeClr w14:val="tx1"/>
            </w14:solidFill>
          </w14:textFill>
        </w:rPr>
      </w:pPr>
      <w:bookmarkStart w:id="38" w:name="_Toc3845"/>
      <w:r>
        <w:rPr>
          <w:rFonts w:hint="eastAsia" w:ascii="宋体" w:hAnsi="宋体" w:cs="宋体"/>
          <w:b/>
          <w:bCs/>
          <w:color w:val="000000" w:themeColor="text1"/>
          <w:sz w:val="32"/>
          <w:szCs w:val="32"/>
          <w:highlight w:val="none"/>
          <w14:textFill>
            <w14:solidFill>
              <w14:schemeClr w14:val="tx1"/>
            </w14:solidFill>
          </w14:textFill>
        </w:rPr>
        <w:t>二、</w:t>
      </w:r>
      <w:bookmarkEnd w:id="35"/>
      <w:bookmarkEnd w:id="36"/>
      <w:bookmarkEnd w:id="37"/>
      <w:bookmarkStart w:id="39" w:name="_Toc129015966"/>
      <w:r>
        <w:rPr>
          <w:rFonts w:hint="eastAsia" w:ascii="黑体" w:hAnsi="黑体" w:eastAsia="黑体" w:cs="黑体"/>
          <w:color w:val="000000" w:themeColor="text1"/>
          <w:spacing w:val="7"/>
          <w:sz w:val="35"/>
          <w:szCs w:val="35"/>
          <w:highlight w:val="none"/>
          <w14:textFill>
            <w14:solidFill>
              <w14:schemeClr w14:val="tx1"/>
            </w14:solidFill>
          </w14:textFill>
        </w:rPr>
        <w:t>工程量清单</w:t>
      </w:r>
      <w:bookmarkEnd w:id="38"/>
    </w:p>
    <w:p w14:paraId="5B5E07CE">
      <w:pPr>
        <w:spacing w:before="254" w:line="218" w:lineRule="auto"/>
        <w:ind w:left="487"/>
        <w:outlineLvl w:val="2"/>
        <w:rPr>
          <w:rFonts w:ascii="宋体" w:hAnsi="宋体" w:cs="宋体"/>
          <w:color w:val="000000" w:themeColor="text1"/>
          <w:sz w:val="21"/>
          <w:szCs w:val="21"/>
          <w:highlight w:val="none"/>
          <w14:textFill>
            <w14:solidFill>
              <w14:schemeClr w14:val="tx1"/>
            </w14:solidFill>
          </w14:textFill>
        </w:rPr>
      </w:pPr>
      <w:bookmarkStart w:id="40" w:name="bookmark254"/>
      <w:bookmarkEnd w:id="40"/>
      <w:bookmarkStart w:id="41" w:name="_Toc18119"/>
      <w:r>
        <w:rPr>
          <w:rFonts w:eastAsia="Times New Roman"/>
          <w:b/>
          <w:bCs/>
          <w:color w:val="000000" w:themeColor="text1"/>
          <w:spacing w:val="-3"/>
          <w:sz w:val="21"/>
          <w:szCs w:val="21"/>
          <w:highlight w:val="none"/>
          <w14:textFill>
            <w14:solidFill>
              <w14:schemeClr w14:val="tx1"/>
            </w14:solidFill>
          </w14:textFill>
        </w:rPr>
        <w:t xml:space="preserve">1.  </w:t>
      </w:r>
      <w:r>
        <w:rPr>
          <w:rFonts w:hint="eastAsia" w:ascii="宋体" w:hAnsi="宋体" w:cs="宋体"/>
          <w:b/>
          <w:bCs/>
          <w:color w:val="000000" w:themeColor="text1"/>
          <w:spacing w:val="-3"/>
          <w:sz w:val="21"/>
          <w:szCs w:val="21"/>
          <w:highlight w:val="none"/>
          <w14:textFill>
            <w14:solidFill>
              <w14:schemeClr w14:val="tx1"/>
            </w14:solidFill>
          </w14:textFill>
        </w:rPr>
        <w:t>工程量清单说明</w:t>
      </w:r>
      <w:bookmarkEnd w:id="41"/>
    </w:p>
    <w:p w14:paraId="74788FA4">
      <w:pPr>
        <w:spacing w:before="271" w:line="283" w:lineRule="auto"/>
        <w:ind w:left="1" w:firstLine="557"/>
        <w:rPr>
          <w:rFonts w:ascii="宋体" w:hAnsi="宋体" w:cs="宋体"/>
          <w:color w:val="000000" w:themeColor="text1"/>
          <w:sz w:val="21"/>
          <w:szCs w:val="21"/>
          <w:highlight w:val="none"/>
          <w14:textFill>
            <w14:solidFill>
              <w14:schemeClr w14:val="tx1"/>
            </w14:solidFill>
          </w14:textFill>
        </w:rPr>
      </w:pPr>
      <w:r>
        <w:rPr>
          <w:rFonts w:eastAsia="Times New Roman"/>
          <w:color w:val="000000" w:themeColor="text1"/>
          <w:sz w:val="21"/>
          <w:szCs w:val="21"/>
          <w:highlight w:val="none"/>
          <w14:textFill>
            <w14:solidFill>
              <w14:schemeClr w14:val="tx1"/>
            </w14:solidFill>
          </w14:textFill>
        </w:rPr>
        <w:t xml:space="preserve">1.1  </w:t>
      </w:r>
      <w:r>
        <w:rPr>
          <w:rFonts w:hint="eastAsia" w:ascii="宋体" w:hAnsi="宋体" w:cs="宋体"/>
          <w:color w:val="000000" w:themeColor="text1"/>
          <w:sz w:val="21"/>
          <w:szCs w:val="21"/>
          <w:highlight w:val="none"/>
          <w14:textFill>
            <w14:solidFill>
              <w14:schemeClr w14:val="tx1"/>
            </w14:solidFill>
          </w14:textFill>
        </w:rPr>
        <w:t>本工程量清单是根据养护合同中包括的有合同约束力的工程量清单计量规</w:t>
      </w:r>
      <w:r>
        <w:rPr>
          <w:rFonts w:hint="eastAsia" w:ascii="宋体" w:hAnsi="宋体" w:cs="宋体"/>
          <w:color w:val="000000" w:themeColor="text1"/>
          <w:spacing w:val="1"/>
          <w:sz w:val="21"/>
          <w:szCs w:val="21"/>
          <w:highlight w:val="none"/>
          <w14:textFill>
            <w14:solidFill>
              <w14:schemeClr w14:val="tx1"/>
            </w14:solidFill>
          </w14:textFill>
        </w:rPr>
        <w:t>则、图纸以及有关工程量清单的国家标准、行业标准、</w:t>
      </w:r>
      <w:r>
        <w:rPr>
          <w:rFonts w:hint="eastAsia" w:ascii="宋体" w:hAnsi="宋体" w:cs="宋体"/>
          <w:color w:val="000000" w:themeColor="text1"/>
          <w:sz w:val="21"/>
          <w:szCs w:val="21"/>
          <w:highlight w:val="none"/>
          <w14:textFill>
            <w14:solidFill>
              <w14:schemeClr w14:val="tx1"/>
            </w14:solidFill>
          </w14:textFill>
        </w:rPr>
        <w:t>合同条款中约定的工程量计</w:t>
      </w:r>
      <w:r>
        <w:rPr>
          <w:rFonts w:hint="eastAsia" w:ascii="宋体" w:hAnsi="宋体" w:cs="宋体"/>
          <w:color w:val="000000" w:themeColor="text1"/>
          <w:spacing w:val="1"/>
          <w:sz w:val="21"/>
          <w:szCs w:val="21"/>
          <w:highlight w:val="none"/>
          <w14:textFill>
            <w14:solidFill>
              <w14:schemeClr w14:val="tx1"/>
            </w14:solidFill>
          </w14:textFill>
        </w:rPr>
        <w:t>算规则编制。约定计量规则中没有的子目，其工程量按</w:t>
      </w:r>
      <w:r>
        <w:rPr>
          <w:rFonts w:hint="eastAsia" w:ascii="宋体" w:hAnsi="宋体" w:cs="宋体"/>
          <w:color w:val="000000" w:themeColor="text1"/>
          <w:sz w:val="21"/>
          <w:szCs w:val="21"/>
          <w:highlight w:val="none"/>
          <w14:textFill>
            <w14:solidFill>
              <w14:schemeClr w14:val="tx1"/>
            </w14:solidFill>
          </w14:textFill>
        </w:rPr>
        <w:t>照有合同约束力的图纸所标</w:t>
      </w:r>
      <w:r>
        <w:rPr>
          <w:rFonts w:hint="eastAsia" w:ascii="宋体" w:hAnsi="宋体" w:cs="宋体"/>
          <w:color w:val="000000" w:themeColor="text1"/>
          <w:spacing w:val="-1"/>
          <w:sz w:val="21"/>
          <w:szCs w:val="21"/>
          <w:highlight w:val="none"/>
          <w14:textFill>
            <w14:solidFill>
              <w14:schemeClr w14:val="tx1"/>
            </w14:solidFill>
          </w14:textFill>
        </w:rPr>
        <w:t>示尺寸的理论净量计算。计量采用中华人民共和国法定计量单位。</w:t>
      </w:r>
    </w:p>
    <w:p w14:paraId="37AD06A1">
      <w:pPr>
        <w:spacing w:before="116" w:line="264" w:lineRule="auto"/>
        <w:ind w:left="2" w:right="2" w:firstLine="556"/>
        <w:rPr>
          <w:rFonts w:ascii="宋体" w:hAnsi="宋体" w:cs="宋体"/>
          <w:color w:val="000000" w:themeColor="text1"/>
          <w:sz w:val="21"/>
          <w:szCs w:val="21"/>
          <w:highlight w:val="none"/>
          <w14:textFill>
            <w14:solidFill>
              <w14:schemeClr w14:val="tx1"/>
            </w14:solidFill>
          </w14:textFill>
        </w:rPr>
      </w:pPr>
      <w:r>
        <w:rPr>
          <w:rFonts w:eastAsia="Times New Roman"/>
          <w:color w:val="000000" w:themeColor="text1"/>
          <w:sz w:val="21"/>
          <w:szCs w:val="21"/>
          <w:highlight w:val="none"/>
          <w14:textFill>
            <w14:solidFill>
              <w14:schemeClr w14:val="tx1"/>
            </w14:solidFill>
          </w14:textFill>
        </w:rPr>
        <w:t xml:space="preserve">1.2  </w:t>
      </w:r>
      <w:r>
        <w:rPr>
          <w:rFonts w:hint="eastAsia" w:ascii="宋体" w:hAnsi="宋体" w:cs="宋体"/>
          <w:color w:val="000000" w:themeColor="text1"/>
          <w:sz w:val="21"/>
          <w:szCs w:val="21"/>
          <w:highlight w:val="none"/>
          <w14:textFill>
            <w14:solidFill>
              <w14:schemeClr w14:val="tx1"/>
            </w14:solidFill>
          </w14:textFill>
        </w:rPr>
        <w:t>本工程量清单应与磋商文件中的供应商须知（如有）、通用合同条款、专用合同条款、工程量清单计量规则、技术规</w:t>
      </w:r>
      <w:r>
        <w:rPr>
          <w:rFonts w:hint="eastAsia" w:ascii="宋体" w:hAnsi="宋体" w:cs="宋体"/>
          <w:color w:val="000000" w:themeColor="text1"/>
          <w:spacing w:val="-1"/>
          <w:sz w:val="21"/>
          <w:szCs w:val="21"/>
          <w:highlight w:val="none"/>
          <w14:textFill>
            <w14:solidFill>
              <w14:schemeClr w14:val="tx1"/>
            </w14:solidFill>
          </w14:textFill>
        </w:rPr>
        <w:t>范及图纸等一起阅读和理解。</w:t>
      </w:r>
    </w:p>
    <w:p w14:paraId="4B5288D4">
      <w:pPr>
        <w:spacing w:before="114" w:line="292" w:lineRule="auto"/>
        <w:ind w:firstLine="559"/>
        <w:rPr>
          <w:rFonts w:ascii="宋体" w:hAnsi="宋体" w:cs="宋体"/>
          <w:color w:val="000000" w:themeColor="text1"/>
          <w:sz w:val="21"/>
          <w:szCs w:val="21"/>
          <w:highlight w:val="none"/>
          <w14:textFill>
            <w14:solidFill>
              <w14:schemeClr w14:val="tx1"/>
            </w14:solidFill>
          </w14:textFill>
        </w:rPr>
      </w:pPr>
      <w:r>
        <w:rPr>
          <w:rFonts w:eastAsia="Times New Roman"/>
          <w:color w:val="000000" w:themeColor="text1"/>
          <w:sz w:val="21"/>
          <w:szCs w:val="21"/>
          <w:highlight w:val="none"/>
          <w14:textFill>
            <w14:solidFill>
              <w14:schemeClr w14:val="tx1"/>
            </w14:solidFill>
          </w14:textFill>
        </w:rPr>
        <w:t xml:space="preserve">1.3  </w:t>
      </w:r>
      <w:r>
        <w:rPr>
          <w:rFonts w:hint="eastAsia" w:ascii="宋体" w:hAnsi="宋体" w:cs="宋体"/>
          <w:color w:val="000000" w:themeColor="text1"/>
          <w:sz w:val="21"/>
          <w:szCs w:val="21"/>
          <w:highlight w:val="none"/>
          <w14:textFill>
            <w14:solidFill>
              <w14:schemeClr w14:val="tx1"/>
            </w14:solidFill>
          </w14:textFill>
        </w:rPr>
        <w:t>本工程量清单中所列工程数量是估算的或设计的预计数量，仅作为报价的</w:t>
      </w:r>
      <w:r>
        <w:rPr>
          <w:rFonts w:hint="eastAsia" w:ascii="宋体" w:hAnsi="宋体" w:cs="宋体"/>
          <w:color w:val="000000" w:themeColor="text1"/>
          <w:spacing w:val="1"/>
          <w:sz w:val="21"/>
          <w:szCs w:val="21"/>
          <w:highlight w:val="none"/>
          <w14:textFill>
            <w14:solidFill>
              <w14:schemeClr w14:val="tx1"/>
            </w14:solidFill>
          </w14:textFill>
        </w:rPr>
        <w:t>共同基础，不能作为最终结算与支付的依据。实际支付应按</w:t>
      </w:r>
      <w:r>
        <w:rPr>
          <w:rFonts w:hint="eastAsia" w:ascii="宋体" w:hAnsi="宋体" w:cs="宋体"/>
          <w:color w:val="000000" w:themeColor="text1"/>
          <w:sz w:val="21"/>
          <w:szCs w:val="21"/>
          <w:highlight w:val="none"/>
          <w14:textFill>
            <w14:solidFill>
              <w14:schemeClr w14:val="tx1"/>
            </w14:solidFill>
          </w14:textFill>
        </w:rPr>
        <w:t>实际完成的工程量，由</w:t>
      </w:r>
      <w:r>
        <w:rPr>
          <w:rFonts w:hint="eastAsia" w:ascii="宋体" w:hAnsi="宋体" w:cs="宋体"/>
          <w:color w:val="000000" w:themeColor="text1"/>
          <w:spacing w:val="1"/>
          <w:sz w:val="21"/>
          <w:szCs w:val="21"/>
          <w:highlight w:val="none"/>
          <w14:textFill>
            <w14:solidFill>
              <w14:schemeClr w14:val="tx1"/>
            </w14:solidFill>
          </w14:textFill>
        </w:rPr>
        <w:t>承包人按工程量清单计量规则约定的计量方法，以咨询人（</w:t>
      </w:r>
      <w:r>
        <w:rPr>
          <w:rFonts w:hint="eastAsia" w:ascii="宋体" w:hAnsi="宋体" w:cs="宋体"/>
          <w:color w:val="000000" w:themeColor="text1"/>
          <w:sz w:val="21"/>
          <w:szCs w:val="21"/>
          <w:highlight w:val="none"/>
          <w14:textFill>
            <w14:solidFill>
              <w14:schemeClr w14:val="tx1"/>
            </w14:solidFill>
          </w14:textFill>
        </w:rPr>
        <w:t>或称监理人，下同）认</w:t>
      </w:r>
      <w:r>
        <w:rPr>
          <w:rFonts w:hint="eastAsia" w:ascii="宋体" w:hAnsi="宋体" w:cs="宋体"/>
          <w:color w:val="000000" w:themeColor="text1"/>
          <w:spacing w:val="1"/>
          <w:sz w:val="21"/>
          <w:szCs w:val="21"/>
          <w:highlight w:val="none"/>
          <w14:textFill>
            <w14:solidFill>
              <w14:schemeClr w14:val="tx1"/>
            </w14:solidFill>
          </w14:textFill>
        </w:rPr>
        <w:t>可的尺寸、断面计量，按本工程量清单的单价和总额价计算</w:t>
      </w:r>
      <w:r>
        <w:rPr>
          <w:rFonts w:hint="eastAsia" w:ascii="宋体" w:hAnsi="宋体" w:cs="宋体"/>
          <w:color w:val="000000" w:themeColor="text1"/>
          <w:sz w:val="21"/>
          <w:szCs w:val="21"/>
          <w:highlight w:val="none"/>
          <w14:textFill>
            <w14:solidFill>
              <w14:schemeClr w14:val="tx1"/>
            </w14:solidFill>
          </w14:textFill>
        </w:rPr>
        <w:t>支付金额；或者，根据</w:t>
      </w:r>
      <w:r>
        <w:rPr>
          <w:rFonts w:hint="eastAsia" w:ascii="宋体" w:hAnsi="宋体" w:cs="宋体"/>
          <w:color w:val="000000" w:themeColor="text1"/>
          <w:spacing w:val="4"/>
          <w:sz w:val="21"/>
          <w:szCs w:val="21"/>
          <w:highlight w:val="none"/>
          <w14:textFill>
            <w14:solidFill>
              <w14:schemeClr w14:val="tx1"/>
            </w14:solidFill>
          </w14:textFill>
        </w:rPr>
        <w:t>具体情况，按合同条款第</w:t>
      </w:r>
      <w:r>
        <w:rPr>
          <w:rFonts w:hint="eastAsia" w:ascii="宋体" w:hAnsi="宋体" w:cs="宋体"/>
          <w:color w:val="000000" w:themeColor="text1"/>
          <w:spacing w:val="-8"/>
          <w:sz w:val="21"/>
          <w:szCs w:val="21"/>
          <w:highlight w:val="none"/>
          <w14:textFill>
            <w14:solidFill>
              <w14:schemeClr w14:val="tx1"/>
            </w14:solidFill>
          </w14:textFill>
        </w:rPr>
        <w:t xml:space="preserve"> </w:t>
      </w:r>
      <w:r>
        <w:rPr>
          <w:rFonts w:eastAsia="Times New Roman"/>
          <w:color w:val="000000" w:themeColor="text1"/>
          <w:spacing w:val="4"/>
          <w:sz w:val="21"/>
          <w:szCs w:val="21"/>
          <w:highlight w:val="none"/>
          <w14:textFill>
            <w14:solidFill>
              <w14:schemeClr w14:val="tx1"/>
            </w14:solidFill>
          </w14:textFill>
        </w:rPr>
        <w:t xml:space="preserve">15.4 </w:t>
      </w:r>
      <w:r>
        <w:rPr>
          <w:rFonts w:hint="eastAsia" w:ascii="宋体" w:hAnsi="宋体" w:cs="宋体"/>
          <w:color w:val="000000" w:themeColor="text1"/>
          <w:spacing w:val="4"/>
          <w:sz w:val="21"/>
          <w:szCs w:val="21"/>
          <w:highlight w:val="none"/>
          <w14:textFill>
            <w14:solidFill>
              <w14:schemeClr w14:val="tx1"/>
            </w14:solidFill>
          </w14:textFill>
        </w:rPr>
        <w:t>款的约定，由咨询人确定的单价或总额价计算支付</w:t>
      </w:r>
      <w:r>
        <w:rPr>
          <w:rFonts w:hint="eastAsia" w:ascii="宋体" w:hAnsi="宋体" w:cs="宋体"/>
          <w:color w:val="000000" w:themeColor="text1"/>
          <w:spacing w:val="-5"/>
          <w:sz w:val="21"/>
          <w:szCs w:val="21"/>
          <w:highlight w:val="none"/>
          <w14:textFill>
            <w14:solidFill>
              <w14:schemeClr w14:val="tx1"/>
            </w14:solidFill>
          </w14:textFill>
        </w:rPr>
        <w:t>额。</w:t>
      </w:r>
    </w:p>
    <w:p w14:paraId="5A625B82">
      <w:pPr>
        <w:spacing w:before="111" w:line="285" w:lineRule="auto"/>
        <w:ind w:firstLine="558"/>
        <w:rPr>
          <w:rFonts w:ascii="宋体" w:hAnsi="宋体" w:cs="宋体"/>
          <w:color w:val="000000" w:themeColor="text1"/>
          <w:sz w:val="21"/>
          <w:szCs w:val="21"/>
          <w:highlight w:val="none"/>
          <w14:textFill>
            <w14:solidFill>
              <w14:schemeClr w14:val="tx1"/>
            </w14:solidFill>
          </w14:textFill>
        </w:rPr>
      </w:pPr>
      <w:r>
        <w:rPr>
          <w:rFonts w:eastAsia="Times New Roman"/>
          <w:color w:val="000000" w:themeColor="text1"/>
          <w:spacing w:val="-1"/>
          <w:sz w:val="21"/>
          <w:szCs w:val="21"/>
          <w:highlight w:val="none"/>
          <w14:textFill>
            <w14:solidFill>
              <w14:schemeClr w14:val="tx1"/>
            </w14:solidFill>
          </w14:textFill>
        </w:rPr>
        <w:t xml:space="preserve">1.4  </w:t>
      </w:r>
      <w:r>
        <w:rPr>
          <w:rFonts w:hint="eastAsia" w:ascii="宋体" w:hAnsi="宋体" w:cs="宋体"/>
          <w:color w:val="000000" w:themeColor="text1"/>
          <w:spacing w:val="-1"/>
          <w:sz w:val="21"/>
          <w:szCs w:val="21"/>
          <w:highlight w:val="none"/>
          <w14:textFill>
            <w14:solidFill>
              <w14:schemeClr w14:val="tx1"/>
            </w14:solidFill>
          </w14:textFill>
        </w:rPr>
        <w:t>工程量清单各章是按 “工程量清单计量规则</w:t>
      </w:r>
      <w:r>
        <w:rPr>
          <w:rFonts w:hint="eastAsia" w:ascii="宋体" w:hAnsi="宋体" w:cs="宋体"/>
          <w:color w:val="000000" w:themeColor="text1"/>
          <w:spacing w:val="-77"/>
          <w:sz w:val="21"/>
          <w:szCs w:val="21"/>
          <w:highlight w:val="none"/>
          <w14:textFill>
            <w14:solidFill>
              <w14:schemeClr w14:val="tx1"/>
            </w14:solidFill>
          </w14:textFill>
        </w:rPr>
        <w:t xml:space="preserve"> </w:t>
      </w:r>
      <w:r>
        <w:rPr>
          <w:rFonts w:hint="eastAsia" w:ascii="宋体" w:hAnsi="宋体" w:cs="宋体"/>
          <w:color w:val="000000" w:themeColor="text1"/>
          <w:spacing w:val="-1"/>
          <w:sz w:val="21"/>
          <w:szCs w:val="21"/>
          <w:highlight w:val="none"/>
          <w14:textFill>
            <w14:solidFill>
              <w14:schemeClr w14:val="tx1"/>
            </w14:solidFill>
          </w14:textFill>
        </w:rPr>
        <w:t>”、 “技</w:t>
      </w:r>
      <w:r>
        <w:rPr>
          <w:rFonts w:hint="eastAsia" w:ascii="宋体" w:hAnsi="宋体" w:cs="宋体"/>
          <w:color w:val="000000" w:themeColor="text1"/>
          <w:sz w:val="21"/>
          <w:szCs w:val="21"/>
          <w:highlight w:val="none"/>
          <w14:textFill>
            <w14:solidFill>
              <w14:schemeClr w14:val="tx1"/>
            </w14:solidFill>
          </w14:textFill>
        </w:rPr>
        <w:t>术规范</w:t>
      </w:r>
      <w:r>
        <w:rPr>
          <w:rFonts w:hint="eastAsia" w:ascii="宋体" w:hAnsi="宋体" w:cs="宋体"/>
          <w:color w:val="000000" w:themeColor="text1"/>
          <w:spacing w:val="-88"/>
          <w:sz w:val="21"/>
          <w:szCs w:val="21"/>
          <w:highlight w:val="none"/>
          <w14:textFill>
            <w14:solidFill>
              <w14:schemeClr w14:val="tx1"/>
            </w14:solidFill>
          </w14:textFill>
        </w:rPr>
        <w:t xml:space="preserve"> </w:t>
      </w:r>
      <w:r>
        <w:rPr>
          <w:rFonts w:hint="eastAsia" w:ascii="宋体" w:hAnsi="宋体" w:cs="宋体"/>
          <w:color w:val="000000" w:themeColor="text1"/>
          <w:sz w:val="21"/>
          <w:szCs w:val="21"/>
          <w:highlight w:val="none"/>
          <w14:textFill>
            <w14:solidFill>
              <w14:schemeClr w14:val="tx1"/>
            </w14:solidFill>
          </w14:textFill>
        </w:rPr>
        <w:t>”的相应章次编号的，因此，工程量清单中各章的工程子目</w:t>
      </w:r>
      <w:r>
        <w:rPr>
          <w:rFonts w:hint="eastAsia" w:ascii="宋体" w:hAnsi="宋体" w:cs="宋体"/>
          <w:color w:val="000000" w:themeColor="text1"/>
          <w:spacing w:val="-1"/>
          <w:sz w:val="21"/>
          <w:szCs w:val="21"/>
          <w:highlight w:val="none"/>
          <w14:textFill>
            <w14:solidFill>
              <w14:schemeClr w14:val="tx1"/>
            </w14:solidFill>
          </w14:textFill>
        </w:rPr>
        <w:t>的范围与计量等应与“工程量清单计量规则</w:t>
      </w:r>
      <w:r>
        <w:rPr>
          <w:rFonts w:hint="eastAsia" w:ascii="宋体" w:hAnsi="宋体" w:cs="宋体"/>
          <w:color w:val="000000" w:themeColor="text1"/>
          <w:spacing w:val="-84"/>
          <w:sz w:val="21"/>
          <w:szCs w:val="21"/>
          <w:highlight w:val="none"/>
          <w14:textFill>
            <w14:solidFill>
              <w14:schemeClr w14:val="tx1"/>
            </w14:solidFill>
          </w14:textFill>
        </w:rPr>
        <w:t xml:space="preserve"> </w:t>
      </w:r>
      <w:r>
        <w:rPr>
          <w:rFonts w:hint="eastAsia" w:ascii="宋体" w:hAnsi="宋体" w:cs="宋体"/>
          <w:color w:val="000000" w:themeColor="text1"/>
          <w:spacing w:val="-1"/>
          <w:sz w:val="21"/>
          <w:szCs w:val="21"/>
          <w:highlight w:val="none"/>
          <w14:textFill>
            <w14:solidFill>
              <w14:schemeClr w14:val="tx1"/>
            </w14:solidFill>
          </w14:textFill>
        </w:rPr>
        <w:t>”“技术规范</w:t>
      </w:r>
      <w:r>
        <w:rPr>
          <w:rFonts w:hint="eastAsia" w:ascii="宋体" w:hAnsi="宋体" w:cs="宋体"/>
          <w:color w:val="000000" w:themeColor="text1"/>
          <w:spacing w:val="-83"/>
          <w:sz w:val="21"/>
          <w:szCs w:val="21"/>
          <w:highlight w:val="none"/>
          <w14:textFill>
            <w14:solidFill>
              <w14:schemeClr w14:val="tx1"/>
            </w14:solidFill>
          </w14:textFill>
        </w:rPr>
        <w:t xml:space="preserve"> </w:t>
      </w:r>
      <w:r>
        <w:rPr>
          <w:rFonts w:hint="eastAsia" w:ascii="宋体" w:hAnsi="宋体" w:cs="宋体"/>
          <w:color w:val="000000" w:themeColor="text1"/>
          <w:spacing w:val="-1"/>
          <w:sz w:val="21"/>
          <w:szCs w:val="21"/>
          <w:highlight w:val="none"/>
          <w14:textFill>
            <w14:solidFill>
              <w14:schemeClr w14:val="tx1"/>
            </w14:solidFill>
          </w14:textFill>
        </w:rPr>
        <w:t>”相应章节的</w:t>
      </w:r>
      <w:r>
        <w:rPr>
          <w:rFonts w:hint="eastAsia" w:ascii="宋体" w:hAnsi="宋体" w:cs="宋体"/>
          <w:color w:val="000000" w:themeColor="text1"/>
          <w:spacing w:val="-2"/>
          <w:sz w:val="21"/>
          <w:szCs w:val="21"/>
          <w:highlight w:val="none"/>
          <w14:textFill>
            <w14:solidFill>
              <w14:schemeClr w14:val="tx1"/>
            </w14:solidFill>
          </w14:textFill>
        </w:rPr>
        <w:t>范围、计量与支付条款结合起来理解或解释。</w:t>
      </w:r>
    </w:p>
    <w:p w14:paraId="21F7C1E8">
      <w:pPr>
        <w:spacing w:before="115" w:line="261" w:lineRule="auto"/>
        <w:ind w:left="2" w:right="2" w:firstLine="556"/>
        <w:rPr>
          <w:rFonts w:ascii="宋体" w:hAnsi="宋体" w:cs="宋体"/>
          <w:color w:val="000000" w:themeColor="text1"/>
          <w:sz w:val="21"/>
          <w:szCs w:val="21"/>
          <w:highlight w:val="none"/>
          <w14:textFill>
            <w14:solidFill>
              <w14:schemeClr w14:val="tx1"/>
            </w14:solidFill>
          </w14:textFill>
        </w:rPr>
      </w:pPr>
      <w:r>
        <w:rPr>
          <w:rFonts w:eastAsia="Times New Roman"/>
          <w:color w:val="000000" w:themeColor="text1"/>
          <w:sz w:val="21"/>
          <w:szCs w:val="21"/>
          <w:highlight w:val="none"/>
          <w14:textFill>
            <w14:solidFill>
              <w14:schemeClr w14:val="tx1"/>
            </w14:solidFill>
          </w14:textFill>
        </w:rPr>
        <w:t xml:space="preserve">1.5  </w:t>
      </w:r>
      <w:r>
        <w:rPr>
          <w:rFonts w:hint="eastAsia" w:ascii="宋体" w:hAnsi="宋体" w:cs="宋体"/>
          <w:color w:val="000000" w:themeColor="text1"/>
          <w:sz w:val="21"/>
          <w:szCs w:val="21"/>
          <w:highlight w:val="none"/>
          <w14:textFill>
            <w14:solidFill>
              <w14:schemeClr w14:val="tx1"/>
            </w14:solidFill>
          </w14:textFill>
        </w:rPr>
        <w:t>对作业和材料的一般说明或约定，未重复写入工程量清单内，在工程量清</w:t>
      </w:r>
      <w:r>
        <w:rPr>
          <w:rFonts w:hint="eastAsia" w:ascii="宋体" w:hAnsi="宋体" w:cs="宋体"/>
          <w:color w:val="000000" w:themeColor="text1"/>
          <w:spacing w:val="-2"/>
          <w:sz w:val="21"/>
          <w:szCs w:val="21"/>
          <w:highlight w:val="none"/>
          <w14:textFill>
            <w14:solidFill>
              <w14:schemeClr w14:val="tx1"/>
            </w14:solidFill>
          </w14:textFill>
        </w:rPr>
        <w:t>单各子目标价前，应参阅 “技术规范</w:t>
      </w:r>
      <w:r>
        <w:rPr>
          <w:rFonts w:hint="eastAsia" w:ascii="宋体" w:hAnsi="宋体" w:cs="宋体"/>
          <w:color w:val="000000" w:themeColor="text1"/>
          <w:spacing w:val="-81"/>
          <w:sz w:val="21"/>
          <w:szCs w:val="21"/>
          <w:highlight w:val="none"/>
          <w14:textFill>
            <w14:solidFill>
              <w14:schemeClr w14:val="tx1"/>
            </w14:solidFill>
          </w14:textFill>
        </w:rPr>
        <w:t xml:space="preserve"> </w:t>
      </w:r>
      <w:r>
        <w:rPr>
          <w:rFonts w:hint="eastAsia" w:ascii="宋体" w:hAnsi="宋体" w:cs="宋体"/>
          <w:color w:val="000000" w:themeColor="text1"/>
          <w:spacing w:val="-2"/>
          <w:sz w:val="21"/>
          <w:szCs w:val="21"/>
          <w:highlight w:val="none"/>
          <w14:textFill>
            <w14:solidFill>
              <w14:schemeClr w14:val="tx1"/>
            </w14:solidFill>
          </w14:textFill>
        </w:rPr>
        <w:t>”的有关内容。</w:t>
      </w:r>
    </w:p>
    <w:p w14:paraId="77EA4AEF">
      <w:pPr>
        <w:spacing w:before="115" w:line="264" w:lineRule="auto"/>
        <w:ind w:left="5" w:right="61" w:firstLine="553"/>
        <w:rPr>
          <w:rFonts w:ascii="宋体" w:hAnsi="宋体" w:cs="宋体"/>
          <w:color w:val="000000" w:themeColor="text1"/>
          <w:sz w:val="21"/>
          <w:szCs w:val="21"/>
          <w:highlight w:val="none"/>
          <w14:textFill>
            <w14:solidFill>
              <w14:schemeClr w14:val="tx1"/>
            </w14:solidFill>
          </w14:textFill>
        </w:rPr>
      </w:pPr>
      <w:r>
        <w:rPr>
          <w:rFonts w:eastAsia="Times New Roman"/>
          <w:color w:val="000000" w:themeColor="text1"/>
          <w:spacing w:val="-1"/>
          <w:sz w:val="21"/>
          <w:szCs w:val="21"/>
          <w:highlight w:val="none"/>
          <w14:textFill>
            <w14:solidFill>
              <w14:schemeClr w14:val="tx1"/>
            </w14:solidFill>
          </w14:textFill>
        </w:rPr>
        <w:t xml:space="preserve">1.6  </w:t>
      </w:r>
      <w:r>
        <w:rPr>
          <w:rFonts w:hint="eastAsia" w:ascii="宋体" w:hAnsi="宋体" w:cs="宋体"/>
          <w:color w:val="000000" w:themeColor="text1"/>
          <w:spacing w:val="-1"/>
          <w:sz w:val="21"/>
          <w:szCs w:val="21"/>
          <w:highlight w:val="none"/>
          <w14:textFill>
            <w14:solidFill>
              <w14:schemeClr w14:val="tx1"/>
            </w14:solidFill>
          </w14:textFill>
        </w:rPr>
        <w:t>工程量清单中所列工程量的变动</w:t>
      </w:r>
      <w:r>
        <w:rPr>
          <w:rFonts w:hint="eastAsia" w:ascii="宋体" w:hAnsi="宋体" w:cs="宋体"/>
          <w:color w:val="000000" w:themeColor="text1"/>
          <w:spacing w:val="-2"/>
          <w:sz w:val="21"/>
          <w:szCs w:val="21"/>
          <w:highlight w:val="none"/>
          <w14:textFill>
            <w14:solidFill>
              <w14:schemeClr w14:val="tx1"/>
            </w14:solidFill>
          </w14:textFill>
        </w:rPr>
        <w:t>，丝毫不会降低或影响合同条款的效力，</w:t>
      </w:r>
      <w:r>
        <w:rPr>
          <w:rFonts w:hint="eastAsia" w:ascii="宋体" w:hAnsi="宋体" w:cs="宋体"/>
          <w:color w:val="000000" w:themeColor="text1"/>
          <w:spacing w:val="-1"/>
          <w:sz w:val="21"/>
          <w:szCs w:val="21"/>
          <w:highlight w:val="none"/>
          <w14:textFill>
            <w14:solidFill>
              <w14:schemeClr w14:val="tx1"/>
            </w14:solidFill>
          </w14:textFill>
        </w:rPr>
        <w:t>也不免除承包人按约定的标准进行施工和修复缺陷的责任。</w:t>
      </w:r>
    </w:p>
    <w:p w14:paraId="7EF1AD12">
      <w:pPr>
        <w:spacing w:before="115" w:line="276" w:lineRule="auto"/>
        <w:ind w:left="2" w:firstLine="556"/>
        <w:rPr>
          <w:rFonts w:ascii="宋体" w:hAnsi="宋体" w:cs="宋体"/>
          <w:color w:val="000000" w:themeColor="text1"/>
          <w:sz w:val="21"/>
          <w:szCs w:val="21"/>
          <w:highlight w:val="none"/>
          <w14:textFill>
            <w14:solidFill>
              <w14:schemeClr w14:val="tx1"/>
            </w14:solidFill>
          </w14:textFill>
        </w:rPr>
      </w:pPr>
      <w:r>
        <w:rPr>
          <w:rFonts w:eastAsia="Times New Roman"/>
          <w:color w:val="000000" w:themeColor="text1"/>
          <w:spacing w:val="-1"/>
          <w:sz w:val="21"/>
          <w:szCs w:val="21"/>
          <w:highlight w:val="none"/>
          <w14:textFill>
            <w14:solidFill>
              <w14:schemeClr w14:val="tx1"/>
            </w14:solidFill>
          </w14:textFill>
        </w:rPr>
        <w:t>1.7</w:t>
      </w:r>
      <w:r>
        <w:rPr>
          <w:rFonts w:eastAsia="Times New Roman"/>
          <w:color w:val="000000" w:themeColor="text1"/>
          <w:spacing w:val="19"/>
          <w:w w:val="101"/>
          <w:sz w:val="21"/>
          <w:szCs w:val="21"/>
          <w:highlight w:val="none"/>
          <w14:textFill>
            <w14:solidFill>
              <w14:schemeClr w14:val="tx1"/>
            </w14:solidFill>
          </w14:textFill>
        </w:rPr>
        <w:t xml:space="preserve">  </w:t>
      </w:r>
      <w:r>
        <w:rPr>
          <w:rFonts w:hint="eastAsia" w:ascii="宋体" w:hAnsi="宋体" w:cs="宋体"/>
          <w:color w:val="000000" w:themeColor="text1"/>
          <w:spacing w:val="-1"/>
          <w:sz w:val="21"/>
          <w:szCs w:val="21"/>
          <w:highlight w:val="none"/>
          <w14:textFill>
            <w14:solidFill>
              <w14:schemeClr w14:val="tx1"/>
            </w14:solidFill>
          </w14:textFill>
        </w:rPr>
        <w:t>图纸中所列的工程数量表及数量汇总表仅是提供资料，不是工程量清单的</w:t>
      </w:r>
      <w:r>
        <w:rPr>
          <w:rFonts w:hint="eastAsia" w:ascii="宋体" w:hAnsi="宋体" w:cs="宋体"/>
          <w:color w:val="000000" w:themeColor="text1"/>
          <w:spacing w:val="1"/>
          <w:sz w:val="21"/>
          <w:szCs w:val="21"/>
          <w:highlight w:val="none"/>
          <w14:textFill>
            <w14:solidFill>
              <w14:schemeClr w14:val="tx1"/>
            </w14:solidFill>
          </w14:textFill>
        </w:rPr>
        <w:t>外延。当图纸与工程量清单所列数量不一致时，以工</w:t>
      </w:r>
      <w:r>
        <w:rPr>
          <w:rFonts w:hint="eastAsia" w:ascii="宋体" w:hAnsi="宋体" w:cs="宋体"/>
          <w:color w:val="000000" w:themeColor="text1"/>
          <w:sz w:val="21"/>
          <w:szCs w:val="21"/>
          <w:highlight w:val="none"/>
          <w14:textFill>
            <w14:solidFill>
              <w14:schemeClr w14:val="tx1"/>
            </w14:solidFill>
          </w14:textFill>
        </w:rPr>
        <w:t>程量清单所列数量作为报价的</w:t>
      </w:r>
      <w:r>
        <w:rPr>
          <w:rFonts w:hint="eastAsia" w:ascii="宋体" w:hAnsi="宋体" w:cs="宋体"/>
          <w:color w:val="000000" w:themeColor="text1"/>
          <w:spacing w:val="-4"/>
          <w:sz w:val="21"/>
          <w:szCs w:val="21"/>
          <w:highlight w:val="none"/>
          <w14:textFill>
            <w14:solidFill>
              <w14:schemeClr w14:val="tx1"/>
            </w14:solidFill>
          </w14:textFill>
        </w:rPr>
        <w:t>依据。</w:t>
      </w:r>
    </w:p>
    <w:p w14:paraId="5534B10D">
      <w:pPr>
        <w:spacing w:before="28" w:line="216" w:lineRule="auto"/>
        <w:ind w:left="477"/>
        <w:outlineLvl w:val="2"/>
        <w:rPr>
          <w:rFonts w:ascii="宋体" w:hAnsi="宋体" w:cs="宋体"/>
          <w:color w:val="000000" w:themeColor="text1"/>
          <w:sz w:val="21"/>
          <w:szCs w:val="21"/>
          <w:highlight w:val="none"/>
          <w14:textFill>
            <w14:solidFill>
              <w14:schemeClr w14:val="tx1"/>
            </w14:solidFill>
          </w14:textFill>
        </w:rPr>
      </w:pPr>
      <w:bookmarkStart w:id="42" w:name="bookmark114"/>
      <w:bookmarkEnd w:id="42"/>
      <w:bookmarkStart w:id="43" w:name="bookmark113"/>
      <w:bookmarkEnd w:id="43"/>
      <w:bookmarkStart w:id="44" w:name="_Toc12771"/>
      <w:r>
        <w:rPr>
          <w:rFonts w:eastAsia="Times New Roman"/>
          <w:b/>
          <w:bCs/>
          <w:color w:val="000000" w:themeColor="text1"/>
          <w:spacing w:val="-2"/>
          <w:sz w:val="21"/>
          <w:szCs w:val="21"/>
          <w:highlight w:val="none"/>
          <w14:textFill>
            <w14:solidFill>
              <w14:schemeClr w14:val="tx1"/>
            </w14:solidFill>
          </w14:textFill>
        </w:rPr>
        <w:t xml:space="preserve">2.  </w:t>
      </w:r>
      <w:r>
        <w:rPr>
          <w:rFonts w:hint="eastAsia" w:ascii="宋体" w:hAnsi="宋体" w:cs="宋体"/>
          <w:b/>
          <w:bCs/>
          <w:color w:val="000000" w:themeColor="text1"/>
          <w:spacing w:val="-2"/>
          <w:sz w:val="21"/>
          <w:szCs w:val="21"/>
          <w:highlight w:val="none"/>
          <w14:textFill>
            <w14:solidFill>
              <w14:schemeClr w14:val="tx1"/>
            </w14:solidFill>
          </w14:textFill>
        </w:rPr>
        <w:t>报价说明</w:t>
      </w:r>
      <w:bookmarkEnd w:id="44"/>
    </w:p>
    <w:p w14:paraId="573B19B4">
      <w:pPr>
        <w:spacing w:before="271" w:line="216" w:lineRule="auto"/>
        <w:ind w:left="536"/>
        <w:rPr>
          <w:rFonts w:ascii="宋体" w:hAnsi="宋体" w:cs="宋体"/>
          <w:color w:val="000000" w:themeColor="text1"/>
          <w:sz w:val="21"/>
          <w:szCs w:val="21"/>
          <w:highlight w:val="none"/>
          <w14:textFill>
            <w14:solidFill>
              <w14:schemeClr w14:val="tx1"/>
            </w14:solidFill>
          </w14:textFill>
        </w:rPr>
      </w:pPr>
      <w:r>
        <w:rPr>
          <w:rFonts w:eastAsia="Times New Roman"/>
          <w:color w:val="000000" w:themeColor="text1"/>
          <w:sz w:val="21"/>
          <w:szCs w:val="21"/>
          <w:highlight w:val="none"/>
          <w14:textFill>
            <w14:solidFill>
              <w14:schemeClr w14:val="tx1"/>
            </w14:solidFill>
          </w14:textFill>
        </w:rPr>
        <w:t xml:space="preserve">2.1  </w:t>
      </w:r>
      <w:r>
        <w:rPr>
          <w:rFonts w:hint="eastAsia" w:ascii="宋体" w:hAnsi="宋体" w:cs="宋体"/>
          <w:color w:val="000000" w:themeColor="text1"/>
          <w:sz w:val="21"/>
          <w:szCs w:val="21"/>
          <w:highlight w:val="none"/>
          <w14:textFill>
            <w14:solidFill>
              <w14:schemeClr w14:val="tx1"/>
            </w14:solidFill>
          </w14:textFill>
        </w:rPr>
        <w:t>工程量清单中的每一子目须填入单价或价格，且只允</w:t>
      </w:r>
      <w:r>
        <w:rPr>
          <w:rFonts w:hint="eastAsia" w:ascii="宋体" w:hAnsi="宋体" w:cs="宋体"/>
          <w:color w:val="000000" w:themeColor="text1"/>
          <w:spacing w:val="-1"/>
          <w:sz w:val="21"/>
          <w:szCs w:val="21"/>
          <w:highlight w:val="none"/>
          <w14:textFill>
            <w14:solidFill>
              <w14:schemeClr w14:val="tx1"/>
            </w14:solidFill>
          </w14:textFill>
        </w:rPr>
        <w:t>许有一个报价。</w:t>
      </w:r>
    </w:p>
    <w:p w14:paraId="28819121">
      <w:pPr>
        <w:spacing w:before="116" w:line="285" w:lineRule="auto"/>
        <w:ind w:firstLine="536"/>
        <w:rPr>
          <w:rFonts w:ascii="宋体" w:hAnsi="宋体" w:cs="宋体"/>
          <w:color w:val="000000" w:themeColor="text1"/>
          <w:sz w:val="21"/>
          <w:szCs w:val="21"/>
          <w:highlight w:val="none"/>
          <w14:textFill>
            <w14:solidFill>
              <w14:schemeClr w14:val="tx1"/>
            </w14:solidFill>
          </w14:textFill>
        </w:rPr>
      </w:pPr>
      <w:r>
        <w:rPr>
          <w:rFonts w:eastAsia="Times New Roman"/>
          <w:color w:val="000000" w:themeColor="text1"/>
          <w:spacing w:val="1"/>
          <w:sz w:val="21"/>
          <w:szCs w:val="21"/>
          <w:highlight w:val="none"/>
          <w14:textFill>
            <w14:solidFill>
              <w14:schemeClr w14:val="tx1"/>
            </w14:solidFill>
          </w14:textFill>
        </w:rPr>
        <w:t xml:space="preserve">2.2  </w:t>
      </w:r>
      <w:r>
        <w:rPr>
          <w:rFonts w:hint="eastAsia" w:ascii="宋体" w:hAnsi="宋体" w:cs="宋体"/>
          <w:color w:val="000000" w:themeColor="text1"/>
          <w:spacing w:val="1"/>
          <w:sz w:val="21"/>
          <w:szCs w:val="21"/>
          <w:highlight w:val="none"/>
          <w14:textFill>
            <w14:solidFill>
              <w14:schemeClr w14:val="tx1"/>
            </w14:solidFill>
          </w14:textFill>
        </w:rPr>
        <w:t>除非合同另有约定，工程量清单中有标价的单价和</w:t>
      </w:r>
      <w:r>
        <w:rPr>
          <w:rFonts w:hint="eastAsia" w:ascii="宋体" w:hAnsi="宋体" w:cs="宋体"/>
          <w:color w:val="000000" w:themeColor="text1"/>
          <w:sz w:val="21"/>
          <w:szCs w:val="21"/>
          <w:highlight w:val="none"/>
          <w14:textFill>
            <w14:solidFill>
              <w14:schemeClr w14:val="tx1"/>
            </w14:solidFill>
          </w14:textFill>
        </w:rPr>
        <w:t>总额价均已包括了为实</w:t>
      </w:r>
      <w:r>
        <w:rPr>
          <w:rFonts w:hint="eastAsia" w:ascii="宋体" w:hAnsi="宋体" w:cs="宋体"/>
          <w:color w:val="000000" w:themeColor="text1"/>
          <w:spacing w:val="1"/>
          <w:sz w:val="21"/>
          <w:szCs w:val="21"/>
          <w:highlight w:val="none"/>
          <w14:textFill>
            <w14:solidFill>
              <w14:schemeClr w14:val="tx1"/>
            </w14:solidFill>
          </w14:textFill>
        </w:rPr>
        <w:t>施和完成合同工程所需的人工费、材料费、施工机具使用费</w:t>
      </w:r>
      <w:r>
        <w:rPr>
          <w:rFonts w:hint="eastAsia" w:ascii="宋体" w:hAnsi="宋体" w:cs="宋体"/>
          <w:color w:val="000000" w:themeColor="text1"/>
          <w:sz w:val="21"/>
          <w:szCs w:val="21"/>
          <w:highlight w:val="none"/>
          <w14:textFill>
            <w14:solidFill>
              <w14:schemeClr w14:val="tx1"/>
            </w14:solidFill>
          </w14:textFill>
        </w:rPr>
        <w:t>、企业管理费、利润、</w:t>
      </w:r>
      <w:r>
        <w:rPr>
          <w:rFonts w:hint="eastAsia" w:ascii="宋体" w:hAnsi="宋体" w:cs="宋体"/>
          <w:color w:val="000000" w:themeColor="text1"/>
          <w:spacing w:val="1"/>
          <w:sz w:val="21"/>
          <w:szCs w:val="21"/>
          <w:highlight w:val="none"/>
          <w14:textFill>
            <w14:solidFill>
              <w14:schemeClr w14:val="tx1"/>
            </w14:solidFill>
          </w14:textFill>
        </w:rPr>
        <w:t>规费、税金、缺陷修复费等，以及合同明示或暗示的所有责</w:t>
      </w:r>
      <w:r>
        <w:rPr>
          <w:rFonts w:hint="eastAsia" w:ascii="宋体" w:hAnsi="宋体" w:cs="宋体"/>
          <w:color w:val="000000" w:themeColor="text1"/>
          <w:sz w:val="21"/>
          <w:szCs w:val="21"/>
          <w:highlight w:val="none"/>
          <w14:textFill>
            <w14:solidFill>
              <w14:schemeClr w14:val="tx1"/>
            </w14:solidFill>
          </w14:textFill>
        </w:rPr>
        <w:t>任、义务和一般风险所</w:t>
      </w:r>
      <w:r>
        <w:rPr>
          <w:rFonts w:hint="eastAsia" w:ascii="宋体" w:hAnsi="宋体" w:cs="宋体"/>
          <w:color w:val="000000" w:themeColor="text1"/>
          <w:spacing w:val="-2"/>
          <w:sz w:val="21"/>
          <w:szCs w:val="21"/>
          <w:highlight w:val="none"/>
          <w14:textFill>
            <w14:solidFill>
              <w14:schemeClr w14:val="tx1"/>
            </w14:solidFill>
          </w14:textFill>
        </w:rPr>
        <w:t>引起的费用。</w:t>
      </w:r>
    </w:p>
    <w:p w14:paraId="1CDC25D1">
      <w:pPr>
        <w:spacing w:before="115" w:line="261" w:lineRule="auto"/>
        <w:ind w:left="3" w:firstLine="532"/>
        <w:rPr>
          <w:rFonts w:ascii="宋体" w:hAnsi="宋体" w:cs="宋体"/>
          <w:color w:val="000000" w:themeColor="text1"/>
          <w:sz w:val="21"/>
          <w:szCs w:val="21"/>
          <w:highlight w:val="none"/>
          <w14:textFill>
            <w14:solidFill>
              <w14:schemeClr w14:val="tx1"/>
            </w14:solidFill>
          </w14:textFill>
        </w:rPr>
      </w:pPr>
      <w:r>
        <w:rPr>
          <w:rFonts w:eastAsia="Times New Roman"/>
          <w:color w:val="000000" w:themeColor="text1"/>
          <w:spacing w:val="1"/>
          <w:sz w:val="21"/>
          <w:szCs w:val="21"/>
          <w:highlight w:val="none"/>
          <w14:textFill>
            <w14:solidFill>
              <w14:schemeClr w14:val="tx1"/>
            </w14:solidFill>
          </w14:textFill>
        </w:rPr>
        <w:t xml:space="preserve">2.3  </w:t>
      </w:r>
      <w:r>
        <w:rPr>
          <w:rFonts w:hint="eastAsia" w:ascii="宋体" w:hAnsi="宋体" w:cs="宋体"/>
          <w:color w:val="000000" w:themeColor="text1"/>
          <w:spacing w:val="1"/>
          <w:sz w:val="21"/>
          <w:szCs w:val="21"/>
          <w:highlight w:val="none"/>
          <w14:textFill>
            <w14:solidFill>
              <w14:schemeClr w14:val="tx1"/>
            </w14:solidFill>
          </w14:textFill>
        </w:rPr>
        <w:t>工程量清单中供应商（或承包人）没有填入单价或</w:t>
      </w:r>
      <w:r>
        <w:rPr>
          <w:rFonts w:hint="eastAsia" w:ascii="宋体" w:hAnsi="宋体" w:cs="宋体"/>
          <w:color w:val="000000" w:themeColor="text1"/>
          <w:sz w:val="21"/>
          <w:szCs w:val="21"/>
          <w:highlight w:val="none"/>
          <w14:textFill>
            <w14:solidFill>
              <w14:schemeClr w14:val="tx1"/>
            </w14:solidFill>
          </w14:textFill>
        </w:rPr>
        <w:t>价格的子目，其费用视</w:t>
      </w:r>
      <w:r>
        <w:rPr>
          <w:rFonts w:hint="eastAsia" w:ascii="宋体" w:hAnsi="宋体" w:cs="宋体"/>
          <w:color w:val="000000" w:themeColor="text1"/>
          <w:spacing w:val="1"/>
          <w:sz w:val="21"/>
          <w:szCs w:val="21"/>
          <w:highlight w:val="none"/>
          <w14:textFill>
            <w14:solidFill>
              <w14:schemeClr w14:val="tx1"/>
            </w14:solidFill>
          </w14:textFill>
        </w:rPr>
        <w:t>为已分摊在工程量清单中其他相关子目的单价或价</w:t>
      </w:r>
      <w:r>
        <w:rPr>
          <w:rFonts w:hint="eastAsia" w:ascii="宋体" w:hAnsi="宋体" w:cs="宋体"/>
          <w:color w:val="000000" w:themeColor="text1"/>
          <w:sz w:val="21"/>
          <w:szCs w:val="21"/>
          <w:highlight w:val="none"/>
          <w14:textFill>
            <w14:solidFill>
              <w14:schemeClr w14:val="tx1"/>
            </w14:solidFill>
          </w14:textFill>
        </w:rPr>
        <w:t>格之中。承包人必须按咨询人指令完成工程量清单中未填入单价或价格的子目</w:t>
      </w:r>
      <w:r>
        <w:rPr>
          <w:rFonts w:hint="eastAsia" w:ascii="宋体" w:hAnsi="宋体" w:cs="宋体"/>
          <w:color w:val="000000" w:themeColor="text1"/>
          <w:spacing w:val="-1"/>
          <w:sz w:val="21"/>
          <w:szCs w:val="21"/>
          <w:highlight w:val="none"/>
          <w14:textFill>
            <w14:solidFill>
              <w14:schemeClr w14:val="tx1"/>
            </w14:solidFill>
          </w14:textFill>
        </w:rPr>
        <w:t>，但不能得到结算与支付。</w:t>
      </w:r>
    </w:p>
    <w:p w14:paraId="3048B0C6">
      <w:pPr>
        <w:spacing w:before="115" w:line="276" w:lineRule="auto"/>
        <w:ind w:left="2" w:right="25" w:firstLine="534"/>
        <w:rPr>
          <w:rFonts w:ascii="宋体" w:hAnsi="宋体" w:cs="宋体"/>
          <w:color w:val="000000" w:themeColor="text1"/>
          <w:sz w:val="21"/>
          <w:szCs w:val="21"/>
          <w:highlight w:val="none"/>
          <w14:textFill>
            <w14:solidFill>
              <w14:schemeClr w14:val="tx1"/>
            </w14:solidFill>
          </w14:textFill>
        </w:rPr>
      </w:pPr>
      <w:r>
        <w:rPr>
          <w:rFonts w:eastAsia="Times New Roman"/>
          <w:color w:val="000000" w:themeColor="text1"/>
          <w:spacing w:val="1"/>
          <w:sz w:val="21"/>
          <w:szCs w:val="21"/>
          <w:highlight w:val="none"/>
          <w14:textFill>
            <w14:solidFill>
              <w14:schemeClr w14:val="tx1"/>
            </w14:solidFill>
          </w14:textFill>
        </w:rPr>
        <w:t xml:space="preserve">2.4  </w:t>
      </w:r>
      <w:r>
        <w:rPr>
          <w:rFonts w:hint="eastAsia" w:ascii="宋体" w:hAnsi="宋体" w:cs="宋体"/>
          <w:color w:val="000000" w:themeColor="text1"/>
          <w:spacing w:val="1"/>
          <w:sz w:val="21"/>
          <w:szCs w:val="21"/>
          <w:highlight w:val="none"/>
          <w14:textFill>
            <w14:solidFill>
              <w14:schemeClr w14:val="tx1"/>
            </w14:solidFill>
          </w14:textFill>
        </w:rPr>
        <w:t>符合合同条款约定的全部费用应视为已被计入有标</w:t>
      </w:r>
      <w:r>
        <w:rPr>
          <w:rFonts w:hint="eastAsia" w:ascii="宋体" w:hAnsi="宋体" w:cs="宋体"/>
          <w:color w:val="000000" w:themeColor="text1"/>
          <w:sz w:val="21"/>
          <w:szCs w:val="21"/>
          <w:highlight w:val="none"/>
          <w14:textFill>
            <w14:solidFill>
              <w14:schemeClr w14:val="tx1"/>
            </w14:solidFill>
          </w14:textFill>
        </w:rPr>
        <w:t>价的工程量清单所列各</w:t>
      </w:r>
      <w:r>
        <w:rPr>
          <w:rFonts w:hint="eastAsia" w:ascii="宋体" w:hAnsi="宋体" w:cs="宋体"/>
          <w:color w:val="000000" w:themeColor="text1"/>
          <w:spacing w:val="1"/>
          <w:sz w:val="21"/>
          <w:szCs w:val="21"/>
          <w:highlight w:val="none"/>
          <w14:textFill>
            <w14:solidFill>
              <w14:schemeClr w14:val="tx1"/>
            </w14:solidFill>
          </w14:textFill>
        </w:rPr>
        <w:t>子目之中，未列子目不予计量的工作</w:t>
      </w:r>
      <w:bookmarkStart w:id="45" w:name="OLE_LINK8"/>
      <w:r>
        <w:rPr>
          <w:rFonts w:hint="eastAsia" w:ascii="宋体" w:hAnsi="宋体" w:cs="宋体"/>
          <w:color w:val="000000" w:themeColor="text1"/>
          <w:spacing w:val="1"/>
          <w:sz w:val="21"/>
          <w:szCs w:val="21"/>
          <w:highlight w:val="none"/>
          <w14:textFill>
            <w14:solidFill>
              <w14:schemeClr w14:val="tx1"/>
            </w14:solidFill>
          </w14:textFill>
        </w:rPr>
        <w:t>，</w:t>
      </w:r>
      <w:bookmarkEnd w:id="45"/>
      <w:r>
        <w:rPr>
          <w:rFonts w:hint="eastAsia" w:ascii="宋体" w:hAnsi="宋体" w:cs="宋体"/>
          <w:color w:val="000000" w:themeColor="text1"/>
          <w:spacing w:val="1"/>
          <w:sz w:val="21"/>
          <w:szCs w:val="21"/>
          <w:highlight w:val="none"/>
          <w14:textFill>
            <w14:solidFill>
              <w14:schemeClr w14:val="tx1"/>
            </w14:solidFill>
          </w14:textFill>
        </w:rPr>
        <w:t>其费用应视为已</w:t>
      </w:r>
      <w:r>
        <w:rPr>
          <w:rFonts w:hint="eastAsia" w:ascii="宋体" w:hAnsi="宋体" w:cs="宋体"/>
          <w:color w:val="000000" w:themeColor="text1"/>
          <w:sz w:val="21"/>
          <w:szCs w:val="21"/>
          <w:highlight w:val="none"/>
          <w14:textFill>
            <w14:solidFill>
              <w14:schemeClr w14:val="tx1"/>
            </w14:solidFill>
          </w14:textFill>
        </w:rPr>
        <w:t>分摊在本合同工程的有关子</w:t>
      </w:r>
      <w:r>
        <w:rPr>
          <w:rFonts w:hint="eastAsia" w:ascii="宋体" w:hAnsi="宋体" w:cs="宋体"/>
          <w:color w:val="000000" w:themeColor="text1"/>
          <w:spacing w:val="-1"/>
          <w:sz w:val="21"/>
          <w:szCs w:val="21"/>
          <w:highlight w:val="none"/>
          <w14:textFill>
            <w14:solidFill>
              <w14:schemeClr w14:val="tx1"/>
            </w14:solidFill>
          </w14:textFill>
        </w:rPr>
        <w:t>目的单价或总额价之中。</w:t>
      </w:r>
    </w:p>
    <w:p w14:paraId="7900E1B4">
      <w:pPr>
        <w:spacing w:before="118" w:line="261" w:lineRule="auto"/>
        <w:ind w:right="28" w:firstLine="424" w:firstLineChars="200"/>
        <w:rPr>
          <w:rFonts w:ascii="宋体" w:hAnsi="宋体" w:cs="宋体"/>
          <w:color w:val="000000" w:themeColor="text1"/>
          <w:sz w:val="21"/>
          <w:szCs w:val="21"/>
          <w:highlight w:val="none"/>
          <w14:textFill>
            <w14:solidFill>
              <w14:schemeClr w14:val="tx1"/>
            </w14:solidFill>
          </w14:textFill>
        </w:rPr>
      </w:pPr>
      <w:r>
        <w:rPr>
          <w:rFonts w:eastAsia="Times New Roman"/>
          <w:color w:val="000000" w:themeColor="text1"/>
          <w:spacing w:val="1"/>
          <w:sz w:val="21"/>
          <w:szCs w:val="21"/>
          <w:highlight w:val="none"/>
          <w14:textFill>
            <w14:solidFill>
              <w14:schemeClr w14:val="tx1"/>
            </w14:solidFill>
          </w14:textFill>
        </w:rPr>
        <w:t xml:space="preserve">2.5  </w:t>
      </w:r>
      <w:r>
        <w:rPr>
          <w:rFonts w:hint="eastAsia" w:ascii="宋体" w:hAnsi="宋体" w:cs="宋体"/>
          <w:color w:val="000000" w:themeColor="text1"/>
          <w:spacing w:val="1"/>
          <w:sz w:val="21"/>
          <w:szCs w:val="21"/>
          <w:highlight w:val="none"/>
          <w14:textFill>
            <w14:solidFill>
              <w14:schemeClr w14:val="tx1"/>
            </w14:solidFill>
          </w14:textFill>
        </w:rPr>
        <w:t>承包人用于本合同工程的各类装备的提供、运输、</w:t>
      </w:r>
      <w:r>
        <w:rPr>
          <w:rFonts w:hint="eastAsia" w:ascii="宋体" w:hAnsi="宋体" w:cs="宋体"/>
          <w:color w:val="000000" w:themeColor="text1"/>
          <w:sz w:val="21"/>
          <w:szCs w:val="21"/>
          <w:highlight w:val="none"/>
          <w14:textFill>
            <w14:solidFill>
              <w14:schemeClr w14:val="tx1"/>
            </w14:solidFill>
          </w14:textFill>
        </w:rPr>
        <w:t>维护、拆卸、拼装等支</w:t>
      </w:r>
      <w:r>
        <w:rPr>
          <w:rFonts w:hint="eastAsia" w:ascii="宋体" w:hAnsi="宋体" w:cs="宋体"/>
          <w:color w:val="000000" w:themeColor="text1"/>
          <w:spacing w:val="-1"/>
          <w:sz w:val="21"/>
          <w:szCs w:val="21"/>
          <w:highlight w:val="none"/>
          <w14:textFill>
            <w14:solidFill>
              <w14:schemeClr w14:val="tx1"/>
            </w14:solidFill>
          </w14:textFill>
        </w:rPr>
        <w:t>付的费用，已包括在工程量清单的单价与总额价之中。</w:t>
      </w:r>
    </w:p>
    <w:p w14:paraId="01308D3F">
      <w:pPr>
        <w:spacing w:before="117" w:line="218" w:lineRule="auto"/>
        <w:ind w:firstLine="424" w:firstLineChars="200"/>
        <w:rPr>
          <w:rFonts w:ascii="宋体" w:hAnsi="宋体" w:cs="宋体"/>
          <w:color w:val="000000" w:themeColor="text1"/>
          <w:sz w:val="21"/>
          <w:szCs w:val="21"/>
          <w:highlight w:val="none"/>
          <w14:textFill>
            <w14:solidFill>
              <w14:schemeClr w14:val="tx1"/>
            </w14:solidFill>
          </w14:textFill>
        </w:rPr>
      </w:pPr>
      <w:r>
        <w:rPr>
          <w:rFonts w:eastAsia="Times New Roman"/>
          <w:color w:val="000000" w:themeColor="text1"/>
          <w:spacing w:val="1"/>
          <w:sz w:val="21"/>
          <w:szCs w:val="21"/>
          <w:highlight w:val="none"/>
          <w14:textFill>
            <w14:solidFill>
              <w14:schemeClr w14:val="tx1"/>
            </w14:solidFill>
          </w14:textFill>
        </w:rPr>
        <w:t>2.6</w:t>
      </w:r>
      <w:r>
        <w:rPr>
          <w:rFonts w:eastAsia="Times New Roman"/>
          <w:color w:val="000000" w:themeColor="text1"/>
          <w:sz w:val="21"/>
          <w:szCs w:val="21"/>
          <w:highlight w:val="none"/>
          <w14:textFill>
            <w14:solidFill>
              <w14:schemeClr w14:val="tx1"/>
            </w14:solidFill>
          </w14:textFill>
        </w:rPr>
        <w:t xml:space="preserve">  </w:t>
      </w:r>
      <w:r>
        <w:rPr>
          <w:rFonts w:hint="eastAsia" w:ascii="宋体" w:hAnsi="宋体" w:cs="宋体"/>
          <w:color w:val="000000" w:themeColor="text1"/>
          <w:sz w:val="21"/>
          <w:szCs w:val="21"/>
          <w:highlight w:val="none"/>
          <w14:textFill>
            <w14:solidFill>
              <w14:schemeClr w14:val="tx1"/>
            </w14:solidFill>
          </w14:textFill>
        </w:rPr>
        <w:t>工程量清单中各项金额均以人民币（元</w:t>
      </w:r>
      <w:r>
        <w:rPr>
          <w:rFonts w:hint="eastAsia" w:ascii="宋体" w:hAnsi="宋体" w:cs="宋体"/>
          <w:color w:val="000000" w:themeColor="text1"/>
          <w:spacing w:val="-1"/>
          <w:sz w:val="21"/>
          <w:szCs w:val="21"/>
          <w:highlight w:val="none"/>
          <w14:textFill>
            <w14:solidFill>
              <w14:schemeClr w14:val="tx1"/>
            </w14:solidFill>
          </w14:textFill>
        </w:rPr>
        <w:t>）填报及结算。</w:t>
      </w:r>
    </w:p>
    <w:p w14:paraId="1E26C088">
      <w:pPr>
        <w:spacing w:before="118" w:line="261" w:lineRule="auto"/>
        <w:ind w:right="28" w:firstLine="424" w:firstLineChars="200"/>
        <w:rPr>
          <w:rFonts w:ascii="Times New Roman" w:hAnsi="Times New Roman" w:eastAsia="Times New Roman" w:cs="Times New Roman"/>
          <w:color w:val="000000" w:themeColor="text1"/>
          <w:spacing w:val="1"/>
          <w:sz w:val="21"/>
          <w:szCs w:val="21"/>
          <w:highlight w:val="none"/>
          <w14:textFill>
            <w14:solidFill>
              <w14:schemeClr w14:val="tx1"/>
            </w14:solidFill>
          </w14:textFill>
        </w:rPr>
      </w:pPr>
      <w:r>
        <w:rPr>
          <w:rFonts w:ascii="Times New Roman" w:hAnsi="Times New Roman" w:eastAsia="Times New Roman" w:cs="Times New Roman"/>
          <w:color w:val="000000" w:themeColor="text1"/>
          <w:spacing w:val="1"/>
          <w:sz w:val="21"/>
          <w:szCs w:val="21"/>
          <w:highlight w:val="none"/>
          <w14:textFill>
            <w14:solidFill>
              <w14:schemeClr w14:val="tx1"/>
            </w14:solidFill>
          </w14:textFill>
        </w:rPr>
        <w:t>2.7</w:t>
      </w:r>
      <w:r>
        <w:rPr>
          <w:rFonts w:hint="eastAsia" w:ascii="Times New Roman" w:hAnsi="Times New Roman" w:eastAsia="Times New Roman" w:cs="Times New Roman"/>
          <w:color w:val="000000" w:themeColor="text1"/>
          <w:spacing w:val="1"/>
          <w:sz w:val="21"/>
          <w:szCs w:val="21"/>
          <w:highlight w:val="none"/>
          <w14:textFill>
            <w14:solidFill>
              <w14:schemeClr w14:val="tx1"/>
            </w14:solidFill>
          </w14:textFill>
        </w:rPr>
        <w:t xml:space="preserve">  暂列金额（不含计日工总额）的数量及拟用子目的说明：除合同另有规定外，应由监理工程师按合同条款规定，结合工程具体情况，报经业主批准后指令全部或部分地使用，或者根本不予动用。暂列金额是可能发生、也可能不发生的、招标时难以确定的金额。暂列金额按工程量清单中投标人报价第100章至第700章合计的1%计列。</w:t>
      </w:r>
    </w:p>
    <w:p w14:paraId="1BD66904">
      <w:pPr>
        <w:spacing w:before="116" w:line="218" w:lineRule="auto"/>
        <w:ind w:firstLine="424" w:firstLineChars="200"/>
        <w:rPr>
          <w:rFonts w:ascii="宋体" w:hAnsi="宋体" w:cs="宋体"/>
          <w:color w:val="000000" w:themeColor="text1"/>
          <w:spacing w:val="-1"/>
          <w:sz w:val="21"/>
          <w:szCs w:val="21"/>
          <w:highlight w:val="none"/>
          <w14:textFill>
            <w14:solidFill>
              <w14:schemeClr w14:val="tx1"/>
            </w14:solidFill>
          </w14:textFill>
        </w:rPr>
      </w:pPr>
      <w:r>
        <w:rPr>
          <w:rFonts w:hint="eastAsia" w:eastAsia="Times New Roman"/>
          <w:color w:val="000000" w:themeColor="text1"/>
          <w:spacing w:val="1"/>
          <w:sz w:val="21"/>
          <w:szCs w:val="21"/>
          <w:highlight w:val="none"/>
          <w14:textFill>
            <w14:solidFill>
              <w14:schemeClr w14:val="tx1"/>
            </w14:solidFill>
          </w14:textFill>
        </w:rPr>
        <w:t>2.8</w:t>
      </w:r>
      <w:r>
        <w:rPr>
          <w:rFonts w:hint="eastAsia"/>
          <w:color w:val="000000" w:themeColor="text1"/>
          <w:sz w:val="21"/>
          <w:szCs w:val="21"/>
          <w:highlight w:val="none"/>
          <w14:textFill>
            <w14:solidFill>
              <w14:schemeClr w14:val="tx1"/>
            </w14:solidFill>
          </w14:textFill>
        </w:rPr>
        <w:t xml:space="preserve"> </w:t>
      </w:r>
      <w:r>
        <w:rPr>
          <w:rFonts w:hint="eastAsia" w:ascii="宋体" w:hAnsi="宋体" w:cs="宋体"/>
          <w:color w:val="000000" w:themeColor="text1"/>
          <w:spacing w:val="1"/>
          <w:sz w:val="21"/>
          <w:szCs w:val="21"/>
          <w:highlight w:val="none"/>
          <w14:textFill>
            <w14:solidFill>
              <w14:schemeClr w14:val="tx1"/>
            </w14:solidFill>
          </w14:textFill>
        </w:rPr>
        <w:t xml:space="preserve"> 暂估价的数量及拟用子目的说明：/。</w:t>
      </w:r>
    </w:p>
    <w:p w14:paraId="05C0490C">
      <w:pPr>
        <w:spacing w:before="114" w:line="216" w:lineRule="auto"/>
        <w:ind w:firstLine="420" w:firstLineChars="20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2.9  安全生产责任险，按最高限价的0.3%进行报价，作为不可竞争报价</w:t>
      </w:r>
      <w:r>
        <w:rPr>
          <w:rFonts w:hint="eastAsia" w:ascii="宋体" w:hAnsi="宋体" w:cs="宋体"/>
          <w:color w:val="000000" w:themeColor="text1"/>
          <w:spacing w:val="1"/>
          <w:sz w:val="21"/>
          <w:szCs w:val="21"/>
          <w:highlight w:val="none"/>
          <w14:textFill>
            <w14:solidFill>
              <w14:schemeClr w14:val="tx1"/>
            </w14:solidFill>
          </w14:textFill>
        </w:rPr>
        <w:t>，</w:t>
      </w:r>
      <w:r>
        <w:rPr>
          <w:rFonts w:hint="eastAsia"/>
          <w:color w:val="000000" w:themeColor="text1"/>
          <w:sz w:val="21"/>
          <w:szCs w:val="21"/>
          <w:highlight w:val="none"/>
          <w14:textFill>
            <w14:solidFill>
              <w14:schemeClr w14:val="tx1"/>
            </w14:solidFill>
          </w14:textFill>
        </w:rPr>
        <w:t>否则响应文件作废标处理。</w:t>
      </w:r>
    </w:p>
    <w:p w14:paraId="18ED4B77">
      <w:pPr>
        <w:spacing w:before="114" w:line="216" w:lineRule="auto"/>
        <w:ind w:firstLine="420" w:firstLineChars="20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2.10 安全生产费按最高限价的1.5%进行报价</w:t>
      </w:r>
      <w:r>
        <w:rPr>
          <w:rFonts w:hint="eastAsia" w:ascii="宋体" w:hAnsi="宋体" w:cs="宋体"/>
          <w:color w:val="000000" w:themeColor="text1"/>
          <w:spacing w:val="1"/>
          <w:sz w:val="21"/>
          <w:szCs w:val="21"/>
          <w:highlight w:val="none"/>
          <w14:textFill>
            <w14:solidFill>
              <w14:schemeClr w14:val="tx1"/>
            </w14:solidFill>
          </w14:textFill>
        </w:rPr>
        <w:t>，</w:t>
      </w:r>
      <w:r>
        <w:rPr>
          <w:rFonts w:hint="eastAsia"/>
          <w:color w:val="000000" w:themeColor="text1"/>
          <w:sz w:val="21"/>
          <w:szCs w:val="21"/>
          <w:highlight w:val="none"/>
          <w14:textFill>
            <w14:solidFill>
              <w14:schemeClr w14:val="tx1"/>
            </w14:solidFill>
          </w14:textFill>
        </w:rPr>
        <w:t>作为不可竞争报价</w:t>
      </w:r>
      <w:r>
        <w:rPr>
          <w:rFonts w:hint="eastAsia" w:ascii="宋体" w:hAnsi="宋体" w:cs="宋体"/>
          <w:color w:val="000000" w:themeColor="text1"/>
          <w:spacing w:val="1"/>
          <w:sz w:val="21"/>
          <w:szCs w:val="21"/>
          <w:highlight w:val="none"/>
          <w14:textFill>
            <w14:solidFill>
              <w14:schemeClr w14:val="tx1"/>
            </w14:solidFill>
          </w14:textFill>
        </w:rPr>
        <w:t>，</w:t>
      </w:r>
      <w:r>
        <w:rPr>
          <w:rFonts w:hint="eastAsia"/>
          <w:color w:val="000000" w:themeColor="text1"/>
          <w:sz w:val="21"/>
          <w:szCs w:val="21"/>
          <w:highlight w:val="none"/>
          <w14:textFill>
            <w14:solidFill>
              <w14:schemeClr w14:val="tx1"/>
            </w14:solidFill>
          </w14:textFill>
        </w:rPr>
        <w:t>否则响应文件作废标处理。</w:t>
      </w:r>
    </w:p>
    <w:p w14:paraId="477D4881">
      <w:pPr>
        <w:spacing w:before="118" w:line="261" w:lineRule="auto"/>
        <w:ind w:left="1" w:right="28" w:firstLine="535"/>
        <w:rPr>
          <w:rFonts w:ascii="宋体" w:hAnsi="宋体" w:cs="宋体"/>
          <w:b/>
          <w:color w:val="000000" w:themeColor="text1"/>
          <w:spacing w:val="1"/>
          <w:sz w:val="21"/>
          <w:szCs w:val="21"/>
          <w:highlight w:val="none"/>
          <w14:textFill>
            <w14:solidFill>
              <w14:schemeClr w14:val="tx1"/>
            </w14:solidFill>
          </w14:textFill>
        </w:rPr>
      </w:pPr>
      <w:bookmarkStart w:id="46" w:name="bookmark116"/>
      <w:bookmarkEnd w:id="46"/>
      <w:bookmarkStart w:id="47" w:name="bookmark115"/>
      <w:bookmarkEnd w:id="47"/>
      <w:r>
        <w:rPr>
          <w:rFonts w:ascii="宋体" w:hAnsi="宋体" w:cs="宋体"/>
          <w:b/>
          <w:color w:val="000000" w:themeColor="text1"/>
          <w:spacing w:val="1"/>
          <w:sz w:val="21"/>
          <w:szCs w:val="21"/>
          <w:highlight w:val="none"/>
          <w14:textFill>
            <w14:solidFill>
              <w14:schemeClr w14:val="tx1"/>
            </w14:solidFill>
          </w14:textFill>
        </w:rPr>
        <w:t>3.</w:t>
      </w:r>
      <w:bookmarkStart w:id="48" w:name="_Toc105011851"/>
      <w:r>
        <w:rPr>
          <w:rFonts w:hint="eastAsia" w:ascii="宋体" w:hAnsi="宋体" w:cs="宋体"/>
          <w:b/>
          <w:color w:val="000000" w:themeColor="text1"/>
          <w:spacing w:val="1"/>
          <w:sz w:val="21"/>
          <w:szCs w:val="21"/>
          <w:highlight w:val="none"/>
          <w14:textFill>
            <w14:solidFill>
              <w14:schemeClr w14:val="tx1"/>
            </w14:solidFill>
          </w14:textFill>
        </w:rPr>
        <w:t>其他说明</w:t>
      </w:r>
      <w:bookmarkEnd w:id="48"/>
    </w:p>
    <w:p w14:paraId="2E2C4B41">
      <w:pPr>
        <w:spacing w:before="118" w:line="261" w:lineRule="auto"/>
        <w:ind w:left="1" w:right="28" w:firstLine="535"/>
        <w:rPr>
          <w:color w:val="000000" w:themeColor="text1"/>
          <w:sz w:val="21"/>
          <w:szCs w:val="21"/>
          <w:highlight w:val="none"/>
          <w14:textFill>
            <w14:solidFill>
              <w14:schemeClr w14:val="tx1"/>
            </w14:solidFill>
          </w14:textFill>
        </w:rPr>
      </w:pPr>
      <w:r>
        <w:rPr>
          <w:rFonts w:hint="eastAsia" w:ascii="宋体" w:hAnsi="宋体" w:cs="宋体"/>
          <w:color w:val="000000" w:themeColor="text1"/>
          <w:spacing w:val="1"/>
          <w:sz w:val="21"/>
          <w:szCs w:val="21"/>
          <w:highlight w:val="none"/>
          <w14:textFill>
            <w14:solidFill>
              <w14:schemeClr w14:val="tx1"/>
            </w14:solidFill>
          </w14:textFill>
        </w:rPr>
        <w:t>3.1 工程量清单第100章总则部分，除所列子目单独计量外，其他未列入本次采购工程量清单的子目费用均包含在工程量清单相关子目单价或价格中，发包人不另单独计量支付。</w:t>
      </w:r>
    </w:p>
    <w:p w14:paraId="165304E0">
      <w:pPr>
        <w:spacing w:before="118" w:line="261" w:lineRule="auto"/>
        <w:ind w:left="1" w:right="28" w:firstLine="535"/>
        <w:rPr>
          <w:rFonts w:ascii="宋体" w:hAnsi="宋体" w:cs="宋体"/>
          <w:b/>
          <w:color w:val="000000" w:themeColor="text1"/>
          <w:spacing w:val="1"/>
          <w:sz w:val="21"/>
          <w:szCs w:val="21"/>
          <w:highlight w:val="none"/>
          <w:lang w:val="zh-CN"/>
          <w14:textFill>
            <w14:solidFill>
              <w14:schemeClr w14:val="tx1"/>
            </w14:solidFill>
          </w14:textFill>
        </w:rPr>
      </w:pPr>
      <w:r>
        <w:rPr>
          <w:rFonts w:hint="eastAsia" w:ascii="宋体" w:hAnsi="宋体" w:cs="宋体"/>
          <w:b/>
          <w:color w:val="000000" w:themeColor="text1"/>
          <w:spacing w:val="1"/>
          <w:sz w:val="21"/>
          <w:szCs w:val="21"/>
          <w:highlight w:val="none"/>
          <w:lang w:val="en-US" w:eastAsia="zh-CN"/>
          <w14:textFill>
            <w14:solidFill>
              <w14:schemeClr w14:val="tx1"/>
            </w14:solidFill>
          </w14:textFill>
        </w:rPr>
        <w:t>3</w:t>
      </w:r>
      <w:r>
        <w:rPr>
          <w:rFonts w:ascii="宋体" w:hAnsi="宋体" w:cs="宋体"/>
          <w:b/>
          <w:color w:val="000000" w:themeColor="text1"/>
          <w:spacing w:val="1"/>
          <w:sz w:val="21"/>
          <w:szCs w:val="21"/>
          <w:highlight w:val="none"/>
          <w14:textFill>
            <w14:solidFill>
              <w14:schemeClr w14:val="tx1"/>
            </w14:solidFill>
          </w14:textFill>
        </w:rPr>
        <w:t>.2</w:t>
      </w:r>
      <w:r>
        <w:rPr>
          <w:rFonts w:ascii="宋体" w:hAnsi="宋体" w:cs="宋体"/>
          <w:b/>
          <w:color w:val="000000" w:themeColor="text1"/>
          <w:spacing w:val="1"/>
          <w:sz w:val="21"/>
          <w:szCs w:val="21"/>
          <w:highlight w:val="none"/>
          <w:lang w:val="zh-CN"/>
          <w14:textFill>
            <w14:solidFill>
              <w14:schemeClr w14:val="tx1"/>
            </w14:solidFill>
          </w14:textFill>
        </w:rPr>
        <w:t>.</w:t>
      </w:r>
      <w:r>
        <w:rPr>
          <w:rFonts w:hint="eastAsia" w:ascii="宋体" w:hAnsi="宋体" w:cs="宋体"/>
          <w:b/>
          <w:color w:val="000000" w:themeColor="text1"/>
          <w:spacing w:val="1"/>
          <w:sz w:val="21"/>
          <w:szCs w:val="21"/>
          <w:highlight w:val="none"/>
          <w:lang w:val="zh-CN"/>
          <w14:textFill>
            <w14:solidFill>
              <w14:schemeClr w14:val="tx1"/>
            </w14:solidFill>
          </w14:textFill>
        </w:rPr>
        <w:t>工程量清单</w:t>
      </w:r>
      <w:bookmarkEnd w:id="39"/>
    </w:p>
    <w:p w14:paraId="4B362119">
      <w:pPr>
        <w:snapToGrid w:val="0"/>
        <w:spacing w:line="360" w:lineRule="auto"/>
        <w:ind w:firstLine="422" w:firstLineChars="200"/>
        <w:jc w:val="left"/>
        <w:rPr>
          <w:rFonts w:hint="eastAsia" w:ascii="宋体" w:hAnsi="宋体" w:cs="宋体"/>
          <w:b/>
          <w:bCs/>
          <w:color w:val="000000" w:themeColor="text1"/>
          <w:sz w:val="21"/>
          <w:szCs w:val="21"/>
          <w:highlight w:val="none"/>
          <w:lang w:val="zh-CN"/>
          <w14:textFill>
            <w14:solidFill>
              <w14:schemeClr w14:val="tx1"/>
            </w14:solidFill>
          </w14:textFill>
        </w:rPr>
      </w:pPr>
      <w:r>
        <w:rPr>
          <w:rFonts w:hint="eastAsia" w:ascii="宋体" w:hAnsi="宋体" w:cs="宋体"/>
          <w:b/>
          <w:bCs/>
          <w:color w:val="000000" w:themeColor="text1"/>
          <w:sz w:val="21"/>
          <w:szCs w:val="21"/>
          <w:highlight w:val="none"/>
          <w:lang w:val="zh-CN"/>
          <w14:textFill>
            <w14:solidFill>
              <w14:schemeClr w14:val="tx1"/>
            </w14:solidFill>
          </w14:textFill>
        </w:rPr>
        <w:t>固化工程量清单在“广西政府采购云平台”</w:t>
      </w:r>
      <w:r>
        <w:rPr>
          <w:rFonts w:ascii="宋体" w:hAnsi="宋体" w:cs="宋体"/>
          <w:b/>
          <w:bCs/>
          <w:color w:val="000000" w:themeColor="text1"/>
          <w:sz w:val="21"/>
          <w:szCs w:val="21"/>
          <w:highlight w:val="none"/>
          <w:lang w:val="zh-CN"/>
          <w14:textFill>
            <w14:solidFill>
              <w14:schemeClr w14:val="tx1"/>
            </w14:solidFill>
          </w14:textFill>
        </w:rPr>
        <w:t xml:space="preserve"> </w:t>
      </w:r>
      <w:r>
        <w:rPr>
          <w:rFonts w:hint="eastAsia" w:ascii="宋体" w:hAnsi="宋体" w:cs="宋体"/>
          <w:b/>
          <w:bCs/>
          <w:color w:val="000000" w:themeColor="text1"/>
          <w:sz w:val="21"/>
          <w:szCs w:val="21"/>
          <w:highlight w:val="none"/>
          <w14:textFill>
            <w14:solidFill>
              <w14:schemeClr w14:val="tx1"/>
            </w14:solidFill>
          </w14:textFill>
        </w:rPr>
        <w:t>本项目公告附件处</w:t>
      </w:r>
      <w:r>
        <w:rPr>
          <w:rFonts w:hint="eastAsia" w:ascii="宋体" w:hAnsi="宋体" w:cs="宋体"/>
          <w:b/>
          <w:bCs/>
          <w:color w:val="000000" w:themeColor="text1"/>
          <w:sz w:val="21"/>
          <w:szCs w:val="21"/>
          <w:highlight w:val="none"/>
          <w:lang w:val="zh-CN"/>
          <w14:textFill>
            <w14:solidFill>
              <w14:schemeClr w14:val="tx1"/>
            </w14:solidFill>
          </w14:textFill>
        </w:rPr>
        <w:t>下载。</w:t>
      </w:r>
    </w:p>
    <w:p w14:paraId="4F3A147A">
      <w:pPr>
        <w:spacing w:before="118" w:line="261" w:lineRule="auto"/>
        <w:ind w:left="1" w:right="28" w:firstLine="535"/>
        <w:rPr>
          <w:rFonts w:hint="eastAsia" w:ascii="宋体" w:hAnsi="宋体" w:eastAsia="宋体" w:cs="宋体"/>
          <w:b/>
          <w:color w:val="000000" w:themeColor="text1"/>
          <w:spacing w:val="1"/>
          <w:sz w:val="21"/>
          <w:szCs w:val="21"/>
          <w:highlight w:val="none"/>
          <w:lang w:val="en-US" w:eastAsia="zh-CN"/>
          <w14:textFill>
            <w14:solidFill>
              <w14:schemeClr w14:val="tx1"/>
            </w14:solidFill>
          </w14:textFill>
        </w:rPr>
      </w:pPr>
      <w:r>
        <w:rPr>
          <w:rFonts w:hint="eastAsia" w:ascii="宋体" w:hAnsi="宋体" w:cs="宋体"/>
          <w:b/>
          <w:color w:val="000000" w:themeColor="text1"/>
          <w:spacing w:val="1"/>
          <w:sz w:val="21"/>
          <w:szCs w:val="21"/>
          <w:highlight w:val="none"/>
          <w:lang w:val="en-US" w:eastAsia="zh-CN"/>
          <w14:textFill>
            <w14:solidFill>
              <w14:schemeClr w14:val="tx1"/>
            </w14:solidFill>
          </w14:textFill>
        </w:rPr>
        <w:t>3</w:t>
      </w:r>
      <w:r>
        <w:rPr>
          <w:rFonts w:hint="eastAsia" w:ascii="宋体" w:hAnsi="宋体" w:eastAsia="宋体" w:cs="宋体"/>
          <w:b/>
          <w:color w:val="000000" w:themeColor="text1"/>
          <w:spacing w:val="1"/>
          <w:sz w:val="21"/>
          <w:szCs w:val="21"/>
          <w:highlight w:val="none"/>
          <w:lang w:val="en-US" w:eastAsia="zh-CN"/>
          <w14:textFill>
            <w14:solidFill>
              <w14:schemeClr w14:val="tx1"/>
            </w14:solidFill>
          </w14:textFill>
        </w:rPr>
        <w:t>.3工程量清单子目上限价表</w:t>
      </w:r>
    </w:p>
    <w:p w14:paraId="473B004F">
      <w:pPr>
        <w:spacing w:before="118" w:line="261" w:lineRule="auto"/>
        <w:ind w:left="1" w:right="28" w:firstLine="535"/>
        <w:rPr>
          <w:rFonts w:hint="default" w:ascii="宋体" w:hAnsi="宋体" w:eastAsia="宋体" w:cs="宋体"/>
          <w:b/>
          <w:color w:val="000000" w:themeColor="text1"/>
          <w:spacing w:val="1"/>
          <w:sz w:val="24"/>
          <w:szCs w:val="24"/>
          <w:highlight w:val="none"/>
          <w:lang w:val="en-US" w:eastAsia="zh-CN"/>
          <w14:textFill>
            <w14:solidFill>
              <w14:schemeClr w14:val="tx1"/>
            </w14:solidFill>
          </w14:textFill>
        </w:rPr>
      </w:pPr>
      <w:r>
        <w:rPr>
          <w:rFonts w:hint="default" w:ascii="宋体" w:hAnsi="宋体" w:eastAsia="宋体" w:cs="宋体"/>
          <w:b/>
          <w:color w:val="000000" w:themeColor="text1"/>
          <w:spacing w:val="1"/>
          <w:sz w:val="21"/>
          <w:szCs w:val="21"/>
          <w:highlight w:val="none"/>
          <w:lang w:val="en-US" w:eastAsia="zh-CN"/>
          <w14:textFill>
            <w14:solidFill>
              <w14:schemeClr w14:val="tx1"/>
            </w14:solidFill>
          </w14:textFill>
        </w:rPr>
        <w:t>工程量清单子目上限价表在“广西政府采购云平台” 本项目公告附件处下载。</w:t>
      </w:r>
    </w:p>
    <w:p w14:paraId="65E20EEB">
      <w:pPr>
        <w:rPr>
          <w:color w:val="000000" w:themeColor="text1"/>
          <w:highlight w:val="none"/>
          <w14:textFill>
            <w14:solidFill>
              <w14:schemeClr w14:val="tx1"/>
            </w14:solidFill>
          </w14:textFill>
        </w:rPr>
      </w:pPr>
    </w:p>
    <w:p w14:paraId="6B4089AB">
      <w:pPr>
        <w:kinsoku w:val="0"/>
        <w:wordWrap w:val="0"/>
        <w:spacing w:line="420" w:lineRule="exact"/>
        <w:jc w:val="center"/>
        <w:rPr>
          <w:rFonts w:ascii="宋体"/>
          <w:b/>
          <w:bCs/>
          <w:color w:val="000000" w:themeColor="text1"/>
          <w:sz w:val="32"/>
          <w:szCs w:val="32"/>
          <w:highlight w:val="none"/>
          <w14:textFill>
            <w14:solidFill>
              <w14:schemeClr w14:val="tx1"/>
            </w14:solidFill>
          </w14:textFill>
        </w:rPr>
      </w:pPr>
      <w:r>
        <w:rPr>
          <w:rFonts w:hint="eastAsia" w:ascii="宋体" w:hAnsi="宋体" w:cs="宋体"/>
          <w:b/>
          <w:bCs/>
          <w:color w:val="000000" w:themeColor="text1"/>
          <w:sz w:val="32"/>
          <w:szCs w:val="32"/>
          <w:highlight w:val="none"/>
          <w14:textFill>
            <w14:solidFill>
              <w14:schemeClr w14:val="tx1"/>
            </w14:solidFill>
          </w14:textFill>
        </w:rPr>
        <w:t>三、工程量清单计量规则</w:t>
      </w:r>
    </w:p>
    <w:p w14:paraId="3A0E02E8">
      <w:pPr>
        <w:spacing w:before="113" w:line="360" w:lineRule="auto"/>
        <w:ind w:left="10" w:right="2" w:firstLine="482"/>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未作修改的子目按交通运输部办公厅关于印发《公路养护项目合同范本》的通知（交办公路函〔2025〕1819号）中的工程量清单计量规则执行，已经修改的子目，按修改后的工程量清单计量规则执行，修改子目工程量清单计量规则见下表：</w:t>
      </w:r>
    </w:p>
    <w:p w14:paraId="03BB412D">
      <w:pPr>
        <w:spacing w:before="113" w:line="360" w:lineRule="auto"/>
        <w:ind w:left="10" w:right="2" w:firstLine="482"/>
        <w:rPr>
          <w:rFonts w:hint="eastAsia" w:ascii="宋体" w:hAnsi="宋体" w:eastAsia="宋体" w:cs="宋体"/>
          <w:color w:val="000000" w:themeColor="text1"/>
          <w:sz w:val="24"/>
          <w:szCs w:val="24"/>
          <w:highlight w:val="none"/>
          <w:lang w:val="zh-CN"/>
          <w14:textFill>
            <w14:solidFill>
              <w14:schemeClr w14:val="tx1"/>
            </w14:solidFill>
          </w14:textFill>
        </w:rPr>
      </w:pPr>
    </w:p>
    <w:p w14:paraId="3CF67ED9">
      <w:pPr>
        <w:rPr>
          <w:rFonts w:ascii="宋体" w:hAnsi="宋体" w:cs="宋体"/>
          <w:color w:val="000000" w:themeColor="text1"/>
          <w:sz w:val="28"/>
          <w:szCs w:val="28"/>
          <w:highlight w:val="none"/>
          <w14:textFill>
            <w14:solidFill>
              <w14:schemeClr w14:val="tx1"/>
            </w14:solidFill>
          </w14:textFill>
        </w:rPr>
      </w:pPr>
      <w:bookmarkStart w:id="49" w:name="_Toc3460"/>
      <w:r>
        <w:rPr>
          <w:rFonts w:hint="eastAsia" w:ascii="宋体" w:hAnsi="宋体" w:cs="宋体"/>
          <w:color w:val="000000" w:themeColor="text1"/>
          <w:sz w:val="28"/>
          <w:szCs w:val="28"/>
          <w:highlight w:val="none"/>
          <w14:textFill>
            <w14:solidFill>
              <w14:schemeClr w14:val="tx1"/>
            </w14:solidFill>
          </w14:textFill>
        </w:rPr>
        <w:br w:type="page"/>
      </w:r>
    </w:p>
    <w:tbl>
      <w:tblPr>
        <w:tblStyle w:val="59"/>
        <w:tblpPr w:leftFromText="180" w:rightFromText="180" w:vertAnchor="page" w:horzAnchor="page" w:tblpX="1201" w:tblpY="1708"/>
        <w:tblW w:w="956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37"/>
        <w:gridCol w:w="2268"/>
        <w:gridCol w:w="851"/>
        <w:gridCol w:w="2835"/>
        <w:gridCol w:w="2476"/>
      </w:tblGrid>
      <w:tr w14:paraId="0319FE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 w:hRule="atLeast"/>
        </w:trPr>
        <w:tc>
          <w:tcPr>
            <w:tcW w:w="1137" w:type="dxa"/>
            <w:vAlign w:val="center"/>
          </w:tcPr>
          <w:p w14:paraId="6CCDDC22">
            <w:pPr>
              <w:pStyle w:val="471"/>
              <w:spacing w:before="112" w:line="228" w:lineRule="auto"/>
              <w:ind w:left="116"/>
              <w:jc w:val="center"/>
              <w:rPr>
                <w:color w:val="000000" w:themeColor="text1"/>
                <w:sz w:val="21"/>
                <w:szCs w:val="21"/>
                <w:highlight w:val="none"/>
                <w14:textFill>
                  <w14:solidFill>
                    <w14:schemeClr w14:val="tx1"/>
                  </w14:solidFill>
                </w14:textFill>
              </w:rPr>
            </w:pPr>
            <w:r>
              <w:rPr>
                <w:color w:val="000000" w:themeColor="text1"/>
                <w:spacing w:val="6"/>
                <w:sz w:val="21"/>
                <w:szCs w:val="21"/>
                <w:highlight w:val="none"/>
                <w14:textFill>
                  <w14:solidFill>
                    <w14:schemeClr w14:val="tx1"/>
                  </w14:solidFill>
                </w14:textFill>
              </w:rPr>
              <w:t>子目号</w:t>
            </w:r>
          </w:p>
        </w:tc>
        <w:tc>
          <w:tcPr>
            <w:tcW w:w="2268" w:type="dxa"/>
            <w:vAlign w:val="center"/>
          </w:tcPr>
          <w:p w14:paraId="4AEF8408">
            <w:pPr>
              <w:pStyle w:val="471"/>
              <w:spacing w:before="112" w:line="228" w:lineRule="auto"/>
              <w:ind w:left="627"/>
              <w:rPr>
                <w:color w:val="000000" w:themeColor="text1"/>
                <w:sz w:val="21"/>
                <w:szCs w:val="21"/>
                <w:highlight w:val="none"/>
                <w14:textFill>
                  <w14:solidFill>
                    <w14:schemeClr w14:val="tx1"/>
                  </w14:solidFill>
                </w14:textFill>
              </w:rPr>
            </w:pPr>
            <w:r>
              <w:rPr>
                <w:color w:val="000000" w:themeColor="text1"/>
                <w:spacing w:val="7"/>
                <w:sz w:val="21"/>
                <w:szCs w:val="21"/>
                <w:highlight w:val="none"/>
                <w14:textFill>
                  <w14:solidFill>
                    <w14:schemeClr w14:val="tx1"/>
                  </w14:solidFill>
                </w14:textFill>
              </w:rPr>
              <w:t>子目名称</w:t>
            </w:r>
          </w:p>
        </w:tc>
        <w:tc>
          <w:tcPr>
            <w:tcW w:w="851" w:type="dxa"/>
            <w:vAlign w:val="center"/>
          </w:tcPr>
          <w:p w14:paraId="78EEA1DB">
            <w:pPr>
              <w:pStyle w:val="471"/>
              <w:spacing w:before="112" w:line="228" w:lineRule="auto"/>
              <w:jc w:val="center"/>
              <w:rPr>
                <w:color w:val="000000" w:themeColor="text1"/>
                <w:sz w:val="21"/>
                <w:szCs w:val="21"/>
                <w:highlight w:val="none"/>
                <w14:textFill>
                  <w14:solidFill>
                    <w14:schemeClr w14:val="tx1"/>
                  </w14:solidFill>
                </w14:textFill>
              </w:rPr>
            </w:pPr>
            <w:r>
              <w:rPr>
                <w:color w:val="000000" w:themeColor="text1"/>
                <w:spacing w:val="3"/>
                <w:sz w:val="21"/>
                <w:szCs w:val="21"/>
                <w:highlight w:val="none"/>
                <w14:textFill>
                  <w14:solidFill>
                    <w14:schemeClr w14:val="tx1"/>
                  </w14:solidFill>
                </w14:textFill>
              </w:rPr>
              <w:t>单位</w:t>
            </w:r>
          </w:p>
        </w:tc>
        <w:tc>
          <w:tcPr>
            <w:tcW w:w="2835" w:type="dxa"/>
            <w:vAlign w:val="center"/>
          </w:tcPr>
          <w:p w14:paraId="0EE8236C">
            <w:pPr>
              <w:pStyle w:val="471"/>
              <w:spacing w:before="112" w:line="228" w:lineRule="auto"/>
              <w:jc w:val="center"/>
              <w:rPr>
                <w:color w:val="000000" w:themeColor="text1"/>
                <w:sz w:val="21"/>
                <w:szCs w:val="21"/>
                <w:highlight w:val="none"/>
                <w14:textFill>
                  <w14:solidFill>
                    <w14:schemeClr w14:val="tx1"/>
                  </w14:solidFill>
                </w14:textFill>
              </w:rPr>
            </w:pPr>
            <w:r>
              <w:rPr>
                <w:color w:val="000000" w:themeColor="text1"/>
                <w:spacing w:val="7"/>
                <w:sz w:val="21"/>
                <w:szCs w:val="21"/>
                <w:highlight w:val="none"/>
                <w14:textFill>
                  <w14:solidFill>
                    <w14:schemeClr w14:val="tx1"/>
                  </w14:solidFill>
                </w14:textFill>
              </w:rPr>
              <w:t>工程量计量</w:t>
            </w:r>
          </w:p>
        </w:tc>
        <w:tc>
          <w:tcPr>
            <w:tcW w:w="2476" w:type="dxa"/>
            <w:vAlign w:val="center"/>
          </w:tcPr>
          <w:p w14:paraId="023925AB">
            <w:pPr>
              <w:pStyle w:val="471"/>
              <w:spacing w:before="111" w:line="228" w:lineRule="auto"/>
              <w:jc w:val="center"/>
              <w:rPr>
                <w:color w:val="000000" w:themeColor="text1"/>
                <w:sz w:val="21"/>
                <w:szCs w:val="21"/>
                <w:highlight w:val="none"/>
                <w14:textFill>
                  <w14:solidFill>
                    <w14:schemeClr w14:val="tx1"/>
                  </w14:solidFill>
                </w14:textFill>
              </w:rPr>
            </w:pPr>
            <w:r>
              <w:rPr>
                <w:color w:val="000000" w:themeColor="text1"/>
                <w:spacing w:val="6"/>
                <w:sz w:val="21"/>
                <w:szCs w:val="21"/>
                <w:highlight w:val="none"/>
                <w14:textFill>
                  <w14:solidFill>
                    <w14:schemeClr w14:val="tx1"/>
                  </w14:solidFill>
                </w14:textFill>
              </w:rPr>
              <w:t>工程内容</w:t>
            </w:r>
          </w:p>
        </w:tc>
      </w:tr>
      <w:tr w14:paraId="4DA376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34" w:hRule="atLeast"/>
        </w:trPr>
        <w:tc>
          <w:tcPr>
            <w:tcW w:w="1137" w:type="dxa"/>
            <w:vAlign w:val="center"/>
          </w:tcPr>
          <w:p w14:paraId="2AE76CC8">
            <w:pPr>
              <w:pStyle w:val="471"/>
              <w:spacing w:before="65" w:line="228" w:lineRule="auto"/>
              <w:jc w:val="center"/>
              <w:rPr>
                <w:color w:val="000000" w:themeColor="text1"/>
                <w:spacing w:val="2"/>
                <w:sz w:val="21"/>
                <w:szCs w:val="21"/>
                <w:highlight w:val="none"/>
                <w14:textFill>
                  <w14:solidFill>
                    <w14:schemeClr w14:val="tx1"/>
                  </w14:solidFill>
                </w14:textFill>
              </w:rPr>
            </w:pPr>
            <w:r>
              <w:rPr>
                <w:color w:val="000000" w:themeColor="text1"/>
                <w:spacing w:val="2"/>
                <w:sz w:val="21"/>
                <w:szCs w:val="21"/>
                <w:highlight w:val="none"/>
                <w14:textFill>
                  <w14:solidFill>
                    <w14:schemeClr w14:val="tx1"/>
                  </w14:solidFill>
                </w14:textFill>
              </w:rPr>
              <w:t>101-1-c</w:t>
            </w:r>
          </w:p>
        </w:tc>
        <w:tc>
          <w:tcPr>
            <w:tcW w:w="2268" w:type="dxa"/>
            <w:vAlign w:val="center"/>
          </w:tcPr>
          <w:p w14:paraId="71FA57B6">
            <w:pPr>
              <w:pStyle w:val="471"/>
              <w:spacing w:before="65" w:line="228" w:lineRule="auto"/>
              <w:jc w:val="center"/>
              <w:rPr>
                <w:color w:val="000000" w:themeColor="text1"/>
                <w:spacing w:val="2"/>
                <w:sz w:val="21"/>
                <w:szCs w:val="21"/>
                <w:highlight w:val="none"/>
                <w:lang w:eastAsia="zh-CN"/>
                <w14:textFill>
                  <w14:solidFill>
                    <w14:schemeClr w14:val="tx1"/>
                  </w14:solidFill>
                </w14:textFill>
              </w:rPr>
            </w:pPr>
            <w:r>
              <w:rPr>
                <w:rFonts w:hint="eastAsia"/>
                <w:color w:val="000000" w:themeColor="text1"/>
                <w:spacing w:val="2"/>
                <w:sz w:val="21"/>
                <w:szCs w:val="21"/>
                <w:highlight w:val="none"/>
                <w:lang w:eastAsia="zh-CN"/>
                <w14:textFill>
                  <w14:solidFill>
                    <w14:schemeClr w14:val="tx1"/>
                  </w14:solidFill>
                </w14:textFill>
              </w:rPr>
              <w:t>按合同条款约定 ，提供安全生产责任险</w:t>
            </w:r>
          </w:p>
        </w:tc>
        <w:tc>
          <w:tcPr>
            <w:tcW w:w="851" w:type="dxa"/>
            <w:vAlign w:val="center"/>
          </w:tcPr>
          <w:p w14:paraId="118B6F61">
            <w:pPr>
              <w:pStyle w:val="471"/>
              <w:spacing w:before="65" w:line="228" w:lineRule="auto"/>
              <w:jc w:val="center"/>
              <w:rPr>
                <w:color w:val="000000" w:themeColor="text1"/>
                <w:spacing w:val="2"/>
                <w:sz w:val="21"/>
                <w:szCs w:val="21"/>
                <w:highlight w:val="none"/>
                <w14:textFill>
                  <w14:solidFill>
                    <w14:schemeClr w14:val="tx1"/>
                  </w14:solidFill>
                </w14:textFill>
              </w:rPr>
            </w:pPr>
            <w:r>
              <w:rPr>
                <w:rFonts w:hint="eastAsia"/>
                <w:color w:val="000000" w:themeColor="text1"/>
                <w:spacing w:val="2"/>
                <w:sz w:val="21"/>
                <w:szCs w:val="21"/>
                <w:highlight w:val="none"/>
                <w14:textFill>
                  <w14:solidFill>
                    <w14:schemeClr w14:val="tx1"/>
                  </w14:solidFill>
                </w14:textFill>
              </w:rPr>
              <w:t>总额</w:t>
            </w:r>
          </w:p>
        </w:tc>
        <w:tc>
          <w:tcPr>
            <w:tcW w:w="2835" w:type="dxa"/>
            <w:vAlign w:val="center"/>
          </w:tcPr>
          <w:p w14:paraId="71A0DB3A">
            <w:pPr>
              <w:pStyle w:val="471"/>
              <w:spacing w:before="65" w:line="252" w:lineRule="auto"/>
              <w:ind w:left="116" w:right="110" w:hanging="2"/>
              <w:rPr>
                <w:rFonts w:ascii="Times New Roman" w:hAnsi="Times New Roman" w:eastAsia="Times New Roman" w:cs="Times New Roman"/>
                <w:color w:val="000000" w:themeColor="text1"/>
                <w:spacing w:val="13"/>
                <w:sz w:val="21"/>
                <w:szCs w:val="21"/>
                <w:highlight w:val="none"/>
                <w:lang w:eastAsia="zh-CN"/>
                <w14:textFill>
                  <w14:solidFill>
                    <w14:schemeClr w14:val="tx1"/>
                  </w14:solidFill>
                </w14:textFill>
              </w:rPr>
            </w:pPr>
            <w:r>
              <w:rPr>
                <w:rFonts w:ascii="Times New Roman" w:hAnsi="Times New Roman" w:eastAsia="Times New Roman" w:cs="Times New Roman"/>
                <w:color w:val="000000" w:themeColor="text1"/>
                <w:spacing w:val="13"/>
                <w:sz w:val="21"/>
                <w:szCs w:val="21"/>
                <w:highlight w:val="none"/>
                <w:lang w:eastAsia="zh-CN"/>
                <w14:textFill>
                  <w14:solidFill>
                    <w14:schemeClr w14:val="tx1"/>
                  </w14:solidFill>
                </w14:textFill>
              </w:rPr>
              <w:t>1.</w:t>
            </w:r>
            <w:r>
              <w:rPr>
                <w:rFonts w:hint="eastAsia" w:ascii="Times New Roman" w:hAnsi="Times New Roman" w:eastAsia="Times New Roman" w:cs="Times New Roman"/>
                <w:color w:val="000000" w:themeColor="text1"/>
                <w:spacing w:val="13"/>
                <w:sz w:val="21"/>
                <w:szCs w:val="21"/>
                <w:highlight w:val="none"/>
                <w:lang w:eastAsia="zh-CN"/>
                <w14:textFill>
                  <w14:solidFill>
                    <w14:schemeClr w14:val="tx1"/>
                  </w14:solidFill>
                </w14:textFill>
              </w:rPr>
              <w:t>承包人按照合同条款约定的赔付限额办理安全生产责任险，根据承包人的工程量清单报价金额以总额为单位计量；</w:t>
            </w:r>
            <w:r>
              <w:rPr>
                <w:rFonts w:ascii="Times New Roman" w:hAnsi="Times New Roman" w:eastAsia="Times New Roman" w:cs="Times New Roman"/>
                <w:color w:val="000000" w:themeColor="text1"/>
                <w:spacing w:val="13"/>
                <w:sz w:val="21"/>
                <w:szCs w:val="21"/>
                <w:highlight w:val="none"/>
                <w:lang w:eastAsia="zh-CN"/>
                <w14:textFill>
                  <w14:solidFill>
                    <w14:schemeClr w14:val="tx1"/>
                  </w14:solidFill>
                </w14:textFill>
              </w:rPr>
              <w:t>2.</w:t>
            </w:r>
            <w:r>
              <w:rPr>
                <w:rFonts w:hint="eastAsia" w:ascii="Times New Roman" w:hAnsi="Times New Roman" w:eastAsia="Times New Roman" w:cs="Times New Roman"/>
                <w:color w:val="000000" w:themeColor="text1"/>
                <w:spacing w:val="13"/>
                <w:sz w:val="21"/>
                <w:szCs w:val="21"/>
                <w:highlight w:val="none"/>
                <w:lang w:eastAsia="zh-CN"/>
                <w14:textFill>
                  <w14:solidFill>
                    <w14:schemeClr w14:val="tx1"/>
                  </w14:solidFill>
                </w14:textFill>
              </w:rPr>
              <w:t>保险期为合同约定的养护作业期</w:t>
            </w:r>
          </w:p>
        </w:tc>
        <w:tc>
          <w:tcPr>
            <w:tcW w:w="2476" w:type="dxa"/>
            <w:vAlign w:val="center"/>
          </w:tcPr>
          <w:p w14:paraId="07D578AA">
            <w:pPr>
              <w:pStyle w:val="471"/>
              <w:spacing w:before="65" w:line="252" w:lineRule="auto"/>
              <w:ind w:left="116" w:right="110" w:hanging="2"/>
              <w:rPr>
                <w:color w:val="000000" w:themeColor="text1"/>
                <w:sz w:val="21"/>
                <w:szCs w:val="21"/>
                <w:highlight w:val="none"/>
                <w:lang w:eastAsia="zh-CN"/>
                <w14:textFill>
                  <w14:solidFill>
                    <w14:schemeClr w14:val="tx1"/>
                  </w14:solidFill>
                </w14:textFill>
              </w:rPr>
            </w:pPr>
            <w:r>
              <w:rPr>
                <w:rFonts w:hint="eastAsia" w:ascii="Times New Roman" w:hAnsi="Times New Roman" w:eastAsia="Times New Roman" w:cs="Times New Roman"/>
                <w:color w:val="000000" w:themeColor="text1"/>
                <w:spacing w:val="13"/>
                <w:sz w:val="21"/>
                <w:szCs w:val="21"/>
                <w:highlight w:val="none"/>
                <w:lang w:eastAsia="zh-CN"/>
                <w14:textFill>
                  <w14:solidFill>
                    <w14:schemeClr w14:val="tx1"/>
                  </w14:solidFill>
                </w14:textFill>
              </w:rPr>
              <w:t>根据合同条款办理安全生产责任险。</w:t>
            </w:r>
          </w:p>
        </w:tc>
      </w:tr>
      <w:tr w14:paraId="7706F7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4" w:hRule="atLeast"/>
        </w:trPr>
        <w:tc>
          <w:tcPr>
            <w:tcW w:w="1137" w:type="dxa"/>
            <w:vAlign w:val="center"/>
          </w:tcPr>
          <w:p w14:paraId="348A3721">
            <w:pPr>
              <w:pStyle w:val="471"/>
              <w:spacing w:before="65" w:line="228" w:lineRule="auto"/>
              <w:jc w:val="center"/>
              <w:rPr>
                <w:color w:val="000000" w:themeColor="text1"/>
                <w:spacing w:val="2"/>
                <w:sz w:val="21"/>
                <w:szCs w:val="21"/>
                <w:highlight w:val="none"/>
                <w14:textFill>
                  <w14:solidFill>
                    <w14:schemeClr w14:val="tx1"/>
                  </w14:solidFill>
                </w14:textFill>
              </w:rPr>
            </w:pPr>
            <w:r>
              <w:rPr>
                <w:color w:val="000000" w:themeColor="text1"/>
                <w:spacing w:val="2"/>
                <w:sz w:val="21"/>
                <w:szCs w:val="21"/>
                <w:highlight w:val="none"/>
                <w14:textFill>
                  <w14:solidFill>
                    <w14:schemeClr w14:val="tx1"/>
                  </w14:solidFill>
                </w14:textFill>
              </w:rPr>
              <w:t>601-1</w:t>
            </w:r>
            <w:r>
              <w:rPr>
                <w:rFonts w:hint="eastAsia"/>
                <w:color w:val="000000" w:themeColor="text1"/>
                <w:spacing w:val="2"/>
                <w:sz w:val="21"/>
                <w:szCs w:val="21"/>
                <w:highlight w:val="none"/>
                <w14:textFill>
                  <w14:solidFill>
                    <w14:schemeClr w14:val="tx1"/>
                  </w14:solidFill>
                </w14:textFill>
              </w:rPr>
              <w:t>-c</w:t>
            </w:r>
          </w:p>
        </w:tc>
        <w:tc>
          <w:tcPr>
            <w:tcW w:w="2268" w:type="dxa"/>
            <w:vAlign w:val="center"/>
          </w:tcPr>
          <w:p w14:paraId="2A173A46">
            <w:pPr>
              <w:pStyle w:val="471"/>
              <w:spacing w:before="65" w:line="228" w:lineRule="auto"/>
              <w:jc w:val="center"/>
              <w:rPr>
                <w:color w:val="000000" w:themeColor="text1"/>
                <w:spacing w:val="2"/>
                <w:sz w:val="21"/>
                <w:szCs w:val="21"/>
                <w:highlight w:val="none"/>
                <w14:textFill>
                  <w14:solidFill>
                    <w14:schemeClr w14:val="tx1"/>
                  </w14:solidFill>
                </w14:textFill>
              </w:rPr>
            </w:pPr>
            <w:r>
              <w:rPr>
                <w:rFonts w:hint="eastAsia"/>
                <w:color w:val="000000" w:themeColor="text1"/>
                <w:spacing w:val="2"/>
                <w:sz w:val="21"/>
                <w:szCs w:val="21"/>
                <w:highlight w:val="none"/>
                <w14:textFill>
                  <w14:solidFill>
                    <w14:schemeClr w14:val="tx1"/>
                  </w14:solidFill>
                </w14:textFill>
              </w:rPr>
              <w:t>拆除钢护栏</w:t>
            </w:r>
          </w:p>
        </w:tc>
        <w:tc>
          <w:tcPr>
            <w:tcW w:w="851" w:type="dxa"/>
            <w:vAlign w:val="center"/>
          </w:tcPr>
          <w:p w14:paraId="0EEE9932">
            <w:pPr>
              <w:pStyle w:val="471"/>
              <w:spacing w:before="65" w:line="228" w:lineRule="auto"/>
              <w:jc w:val="center"/>
              <w:rPr>
                <w:color w:val="000000" w:themeColor="text1"/>
                <w:spacing w:val="2"/>
                <w:sz w:val="21"/>
                <w:szCs w:val="21"/>
                <w:highlight w:val="none"/>
                <w14:textFill>
                  <w14:solidFill>
                    <w14:schemeClr w14:val="tx1"/>
                  </w14:solidFill>
                </w14:textFill>
              </w:rPr>
            </w:pPr>
            <w:r>
              <w:rPr>
                <w:rFonts w:hint="eastAsia"/>
                <w:color w:val="000000" w:themeColor="text1"/>
                <w:spacing w:val="2"/>
                <w:sz w:val="21"/>
                <w:szCs w:val="21"/>
                <w:highlight w:val="none"/>
                <w14:textFill>
                  <w14:solidFill>
                    <w14:schemeClr w14:val="tx1"/>
                  </w14:solidFill>
                </w14:textFill>
              </w:rPr>
              <w:t>m</w:t>
            </w:r>
          </w:p>
        </w:tc>
        <w:tc>
          <w:tcPr>
            <w:tcW w:w="2835" w:type="dxa"/>
            <w:vAlign w:val="center"/>
          </w:tcPr>
          <w:p w14:paraId="14469E38">
            <w:pPr>
              <w:pStyle w:val="471"/>
              <w:spacing w:before="65" w:line="252" w:lineRule="auto"/>
              <w:ind w:left="116" w:right="110" w:hanging="2"/>
              <w:rPr>
                <w:rFonts w:ascii="Times New Roman" w:hAnsi="Times New Roman" w:eastAsia="Times New Roman" w:cs="Times New Roman"/>
                <w:color w:val="000000" w:themeColor="text1"/>
                <w:spacing w:val="13"/>
                <w:sz w:val="21"/>
                <w:szCs w:val="21"/>
                <w:highlight w:val="none"/>
                <w:lang w:eastAsia="zh-CN"/>
                <w14:textFill>
                  <w14:solidFill>
                    <w14:schemeClr w14:val="tx1"/>
                  </w14:solidFill>
                </w14:textFill>
              </w:rPr>
            </w:pPr>
            <w:r>
              <w:rPr>
                <w:rFonts w:ascii="Times New Roman" w:hAnsi="Times New Roman" w:eastAsia="Times New Roman" w:cs="Times New Roman"/>
                <w:color w:val="000000" w:themeColor="text1"/>
                <w:spacing w:val="13"/>
                <w:sz w:val="21"/>
                <w:szCs w:val="21"/>
                <w:highlight w:val="none"/>
                <w:lang w:eastAsia="zh-CN"/>
                <w14:textFill>
                  <w14:solidFill>
                    <w14:schemeClr w14:val="tx1"/>
                  </w14:solidFill>
                </w14:textFill>
              </w:rPr>
              <w:t>按拆除的护栏长度以米为单位计量</w:t>
            </w:r>
            <w:r>
              <w:rPr>
                <w:rFonts w:hint="eastAsia" w:ascii="Times New Roman" w:hAnsi="Times New Roman" w:eastAsia="Times New Roman" w:cs="Times New Roman"/>
                <w:color w:val="000000" w:themeColor="text1"/>
                <w:spacing w:val="13"/>
                <w:sz w:val="21"/>
                <w:szCs w:val="21"/>
                <w:highlight w:val="none"/>
                <w:lang w:eastAsia="zh-CN"/>
                <w14:textFill>
                  <w14:solidFill>
                    <w14:schemeClr w14:val="tx1"/>
                  </w14:solidFill>
                </w14:textFill>
              </w:rPr>
              <w:t>，</w:t>
            </w:r>
            <w:r>
              <w:rPr>
                <w:rFonts w:ascii="Times New Roman" w:hAnsi="Times New Roman" w:eastAsia="Times New Roman" w:cs="Times New Roman"/>
                <w:color w:val="000000" w:themeColor="text1"/>
                <w:spacing w:val="13"/>
                <w:sz w:val="21"/>
                <w:szCs w:val="21"/>
                <w:highlight w:val="none"/>
                <w:lang w:eastAsia="zh-CN"/>
                <w14:textFill>
                  <w14:solidFill>
                    <w14:schemeClr w14:val="tx1"/>
                  </w14:solidFill>
                </w14:textFill>
              </w:rPr>
              <w:t>拆除物</w:t>
            </w:r>
            <w:r>
              <w:rPr>
                <w:rFonts w:hint="eastAsia" w:ascii="Times New Roman" w:hAnsi="Times New Roman" w:eastAsia="Times New Roman" w:cs="Times New Roman"/>
                <w:color w:val="000000" w:themeColor="text1"/>
                <w:spacing w:val="13"/>
                <w:sz w:val="21"/>
                <w:szCs w:val="21"/>
                <w:highlight w:val="none"/>
                <w:lang w:eastAsia="zh-CN"/>
                <w14:textFill>
                  <w14:solidFill>
                    <w14:schemeClr w14:val="tx1"/>
                  </w14:solidFill>
                </w14:textFill>
              </w:rPr>
              <w:t>归发包人所有。</w:t>
            </w:r>
          </w:p>
        </w:tc>
        <w:tc>
          <w:tcPr>
            <w:tcW w:w="2476" w:type="dxa"/>
            <w:vAlign w:val="center"/>
          </w:tcPr>
          <w:p w14:paraId="43797C88">
            <w:pPr>
              <w:pStyle w:val="471"/>
              <w:spacing w:before="65" w:line="252" w:lineRule="auto"/>
              <w:ind w:left="116" w:right="110" w:hanging="2"/>
              <w:rPr>
                <w:color w:val="000000" w:themeColor="text1"/>
                <w:sz w:val="21"/>
                <w:szCs w:val="21"/>
                <w:highlight w:val="none"/>
                <w:lang w:eastAsia="zh-CN"/>
                <w14:textFill>
                  <w14:solidFill>
                    <w14:schemeClr w14:val="tx1"/>
                  </w14:solidFill>
                </w14:textFill>
              </w:rPr>
            </w:pPr>
            <w:r>
              <w:rPr>
                <w:rFonts w:ascii="Times New Roman" w:hAnsi="Times New Roman" w:eastAsia="Times New Roman" w:cs="Times New Roman"/>
                <w:color w:val="000000" w:themeColor="text1"/>
                <w:spacing w:val="13"/>
                <w:sz w:val="21"/>
                <w:szCs w:val="21"/>
                <w:highlight w:val="none"/>
                <w:lang w:eastAsia="zh-CN"/>
                <w14:textFill>
                  <w14:solidFill>
                    <w14:schemeClr w14:val="tx1"/>
                  </w14:solidFill>
                </w14:textFill>
              </w:rPr>
              <w:t>1.</w:t>
            </w:r>
            <w:r>
              <w:rPr>
                <w:color w:val="000000" w:themeColor="text1"/>
                <w:spacing w:val="13"/>
                <w:sz w:val="21"/>
                <w:szCs w:val="21"/>
                <w:highlight w:val="none"/>
                <w:lang w:eastAsia="zh-CN"/>
                <w14:textFill>
                  <w14:solidFill>
                    <w14:schemeClr w14:val="tx1"/>
                  </w14:solidFill>
                </w14:textFill>
              </w:rPr>
              <w:t>拆除；</w:t>
            </w:r>
            <w:r>
              <w:rPr>
                <w:rFonts w:ascii="Times New Roman" w:hAnsi="Times New Roman" w:eastAsia="Times New Roman" w:cs="Times New Roman"/>
                <w:color w:val="000000" w:themeColor="text1"/>
                <w:spacing w:val="13"/>
                <w:sz w:val="21"/>
                <w:szCs w:val="21"/>
                <w:highlight w:val="none"/>
                <w:lang w:eastAsia="zh-CN"/>
                <w14:textFill>
                  <w14:solidFill>
                    <w14:schemeClr w14:val="tx1"/>
                  </w14:solidFill>
                </w14:textFill>
              </w:rPr>
              <w:t>2.</w:t>
            </w:r>
            <w:r>
              <w:rPr>
                <w:color w:val="000000" w:themeColor="text1"/>
                <w:spacing w:val="13"/>
                <w:sz w:val="21"/>
                <w:szCs w:val="21"/>
                <w:highlight w:val="none"/>
                <w:lang w:eastAsia="zh-CN"/>
                <w14:textFill>
                  <w14:solidFill>
                    <w14:schemeClr w14:val="tx1"/>
                  </w14:solidFill>
                </w14:textFill>
              </w:rPr>
              <w:t>拆除物运输到</w:t>
            </w:r>
            <w:r>
              <w:rPr>
                <w:color w:val="000000" w:themeColor="text1"/>
                <w:spacing w:val="11"/>
                <w:sz w:val="21"/>
                <w:szCs w:val="21"/>
                <w:highlight w:val="none"/>
                <w:lang w:eastAsia="zh-CN"/>
                <w14:textFill>
                  <w14:solidFill>
                    <w14:schemeClr w14:val="tx1"/>
                  </w14:solidFill>
                </w14:textFill>
              </w:rPr>
              <w:t>指定地点堆放；</w:t>
            </w:r>
            <w:r>
              <w:rPr>
                <w:rFonts w:ascii="Times New Roman" w:hAnsi="Times New Roman" w:eastAsia="Times New Roman" w:cs="Times New Roman"/>
                <w:color w:val="000000" w:themeColor="text1"/>
                <w:spacing w:val="11"/>
                <w:sz w:val="21"/>
                <w:szCs w:val="21"/>
                <w:highlight w:val="none"/>
                <w:lang w:eastAsia="zh-CN"/>
                <w14:textFill>
                  <w14:solidFill>
                    <w14:schemeClr w14:val="tx1"/>
                  </w14:solidFill>
                </w14:textFill>
              </w:rPr>
              <w:t>3.</w:t>
            </w:r>
            <w:r>
              <w:rPr>
                <w:color w:val="000000" w:themeColor="text1"/>
                <w:spacing w:val="11"/>
                <w:sz w:val="21"/>
                <w:szCs w:val="21"/>
                <w:highlight w:val="none"/>
                <w:lang w:eastAsia="zh-CN"/>
                <w14:textFill>
                  <w14:solidFill>
                    <w14:schemeClr w14:val="tx1"/>
                  </w14:solidFill>
                </w14:textFill>
              </w:rPr>
              <w:t>现场清</w:t>
            </w:r>
            <w:r>
              <w:rPr>
                <w:color w:val="000000" w:themeColor="text1"/>
                <w:sz w:val="21"/>
                <w:szCs w:val="21"/>
                <w:highlight w:val="none"/>
                <w:lang w:eastAsia="zh-CN"/>
                <w14:textFill>
                  <w14:solidFill>
                    <w14:schemeClr w14:val="tx1"/>
                  </w14:solidFill>
                </w14:textFill>
              </w:rPr>
              <w:t>理。</w:t>
            </w:r>
          </w:p>
        </w:tc>
      </w:tr>
      <w:tr w14:paraId="1ED883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3" w:hRule="atLeast"/>
        </w:trPr>
        <w:tc>
          <w:tcPr>
            <w:tcW w:w="1137" w:type="dxa"/>
            <w:vAlign w:val="center"/>
          </w:tcPr>
          <w:p w14:paraId="11A01183">
            <w:pPr>
              <w:pStyle w:val="471"/>
              <w:spacing w:before="65" w:line="228" w:lineRule="auto"/>
              <w:jc w:val="center"/>
              <w:rPr>
                <w:color w:val="000000" w:themeColor="text1"/>
                <w:spacing w:val="2"/>
                <w:sz w:val="21"/>
                <w:szCs w:val="21"/>
                <w:highlight w:val="none"/>
                <w14:textFill>
                  <w14:solidFill>
                    <w14:schemeClr w14:val="tx1"/>
                  </w14:solidFill>
                </w14:textFill>
              </w:rPr>
            </w:pPr>
            <w:r>
              <w:rPr>
                <w:color w:val="000000" w:themeColor="text1"/>
                <w:spacing w:val="2"/>
                <w:sz w:val="21"/>
                <w:szCs w:val="21"/>
                <w:highlight w:val="none"/>
                <w14:textFill>
                  <w14:solidFill>
                    <w14:schemeClr w14:val="tx1"/>
                  </w14:solidFill>
                </w14:textFill>
              </w:rPr>
              <w:t>602-8</w:t>
            </w:r>
            <w:r>
              <w:rPr>
                <w:rFonts w:hint="eastAsia"/>
                <w:color w:val="000000" w:themeColor="text1"/>
                <w:spacing w:val="2"/>
                <w:sz w:val="21"/>
                <w:szCs w:val="21"/>
                <w:highlight w:val="none"/>
                <w14:textFill>
                  <w14:solidFill>
                    <w14:schemeClr w14:val="tx1"/>
                  </w14:solidFill>
                </w14:textFill>
              </w:rPr>
              <w:t>-d</w:t>
            </w:r>
          </w:p>
        </w:tc>
        <w:tc>
          <w:tcPr>
            <w:tcW w:w="2268" w:type="dxa"/>
            <w:vAlign w:val="center"/>
          </w:tcPr>
          <w:p w14:paraId="2E3053A0">
            <w:pPr>
              <w:pStyle w:val="471"/>
              <w:spacing w:before="65" w:line="228" w:lineRule="auto"/>
              <w:jc w:val="center"/>
              <w:rPr>
                <w:color w:val="000000" w:themeColor="text1"/>
                <w:spacing w:val="2"/>
                <w:sz w:val="21"/>
                <w:szCs w:val="21"/>
                <w:highlight w:val="none"/>
                <w:lang w:eastAsia="zh-CN"/>
                <w14:textFill>
                  <w14:solidFill>
                    <w14:schemeClr w14:val="tx1"/>
                  </w14:solidFill>
                </w14:textFill>
              </w:rPr>
            </w:pPr>
            <w:r>
              <w:rPr>
                <w:rFonts w:hint="eastAsia"/>
                <w:color w:val="000000" w:themeColor="text1"/>
                <w:spacing w:val="2"/>
                <w:sz w:val="21"/>
                <w:szCs w:val="21"/>
                <w:highlight w:val="none"/>
                <w:lang w:eastAsia="zh-CN"/>
                <w14:textFill>
                  <w14:solidFill>
                    <w14:schemeClr w14:val="tx1"/>
                  </w14:solidFill>
                </w14:textFill>
              </w:rPr>
              <w:t>△</w:t>
            </w:r>
            <w:r>
              <w:rPr>
                <w:color w:val="000000" w:themeColor="text1"/>
                <w:spacing w:val="2"/>
                <w:sz w:val="21"/>
                <w:szCs w:val="21"/>
                <w:highlight w:val="none"/>
                <w:lang w:eastAsia="zh-CN"/>
                <w14:textFill>
                  <w14:solidFill>
                    <w14:schemeClr w14:val="tx1"/>
                  </w14:solidFill>
                </w14:textFill>
              </w:rPr>
              <w:t>90单柱式（更换面板）</w:t>
            </w:r>
          </w:p>
        </w:tc>
        <w:tc>
          <w:tcPr>
            <w:tcW w:w="851" w:type="dxa"/>
            <w:vAlign w:val="center"/>
          </w:tcPr>
          <w:p w14:paraId="602B395B">
            <w:pPr>
              <w:pStyle w:val="471"/>
              <w:spacing w:before="65" w:line="228" w:lineRule="auto"/>
              <w:jc w:val="center"/>
              <w:rPr>
                <w:color w:val="000000" w:themeColor="text1"/>
                <w:spacing w:val="2"/>
                <w:sz w:val="21"/>
                <w:szCs w:val="21"/>
                <w:highlight w:val="none"/>
                <w14:textFill>
                  <w14:solidFill>
                    <w14:schemeClr w14:val="tx1"/>
                  </w14:solidFill>
                </w14:textFill>
              </w:rPr>
            </w:pPr>
            <w:r>
              <w:rPr>
                <w:rFonts w:hint="eastAsia"/>
                <w:color w:val="000000" w:themeColor="text1"/>
                <w:spacing w:val="2"/>
                <w:sz w:val="21"/>
                <w:szCs w:val="21"/>
                <w:highlight w:val="none"/>
                <w14:textFill>
                  <w14:solidFill>
                    <w14:schemeClr w14:val="tx1"/>
                  </w14:solidFill>
                </w14:textFill>
              </w:rPr>
              <w:t>个</w:t>
            </w:r>
          </w:p>
        </w:tc>
        <w:tc>
          <w:tcPr>
            <w:tcW w:w="2835" w:type="dxa"/>
            <w:vAlign w:val="center"/>
          </w:tcPr>
          <w:p w14:paraId="3E2F1950">
            <w:pPr>
              <w:pStyle w:val="471"/>
              <w:spacing w:before="65" w:line="252" w:lineRule="auto"/>
              <w:ind w:left="116" w:right="110" w:hanging="2"/>
              <w:rPr>
                <w:rFonts w:ascii="Times New Roman" w:hAnsi="Times New Roman" w:eastAsia="Times New Roman" w:cs="Times New Roman"/>
                <w:color w:val="000000" w:themeColor="text1"/>
                <w:spacing w:val="13"/>
                <w:sz w:val="21"/>
                <w:szCs w:val="21"/>
                <w:highlight w:val="none"/>
                <w:lang w:eastAsia="zh-CN"/>
                <w14:textFill>
                  <w14:solidFill>
                    <w14:schemeClr w14:val="tx1"/>
                  </w14:solidFill>
                </w14:textFill>
              </w:rPr>
            </w:pPr>
            <w:r>
              <w:rPr>
                <w:rFonts w:hint="eastAsia"/>
                <w:color w:val="000000" w:themeColor="text1"/>
                <w:spacing w:val="13"/>
                <w:sz w:val="21"/>
                <w:szCs w:val="21"/>
                <w:highlight w:val="none"/>
                <w:lang w:eastAsia="zh-CN"/>
                <w14:textFill>
                  <w14:solidFill>
                    <w14:schemeClr w14:val="tx1"/>
                  </w14:solidFill>
                </w14:textFill>
              </w:rPr>
              <w:t>分不同类型，按标志板以个为单位计量，拆除物归发包人所有。</w:t>
            </w:r>
          </w:p>
        </w:tc>
        <w:tc>
          <w:tcPr>
            <w:tcW w:w="2476" w:type="dxa"/>
            <w:vAlign w:val="center"/>
          </w:tcPr>
          <w:p w14:paraId="5959508A">
            <w:pPr>
              <w:pStyle w:val="471"/>
              <w:spacing w:before="65" w:line="252" w:lineRule="auto"/>
              <w:ind w:left="116" w:right="110" w:hanging="2"/>
              <w:rPr>
                <w:rFonts w:ascii="Times New Roman" w:hAnsi="Times New Roman" w:eastAsia="Times New Roman" w:cs="Times New Roman"/>
                <w:color w:val="000000" w:themeColor="text1"/>
                <w:spacing w:val="13"/>
                <w:sz w:val="21"/>
                <w:szCs w:val="21"/>
                <w:highlight w:val="none"/>
                <w:lang w:eastAsia="zh-CN"/>
                <w14:textFill>
                  <w14:solidFill>
                    <w14:schemeClr w14:val="tx1"/>
                  </w14:solidFill>
                </w14:textFill>
              </w:rPr>
            </w:pPr>
            <w:r>
              <w:rPr>
                <w:rFonts w:ascii="Times New Roman" w:hAnsi="Times New Roman" w:eastAsia="Times New Roman" w:cs="Times New Roman"/>
                <w:color w:val="000000" w:themeColor="text1"/>
                <w:spacing w:val="13"/>
                <w:sz w:val="21"/>
                <w:szCs w:val="21"/>
                <w:highlight w:val="none"/>
                <w:lang w:eastAsia="zh-CN"/>
                <w14:textFill>
                  <w14:solidFill>
                    <w14:schemeClr w14:val="tx1"/>
                  </w14:solidFill>
                </w14:textFill>
              </w:rPr>
              <w:t>1.</w:t>
            </w:r>
            <w:r>
              <w:rPr>
                <w:rFonts w:hint="eastAsia"/>
                <w:color w:val="000000" w:themeColor="text1"/>
                <w:spacing w:val="13"/>
                <w:sz w:val="21"/>
                <w:szCs w:val="21"/>
                <w:highlight w:val="none"/>
                <w:lang w:eastAsia="zh-CN"/>
                <w14:textFill>
                  <w14:solidFill>
                    <w14:schemeClr w14:val="tx1"/>
                  </w14:solidFill>
                </w14:textFill>
              </w:rPr>
              <w:t>拆除原有标志板面并运输到指定地点堆放；</w:t>
            </w:r>
            <w:r>
              <w:rPr>
                <w:rFonts w:ascii="Times New Roman" w:hAnsi="Times New Roman" w:eastAsia="Times New Roman" w:cs="Times New Roman"/>
                <w:color w:val="000000" w:themeColor="text1"/>
                <w:spacing w:val="13"/>
                <w:sz w:val="21"/>
                <w:szCs w:val="21"/>
                <w:highlight w:val="none"/>
                <w:lang w:eastAsia="zh-CN"/>
                <w14:textFill>
                  <w14:solidFill>
                    <w14:schemeClr w14:val="tx1"/>
                  </w14:solidFill>
                </w14:textFill>
              </w:rPr>
              <w:t>2.</w:t>
            </w:r>
            <w:r>
              <w:rPr>
                <w:rFonts w:hint="eastAsia"/>
                <w:color w:val="000000" w:themeColor="text1"/>
                <w:spacing w:val="13"/>
                <w:sz w:val="21"/>
                <w:szCs w:val="21"/>
                <w:highlight w:val="none"/>
                <w:lang w:eastAsia="zh-CN"/>
                <w14:textFill>
                  <w14:solidFill>
                    <w14:schemeClr w14:val="tx1"/>
                  </w14:solidFill>
                </w14:textFill>
              </w:rPr>
              <w:t>标志板及各种匹配件制作与安装；</w:t>
            </w:r>
            <w:r>
              <w:rPr>
                <w:rFonts w:ascii="Times New Roman" w:hAnsi="Times New Roman" w:eastAsia="Times New Roman" w:cs="Times New Roman"/>
                <w:color w:val="000000" w:themeColor="text1"/>
                <w:spacing w:val="13"/>
                <w:sz w:val="21"/>
                <w:szCs w:val="21"/>
                <w:highlight w:val="none"/>
                <w:lang w:eastAsia="zh-CN"/>
                <w14:textFill>
                  <w14:solidFill>
                    <w14:schemeClr w14:val="tx1"/>
                  </w14:solidFill>
                </w14:textFill>
              </w:rPr>
              <w:t xml:space="preserve"> 3.</w:t>
            </w:r>
            <w:r>
              <w:rPr>
                <w:rFonts w:hint="eastAsia"/>
                <w:color w:val="000000" w:themeColor="text1"/>
                <w:spacing w:val="13"/>
                <w:sz w:val="21"/>
                <w:szCs w:val="21"/>
                <w:highlight w:val="none"/>
                <w:lang w:eastAsia="zh-CN"/>
                <w14:textFill>
                  <w14:solidFill>
                    <w14:schemeClr w14:val="tx1"/>
                  </w14:solidFill>
                </w14:textFill>
              </w:rPr>
              <w:t>现场清理。</w:t>
            </w:r>
          </w:p>
        </w:tc>
      </w:tr>
      <w:tr w14:paraId="6384A2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6" w:hRule="atLeast"/>
        </w:trPr>
        <w:tc>
          <w:tcPr>
            <w:tcW w:w="1137" w:type="dxa"/>
            <w:vAlign w:val="center"/>
          </w:tcPr>
          <w:p w14:paraId="63C4082F">
            <w:pPr>
              <w:pStyle w:val="471"/>
              <w:spacing w:before="65" w:line="228" w:lineRule="auto"/>
              <w:jc w:val="center"/>
              <w:rPr>
                <w:color w:val="000000" w:themeColor="text1"/>
                <w:spacing w:val="2"/>
                <w:sz w:val="21"/>
                <w:szCs w:val="21"/>
                <w:highlight w:val="none"/>
                <w14:textFill>
                  <w14:solidFill>
                    <w14:schemeClr w14:val="tx1"/>
                  </w14:solidFill>
                </w14:textFill>
              </w:rPr>
            </w:pPr>
            <w:r>
              <w:rPr>
                <w:rFonts w:hint="eastAsia"/>
                <w:color w:val="000000" w:themeColor="text1"/>
                <w:spacing w:val="2"/>
                <w:sz w:val="21"/>
                <w:szCs w:val="21"/>
                <w:highlight w:val="none"/>
                <w14:textFill>
                  <w14:solidFill>
                    <w14:schemeClr w14:val="tx1"/>
                  </w14:solidFill>
                </w14:textFill>
              </w:rPr>
              <w:t>603-1-a</w:t>
            </w:r>
          </w:p>
        </w:tc>
        <w:tc>
          <w:tcPr>
            <w:tcW w:w="2268" w:type="dxa"/>
            <w:vAlign w:val="center"/>
          </w:tcPr>
          <w:p w14:paraId="7B59DF75">
            <w:pPr>
              <w:pStyle w:val="471"/>
              <w:spacing w:before="65" w:line="228" w:lineRule="auto"/>
              <w:jc w:val="center"/>
              <w:rPr>
                <w:color w:val="000000" w:themeColor="text1"/>
                <w:spacing w:val="2"/>
                <w:sz w:val="21"/>
                <w:szCs w:val="21"/>
                <w:highlight w:val="none"/>
                <w:lang w:eastAsia="zh-CN"/>
                <w14:textFill>
                  <w14:solidFill>
                    <w14:schemeClr w14:val="tx1"/>
                  </w14:solidFill>
                </w14:textFill>
              </w:rPr>
            </w:pPr>
            <w:r>
              <w:rPr>
                <w:rFonts w:hint="eastAsia"/>
                <w:color w:val="000000" w:themeColor="text1"/>
                <w:spacing w:val="2"/>
                <w:sz w:val="21"/>
                <w:szCs w:val="21"/>
                <w:highlight w:val="none"/>
                <w:lang w:eastAsia="zh-CN"/>
                <w14:textFill>
                  <w14:solidFill>
                    <w14:schemeClr w14:val="tx1"/>
                  </w14:solidFill>
                </w14:textFill>
              </w:rPr>
              <w:t>波形梁钢护栏Gr-B-2E</w:t>
            </w:r>
          </w:p>
        </w:tc>
        <w:tc>
          <w:tcPr>
            <w:tcW w:w="851" w:type="dxa"/>
            <w:vAlign w:val="center"/>
          </w:tcPr>
          <w:p w14:paraId="3280A9A0">
            <w:pPr>
              <w:pStyle w:val="471"/>
              <w:spacing w:before="65" w:line="228" w:lineRule="auto"/>
              <w:jc w:val="center"/>
              <w:rPr>
                <w:color w:val="000000" w:themeColor="text1"/>
                <w:spacing w:val="2"/>
                <w:sz w:val="21"/>
                <w:szCs w:val="21"/>
                <w:highlight w:val="none"/>
                <w14:textFill>
                  <w14:solidFill>
                    <w14:schemeClr w14:val="tx1"/>
                  </w14:solidFill>
                </w14:textFill>
              </w:rPr>
            </w:pPr>
            <w:r>
              <w:rPr>
                <w:rFonts w:hint="eastAsia"/>
                <w:color w:val="000000" w:themeColor="text1"/>
                <w:spacing w:val="2"/>
                <w:sz w:val="21"/>
                <w:szCs w:val="21"/>
                <w:highlight w:val="none"/>
                <w14:textFill>
                  <w14:solidFill>
                    <w14:schemeClr w14:val="tx1"/>
                  </w14:solidFill>
                </w14:textFill>
              </w:rPr>
              <w:t>m</w:t>
            </w:r>
          </w:p>
        </w:tc>
        <w:tc>
          <w:tcPr>
            <w:tcW w:w="2835" w:type="dxa"/>
            <w:vMerge w:val="restart"/>
            <w:vAlign w:val="center"/>
          </w:tcPr>
          <w:p w14:paraId="408F1616">
            <w:pPr>
              <w:pStyle w:val="471"/>
              <w:spacing w:before="65" w:line="252" w:lineRule="auto"/>
              <w:ind w:left="116" w:right="110" w:hanging="2"/>
              <w:rPr>
                <w:rFonts w:ascii="Times New Roman" w:hAnsi="Times New Roman" w:eastAsia="Times New Roman" w:cs="Times New Roman"/>
                <w:color w:val="000000" w:themeColor="text1"/>
                <w:spacing w:val="13"/>
                <w:sz w:val="21"/>
                <w:szCs w:val="21"/>
                <w:highlight w:val="none"/>
                <w:lang w:eastAsia="zh-CN"/>
                <w14:textFill>
                  <w14:solidFill>
                    <w14:schemeClr w14:val="tx1"/>
                  </w14:solidFill>
                </w14:textFill>
              </w:rPr>
            </w:pPr>
            <w:r>
              <w:rPr>
                <w:rFonts w:hint="eastAsia" w:ascii="Times New Roman" w:hAnsi="Times New Roman" w:eastAsia="Times New Roman" w:cs="Times New Roman"/>
                <w:color w:val="000000" w:themeColor="text1"/>
                <w:spacing w:val="13"/>
                <w:sz w:val="21"/>
                <w:szCs w:val="21"/>
                <w:highlight w:val="none"/>
                <w:lang w:eastAsia="zh-CN"/>
                <w14:textFill>
                  <w14:solidFill>
                    <w14:schemeClr w14:val="tx1"/>
                  </w14:solidFill>
                </w14:textFill>
              </w:rPr>
              <w:t>依据图纸所示位置、防撞等级、构造形式代号，按图示长度以米为单位计量。</w:t>
            </w:r>
          </w:p>
        </w:tc>
        <w:tc>
          <w:tcPr>
            <w:tcW w:w="2476" w:type="dxa"/>
            <w:vMerge w:val="restart"/>
            <w:vAlign w:val="center"/>
          </w:tcPr>
          <w:p w14:paraId="5B761A8F">
            <w:pPr>
              <w:pStyle w:val="471"/>
              <w:spacing w:before="65" w:line="252" w:lineRule="auto"/>
              <w:ind w:left="116" w:right="110" w:hanging="2"/>
              <w:rPr>
                <w:rFonts w:ascii="Times New Roman" w:hAnsi="Times New Roman" w:eastAsia="Times New Roman" w:cs="Times New Roman"/>
                <w:color w:val="000000" w:themeColor="text1"/>
                <w:spacing w:val="13"/>
                <w:sz w:val="21"/>
                <w:szCs w:val="21"/>
                <w:highlight w:val="none"/>
                <w:lang w:eastAsia="zh-CN"/>
                <w14:textFill>
                  <w14:solidFill>
                    <w14:schemeClr w14:val="tx1"/>
                  </w14:solidFill>
                </w14:textFill>
              </w:rPr>
            </w:pPr>
            <w:r>
              <w:rPr>
                <w:rFonts w:ascii="Times New Roman" w:hAnsi="Times New Roman" w:eastAsia="Times New Roman" w:cs="Times New Roman"/>
                <w:color w:val="000000" w:themeColor="text1"/>
                <w:spacing w:val="13"/>
                <w:sz w:val="21"/>
                <w:szCs w:val="21"/>
                <w:highlight w:val="none"/>
                <w:lang w:eastAsia="zh-CN"/>
                <w14:textFill>
                  <w14:solidFill>
                    <w14:schemeClr w14:val="tx1"/>
                  </w14:solidFill>
                </w14:textFill>
              </w:rPr>
              <w:t>1.</w:t>
            </w:r>
            <w:r>
              <w:rPr>
                <w:rFonts w:hint="eastAsia" w:ascii="Times New Roman" w:hAnsi="Times New Roman" w:eastAsia="Times New Roman" w:cs="Times New Roman"/>
                <w:color w:val="000000" w:themeColor="text1"/>
                <w:spacing w:val="13"/>
                <w:sz w:val="21"/>
                <w:szCs w:val="21"/>
                <w:highlight w:val="none"/>
                <w:lang w:eastAsia="zh-CN"/>
                <w14:textFill>
                  <w14:solidFill>
                    <w14:schemeClr w14:val="tx1"/>
                  </w14:solidFill>
                </w14:textFill>
              </w:rPr>
              <w:t>基础施工（成孔、埋入或预埋套筒或预埋地脚螺栓等）；</w:t>
            </w:r>
            <w:r>
              <w:rPr>
                <w:rFonts w:ascii="Times New Roman" w:hAnsi="Times New Roman" w:eastAsia="Times New Roman" w:cs="Times New Roman"/>
                <w:color w:val="000000" w:themeColor="text1"/>
                <w:spacing w:val="13"/>
                <w:sz w:val="21"/>
                <w:szCs w:val="21"/>
                <w:highlight w:val="none"/>
                <w:lang w:eastAsia="zh-CN"/>
                <w14:textFill>
                  <w14:solidFill>
                    <w14:schemeClr w14:val="tx1"/>
                  </w14:solidFill>
                </w14:textFill>
              </w:rPr>
              <w:t>2.</w:t>
            </w:r>
            <w:r>
              <w:rPr>
                <w:rFonts w:hint="eastAsia" w:ascii="Times New Roman" w:hAnsi="Times New Roman" w:eastAsia="Times New Roman" w:cs="Times New Roman"/>
                <w:color w:val="000000" w:themeColor="text1"/>
                <w:spacing w:val="13"/>
                <w:sz w:val="21"/>
                <w:szCs w:val="21"/>
                <w:highlight w:val="none"/>
                <w:lang w:eastAsia="zh-CN"/>
                <w14:textFill>
                  <w14:solidFill>
                    <w14:schemeClr w14:val="tx1"/>
                  </w14:solidFill>
                </w14:textFill>
              </w:rPr>
              <w:t>波形梁及其匹配件安装；</w:t>
            </w:r>
            <w:r>
              <w:rPr>
                <w:rFonts w:ascii="Times New Roman" w:hAnsi="Times New Roman" w:eastAsia="Times New Roman" w:cs="Times New Roman"/>
                <w:color w:val="000000" w:themeColor="text1"/>
                <w:spacing w:val="13"/>
                <w:sz w:val="21"/>
                <w:szCs w:val="21"/>
                <w:highlight w:val="none"/>
                <w:lang w:eastAsia="zh-CN"/>
                <w14:textFill>
                  <w14:solidFill>
                    <w14:schemeClr w14:val="tx1"/>
                  </w14:solidFill>
                </w14:textFill>
              </w:rPr>
              <w:t>3.</w:t>
            </w:r>
            <w:r>
              <w:rPr>
                <w:rFonts w:hint="eastAsia" w:ascii="Times New Roman" w:hAnsi="Times New Roman" w:eastAsia="Times New Roman" w:cs="Times New Roman"/>
                <w:color w:val="000000" w:themeColor="text1"/>
                <w:spacing w:val="13"/>
                <w:sz w:val="21"/>
                <w:szCs w:val="21"/>
                <w:highlight w:val="none"/>
                <w:lang w:eastAsia="zh-CN"/>
                <w14:textFill>
                  <w14:solidFill>
                    <w14:schemeClr w14:val="tx1"/>
                  </w14:solidFill>
                </w14:textFill>
              </w:rPr>
              <w:t>场地清理，弃方处理；</w:t>
            </w:r>
            <w:r>
              <w:rPr>
                <w:rFonts w:ascii="Times New Roman" w:hAnsi="Times New Roman" w:eastAsia="Times New Roman" w:cs="Times New Roman"/>
                <w:color w:val="000000" w:themeColor="text1"/>
                <w:spacing w:val="13"/>
                <w:sz w:val="21"/>
                <w:szCs w:val="21"/>
                <w:highlight w:val="none"/>
                <w:lang w:eastAsia="zh-CN"/>
                <w14:textFill>
                  <w14:solidFill>
                    <w14:schemeClr w14:val="tx1"/>
                  </w14:solidFill>
                </w14:textFill>
              </w:rPr>
              <w:t>4.</w:t>
            </w:r>
            <w:r>
              <w:rPr>
                <w:rFonts w:hint="eastAsia" w:ascii="Times New Roman" w:hAnsi="Times New Roman" w:eastAsia="Times New Roman" w:cs="Times New Roman"/>
                <w:color w:val="000000" w:themeColor="text1"/>
                <w:spacing w:val="13"/>
                <w:sz w:val="21"/>
                <w:szCs w:val="21"/>
                <w:highlight w:val="none"/>
                <w:lang w:eastAsia="zh-CN"/>
                <w14:textFill>
                  <w14:solidFill>
                    <w14:schemeClr w14:val="tx1"/>
                  </w14:solidFill>
                </w14:textFill>
              </w:rPr>
              <w:t>补涂防腐涂装。</w:t>
            </w:r>
          </w:p>
        </w:tc>
      </w:tr>
      <w:tr w14:paraId="05B702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trPr>
        <w:tc>
          <w:tcPr>
            <w:tcW w:w="1137" w:type="dxa"/>
            <w:vAlign w:val="center"/>
          </w:tcPr>
          <w:p w14:paraId="2C822C42">
            <w:pPr>
              <w:pStyle w:val="471"/>
              <w:spacing w:before="65" w:line="228" w:lineRule="auto"/>
              <w:jc w:val="center"/>
              <w:rPr>
                <w:color w:val="000000" w:themeColor="text1"/>
                <w:spacing w:val="2"/>
                <w:sz w:val="21"/>
                <w:szCs w:val="21"/>
                <w:highlight w:val="none"/>
                <w14:textFill>
                  <w14:solidFill>
                    <w14:schemeClr w14:val="tx1"/>
                  </w14:solidFill>
                </w14:textFill>
              </w:rPr>
            </w:pPr>
            <w:r>
              <w:rPr>
                <w:rFonts w:hint="eastAsia"/>
                <w:color w:val="000000" w:themeColor="text1"/>
                <w:spacing w:val="2"/>
                <w:sz w:val="21"/>
                <w:szCs w:val="21"/>
                <w:highlight w:val="none"/>
                <w14:textFill>
                  <w14:solidFill>
                    <w14:schemeClr w14:val="tx1"/>
                  </w14:solidFill>
                </w14:textFill>
              </w:rPr>
              <w:t>603-1-b</w:t>
            </w:r>
          </w:p>
        </w:tc>
        <w:tc>
          <w:tcPr>
            <w:tcW w:w="2268" w:type="dxa"/>
            <w:vAlign w:val="center"/>
          </w:tcPr>
          <w:p w14:paraId="22983CE7">
            <w:pPr>
              <w:pStyle w:val="471"/>
              <w:spacing w:before="65" w:line="228" w:lineRule="auto"/>
              <w:jc w:val="center"/>
              <w:rPr>
                <w:color w:val="000000" w:themeColor="text1"/>
                <w:spacing w:val="2"/>
                <w:sz w:val="21"/>
                <w:szCs w:val="21"/>
                <w:highlight w:val="none"/>
                <w:lang w:eastAsia="zh-CN"/>
                <w14:textFill>
                  <w14:solidFill>
                    <w14:schemeClr w14:val="tx1"/>
                  </w14:solidFill>
                </w14:textFill>
              </w:rPr>
            </w:pPr>
            <w:r>
              <w:rPr>
                <w:rFonts w:hint="eastAsia"/>
                <w:color w:val="000000" w:themeColor="text1"/>
                <w:spacing w:val="2"/>
                <w:sz w:val="21"/>
                <w:szCs w:val="21"/>
                <w:highlight w:val="none"/>
                <w:lang w:eastAsia="zh-CN"/>
                <w14:textFill>
                  <w14:solidFill>
                    <w14:schemeClr w14:val="tx1"/>
                  </w14:solidFill>
                </w14:textFill>
              </w:rPr>
              <w:t>波形梁钢护栏Gr-B-2C</w:t>
            </w:r>
          </w:p>
        </w:tc>
        <w:tc>
          <w:tcPr>
            <w:tcW w:w="851" w:type="dxa"/>
            <w:vAlign w:val="center"/>
          </w:tcPr>
          <w:p w14:paraId="698A96B1">
            <w:pPr>
              <w:pStyle w:val="471"/>
              <w:spacing w:before="65" w:line="228" w:lineRule="auto"/>
              <w:jc w:val="center"/>
              <w:rPr>
                <w:color w:val="000000" w:themeColor="text1"/>
                <w:spacing w:val="2"/>
                <w:sz w:val="21"/>
                <w:szCs w:val="21"/>
                <w:highlight w:val="none"/>
                <w14:textFill>
                  <w14:solidFill>
                    <w14:schemeClr w14:val="tx1"/>
                  </w14:solidFill>
                </w14:textFill>
              </w:rPr>
            </w:pPr>
            <w:r>
              <w:rPr>
                <w:rFonts w:hint="eastAsia"/>
                <w:color w:val="000000" w:themeColor="text1"/>
                <w:spacing w:val="2"/>
                <w:sz w:val="21"/>
                <w:szCs w:val="21"/>
                <w:highlight w:val="none"/>
                <w14:textFill>
                  <w14:solidFill>
                    <w14:schemeClr w14:val="tx1"/>
                  </w14:solidFill>
                </w14:textFill>
              </w:rPr>
              <w:t>m</w:t>
            </w:r>
          </w:p>
        </w:tc>
        <w:tc>
          <w:tcPr>
            <w:tcW w:w="2835" w:type="dxa"/>
            <w:vMerge w:val="continue"/>
            <w:vAlign w:val="center"/>
          </w:tcPr>
          <w:p w14:paraId="2E2C2E2F">
            <w:pPr>
              <w:pStyle w:val="471"/>
              <w:spacing w:before="65" w:line="252" w:lineRule="auto"/>
              <w:ind w:left="116" w:right="110" w:hanging="2"/>
              <w:rPr>
                <w:rFonts w:ascii="Times New Roman" w:hAnsi="Times New Roman" w:eastAsia="Times New Roman" w:cs="Times New Roman"/>
                <w:color w:val="000000" w:themeColor="text1"/>
                <w:spacing w:val="13"/>
                <w:sz w:val="21"/>
                <w:szCs w:val="21"/>
                <w:highlight w:val="none"/>
                <w:lang w:eastAsia="zh-CN"/>
                <w14:textFill>
                  <w14:solidFill>
                    <w14:schemeClr w14:val="tx1"/>
                  </w14:solidFill>
                </w14:textFill>
              </w:rPr>
            </w:pPr>
          </w:p>
        </w:tc>
        <w:tc>
          <w:tcPr>
            <w:tcW w:w="2476" w:type="dxa"/>
            <w:vMerge w:val="continue"/>
            <w:vAlign w:val="center"/>
          </w:tcPr>
          <w:p w14:paraId="41B0245A">
            <w:pPr>
              <w:pStyle w:val="471"/>
              <w:spacing w:before="65" w:line="252" w:lineRule="auto"/>
              <w:ind w:left="116" w:right="110" w:hanging="2"/>
              <w:rPr>
                <w:rFonts w:ascii="Times New Roman" w:hAnsi="Times New Roman" w:eastAsia="Times New Roman" w:cs="Times New Roman"/>
                <w:color w:val="000000" w:themeColor="text1"/>
                <w:spacing w:val="13"/>
                <w:sz w:val="21"/>
                <w:szCs w:val="21"/>
                <w:highlight w:val="none"/>
                <w:lang w:eastAsia="zh-CN"/>
                <w14:textFill>
                  <w14:solidFill>
                    <w14:schemeClr w14:val="tx1"/>
                  </w14:solidFill>
                </w14:textFill>
              </w:rPr>
            </w:pPr>
          </w:p>
        </w:tc>
      </w:tr>
      <w:tr w14:paraId="448DB5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4" w:hRule="atLeast"/>
        </w:trPr>
        <w:tc>
          <w:tcPr>
            <w:tcW w:w="1137" w:type="dxa"/>
            <w:vAlign w:val="center"/>
          </w:tcPr>
          <w:p w14:paraId="60EB2AFB">
            <w:pPr>
              <w:pStyle w:val="471"/>
              <w:spacing w:before="65" w:line="228" w:lineRule="auto"/>
              <w:jc w:val="center"/>
              <w:rPr>
                <w:color w:val="000000" w:themeColor="text1"/>
                <w:spacing w:val="2"/>
                <w:sz w:val="21"/>
                <w:szCs w:val="21"/>
                <w:highlight w:val="none"/>
                <w14:textFill>
                  <w14:solidFill>
                    <w14:schemeClr w14:val="tx1"/>
                  </w14:solidFill>
                </w14:textFill>
              </w:rPr>
            </w:pPr>
            <w:r>
              <w:rPr>
                <w:rFonts w:hint="eastAsia"/>
                <w:color w:val="000000" w:themeColor="text1"/>
                <w:spacing w:val="2"/>
                <w:sz w:val="21"/>
                <w:szCs w:val="21"/>
                <w:highlight w:val="none"/>
                <w14:textFill>
                  <w14:solidFill>
                    <w14:schemeClr w14:val="tx1"/>
                  </w14:solidFill>
                </w14:textFill>
              </w:rPr>
              <w:t>603-1-c</w:t>
            </w:r>
          </w:p>
        </w:tc>
        <w:tc>
          <w:tcPr>
            <w:tcW w:w="2268" w:type="dxa"/>
            <w:vAlign w:val="center"/>
          </w:tcPr>
          <w:p w14:paraId="2D21E65A">
            <w:pPr>
              <w:pStyle w:val="471"/>
              <w:spacing w:before="65" w:line="228" w:lineRule="auto"/>
              <w:jc w:val="center"/>
              <w:rPr>
                <w:color w:val="000000" w:themeColor="text1"/>
                <w:spacing w:val="2"/>
                <w:sz w:val="21"/>
                <w:szCs w:val="21"/>
                <w:highlight w:val="none"/>
                <w:lang w:eastAsia="zh-CN"/>
                <w14:textFill>
                  <w14:solidFill>
                    <w14:schemeClr w14:val="tx1"/>
                  </w14:solidFill>
                </w14:textFill>
              </w:rPr>
            </w:pPr>
            <w:r>
              <w:rPr>
                <w:rFonts w:hint="eastAsia"/>
                <w:color w:val="000000" w:themeColor="text1"/>
                <w:spacing w:val="2"/>
                <w:sz w:val="21"/>
                <w:szCs w:val="21"/>
                <w:highlight w:val="none"/>
                <w:lang w:eastAsia="zh-CN"/>
                <w14:textFill>
                  <w14:solidFill>
                    <w14:schemeClr w14:val="tx1"/>
                  </w14:solidFill>
                </w14:textFill>
              </w:rPr>
              <w:t>波形梁钢护栏上游端头At1-2</w:t>
            </w:r>
          </w:p>
        </w:tc>
        <w:tc>
          <w:tcPr>
            <w:tcW w:w="851" w:type="dxa"/>
            <w:vAlign w:val="center"/>
          </w:tcPr>
          <w:p w14:paraId="65DF028D">
            <w:pPr>
              <w:pStyle w:val="471"/>
              <w:spacing w:before="65" w:line="228" w:lineRule="auto"/>
              <w:jc w:val="center"/>
              <w:rPr>
                <w:color w:val="000000" w:themeColor="text1"/>
                <w:spacing w:val="2"/>
                <w:sz w:val="21"/>
                <w:szCs w:val="21"/>
                <w:highlight w:val="none"/>
                <w14:textFill>
                  <w14:solidFill>
                    <w14:schemeClr w14:val="tx1"/>
                  </w14:solidFill>
                </w14:textFill>
              </w:rPr>
            </w:pPr>
            <w:r>
              <w:rPr>
                <w:rFonts w:hint="eastAsia"/>
                <w:color w:val="000000" w:themeColor="text1"/>
                <w:spacing w:val="2"/>
                <w:sz w:val="21"/>
                <w:szCs w:val="21"/>
                <w:highlight w:val="none"/>
                <w14:textFill>
                  <w14:solidFill>
                    <w14:schemeClr w14:val="tx1"/>
                  </w14:solidFill>
                </w14:textFill>
              </w:rPr>
              <w:t>m</w:t>
            </w:r>
          </w:p>
        </w:tc>
        <w:tc>
          <w:tcPr>
            <w:tcW w:w="2835" w:type="dxa"/>
            <w:vMerge w:val="restart"/>
            <w:vAlign w:val="center"/>
          </w:tcPr>
          <w:p w14:paraId="7D8BB68A">
            <w:pPr>
              <w:pStyle w:val="471"/>
              <w:spacing w:before="65" w:line="252" w:lineRule="auto"/>
              <w:ind w:left="116" w:right="110" w:hanging="2"/>
              <w:rPr>
                <w:rFonts w:ascii="Times New Roman" w:hAnsi="Times New Roman" w:eastAsia="Times New Roman" w:cs="Times New Roman"/>
                <w:color w:val="000000" w:themeColor="text1"/>
                <w:spacing w:val="13"/>
                <w:sz w:val="21"/>
                <w:szCs w:val="21"/>
                <w:highlight w:val="none"/>
                <w:lang w:eastAsia="zh-CN"/>
                <w14:textFill>
                  <w14:solidFill>
                    <w14:schemeClr w14:val="tx1"/>
                  </w14:solidFill>
                </w14:textFill>
              </w:rPr>
            </w:pPr>
            <w:r>
              <w:rPr>
                <w:rFonts w:hint="eastAsia" w:ascii="Times New Roman" w:hAnsi="Times New Roman" w:eastAsia="Times New Roman" w:cs="Times New Roman"/>
                <w:color w:val="000000" w:themeColor="text1"/>
                <w:spacing w:val="13"/>
                <w:sz w:val="21"/>
                <w:szCs w:val="21"/>
                <w:highlight w:val="none"/>
                <w:lang w:eastAsia="zh-CN"/>
                <w14:textFill>
                  <w14:solidFill>
                    <w14:schemeClr w14:val="tx1"/>
                  </w14:solidFill>
                </w14:textFill>
              </w:rPr>
              <w:t>依据图纸所示位置、防撞等级、构造形式代号，按图示长度以米为单位计量。</w:t>
            </w:r>
          </w:p>
        </w:tc>
        <w:tc>
          <w:tcPr>
            <w:tcW w:w="2476" w:type="dxa"/>
            <w:vMerge w:val="restart"/>
            <w:vAlign w:val="center"/>
          </w:tcPr>
          <w:p w14:paraId="522ACD8D">
            <w:pPr>
              <w:pStyle w:val="471"/>
              <w:spacing w:before="65" w:line="252" w:lineRule="auto"/>
              <w:ind w:left="116" w:right="110" w:hanging="2"/>
              <w:rPr>
                <w:color w:val="000000" w:themeColor="text1"/>
                <w:spacing w:val="22"/>
                <w:sz w:val="21"/>
                <w:szCs w:val="21"/>
                <w:highlight w:val="none"/>
                <w:lang w:eastAsia="zh-CN"/>
                <w14:textFill>
                  <w14:solidFill>
                    <w14:schemeClr w14:val="tx1"/>
                  </w14:solidFill>
                </w14:textFill>
              </w:rPr>
            </w:pPr>
            <w:r>
              <w:rPr>
                <w:rFonts w:ascii="Times New Roman" w:hAnsi="Times New Roman" w:eastAsia="Times New Roman" w:cs="Times New Roman"/>
                <w:color w:val="000000" w:themeColor="text1"/>
                <w:spacing w:val="13"/>
                <w:sz w:val="21"/>
                <w:szCs w:val="21"/>
                <w:highlight w:val="none"/>
                <w:lang w:eastAsia="zh-CN"/>
                <w14:textFill>
                  <w14:solidFill>
                    <w14:schemeClr w14:val="tx1"/>
                  </w14:solidFill>
                </w14:textFill>
              </w:rPr>
              <w:t>1.</w:t>
            </w:r>
            <w:r>
              <w:rPr>
                <w:rFonts w:hint="eastAsia" w:ascii="Times New Roman" w:hAnsi="Times New Roman" w:eastAsia="Times New Roman" w:cs="Times New Roman"/>
                <w:color w:val="000000" w:themeColor="text1"/>
                <w:spacing w:val="13"/>
                <w:sz w:val="21"/>
                <w:szCs w:val="21"/>
                <w:highlight w:val="none"/>
                <w:lang w:eastAsia="zh-CN"/>
                <w14:textFill>
                  <w14:solidFill>
                    <w14:schemeClr w14:val="tx1"/>
                  </w14:solidFill>
                </w14:textFill>
              </w:rPr>
              <w:t>基槽开挖；</w:t>
            </w:r>
            <w:r>
              <w:rPr>
                <w:rFonts w:ascii="Times New Roman" w:hAnsi="Times New Roman" w:eastAsia="Times New Roman" w:cs="Times New Roman"/>
                <w:color w:val="000000" w:themeColor="text1"/>
                <w:spacing w:val="13"/>
                <w:sz w:val="21"/>
                <w:szCs w:val="21"/>
                <w:highlight w:val="none"/>
                <w:lang w:eastAsia="zh-CN"/>
                <w14:textFill>
                  <w14:solidFill>
                    <w14:schemeClr w14:val="tx1"/>
                  </w14:solidFill>
                </w14:textFill>
              </w:rPr>
              <w:t>2.</w:t>
            </w:r>
            <w:r>
              <w:rPr>
                <w:rFonts w:hint="eastAsia" w:ascii="Times New Roman" w:hAnsi="Times New Roman" w:eastAsia="Times New Roman" w:cs="Times New Roman"/>
                <w:color w:val="000000" w:themeColor="text1"/>
                <w:spacing w:val="13"/>
                <w:sz w:val="21"/>
                <w:szCs w:val="21"/>
                <w:highlight w:val="none"/>
                <w:lang w:eastAsia="zh-CN"/>
                <w14:textFill>
                  <w14:solidFill>
                    <w14:schemeClr w14:val="tx1"/>
                  </w14:solidFill>
                </w14:textFill>
              </w:rPr>
              <w:t>混凝土制备、运输、埋设预埋件、浇筑、养护；</w:t>
            </w:r>
            <w:r>
              <w:rPr>
                <w:rFonts w:ascii="Times New Roman" w:hAnsi="Times New Roman" w:eastAsia="Times New Roman" w:cs="Times New Roman"/>
                <w:color w:val="000000" w:themeColor="text1"/>
                <w:spacing w:val="13"/>
                <w:sz w:val="21"/>
                <w:szCs w:val="21"/>
                <w:highlight w:val="none"/>
                <w:lang w:eastAsia="zh-CN"/>
                <w14:textFill>
                  <w14:solidFill>
                    <w14:schemeClr w14:val="tx1"/>
                  </w14:solidFill>
                </w14:textFill>
              </w:rPr>
              <w:t>3.</w:t>
            </w:r>
            <w:r>
              <w:rPr>
                <w:rFonts w:hint="eastAsia" w:ascii="Times New Roman" w:hAnsi="Times New Roman" w:eastAsia="Times New Roman" w:cs="Times New Roman"/>
                <w:color w:val="000000" w:themeColor="text1"/>
                <w:spacing w:val="13"/>
                <w:sz w:val="21"/>
                <w:szCs w:val="21"/>
                <w:highlight w:val="none"/>
                <w:lang w:eastAsia="zh-CN"/>
                <w14:textFill>
                  <w14:solidFill>
                    <w14:schemeClr w14:val="tx1"/>
                  </w14:solidFill>
                </w14:textFill>
              </w:rPr>
              <w:t>安装波形梁护栏端头；</w:t>
            </w:r>
            <w:r>
              <w:rPr>
                <w:rFonts w:ascii="Times New Roman" w:hAnsi="Times New Roman" w:eastAsia="Times New Roman" w:cs="Times New Roman"/>
                <w:color w:val="000000" w:themeColor="text1"/>
                <w:spacing w:val="13"/>
                <w:sz w:val="21"/>
                <w:szCs w:val="21"/>
                <w:highlight w:val="none"/>
                <w:lang w:eastAsia="zh-CN"/>
                <w14:textFill>
                  <w14:solidFill>
                    <w14:schemeClr w14:val="tx1"/>
                  </w14:solidFill>
                </w14:textFill>
              </w:rPr>
              <w:t>4.</w:t>
            </w:r>
            <w:r>
              <w:rPr>
                <w:rFonts w:hint="eastAsia" w:ascii="Times New Roman" w:hAnsi="Times New Roman" w:eastAsia="Times New Roman" w:cs="Times New Roman"/>
                <w:color w:val="000000" w:themeColor="text1"/>
                <w:spacing w:val="13"/>
                <w:sz w:val="21"/>
                <w:szCs w:val="21"/>
                <w:highlight w:val="none"/>
                <w:lang w:eastAsia="zh-CN"/>
                <w14:textFill>
                  <w14:solidFill>
                    <w14:schemeClr w14:val="tx1"/>
                  </w14:solidFill>
                </w14:textFill>
              </w:rPr>
              <w:t>场地清理，弃方处理；</w:t>
            </w:r>
            <w:r>
              <w:rPr>
                <w:rFonts w:ascii="Times New Roman" w:hAnsi="Times New Roman" w:eastAsia="Times New Roman" w:cs="Times New Roman"/>
                <w:color w:val="000000" w:themeColor="text1"/>
                <w:spacing w:val="13"/>
                <w:sz w:val="21"/>
                <w:szCs w:val="21"/>
                <w:highlight w:val="none"/>
                <w:lang w:eastAsia="zh-CN"/>
                <w14:textFill>
                  <w14:solidFill>
                    <w14:schemeClr w14:val="tx1"/>
                  </w14:solidFill>
                </w14:textFill>
              </w:rPr>
              <w:t>5.</w:t>
            </w:r>
            <w:r>
              <w:rPr>
                <w:rFonts w:hint="eastAsia" w:ascii="Times New Roman" w:hAnsi="Times New Roman" w:eastAsia="Times New Roman" w:cs="Times New Roman"/>
                <w:color w:val="000000" w:themeColor="text1"/>
                <w:spacing w:val="13"/>
                <w:sz w:val="21"/>
                <w:szCs w:val="21"/>
                <w:highlight w:val="none"/>
                <w:lang w:eastAsia="zh-CN"/>
                <w14:textFill>
                  <w14:solidFill>
                    <w14:schemeClr w14:val="tx1"/>
                  </w14:solidFill>
                </w14:textFill>
              </w:rPr>
              <w:t>补涂防腐涂装</w:t>
            </w:r>
          </w:p>
        </w:tc>
      </w:tr>
      <w:tr w14:paraId="5921A6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1137" w:type="dxa"/>
            <w:vAlign w:val="center"/>
          </w:tcPr>
          <w:p w14:paraId="09D0E2F6">
            <w:pPr>
              <w:pStyle w:val="471"/>
              <w:spacing w:before="65" w:line="228" w:lineRule="auto"/>
              <w:jc w:val="center"/>
              <w:rPr>
                <w:color w:val="000000" w:themeColor="text1"/>
                <w:spacing w:val="2"/>
                <w:sz w:val="21"/>
                <w:szCs w:val="21"/>
                <w:highlight w:val="none"/>
                <w14:textFill>
                  <w14:solidFill>
                    <w14:schemeClr w14:val="tx1"/>
                  </w14:solidFill>
                </w14:textFill>
              </w:rPr>
            </w:pPr>
            <w:r>
              <w:rPr>
                <w:rFonts w:hint="eastAsia"/>
                <w:color w:val="000000" w:themeColor="text1"/>
                <w:spacing w:val="2"/>
                <w:sz w:val="21"/>
                <w:szCs w:val="21"/>
                <w:highlight w:val="none"/>
                <w14:textFill>
                  <w14:solidFill>
                    <w14:schemeClr w14:val="tx1"/>
                  </w14:solidFill>
                </w14:textFill>
              </w:rPr>
              <w:t>603-1-d</w:t>
            </w:r>
          </w:p>
        </w:tc>
        <w:tc>
          <w:tcPr>
            <w:tcW w:w="2268" w:type="dxa"/>
            <w:vAlign w:val="center"/>
          </w:tcPr>
          <w:p w14:paraId="440AD362">
            <w:pPr>
              <w:pStyle w:val="471"/>
              <w:spacing w:before="65" w:line="228" w:lineRule="auto"/>
              <w:jc w:val="center"/>
              <w:rPr>
                <w:color w:val="000000" w:themeColor="text1"/>
                <w:spacing w:val="2"/>
                <w:sz w:val="21"/>
                <w:szCs w:val="21"/>
                <w:highlight w:val="none"/>
                <w:lang w:eastAsia="zh-CN"/>
                <w14:textFill>
                  <w14:solidFill>
                    <w14:schemeClr w14:val="tx1"/>
                  </w14:solidFill>
                </w14:textFill>
              </w:rPr>
            </w:pPr>
            <w:r>
              <w:rPr>
                <w:rFonts w:hint="eastAsia"/>
                <w:color w:val="000000" w:themeColor="text1"/>
                <w:spacing w:val="2"/>
                <w:sz w:val="21"/>
                <w:szCs w:val="21"/>
                <w:highlight w:val="none"/>
                <w:lang w:eastAsia="zh-CN"/>
                <w14:textFill>
                  <w14:solidFill>
                    <w14:schemeClr w14:val="tx1"/>
                  </w14:solidFill>
                </w14:textFill>
              </w:rPr>
              <w:t>波形梁钢护栏下游端头At2</w:t>
            </w:r>
          </w:p>
        </w:tc>
        <w:tc>
          <w:tcPr>
            <w:tcW w:w="851" w:type="dxa"/>
            <w:vAlign w:val="center"/>
          </w:tcPr>
          <w:p w14:paraId="00316F02">
            <w:pPr>
              <w:pStyle w:val="471"/>
              <w:spacing w:before="65" w:line="228" w:lineRule="auto"/>
              <w:jc w:val="center"/>
              <w:rPr>
                <w:color w:val="000000" w:themeColor="text1"/>
                <w:spacing w:val="2"/>
                <w:sz w:val="21"/>
                <w:szCs w:val="21"/>
                <w:highlight w:val="none"/>
                <w14:textFill>
                  <w14:solidFill>
                    <w14:schemeClr w14:val="tx1"/>
                  </w14:solidFill>
                </w14:textFill>
              </w:rPr>
            </w:pPr>
            <w:r>
              <w:rPr>
                <w:rFonts w:hint="eastAsia"/>
                <w:color w:val="000000" w:themeColor="text1"/>
                <w:spacing w:val="2"/>
                <w:sz w:val="21"/>
                <w:szCs w:val="21"/>
                <w:highlight w:val="none"/>
                <w14:textFill>
                  <w14:solidFill>
                    <w14:schemeClr w14:val="tx1"/>
                  </w14:solidFill>
                </w14:textFill>
              </w:rPr>
              <w:t>m</w:t>
            </w:r>
          </w:p>
        </w:tc>
        <w:tc>
          <w:tcPr>
            <w:tcW w:w="2835" w:type="dxa"/>
            <w:vMerge w:val="continue"/>
          </w:tcPr>
          <w:p w14:paraId="324E4E56">
            <w:pPr>
              <w:pStyle w:val="471"/>
              <w:spacing w:before="65" w:line="252" w:lineRule="auto"/>
              <w:ind w:left="116" w:right="110" w:hanging="2"/>
              <w:rPr>
                <w:rFonts w:ascii="Times New Roman" w:hAnsi="Times New Roman" w:eastAsia="Times New Roman" w:cs="Times New Roman"/>
                <w:color w:val="000000" w:themeColor="text1"/>
                <w:spacing w:val="13"/>
                <w:sz w:val="21"/>
                <w:szCs w:val="21"/>
                <w:highlight w:val="none"/>
                <w:lang w:eastAsia="zh-CN"/>
                <w14:textFill>
                  <w14:solidFill>
                    <w14:schemeClr w14:val="tx1"/>
                  </w14:solidFill>
                </w14:textFill>
              </w:rPr>
            </w:pPr>
          </w:p>
        </w:tc>
        <w:tc>
          <w:tcPr>
            <w:tcW w:w="2476" w:type="dxa"/>
            <w:vMerge w:val="continue"/>
            <w:vAlign w:val="center"/>
          </w:tcPr>
          <w:p w14:paraId="5A9FE75D">
            <w:pPr>
              <w:pStyle w:val="471"/>
              <w:spacing w:before="305" w:line="253" w:lineRule="auto"/>
              <w:ind w:left="116" w:right="110" w:hanging="2"/>
              <w:rPr>
                <w:color w:val="000000" w:themeColor="text1"/>
                <w:spacing w:val="22"/>
                <w:sz w:val="21"/>
                <w:szCs w:val="21"/>
                <w:highlight w:val="none"/>
                <w:lang w:eastAsia="zh-CN"/>
                <w14:textFill>
                  <w14:solidFill>
                    <w14:schemeClr w14:val="tx1"/>
                  </w14:solidFill>
                </w14:textFill>
              </w:rPr>
            </w:pPr>
          </w:p>
        </w:tc>
      </w:tr>
      <w:tr w14:paraId="5E8D6C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8" w:hRule="atLeast"/>
        </w:trPr>
        <w:tc>
          <w:tcPr>
            <w:tcW w:w="1137" w:type="dxa"/>
            <w:vAlign w:val="center"/>
          </w:tcPr>
          <w:p w14:paraId="6E009AAC">
            <w:pPr>
              <w:pStyle w:val="471"/>
              <w:spacing w:before="65" w:line="228" w:lineRule="auto"/>
              <w:jc w:val="center"/>
              <w:rPr>
                <w:color w:val="000000" w:themeColor="text1"/>
                <w:spacing w:val="2"/>
                <w:sz w:val="21"/>
                <w:szCs w:val="21"/>
                <w:highlight w:val="none"/>
                <w14:textFill>
                  <w14:solidFill>
                    <w14:schemeClr w14:val="tx1"/>
                  </w14:solidFill>
                </w14:textFill>
              </w:rPr>
            </w:pPr>
            <w:r>
              <w:rPr>
                <w:color w:val="000000" w:themeColor="text1"/>
                <w:spacing w:val="2"/>
                <w:sz w:val="21"/>
                <w:szCs w:val="21"/>
                <w:highlight w:val="none"/>
                <w14:textFill>
                  <w14:solidFill>
                    <w14:schemeClr w14:val="tx1"/>
                  </w14:solidFill>
                </w14:textFill>
              </w:rPr>
              <w:t>603-3-a</w:t>
            </w:r>
          </w:p>
        </w:tc>
        <w:tc>
          <w:tcPr>
            <w:tcW w:w="2268" w:type="dxa"/>
            <w:vAlign w:val="center"/>
          </w:tcPr>
          <w:p w14:paraId="74D6F721">
            <w:pPr>
              <w:pStyle w:val="471"/>
              <w:spacing w:before="65" w:line="228" w:lineRule="auto"/>
              <w:jc w:val="center"/>
              <w:rPr>
                <w:color w:val="000000" w:themeColor="text1"/>
                <w:spacing w:val="2"/>
                <w:sz w:val="21"/>
                <w:szCs w:val="21"/>
                <w:highlight w:val="none"/>
                <w14:textFill>
                  <w14:solidFill>
                    <w14:schemeClr w14:val="tx1"/>
                  </w14:solidFill>
                </w14:textFill>
              </w:rPr>
            </w:pPr>
            <w:r>
              <w:rPr>
                <w:color w:val="000000" w:themeColor="text1"/>
                <w:spacing w:val="2"/>
                <w:sz w:val="21"/>
                <w:szCs w:val="21"/>
                <w:highlight w:val="none"/>
                <w14:textFill>
                  <w14:solidFill>
                    <w14:schemeClr w14:val="tx1"/>
                  </w14:solidFill>
                </w14:textFill>
              </w:rPr>
              <w:t>△90</w:t>
            </w:r>
            <w:r>
              <w:rPr>
                <w:rFonts w:hint="eastAsia"/>
                <w:color w:val="000000" w:themeColor="text1"/>
                <w:spacing w:val="2"/>
                <w:sz w:val="21"/>
                <w:szCs w:val="21"/>
                <w:highlight w:val="none"/>
                <w14:textFill>
                  <w14:solidFill>
                    <w14:schemeClr w14:val="tx1"/>
                  </w14:solidFill>
                </w14:textFill>
              </w:rPr>
              <w:t>单柱式</w:t>
            </w:r>
          </w:p>
        </w:tc>
        <w:tc>
          <w:tcPr>
            <w:tcW w:w="851" w:type="dxa"/>
            <w:vAlign w:val="center"/>
          </w:tcPr>
          <w:p w14:paraId="06078085">
            <w:pPr>
              <w:pStyle w:val="471"/>
              <w:spacing w:before="65" w:line="228" w:lineRule="auto"/>
              <w:jc w:val="center"/>
              <w:rPr>
                <w:color w:val="000000" w:themeColor="text1"/>
                <w:spacing w:val="2"/>
                <w:sz w:val="21"/>
                <w:szCs w:val="21"/>
                <w:highlight w:val="none"/>
                <w14:textFill>
                  <w14:solidFill>
                    <w14:schemeClr w14:val="tx1"/>
                  </w14:solidFill>
                </w14:textFill>
              </w:rPr>
            </w:pPr>
            <w:r>
              <w:rPr>
                <w:rFonts w:hint="eastAsia"/>
                <w:color w:val="000000" w:themeColor="text1"/>
                <w:spacing w:val="2"/>
                <w:sz w:val="21"/>
                <w:szCs w:val="21"/>
                <w:highlight w:val="none"/>
                <w14:textFill>
                  <w14:solidFill>
                    <w14:schemeClr w14:val="tx1"/>
                  </w14:solidFill>
                </w14:textFill>
              </w:rPr>
              <w:t>个</w:t>
            </w:r>
          </w:p>
        </w:tc>
        <w:tc>
          <w:tcPr>
            <w:tcW w:w="2835" w:type="dxa"/>
            <w:vAlign w:val="center"/>
          </w:tcPr>
          <w:p w14:paraId="2F970668">
            <w:pPr>
              <w:pStyle w:val="471"/>
              <w:spacing w:before="65" w:line="252" w:lineRule="auto"/>
              <w:ind w:left="116" w:right="110" w:hanging="2"/>
              <w:rPr>
                <w:rFonts w:ascii="Times New Roman" w:hAnsi="Times New Roman" w:eastAsia="Times New Roman" w:cs="Times New Roman"/>
                <w:color w:val="000000" w:themeColor="text1"/>
                <w:spacing w:val="13"/>
                <w:sz w:val="21"/>
                <w:szCs w:val="21"/>
                <w:highlight w:val="none"/>
                <w:lang w:eastAsia="zh-CN"/>
                <w14:textFill>
                  <w14:solidFill>
                    <w14:schemeClr w14:val="tx1"/>
                  </w14:solidFill>
                </w14:textFill>
              </w:rPr>
            </w:pPr>
            <w:r>
              <w:rPr>
                <w:rFonts w:hint="eastAsia" w:ascii="Times New Roman" w:hAnsi="Times New Roman" w:eastAsia="Times New Roman" w:cs="Times New Roman"/>
                <w:color w:val="000000" w:themeColor="text1"/>
                <w:spacing w:val="13"/>
                <w:sz w:val="21"/>
                <w:szCs w:val="21"/>
                <w:highlight w:val="none"/>
                <w:lang w:eastAsia="zh-CN"/>
                <w14:textFill>
                  <w14:solidFill>
                    <w14:schemeClr w14:val="tx1"/>
                  </w14:solidFill>
                </w14:textFill>
              </w:rPr>
              <w:t>依据图纸所示位置和断面尺寸，分不同规格的标志板面，按安装就位的标志数量以个为单位计量。</w:t>
            </w:r>
          </w:p>
        </w:tc>
        <w:tc>
          <w:tcPr>
            <w:tcW w:w="2476" w:type="dxa"/>
            <w:vAlign w:val="center"/>
          </w:tcPr>
          <w:p w14:paraId="58243682">
            <w:pPr>
              <w:pStyle w:val="471"/>
              <w:spacing w:before="65" w:line="252" w:lineRule="auto"/>
              <w:ind w:left="116" w:right="110" w:hanging="2"/>
              <w:rPr>
                <w:rFonts w:ascii="Times New Roman" w:hAnsi="Times New Roman" w:eastAsia="Times New Roman" w:cs="Times New Roman"/>
                <w:color w:val="000000" w:themeColor="text1"/>
                <w:spacing w:val="13"/>
                <w:sz w:val="21"/>
                <w:szCs w:val="21"/>
                <w:highlight w:val="none"/>
                <w:lang w:eastAsia="zh-CN"/>
                <w14:textFill>
                  <w14:solidFill>
                    <w14:schemeClr w14:val="tx1"/>
                  </w14:solidFill>
                </w14:textFill>
              </w:rPr>
            </w:pPr>
            <w:r>
              <w:rPr>
                <w:rFonts w:ascii="Times New Roman" w:hAnsi="Times New Roman" w:eastAsia="Times New Roman" w:cs="Times New Roman"/>
                <w:color w:val="000000" w:themeColor="text1"/>
                <w:spacing w:val="13"/>
                <w:sz w:val="21"/>
                <w:szCs w:val="21"/>
                <w:highlight w:val="none"/>
                <w:lang w:eastAsia="zh-CN"/>
                <w14:textFill>
                  <w14:solidFill>
                    <w14:schemeClr w14:val="tx1"/>
                  </w14:solidFill>
                </w14:textFill>
              </w:rPr>
              <w:t>1.</w:t>
            </w:r>
            <w:r>
              <w:rPr>
                <w:rFonts w:hint="eastAsia" w:ascii="Times New Roman" w:hAnsi="Times New Roman" w:eastAsia="Times New Roman" w:cs="Times New Roman"/>
                <w:color w:val="000000" w:themeColor="text1"/>
                <w:spacing w:val="13"/>
                <w:sz w:val="21"/>
                <w:szCs w:val="21"/>
                <w:highlight w:val="none"/>
                <w:lang w:eastAsia="zh-CN"/>
                <w14:textFill>
                  <w14:solidFill>
                    <w14:schemeClr w14:val="tx1"/>
                  </w14:solidFill>
                </w14:textFill>
              </w:rPr>
              <w:t>基槽开挖；</w:t>
            </w:r>
            <w:r>
              <w:rPr>
                <w:rFonts w:ascii="Times New Roman" w:hAnsi="Times New Roman" w:eastAsia="Times New Roman" w:cs="Times New Roman"/>
                <w:color w:val="000000" w:themeColor="text1"/>
                <w:spacing w:val="13"/>
                <w:sz w:val="21"/>
                <w:szCs w:val="21"/>
                <w:highlight w:val="none"/>
                <w:lang w:eastAsia="zh-CN"/>
                <w14:textFill>
                  <w14:solidFill>
                    <w14:schemeClr w14:val="tx1"/>
                  </w14:solidFill>
                </w14:textFill>
              </w:rPr>
              <w:t>2.</w:t>
            </w:r>
            <w:r>
              <w:rPr>
                <w:rFonts w:hint="eastAsia" w:ascii="Times New Roman" w:hAnsi="Times New Roman" w:eastAsia="Times New Roman" w:cs="Times New Roman"/>
                <w:color w:val="000000" w:themeColor="text1"/>
                <w:spacing w:val="13"/>
                <w:sz w:val="21"/>
                <w:szCs w:val="21"/>
                <w:highlight w:val="none"/>
                <w:lang w:eastAsia="zh-CN"/>
                <w14:textFill>
                  <w14:solidFill>
                    <w14:schemeClr w14:val="tx1"/>
                  </w14:solidFill>
                </w14:textFill>
              </w:rPr>
              <w:t>基础施工（钢筋与预埋件安装、混凝土浇筑等）；</w:t>
            </w:r>
            <w:r>
              <w:rPr>
                <w:rFonts w:ascii="Times New Roman" w:hAnsi="Times New Roman" w:eastAsia="Times New Roman" w:cs="Times New Roman"/>
                <w:color w:val="000000" w:themeColor="text1"/>
                <w:spacing w:val="13"/>
                <w:sz w:val="21"/>
                <w:szCs w:val="21"/>
                <w:highlight w:val="none"/>
                <w:lang w:eastAsia="zh-CN"/>
                <w14:textFill>
                  <w14:solidFill>
                    <w14:schemeClr w14:val="tx1"/>
                  </w14:solidFill>
                </w14:textFill>
              </w:rPr>
              <w:t>3.</w:t>
            </w:r>
            <w:r>
              <w:rPr>
                <w:rFonts w:hint="eastAsia" w:ascii="Times New Roman" w:hAnsi="Times New Roman" w:eastAsia="Times New Roman" w:cs="Times New Roman"/>
                <w:color w:val="000000" w:themeColor="text1"/>
                <w:spacing w:val="13"/>
                <w:sz w:val="21"/>
                <w:szCs w:val="21"/>
                <w:highlight w:val="none"/>
                <w:lang w:eastAsia="zh-CN"/>
                <w14:textFill>
                  <w14:solidFill>
                    <w14:schemeClr w14:val="tx1"/>
                  </w14:solidFill>
                </w14:textFill>
              </w:rPr>
              <w:t>立柱、标志板及各种匹配件制作与安装；</w:t>
            </w:r>
            <w:r>
              <w:rPr>
                <w:rFonts w:ascii="Times New Roman" w:hAnsi="Times New Roman" w:eastAsia="Times New Roman" w:cs="Times New Roman"/>
                <w:color w:val="000000" w:themeColor="text1"/>
                <w:spacing w:val="13"/>
                <w:sz w:val="21"/>
                <w:szCs w:val="21"/>
                <w:highlight w:val="none"/>
                <w:lang w:eastAsia="zh-CN"/>
                <w14:textFill>
                  <w14:solidFill>
                    <w14:schemeClr w14:val="tx1"/>
                  </w14:solidFill>
                </w14:textFill>
              </w:rPr>
              <w:t xml:space="preserve"> 4.</w:t>
            </w:r>
            <w:r>
              <w:rPr>
                <w:rFonts w:hint="eastAsia" w:ascii="Times New Roman" w:hAnsi="Times New Roman" w:eastAsia="Times New Roman" w:cs="Times New Roman"/>
                <w:color w:val="000000" w:themeColor="text1"/>
                <w:spacing w:val="13"/>
                <w:sz w:val="21"/>
                <w:szCs w:val="21"/>
                <w:highlight w:val="none"/>
                <w:lang w:eastAsia="zh-CN"/>
                <w14:textFill>
                  <w14:solidFill>
                    <w14:schemeClr w14:val="tx1"/>
                  </w14:solidFill>
                </w14:textFill>
              </w:rPr>
              <w:t>清理，弃方处理。</w:t>
            </w:r>
          </w:p>
        </w:tc>
      </w:tr>
      <w:tr w14:paraId="0FB024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7" w:hRule="atLeast"/>
        </w:trPr>
        <w:tc>
          <w:tcPr>
            <w:tcW w:w="1137" w:type="dxa"/>
            <w:vAlign w:val="center"/>
          </w:tcPr>
          <w:p w14:paraId="3CB4B99C">
            <w:pPr>
              <w:pStyle w:val="471"/>
              <w:spacing w:before="65" w:line="228" w:lineRule="auto"/>
              <w:jc w:val="center"/>
              <w:rPr>
                <w:color w:val="000000" w:themeColor="text1"/>
                <w:spacing w:val="2"/>
                <w:sz w:val="21"/>
                <w:szCs w:val="21"/>
                <w:highlight w:val="none"/>
                <w14:textFill>
                  <w14:solidFill>
                    <w14:schemeClr w14:val="tx1"/>
                  </w14:solidFill>
                </w14:textFill>
              </w:rPr>
            </w:pPr>
            <w:r>
              <w:rPr>
                <w:color w:val="000000" w:themeColor="text1"/>
                <w:spacing w:val="2"/>
                <w:sz w:val="21"/>
                <w:szCs w:val="21"/>
                <w:highlight w:val="none"/>
                <w14:textFill>
                  <w14:solidFill>
                    <w14:schemeClr w14:val="tx1"/>
                  </w14:solidFill>
                </w14:textFill>
              </w:rPr>
              <w:t>603-4</w:t>
            </w:r>
            <w:r>
              <w:rPr>
                <w:rFonts w:hint="eastAsia"/>
                <w:color w:val="000000" w:themeColor="text1"/>
                <w:spacing w:val="2"/>
                <w:sz w:val="21"/>
                <w:szCs w:val="21"/>
                <w:highlight w:val="none"/>
                <w14:textFill>
                  <w14:solidFill>
                    <w14:schemeClr w14:val="tx1"/>
                  </w14:solidFill>
                </w14:textFill>
              </w:rPr>
              <w:t>-a</w:t>
            </w:r>
          </w:p>
        </w:tc>
        <w:tc>
          <w:tcPr>
            <w:tcW w:w="2268" w:type="dxa"/>
            <w:vAlign w:val="center"/>
          </w:tcPr>
          <w:p w14:paraId="0CFC8273">
            <w:pPr>
              <w:pStyle w:val="471"/>
              <w:spacing w:before="65" w:line="228" w:lineRule="auto"/>
              <w:jc w:val="center"/>
              <w:rPr>
                <w:color w:val="000000" w:themeColor="text1"/>
                <w:spacing w:val="2"/>
                <w:sz w:val="21"/>
                <w:szCs w:val="21"/>
                <w:highlight w:val="none"/>
                <w:lang w:eastAsia="zh-CN"/>
                <w14:textFill>
                  <w14:solidFill>
                    <w14:schemeClr w14:val="tx1"/>
                  </w14:solidFill>
                </w14:textFill>
              </w:rPr>
            </w:pPr>
            <w:r>
              <w:rPr>
                <w:rFonts w:hint="eastAsia"/>
                <w:color w:val="000000" w:themeColor="text1"/>
                <w:spacing w:val="2"/>
                <w:sz w:val="21"/>
                <w:szCs w:val="21"/>
                <w:highlight w:val="none"/>
                <w:lang w:eastAsia="zh-CN"/>
                <w14:textFill>
                  <w14:solidFill>
                    <w14:schemeClr w14:val="tx1"/>
                  </w14:solidFill>
                </w14:textFill>
              </w:rPr>
              <w:t>减速振动标线（厚6mm）</w:t>
            </w:r>
          </w:p>
        </w:tc>
        <w:tc>
          <w:tcPr>
            <w:tcW w:w="851" w:type="dxa"/>
            <w:vAlign w:val="center"/>
          </w:tcPr>
          <w:p w14:paraId="097ADF28">
            <w:pPr>
              <w:jc w:val="center"/>
              <w:rPr>
                <w:snapToGrid w:val="0"/>
                <w:color w:val="000000" w:themeColor="text1"/>
                <w:spacing w:val="21"/>
                <w:highlight w:val="none"/>
                <w14:textFill>
                  <w14:solidFill>
                    <w14:schemeClr w14:val="tx1"/>
                  </w14:solidFill>
                </w14:textFill>
              </w:rPr>
            </w:pPr>
            <w:r>
              <w:rPr>
                <w:rFonts w:hint="eastAsia"/>
                <w:snapToGrid w:val="0"/>
                <w:color w:val="000000" w:themeColor="text1"/>
                <w:spacing w:val="21"/>
                <w:highlight w:val="none"/>
                <w14:textFill>
                  <w14:solidFill>
                    <w14:schemeClr w14:val="tx1"/>
                  </w14:solidFill>
                </w14:textFill>
              </w:rPr>
              <w:t>m2</w:t>
            </w:r>
          </w:p>
        </w:tc>
        <w:tc>
          <w:tcPr>
            <w:tcW w:w="2835" w:type="dxa"/>
            <w:vAlign w:val="center"/>
          </w:tcPr>
          <w:p w14:paraId="6B8AB916">
            <w:pPr>
              <w:pStyle w:val="471"/>
              <w:spacing w:before="65" w:line="252" w:lineRule="auto"/>
              <w:ind w:left="116" w:right="110" w:hanging="2"/>
              <w:rPr>
                <w:rFonts w:ascii="Times New Roman" w:hAnsi="Times New Roman" w:eastAsia="Times New Roman" w:cs="Times New Roman"/>
                <w:color w:val="000000" w:themeColor="text1"/>
                <w:spacing w:val="13"/>
                <w:sz w:val="21"/>
                <w:szCs w:val="21"/>
                <w:highlight w:val="none"/>
                <w:lang w:eastAsia="zh-CN"/>
                <w14:textFill>
                  <w14:solidFill>
                    <w14:schemeClr w14:val="tx1"/>
                  </w14:solidFill>
                </w14:textFill>
              </w:rPr>
            </w:pPr>
            <w:r>
              <w:rPr>
                <w:rFonts w:hint="eastAsia" w:ascii="Times New Roman" w:hAnsi="Times New Roman" w:eastAsia="Times New Roman" w:cs="Times New Roman"/>
                <w:color w:val="000000" w:themeColor="text1"/>
                <w:spacing w:val="13"/>
                <w:sz w:val="21"/>
                <w:szCs w:val="21"/>
                <w:highlight w:val="none"/>
                <w:lang w:eastAsia="zh-CN"/>
                <w14:textFill>
                  <w14:solidFill>
                    <w14:schemeClr w14:val="tx1"/>
                  </w14:solidFill>
                </w14:textFill>
              </w:rPr>
              <w:t>依据图纸所示位置和断面尺寸，分不同类型，按图示标线面积以平方米为单位计量</w:t>
            </w:r>
          </w:p>
        </w:tc>
        <w:tc>
          <w:tcPr>
            <w:tcW w:w="2476" w:type="dxa"/>
          </w:tcPr>
          <w:p w14:paraId="29FC1C9D">
            <w:pPr>
              <w:pStyle w:val="471"/>
              <w:spacing w:before="65" w:line="252" w:lineRule="auto"/>
              <w:ind w:left="116" w:right="110" w:hanging="2"/>
              <w:rPr>
                <w:color w:val="000000" w:themeColor="text1"/>
                <w:spacing w:val="21"/>
                <w:sz w:val="21"/>
                <w:szCs w:val="21"/>
                <w:highlight w:val="none"/>
                <w:lang w:eastAsia="zh-CN"/>
                <w14:textFill>
                  <w14:solidFill>
                    <w14:schemeClr w14:val="tx1"/>
                  </w14:solidFill>
                </w14:textFill>
              </w:rPr>
            </w:pPr>
            <w:r>
              <w:rPr>
                <w:rFonts w:hint="eastAsia" w:ascii="Times New Roman" w:hAnsi="Times New Roman" w:eastAsia="Times New Roman" w:cs="Times New Roman"/>
                <w:color w:val="000000" w:themeColor="text1"/>
                <w:spacing w:val="13"/>
                <w:sz w:val="21"/>
                <w:szCs w:val="21"/>
                <w:highlight w:val="none"/>
                <w:lang w:eastAsia="zh-CN"/>
                <w14:textFill>
                  <w14:solidFill>
                    <w14:schemeClr w14:val="tx1"/>
                  </w14:solidFill>
                </w14:textFill>
              </w:rPr>
              <w:t>1.路面清扫；2.刮涂底油，涂料加热溶解，喷（刮）标线，撒布玻璃珠（反光标线），初期养护。</w:t>
            </w:r>
          </w:p>
        </w:tc>
      </w:tr>
      <w:tr w14:paraId="1533A5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8" w:hRule="atLeast"/>
        </w:trPr>
        <w:tc>
          <w:tcPr>
            <w:tcW w:w="1137" w:type="dxa"/>
            <w:vAlign w:val="center"/>
          </w:tcPr>
          <w:p w14:paraId="7F43AC05">
            <w:pPr>
              <w:pStyle w:val="471"/>
              <w:spacing w:before="65" w:line="228" w:lineRule="auto"/>
              <w:jc w:val="center"/>
              <w:rPr>
                <w:color w:val="000000" w:themeColor="text1"/>
                <w:spacing w:val="2"/>
                <w:sz w:val="21"/>
                <w:szCs w:val="21"/>
                <w:highlight w:val="none"/>
                <w14:textFill>
                  <w14:solidFill>
                    <w14:schemeClr w14:val="tx1"/>
                  </w14:solidFill>
                </w14:textFill>
              </w:rPr>
            </w:pPr>
            <w:r>
              <w:rPr>
                <w:color w:val="000000" w:themeColor="text1"/>
                <w:spacing w:val="2"/>
                <w:sz w:val="21"/>
                <w:szCs w:val="21"/>
                <w:highlight w:val="none"/>
                <w14:textFill>
                  <w14:solidFill>
                    <w14:schemeClr w14:val="tx1"/>
                  </w14:solidFill>
                </w14:textFill>
              </w:rPr>
              <w:t>603-4</w:t>
            </w:r>
            <w:r>
              <w:rPr>
                <w:rFonts w:hint="eastAsia"/>
                <w:color w:val="000000" w:themeColor="text1"/>
                <w:spacing w:val="2"/>
                <w:sz w:val="21"/>
                <w:szCs w:val="21"/>
                <w:highlight w:val="none"/>
                <w14:textFill>
                  <w14:solidFill>
                    <w14:schemeClr w14:val="tx1"/>
                  </w14:solidFill>
                </w14:textFill>
              </w:rPr>
              <w:t>-b</w:t>
            </w:r>
          </w:p>
        </w:tc>
        <w:tc>
          <w:tcPr>
            <w:tcW w:w="2268" w:type="dxa"/>
            <w:vAlign w:val="center"/>
          </w:tcPr>
          <w:p w14:paraId="4FA0B66C">
            <w:pPr>
              <w:pStyle w:val="471"/>
              <w:spacing w:before="65" w:line="228" w:lineRule="auto"/>
              <w:jc w:val="center"/>
              <w:rPr>
                <w:color w:val="000000" w:themeColor="text1"/>
                <w:spacing w:val="2"/>
                <w:sz w:val="21"/>
                <w:szCs w:val="21"/>
                <w:highlight w:val="none"/>
                <w14:textFill>
                  <w14:solidFill>
                    <w14:schemeClr w14:val="tx1"/>
                  </w14:solidFill>
                </w14:textFill>
              </w:rPr>
            </w:pPr>
            <w:r>
              <w:rPr>
                <w:rFonts w:hint="eastAsia"/>
                <w:color w:val="000000" w:themeColor="text1"/>
                <w:spacing w:val="2"/>
                <w:sz w:val="21"/>
                <w:szCs w:val="21"/>
                <w:highlight w:val="none"/>
                <w14:textFill>
                  <w14:solidFill>
                    <w14:schemeClr w14:val="tx1"/>
                  </w14:solidFill>
                </w14:textFill>
              </w:rPr>
              <w:t>附着式轮廓标VG-De（Rsw）-At1</w:t>
            </w:r>
          </w:p>
        </w:tc>
        <w:tc>
          <w:tcPr>
            <w:tcW w:w="851" w:type="dxa"/>
            <w:vAlign w:val="center"/>
          </w:tcPr>
          <w:p w14:paraId="6539BB60">
            <w:pPr>
              <w:pStyle w:val="471"/>
              <w:spacing w:before="65" w:line="228" w:lineRule="auto"/>
              <w:jc w:val="center"/>
              <w:rPr>
                <w:color w:val="000000" w:themeColor="text1"/>
                <w:spacing w:val="2"/>
                <w:sz w:val="21"/>
                <w:szCs w:val="21"/>
                <w:highlight w:val="none"/>
                <w14:textFill>
                  <w14:solidFill>
                    <w14:schemeClr w14:val="tx1"/>
                  </w14:solidFill>
                </w14:textFill>
              </w:rPr>
            </w:pPr>
            <w:r>
              <w:rPr>
                <w:rFonts w:hint="eastAsia"/>
                <w:color w:val="000000" w:themeColor="text1"/>
                <w:spacing w:val="2"/>
                <w:sz w:val="21"/>
                <w:szCs w:val="21"/>
                <w:highlight w:val="none"/>
                <w14:textFill>
                  <w14:solidFill>
                    <w14:schemeClr w14:val="tx1"/>
                  </w14:solidFill>
                </w14:textFill>
              </w:rPr>
              <w:t>个</w:t>
            </w:r>
          </w:p>
        </w:tc>
        <w:tc>
          <w:tcPr>
            <w:tcW w:w="2835" w:type="dxa"/>
            <w:vAlign w:val="center"/>
          </w:tcPr>
          <w:p w14:paraId="7EAAAEE4">
            <w:pPr>
              <w:pStyle w:val="471"/>
              <w:spacing w:before="65" w:line="252" w:lineRule="auto"/>
              <w:ind w:left="116" w:right="110" w:hanging="2"/>
              <w:rPr>
                <w:rFonts w:ascii="Times New Roman" w:hAnsi="Times New Roman" w:eastAsia="Times New Roman" w:cs="Times New Roman"/>
                <w:color w:val="000000" w:themeColor="text1"/>
                <w:spacing w:val="13"/>
                <w:sz w:val="21"/>
                <w:szCs w:val="21"/>
                <w:highlight w:val="none"/>
                <w:lang w:eastAsia="zh-CN"/>
                <w14:textFill>
                  <w14:solidFill>
                    <w14:schemeClr w14:val="tx1"/>
                  </w14:solidFill>
                </w14:textFill>
              </w:rPr>
            </w:pPr>
            <w:r>
              <w:rPr>
                <w:rFonts w:hint="eastAsia" w:ascii="Times New Roman" w:hAnsi="Times New Roman" w:eastAsia="Times New Roman" w:cs="Times New Roman"/>
                <w:color w:val="000000" w:themeColor="text1"/>
                <w:spacing w:val="13"/>
                <w:sz w:val="21"/>
                <w:szCs w:val="21"/>
                <w:highlight w:val="none"/>
                <w:lang w:eastAsia="zh-CN"/>
                <w14:textFill>
                  <w14:solidFill>
                    <w14:schemeClr w14:val="tx1"/>
                  </w14:solidFill>
                </w14:textFill>
              </w:rPr>
              <w:t>依据图纸所示位置，分不同类型，按图示轮廓标数量以个为单位计量</w:t>
            </w:r>
          </w:p>
        </w:tc>
        <w:tc>
          <w:tcPr>
            <w:tcW w:w="2476" w:type="dxa"/>
            <w:vAlign w:val="center"/>
          </w:tcPr>
          <w:p w14:paraId="252CA750">
            <w:pPr>
              <w:pStyle w:val="471"/>
              <w:spacing w:before="305" w:line="253" w:lineRule="auto"/>
              <w:ind w:left="116" w:right="110" w:hanging="2"/>
              <w:rPr>
                <w:color w:val="000000" w:themeColor="text1"/>
                <w:sz w:val="21"/>
                <w:szCs w:val="21"/>
                <w:highlight w:val="none"/>
                <w:lang w:eastAsia="zh-CN"/>
                <w14:textFill>
                  <w14:solidFill>
                    <w14:schemeClr w14:val="tx1"/>
                  </w14:solidFill>
                </w14:textFill>
              </w:rPr>
            </w:pPr>
            <w:r>
              <w:rPr>
                <w:color w:val="000000" w:themeColor="text1"/>
                <w:spacing w:val="22"/>
                <w:sz w:val="21"/>
                <w:szCs w:val="21"/>
                <w:highlight w:val="none"/>
                <w:lang w:eastAsia="zh-CN"/>
                <w14:textFill>
                  <w14:solidFill>
                    <w14:schemeClr w14:val="tx1"/>
                  </w14:solidFill>
                </w14:textFill>
              </w:rPr>
              <w:t>1. 基础施工及连接件设</w:t>
            </w:r>
            <w:r>
              <w:rPr>
                <w:rFonts w:hint="eastAsia"/>
                <w:color w:val="000000" w:themeColor="text1"/>
                <w:spacing w:val="22"/>
                <w:sz w:val="21"/>
                <w:szCs w:val="21"/>
                <w:highlight w:val="none"/>
                <w:lang w:eastAsia="zh-CN"/>
                <w14:textFill>
                  <w14:solidFill>
                    <w14:schemeClr w14:val="tx1"/>
                  </w14:solidFill>
                </w14:textFill>
              </w:rPr>
              <w:t>置；</w:t>
            </w:r>
            <w:r>
              <w:rPr>
                <w:color w:val="000000" w:themeColor="text1"/>
                <w:spacing w:val="22"/>
                <w:sz w:val="21"/>
                <w:szCs w:val="21"/>
                <w:highlight w:val="none"/>
                <w:lang w:eastAsia="zh-CN"/>
                <w14:textFill>
                  <w14:solidFill>
                    <w14:schemeClr w14:val="tx1"/>
                  </w14:solidFill>
                </w14:textFill>
              </w:rPr>
              <w:t>2.轮廓标安装。</w:t>
            </w:r>
          </w:p>
        </w:tc>
      </w:tr>
    </w:tbl>
    <w:p w14:paraId="40C2D86B">
      <w:pPr>
        <w:rPr>
          <w:rFonts w:ascii="宋体" w:hAnsi="宋体" w:cs="宋体"/>
          <w:color w:val="000000" w:themeColor="text1"/>
          <w:sz w:val="28"/>
          <w:szCs w:val="28"/>
          <w:highlight w:val="none"/>
          <w14:textFill>
            <w14:solidFill>
              <w14:schemeClr w14:val="tx1"/>
            </w14:solidFill>
          </w14:textFill>
        </w:rPr>
      </w:pPr>
    </w:p>
    <w:p w14:paraId="43D934E1">
      <w:pPr>
        <w:pStyle w:val="2"/>
        <w:spacing w:line="240" w:lineRule="auto"/>
        <w:jc w:val="center"/>
        <w:rPr>
          <w:rFonts w:ascii="宋体"/>
          <w:color w:val="000000" w:themeColor="text1"/>
          <w:sz w:val="28"/>
          <w:szCs w:val="28"/>
          <w:highlight w:val="none"/>
          <w14:textFill>
            <w14:solidFill>
              <w14:schemeClr w14:val="tx1"/>
            </w14:solidFill>
          </w14:textFill>
        </w:rPr>
      </w:pPr>
      <w:bookmarkStart w:id="50" w:name="_Toc22746"/>
      <w:r>
        <w:rPr>
          <w:rFonts w:hint="eastAsia" w:ascii="宋体" w:hAnsi="宋体" w:cs="宋体"/>
          <w:color w:val="000000" w:themeColor="text1"/>
          <w:sz w:val="28"/>
          <w:szCs w:val="28"/>
          <w:highlight w:val="none"/>
          <w14:textFill>
            <w14:solidFill>
              <w14:schemeClr w14:val="tx1"/>
            </w14:solidFill>
          </w14:textFill>
        </w:rPr>
        <w:t>四、图纸</w:t>
      </w:r>
      <w:bookmarkEnd w:id="49"/>
      <w:bookmarkEnd w:id="50"/>
    </w:p>
    <w:p w14:paraId="407D80B8">
      <w:pPr>
        <w:snapToGrid w:val="0"/>
        <w:spacing w:line="360" w:lineRule="auto"/>
        <w:ind w:firstLine="482" w:firstLineChars="200"/>
        <w:jc w:val="center"/>
        <w:rPr>
          <w:rFonts w:ascii="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（图纸</w:t>
      </w:r>
      <w:r>
        <w:rPr>
          <w:rFonts w:hint="eastAsia" w:ascii="宋体" w:hAnsi="宋体" w:cs="宋体"/>
          <w:b/>
          <w:bCs/>
          <w:color w:val="000000" w:themeColor="text1"/>
          <w:sz w:val="24"/>
          <w:szCs w:val="24"/>
          <w:highlight w:val="none"/>
          <w:lang w:val="zh-CN"/>
          <w14:textFill>
            <w14:solidFill>
              <w14:schemeClr w14:val="tx1"/>
            </w14:solidFill>
          </w14:textFill>
        </w:rPr>
        <w:t>在“广西政府采购云平台”</w:t>
      </w:r>
      <w:r>
        <w:rPr>
          <w:rFonts w:ascii="宋体" w:hAnsi="宋体" w:cs="宋体"/>
          <w:b/>
          <w:bCs/>
          <w:color w:val="000000" w:themeColor="text1"/>
          <w:sz w:val="24"/>
          <w:szCs w:val="24"/>
          <w:highlight w:val="none"/>
          <w:lang w:val="zh-CN"/>
          <w14:textFill>
            <w14:solidFill>
              <w14:schemeClr w14:val="tx1"/>
            </w14:solidFill>
          </w14:textFill>
        </w:rPr>
        <w:t xml:space="preserve"> </w:t>
      </w:r>
      <w:r>
        <w:rPr>
          <w:rFonts w:hint="eastAsia" w:ascii="宋体" w:hAnsi="宋体" w:cs="宋体"/>
          <w:b/>
          <w:bCs/>
          <w:color w:val="000000" w:themeColor="text1"/>
          <w:sz w:val="24"/>
          <w:szCs w:val="24"/>
          <w:highlight w:val="none"/>
          <w14:textFill>
            <w14:solidFill>
              <w14:schemeClr w14:val="tx1"/>
            </w14:solidFill>
          </w14:textFill>
        </w:rPr>
        <w:t>本项目公告附件处</w:t>
      </w:r>
      <w:r>
        <w:rPr>
          <w:rFonts w:hint="eastAsia" w:ascii="宋体" w:hAnsi="宋体" w:cs="宋体"/>
          <w:b/>
          <w:bCs/>
          <w:color w:val="000000" w:themeColor="text1"/>
          <w:sz w:val="24"/>
          <w:szCs w:val="24"/>
          <w:highlight w:val="none"/>
          <w:lang w:val="zh-CN"/>
          <w14:textFill>
            <w14:solidFill>
              <w14:schemeClr w14:val="tx1"/>
            </w14:solidFill>
          </w14:textFill>
        </w:rPr>
        <w:t>下载。</w:t>
      </w:r>
      <w:r>
        <w:rPr>
          <w:rFonts w:hint="eastAsia" w:ascii="宋体" w:hAnsi="宋体" w:cs="宋体"/>
          <w:b/>
          <w:bCs/>
          <w:color w:val="000000" w:themeColor="text1"/>
          <w:sz w:val="24"/>
          <w:szCs w:val="24"/>
          <w:highlight w:val="none"/>
          <w14:textFill>
            <w14:solidFill>
              <w14:schemeClr w14:val="tx1"/>
            </w14:solidFill>
          </w14:textFill>
        </w:rPr>
        <w:t>）</w:t>
      </w:r>
    </w:p>
    <w:p w14:paraId="7EC6431E">
      <w:pPr>
        <w:rPr>
          <w:rFonts w:ascii="宋体"/>
          <w:color w:val="000000" w:themeColor="text1"/>
          <w:highlight w:val="none"/>
          <w14:textFill>
            <w14:solidFill>
              <w14:schemeClr w14:val="tx1"/>
            </w14:solidFill>
          </w14:textFill>
        </w:rPr>
      </w:pPr>
    </w:p>
    <w:p w14:paraId="06EF2862">
      <w:pPr>
        <w:pStyle w:val="2"/>
        <w:spacing w:line="240" w:lineRule="auto"/>
        <w:jc w:val="center"/>
        <w:rPr>
          <w:rFonts w:ascii="宋体"/>
          <w:color w:val="000000" w:themeColor="text1"/>
          <w:sz w:val="30"/>
          <w:szCs w:val="30"/>
          <w:highlight w:val="none"/>
          <w14:textFill>
            <w14:solidFill>
              <w14:schemeClr w14:val="tx1"/>
            </w14:solidFill>
          </w14:textFill>
        </w:rPr>
      </w:pPr>
      <w:bookmarkStart w:id="51" w:name="_Toc3262"/>
      <w:bookmarkStart w:id="52" w:name="_Toc745"/>
      <w:r>
        <w:rPr>
          <w:rFonts w:hint="eastAsia" w:ascii="宋体" w:hAnsi="宋体" w:cs="宋体"/>
          <w:color w:val="000000" w:themeColor="text1"/>
          <w:sz w:val="30"/>
          <w:szCs w:val="30"/>
          <w:highlight w:val="none"/>
          <w14:textFill>
            <w14:solidFill>
              <w14:schemeClr w14:val="tx1"/>
            </w14:solidFill>
          </w14:textFill>
        </w:rPr>
        <w:t>五、技术规范</w:t>
      </w:r>
      <w:bookmarkEnd w:id="51"/>
      <w:bookmarkEnd w:id="52"/>
    </w:p>
    <w:p w14:paraId="571380CF">
      <w:pPr>
        <w:spacing w:after="120" w:line="420" w:lineRule="exact"/>
        <w:jc w:val="center"/>
        <w:rPr>
          <w:rFonts w:ascii="宋体"/>
          <w:b/>
          <w:bCs/>
          <w:color w:val="000000" w:themeColor="text1"/>
          <w:sz w:val="28"/>
          <w:szCs w:val="28"/>
          <w:highlight w:val="none"/>
          <w14:textFill>
            <w14:solidFill>
              <w14:schemeClr w14:val="tx1"/>
            </w14:solidFill>
          </w14:textFill>
        </w:rPr>
      </w:pPr>
      <w:bookmarkStart w:id="53" w:name="_Toc102673189"/>
      <w:r>
        <w:rPr>
          <w:rFonts w:hint="eastAsia" w:ascii="宋体" w:hAnsi="宋体" w:cs="宋体"/>
          <w:b/>
          <w:bCs/>
          <w:color w:val="000000" w:themeColor="text1"/>
          <w:sz w:val="28"/>
          <w:szCs w:val="28"/>
          <w:highlight w:val="none"/>
          <w14:textFill>
            <w14:solidFill>
              <w14:schemeClr w14:val="tx1"/>
            </w14:solidFill>
          </w14:textFill>
        </w:rPr>
        <w:t>技术规范专用条款</w:t>
      </w:r>
    </w:p>
    <w:p w14:paraId="2BC47F8B">
      <w:pPr>
        <w:spacing w:line="420" w:lineRule="exact"/>
        <w:ind w:firstLine="420" w:firstLineChars="200"/>
        <w:rPr>
          <w:rFonts w:ascii="宋体"/>
          <w:color w:val="000000" w:themeColor="text1"/>
          <w:highlight w:val="none"/>
          <w14:textFill>
            <w14:solidFill>
              <w14:schemeClr w14:val="tx1"/>
            </w14:solidFill>
          </w14:textFill>
        </w:rPr>
      </w:pPr>
    </w:p>
    <w:p w14:paraId="4FDF9BF4">
      <w:pPr>
        <w:keepNext/>
        <w:keepLines/>
        <w:spacing w:before="120" w:after="120" w:line="420" w:lineRule="exact"/>
        <w:jc w:val="center"/>
        <w:outlineLvl w:val="3"/>
        <w:rPr>
          <w:rFonts w:ascii="宋体"/>
          <w:b/>
          <w:bCs/>
          <w:color w:val="000000" w:themeColor="text1"/>
          <w:sz w:val="28"/>
          <w:szCs w:val="28"/>
          <w:highlight w:val="none"/>
          <w:lang w:val="zh-CN"/>
          <w14:textFill>
            <w14:solidFill>
              <w14:schemeClr w14:val="tx1"/>
            </w14:solidFill>
          </w14:textFill>
        </w:rPr>
      </w:pPr>
      <w:bookmarkStart w:id="54" w:name="_Toc102673188"/>
      <w:r>
        <w:rPr>
          <w:rFonts w:ascii="宋体" w:hAnsi="宋体" w:cs="宋体"/>
          <w:b/>
          <w:bCs/>
          <w:color w:val="000000" w:themeColor="text1"/>
          <w:sz w:val="28"/>
          <w:szCs w:val="28"/>
          <w:highlight w:val="none"/>
          <w14:textFill>
            <w14:solidFill>
              <w14:schemeClr w14:val="tx1"/>
            </w14:solidFill>
          </w14:textFill>
        </w:rPr>
        <w:t>(</w:t>
      </w:r>
      <w:r>
        <w:rPr>
          <w:rFonts w:hint="eastAsia" w:ascii="宋体" w:hAnsi="宋体" w:cs="宋体"/>
          <w:b/>
          <w:bCs/>
          <w:color w:val="000000" w:themeColor="text1"/>
          <w:sz w:val="28"/>
          <w:szCs w:val="28"/>
          <w:highlight w:val="none"/>
          <w14:textFill>
            <w14:solidFill>
              <w14:schemeClr w14:val="tx1"/>
            </w14:solidFill>
          </w14:textFill>
        </w:rPr>
        <w:t>一</w:t>
      </w:r>
      <w:r>
        <w:rPr>
          <w:rFonts w:ascii="宋体" w:hAnsi="宋体" w:cs="宋体"/>
          <w:b/>
          <w:bCs/>
          <w:color w:val="000000" w:themeColor="text1"/>
          <w:sz w:val="28"/>
          <w:szCs w:val="28"/>
          <w:highlight w:val="none"/>
          <w14:textFill>
            <w14:solidFill>
              <w14:schemeClr w14:val="tx1"/>
            </w14:solidFill>
          </w14:textFill>
        </w:rPr>
        <w:t>)</w:t>
      </w:r>
      <w:r>
        <w:rPr>
          <w:rFonts w:hint="eastAsia" w:ascii="宋体" w:hAnsi="宋体" w:cs="宋体"/>
          <w:b/>
          <w:bCs/>
          <w:color w:val="000000" w:themeColor="text1"/>
          <w:sz w:val="28"/>
          <w:szCs w:val="28"/>
          <w:highlight w:val="none"/>
          <w14:textFill>
            <w14:solidFill>
              <w14:schemeClr w14:val="tx1"/>
            </w14:solidFill>
          </w14:textFill>
        </w:rPr>
        <w:t>技术规范专用条款说明</w:t>
      </w:r>
      <w:bookmarkEnd w:id="54"/>
    </w:p>
    <w:p w14:paraId="352E830C">
      <w:pPr>
        <w:spacing w:line="420" w:lineRule="exact"/>
        <w:jc w:val="center"/>
        <w:rPr>
          <w:rFonts w:ascii="宋体" w:hAnsi="宋体" w:cs="宋体"/>
          <w:b/>
          <w:bCs/>
          <w:color w:val="000000" w:themeColor="text1"/>
          <w:sz w:val="28"/>
          <w:szCs w:val="28"/>
          <w:highlight w:val="none"/>
          <w14:textFill>
            <w14:solidFill>
              <w14:schemeClr w14:val="tx1"/>
            </w14:solidFill>
          </w14:textFill>
        </w:rPr>
      </w:pPr>
    </w:p>
    <w:p w14:paraId="02EBB4E4">
      <w:pPr>
        <w:ind w:firstLine="482" w:firstLineChars="200"/>
        <w:rPr>
          <w:rFonts w:ascii="宋体" w:hAnsi="宋体" w:cs="宋体"/>
          <w:b/>
          <w:bCs/>
          <w:color w:val="000000" w:themeColor="text1"/>
          <w:sz w:val="24"/>
          <w:szCs w:val="24"/>
          <w:highlight w:val="none"/>
          <w14:textFill>
            <w14:solidFill>
              <w14:schemeClr w14:val="tx1"/>
            </w14:solidFill>
          </w14:textFill>
        </w:rPr>
        <w:sectPr>
          <w:headerReference r:id="rId11" w:type="default"/>
          <w:footerReference r:id="rId13" w:type="default"/>
          <w:headerReference r:id="rId12" w:type="even"/>
          <w:footerReference r:id="rId14" w:type="even"/>
          <w:pgSz w:w="11910" w:h="16850"/>
          <w:pgMar w:top="1134" w:right="1298" w:bottom="1134" w:left="1418" w:header="0" w:footer="1134" w:gutter="0"/>
          <w:cols w:space="720" w:num="1"/>
          <w:docGrid w:linePitch="299" w:charSpace="0"/>
        </w:sectPr>
      </w:pPr>
      <w:r>
        <w:rPr>
          <w:rFonts w:hint="eastAsia"/>
          <w:b/>
          <w:bCs/>
          <w:color w:val="000000" w:themeColor="text1"/>
          <w:sz w:val="24"/>
          <w:highlight w:val="none"/>
          <w14:textFill>
            <w14:solidFill>
              <w14:schemeClr w14:val="tx1"/>
            </w14:solidFill>
          </w14:textFill>
        </w:rPr>
        <w:t>本章技术规范采用交通运输部办公厅关于印发《公路养护项目合同范本》的通知（交办公路函〔</w:t>
      </w:r>
      <w:r>
        <w:rPr>
          <w:b/>
          <w:bCs/>
          <w:color w:val="000000" w:themeColor="text1"/>
          <w:sz w:val="24"/>
          <w:highlight w:val="none"/>
          <w14:textFill>
            <w14:solidFill>
              <w14:schemeClr w14:val="tx1"/>
            </w14:solidFill>
          </w14:textFill>
        </w:rPr>
        <w:t>2025</w:t>
      </w:r>
      <w:r>
        <w:rPr>
          <w:rFonts w:hint="eastAsia"/>
          <w:b/>
          <w:bCs/>
          <w:color w:val="000000" w:themeColor="text1"/>
          <w:sz w:val="24"/>
          <w:highlight w:val="none"/>
          <w14:textFill>
            <w14:solidFill>
              <w14:schemeClr w14:val="tx1"/>
            </w14:solidFill>
          </w14:textFill>
        </w:rPr>
        <w:t>〕</w:t>
      </w:r>
      <w:r>
        <w:rPr>
          <w:b/>
          <w:bCs/>
          <w:color w:val="000000" w:themeColor="text1"/>
          <w:sz w:val="24"/>
          <w:highlight w:val="none"/>
          <w14:textFill>
            <w14:solidFill>
              <w14:schemeClr w14:val="tx1"/>
            </w14:solidFill>
          </w14:textFill>
        </w:rPr>
        <w:t>1819</w:t>
      </w:r>
      <w:r>
        <w:rPr>
          <w:rFonts w:hint="eastAsia"/>
          <w:b/>
          <w:bCs/>
          <w:color w:val="000000" w:themeColor="text1"/>
          <w:sz w:val="24"/>
          <w:highlight w:val="none"/>
          <w14:textFill>
            <w14:solidFill>
              <w14:schemeClr w14:val="tx1"/>
            </w14:solidFill>
          </w14:textFill>
        </w:rPr>
        <w:t>号）中的“技术规范</w:t>
      </w:r>
      <w:r>
        <w:rPr>
          <w:b/>
          <w:bCs/>
          <w:color w:val="000000" w:themeColor="text1"/>
          <w:sz w:val="24"/>
          <w:highlight w:val="none"/>
          <w14:textFill>
            <w14:solidFill>
              <w14:schemeClr w14:val="tx1"/>
            </w14:solidFill>
          </w14:textFill>
        </w:rPr>
        <w:t>”</w:t>
      </w:r>
      <w:r>
        <w:rPr>
          <w:rFonts w:hint="eastAsia"/>
          <w:b/>
          <w:bCs/>
          <w:color w:val="000000" w:themeColor="text1"/>
          <w:sz w:val="24"/>
          <w:highlight w:val="none"/>
          <w14:textFill>
            <w14:solidFill>
              <w14:schemeClr w14:val="tx1"/>
            </w14:solidFill>
          </w14:textFill>
        </w:rPr>
        <w:t>，</w:t>
      </w:r>
      <w:r>
        <w:rPr>
          <w:rFonts w:hint="eastAsia" w:ascii="宋体" w:hAnsi="宋体" w:cs="宋体"/>
          <w:b/>
          <w:bCs/>
          <w:color w:val="000000" w:themeColor="text1"/>
          <w:sz w:val="24"/>
          <w:szCs w:val="24"/>
          <w:highlight w:val="none"/>
          <w14:textFill>
            <w14:solidFill>
              <w14:schemeClr w14:val="tx1"/>
            </w14:solidFill>
          </w14:textFill>
        </w:rPr>
        <w:t>增加技术规范专用条款。</w:t>
      </w:r>
    </w:p>
    <w:p w14:paraId="0615FD4D">
      <w:pPr>
        <w:spacing w:line="420" w:lineRule="exact"/>
        <w:jc w:val="center"/>
        <w:rPr>
          <w:rFonts w:ascii="宋体"/>
          <w:b/>
          <w:bCs/>
          <w:color w:val="000000" w:themeColor="text1"/>
          <w:sz w:val="28"/>
          <w:szCs w:val="28"/>
          <w:highlight w:val="none"/>
          <w14:textFill>
            <w14:solidFill>
              <w14:schemeClr w14:val="tx1"/>
            </w14:solidFill>
          </w14:textFill>
        </w:rPr>
      </w:pPr>
      <w:r>
        <w:rPr>
          <w:rFonts w:ascii="宋体" w:hAnsi="宋体" w:cs="宋体"/>
          <w:b/>
          <w:bCs/>
          <w:color w:val="000000" w:themeColor="text1"/>
          <w:sz w:val="28"/>
          <w:szCs w:val="28"/>
          <w:highlight w:val="none"/>
          <w14:textFill>
            <w14:solidFill>
              <w14:schemeClr w14:val="tx1"/>
            </w14:solidFill>
          </w14:textFill>
        </w:rPr>
        <w:t>(</w:t>
      </w:r>
      <w:r>
        <w:rPr>
          <w:rFonts w:hint="eastAsia" w:ascii="宋体" w:hAnsi="宋体" w:cs="宋体"/>
          <w:b/>
          <w:bCs/>
          <w:color w:val="000000" w:themeColor="text1"/>
          <w:sz w:val="28"/>
          <w:szCs w:val="28"/>
          <w:highlight w:val="none"/>
          <w14:textFill>
            <w14:solidFill>
              <w14:schemeClr w14:val="tx1"/>
            </w14:solidFill>
          </w14:textFill>
        </w:rPr>
        <w:t>二</w:t>
      </w:r>
      <w:r>
        <w:rPr>
          <w:rFonts w:ascii="宋体" w:hAnsi="宋体" w:cs="宋体"/>
          <w:b/>
          <w:bCs/>
          <w:color w:val="000000" w:themeColor="text1"/>
          <w:sz w:val="28"/>
          <w:szCs w:val="28"/>
          <w:highlight w:val="none"/>
          <w14:textFill>
            <w14:solidFill>
              <w14:schemeClr w14:val="tx1"/>
            </w14:solidFill>
          </w14:textFill>
        </w:rPr>
        <w:t>)</w:t>
      </w:r>
      <w:r>
        <w:rPr>
          <w:rFonts w:hint="eastAsia" w:ascii="宋体" w:hAnsi="宋体" w:cs="宋体"/>
          <w:b/>
          <w:bCs/>
          <w:color w:val="000000" w:themeColor="text1"/>
          <w:sz w:val="28"/>
          <w:szCs w:val="28"/>
          <w:highlight w:val="none"/>
          <w14:textFill>
            <w14:solidFill>
              <w14:schemeClr w14:val="tx1"/>
            </w14:solidFill>
          </w14:textFill>
        </w:rPr>
        <w:t>技术规范专用条款</w:t>
      </w:r>
      <w:bookmarkEnd w:id="53"/>
    </w:p>
    <w:p w14:paraId="7D06578B">
      <w:pPr>
        <w:spacing w:before="113" w:line="360" w:lineRule="auto"/>
        <w:ind w:left="10" w:right="2" w:firstLine="482"/>
        <w:rPr>
          <w:rFonts w:ascii="宋体" w:hAnsi="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第104节  承包人驻地建设</w:t>
      </w:r>
    </w:p>
    <w:p w14:paraId="6CD478A9">
      <w:pPr>
        <w:keepNext/>
        <w:keepLines/>
        <w:spacing w:beforeLines="50" w:afterLines="50" w:line="360" w:lineRule="auto"/>
        <w:ind w:firstLine="482" w:firstLineChars="200"/>
        <w:outlineLvl w:val="4"/>
        <w:rPr>
          <w:rFonts w:ascii="宋体" w:hAnsi="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104.01  一般要求</w:t>
      </w:r>
    </w:p>
    <w:p w14:paraId="6763E03B">
      <w:pPr>
        <w:spacing w:line="360" w:lineRule="auto"/>
        <w:ind w:firstLine="482" w:firstLineChars="200"/>
        <w:rPr>
          <w:rFonts w:ascii="宋体" w:hAnsi="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6.驻地建设要求（增加）</w:t>
      </w:r>
    </w:p>
    <w:p w14:paraId="54680B5D">
      <w:pPr>
        <w:spacing w:before="113" w:line="360" w:lineRule="auto"/>
        <w:ind w:left="10" w:right="2" w:firstLine="482"/>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项目部选址由项目经理部负责在进场前组织相关人员按照安全和管理的要求进行调查，确定选址方案后，报项目法人备案。</w:t>
      </w:r>
    </w:p>
    <w:p w14:paraId="5491760C">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总体要求：承包人应合理选定项目经理部地点。项目经理部办公和生活用房与施工机具停放场地适当分开。项目经理部办公和生活用地建筑面积必须满足使用需要，做好排水设施，配备足够的消防设施。大门悬挂项目经理部铭牌。</w:t>
      </w:r>
    </w:p>
    <w:p w14:paraId="2F5AA79A">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（2）安全要求</w:t>
      </w:r>
    </w:p>
    <w:p w14:paraId="6107CA91">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a.不受洪水、泥石流和台风威胁，避开塌方、落石、滑坡、危岩等危险路段。</w:t>
      </w:r>
    </w:p>
    <w:p w14:paraId="633FFF57">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b.避开取土、弃土场地。项目经理部严禁在高危、临边、悬崖、低洼、通道、涵洞等地搭建、安置办公住所，项目经理部办公和生活用房与施工机具停放场地应适当分开。</w:t>
      </w:r>
    </w:p>
    <w:p w14:paraId="4A2DE570">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c.与当地民居保持一定距离，避免扰民。避开高压线路及高大树木，与通信线路保持一定距离。</w:t>
      </w:r>
    </w:p>
    <w:p w14:paraId="395C1B57">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d.必须离集中爆破区500m以上。</w:t>
      </w:r>
    </w:p>
    <w:p w14:paraId="77A49C92">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e.租赁地方房屋作为项目部的，租赁的房屋必须符合安全要求，房屋的面积必须达到办公和生活要求。</w:t>
      </w:r>
    </w:p>
    <w:p w14:paraId="2A9AC855">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f.项目部要完善消防措施，配备必要的消防器材。</w:t>
      </w:r>
    </w:p>
    <w:p w14:paraId="6E99533B">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g.必须按照《建筑物防雷设计规范》(GB50057-2010)相关要求做好防雷、避雷设施。</w:t>
      </w:r>
    </w:p>
    <w:p w14:paraId="1CE9BB09">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（3）管理要求</w:t>
      </w:r>
    </w:p>
    <w:p w14:paraId="6E52AD02">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a.靠近现场，方便管理，不受施工干扰。</w:t>
      </w:r>
    </w:p>
    <w:p w14:paraId="333D5096">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b.交通便利，尽量靠近公路，缩短引入线。</w:t>
      </w:r>
    </w:p>
    <w:p w14:paraId="45BF0979">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c.通信方便，邮路便捷，满足项目法人单位办公的自动化要求。</w:t>
      </w:r>
    </w:p>
    <w:p w14:paraId="02E375B4">
      <w:pPr>
        <w:spacing w:line="360" w:lineRule="auto"/>
        <w:ind w:firstLine="482" w:firstLineChars="200"/>
        <w:rPr>
          <w:b/>
          <w:bCs/>
          <w:color w:val="000000" w:themeColor="text1"/>
          <w:sz w:val="24"/>
          <w:szCs w:val="24"/>
          <w:highlight w:val="none"/>
          <w14:textFill>
            <w14:solidFill>
              <w14:schemeClr w14:val="tx1"/>
            </w14:solidFill>
          </w14:textFill>
        </w:rPr>
      </w:pPr>
      <w:r>
        <w:rPr>
          <w:b/>
          <w:bCs/>
          <w:color w:val="000000" w:themeColor="text1"/>
          <w:sz w:val="24"/>
          <w:szCs w:val="24"/>
          <w:highlight w:val="none"/>
          <w14:textFill>
            <w14:solidFill>
              <w14:schemeClr w14:val="tx1"/>
            </w14:solidFill>
          </w14:textFill>
        </w:rPr>
        <w:t>7.</w:t>
      </w:r>
      <w:r>
        <w:rPr>
          <w:rFonts w:hint="eastAsia" w:cs="宋体"/>
          <w:b/>
          <w:bCs/>
          <w:color w:val="000000" w:themeColor="text1"/>
          <w:sz w:val="24"/>
          <w:szCs w:val="24"/>
          <w:highlight w:val="none"/>
          <w14:textFill>
            <w14:solidFill>
              <w14:schemeClr w14:val="tx1"/>
            </w14:solidFill>
          </w14:textFill>
        </w:rPr>
        <w:t>拌合站要求（增加）</w:t>
      </w:r>
    </w:p>
    <w:p w14:paraId="3BC147EE">
      <w:pPr>
        <w:spacing w:line="360" w:lineRule="auto"/>
        <w:ind w:firstLine="482" w:firstLineChars="200"/>
        <w:rPr>
          <w:b/>
          <w:bCs/>
          <w:color w:val="000000" w:themeColor="text1"/>
          <w:sz w:val="24"/>
          <w:szCs w:val="24"/>
          <w:highlight w:val="none"/>
          <w14:textFill>
            <w14:solidFill>
              <w14:schemeClr w14:val="tx1"/>
            </w14:solidFill>
          </w14:textFill>
        </w:rPr>
      </w:pPr>
      <w:r>
        <w:rPr>
          <w:rFonts w:hint="eastAsia" w:cs="宋体"/>
          <w:b/>
          <w:bCs/>
          <w:color w:val="000000" w:themeColor="text1"/>
          <w:sz w:val="24"/>
          <w:szCs w:val="24"/>
          <w:highlight w:val="none"/>
          <w14:textFill>
            <w14:solidFill>
              <w14:schemeClr w14:val="tx1"/>
            </w14:solidFill>
          </w14:textFill>
        </w:rPr>
        <w:t>（</w:t>
      </w:r>
      <w:r>
        <w:rPr>
          <w:b/>
          <w:bCs/>
          <w:color w:val="000000" w:themeColor="text1"/>
          <w:sz w:val="24"/>
          <w:szCs w:val="24"/>
          <w:highlight w:val="none"/>
          <w14:textFill>
            <w14:solidFill>
              <w14:schemeClr w14:val="tx1"/>
            </w14:solidFill>
          </w14:textFill>
        </w:rPr>
        <w:t>1</w:t>
      </w:r>
      <w:r>
        <w:rPr>
          <w:rFonts w:hint="eastAsia" w:cs="宋体"/>
          <w:b/>
          <w:bCs/>
          <w:color w:val="000000" w:themeColor="text1"/>
          <w:sz w:val="24"/>
          <w:szCs w:val="24"/>
          <w:highlight w:val="none"/>
          <w14:textFill>
            <w14:solidFill>
              <w14:schemeClr w14:val="tx1"/>
            </w14:solidFill>
          </w14:textFill>
        </w:rPr>
        <w:t>）一般规定</w:t>
      </w:r>
    </w:p>
    <w:p w14:paraId="62BC6927">
      <w:pPr>
        <w:spacing w:line="360" w:lineRule="auto"/>
        <w:ind w:firstLine="480" w:firstLineChars="200"/>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a.</w:t>
      </w:r>
      <w:r>
        <w:rPr>
          <w:rFonts w:hint="eastAsia" w:cs="宋体"/>
          <w:color w:val="000000" w:themeColor="text1"/>
          <w:sz w:val="24"/>
          <w:szCs w:val="24"/>
          <w:highlight w:val="none"/>
          <w14:textFill>
            <w14:solidFill>
              <w14:schemeClr w14:val="tx1"/>
            </w14:solidFill>
          </w14:textFill>
        </w:rPr>
        <w:t>施工单位签订合同后，应按照“工厂化、集约化、专业化、规范化”的要求立即着手进行拌和站的选址与规划，</w:t>
      </w:r>
      <w:r>
        <w:rPr>
          <w:color w:val="000000" w:themeColor="text1"/>
          <w:sz w:val="24"/>
          <w:szCs w:val="24"/>
          <w:highlight w:val="none"/>
          <w14:textFill>
            <w14:solidFill>
              <w14:schemeClr w14:val="tx1"/>
            </w14:solidFill>
          </w14:textFill>
        </w:rPr>
        <w:t>7</w:t>
      </w:r>
      <w:r>
        <w:rPr>
          <w:rFonts w:hint="eastAsia" w:cs="宋体"/>
          <w:color w:val="000000" w:themeColor="text1"/>
          <w:sz w:val="24"/>
          <w:szCs w:val="24"/>
          <w:highlight w:val="none"/>
          <w14:textFill>
            <w14:solidFill>
              <w14:schemeClr w14:val="tx1"/>
            </w14:solidFill>
          </w14:textFill>
        </w:rPr>
        <w:t>天内明确拌和站设置规模及位置，并编写建设方案，内容包括位置、占地面积、服务内容、功能区划分、场内道路布置、排水设施布置、水电设施及施工设备的型号、数量等，报咨询人初步审查，最终报项目业主审批后实施。</w:t>
      </w:r>
    </w:p>
    <w:p w14:paraId="237093F8">
      <w:pPr>
        <w:spacing w:line="360" w:lineRule="auto"/>
        <w:ind w:firstLine="480" w:firstLineChars="200"/>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b.</w:t>
      </w:r>
      <w:r>
        <w:rPr>
          <w:rFonts w:hint="eastAsia" w:cs="宋体"/>
          <w:color w:val="000000" w:themeColor="text1"/>
          <w:sz w:val="24"/>
          <w:szCs w:val="24"/>
          <w:highlight w:val="none"/>
          <w14:textFill>
            <w14:solidFill>
              <w14:schemeClr w14:val="tx1"/>
            </w14:solidFill>
          </w14:textFill>
        </w:rPr>
        <w:t>拌和站建设应综合考虑施工生产情况，合理划分生活区、拌和作业区、材料计量区、材料库及运输车辆停放区等。</w:t>
      </w:r>
    </w:p>
    <w:p w14:paraId="2F1FAB29">
      <w:pPr>
        <w:spacing w:line="360" w:lineRule="auto"/>
        <w:ind w:firstLine="480" w:firstLineChars="200"/>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c.</w:t>
      </w:r>
      <w:r>
        <w:rPr>
          <w:rFonts w:hint="eastAsia" w:cs="宋体"/>
          <w:color w:val="000000" w:themeColor="text1"/>
          <w:sz w:val="24"/>
          <w:szCs w:val="24"/>
          <w:highlight w:val="none"/>
          <w14:textFill>
            <w14:solidFill>
              <w14:schemeClr w14:val="tx1"/>
            </w14:solidFill>
          </w14:textFill>
        </w:rPr>
        <w:t>工程交工后，除非另有协议，承包人应自费恢复驻地原貌，并经咨询人验收合格。</w:t>
      </w:r>
    </w:p>
    <w:p w14:paraId="4B03F96F">
      <w:pPr>
        <w:spacing w:line="360" w:lineRule="auto"/>
        <w:ind w:firstLine="482" w:firstLineChars="200"/>
        <w:rPr>
          <w:b/>
          <w:bCs/>
          <w:color w:val="000000" w:themeColor="text1"/>
          <w:sz w:val="24"/>
          <w:szCs w:val="24"/>
          <w:highlight w:val="none"/>
          <w14:textFill>
            <w14:solidFill>
              <w14:schemeClr w14:val="tx1"/>
            </w14:solidFill>
          </w14:textFill>
        </w:rPr>
      </w:pPr>
      <w:r>
        <w:rPr>
          <w:rFonts w:hint="eastAsia" w:cs="宋体"/>
          <w:b/>
          <w:bCs/>
          <w:color w:val="000000" w:themeColor="text1"/>
          <w:sz w:val="24"/>
          <w:szCs w:val="24"/>
          <w:highlight w:val="none"/>
          <w14:textFill>
            <w14:solidFill>
              <w14:schemeClr w14:val="tx1"/>
            </w14:solidFill>
          </w14:textFill>
        </w:rPr>
        <w:t>（</w:t>
      </w:r>
      <w:r>
        <w:rPr>
          <w:b/>
          <w:bCs/>
          <w:color w:val="000000" w:themeColor="text1"/>
          <w:sz w:val="24"/>
          <w:szCs w:val="24"/>
          <w:highlight w:val="none"/>
          <w14:textFill>
            <w14:solidFill>
              <w14:schemeClr w14:val="tx1"/>
            </w14:solidFill>
          </w14:textFill>
        </w:rPr>
        <w:t>2</w:t>
      </w:r>
      <w:r>
        <w:rPr>
          <w:rFonts w:hint="eastAsia" w:cs="宋体"/>
          <w:b/>
          <w:bCs/>
          <w:color w:val="000000" w:themeColor="text1"/>
          <w:sz w:val="24"/>
          <w:szCs w:val="24"/>
          <w:highlight w:val="none"/>
          <w14:textFill>
            <w14:solidFill>
              <w14:schemeClr w14:val="tx1"/>
            </w14:solidFill>
          </w14:textFill>
        </w:rPr>
        <w:t>）场地建设</w:t>
      </w:r>
    </w:p>
    <w:p w14:paraId="7855F5B9">
      <w:pPr>
        <w:spacing w:line="360" w:lineRule="auto"/>
        <w:ind w:firstLine="480" w:firstLineChars="200"/>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a.</w:t>
      </w:r>
      <w:r>
        <w:rPr>
          <w:rFonts w:hint="eastAsia" w:cs="宋体"/>
          <w:color w:val="000000" w:themeColor="text1"/>
          <w:sz w:val="24"/>
          <w:szCs w:val="24"/>
          <w:highlight w:val="none"/>
          <w14:textFill>
            <w14:solidFill>
              <w14:schemeClr w14:val="tx1"/>
            </w14:solidFill>
          </w14:textFill>
        </w:rPr>
        <w:t>选址要求</w:t>
      </w:r>
    </w:p>
    <w:p w14:paraId="0DF2FB0B">
      <w:pPr>
        <w:spacing w:line="360" w:lineRule="auto"/>
        <w:ind w:firstLine="480" w:firstLineChars="200"/>
        <w:rPr>
          <w:color w:val="000000" w:themeColor="text1"/>
          <w:sz w:val="24"/>
          <w:szCs w:val="24"/>
          <w:highlight w:val="none"/>
          <w14:textFill>
            <w14:solidFill>
              <w14:schemeClr w14:val="tx1"/>
            </w14:solidFill>
          </w14:textFill>
        </w:rPr>
      </w:pPr>
      <w:r>
        <w:rPr>
          <w:rFonts w:hint="eastAsia" w:cs="宋体"/>
          <w:color w:val="000000" w:themeColor="text1"/>
          <w:sz w:val="24"/>
          <w:szCs w:val="24"/>
          <w:highlight w:val="none"/>
          <w14:textFill>
            <w14:solidFill>
              <w14:schemeClr w14:val="tx1"/>
            </w14:solidFill>
          </w14:textFill>
        </w:rPr>
        <w:t>拌和站选址主要符合下列要求：水电接入较为方便；需考虑安全因素，保证选址的安全性。</w:t>
      </w:r>
    </w:p>
    <w:p w14:paraId="3E846477">
      <w:pPr>
        <w:spacing w:line="360" w:lineRule="auto"/>
        <w:ind w:firstLine="480" w:firstLineChars="200"/>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b.</w:t>
      </w:r>
      <w:r>
        <w:rPr>
          <w:rFonts w:hint="eastAsia" w:cs="宋体"/>
          <w:color w:val="000000" w:themeColor="text1"/>
          <w:sz w:val="24"/>
          <w:szCs w:val="24"/>
          <w:highlight w:val="none"/>
          <w14:textFill>
            <w14:solidFill>
              <w14:schemeClr w14:val="tx1"/>
            </w14:solidFill>
          </w14:textFill>
        </w:rPr>
        <w:t>面积</w:t>
      </w:r>
    </w:p>
    <w:p w14:paraId="24DA1FB4">
      <w:pPr>
        <w:spacing w:line="360" w:lineRule="auto"/>
        <w:ind w:firstLine="436" w:firstLineChars="182"/>
        <w:rPr>
          <w:color w:val="000000" w:themeColor="text1"/>
          <w:sz w:val="24"/>
          <w:szCs w:val="24"/>
          <w:highlight w:val="none"/>
          <w14:textFill>
            <w14:solidFill>
              <w14:schemeClr w14:val="tx1"/>
            </w14:solidFill>
          </w14:textFill>
        </w:rPr>
      </w:pPr>
      <w:r>
        <w:rPr>
          <w:rFonts w:hint="eastAsia" w:cs="宋体"/>
          <w:color w:val="000000" w:themeColor="text1"/>
          <w:sz w:val="24"/>
          <w:szCs w:val="24"/>
          <w:highlight w:val="none"/>
          <w14:textFill>
            <w14:solidFill>
              <w14:schemeClr w14:val="tx1"/>
            </w14:solidFill>
          </w14:textFill>
        </w:rPr>
        <w:t>拌和站的占地面积应与建设规模相适应。</w:t>
      </w:r>
    </w:p>
    <w:p w14:paraId="23A46E23">
      <w:pPr>
        <w:spacing w:line="360" w:lineRule="auto"/>
        <w:ind w:firstLine="482" w:firstLineChars="200"/>
        <w:rPr>
          <w:b/>
          <w:bCs/>
          <w:color w:val="000000" w:themeColor="text1"/>
          <w:sz w:val="24"/>
          <w:szCs w:val="24"/>
          <w:highlight w:val="none"/>
          <w14:textFill>
            <w14:solidFill>
              <w14:schemeClr w14:val="tx1"/>
            </w14:solidFill>
          </w14:textFill>
        </w:rPr>
      </w:pPr>
      <w:r>
        <w:rPr>
          <w:rFonts w:hint="eastAsia" w:cs="宋体"/>
          <w:b/>
          <w:bCs/>
          <w:color w:val="000000" w:themeColor="text1"/>
          <w:sz w:val="24"/>
          <w:szCs w:val="24"/>
          <w:highlight w:val="none"/>
          <w14:textFill>
            <w14:solidFill>
              <w14:schemeClr w14:val="tx1"/>
            </w14:solidFill>
          </w14:textFill>
        </w:rPr>
        <w:t>（</w:t>
      </w:r>
      <w:r>
        <w:rPr>
          <w:b/>
          <w:bCs/>
          <w:color w:val="000000" w:themeColor="text1"/>
          <w:sz w:val="24"/>
          <w:szCs w:val="24"/>
          <w:highlight w:val="none"/>
          <w14:textFill>
            <w14:solidFill>
              <w14:schemeClr w14:val="tx1"/>
            </w14:solidFill>
          </w14:textFill>
        </w:rPr>
        <w:t>3</w:t>
      </w:r>
      <w:r>
        <w:rPr>
          <w:rFonts w:hint="eastAsia" w:cs="宋体"/>
          <w:b/>
          <w:bCs/>
          <w:color w:val="000000" w:themeColor="text1"/>
          <w:sz w:val="24"/>
          <w:szCs w:val="24"/>
          <w:highlight w:val="none"/>
          <w14:textFill>
            <w14:solidFill>
              <w14:schemeClr w14:val="tx1"/>
            </w14:solidFill>
          </w14:textFill>
        </w:rPr>
        <w:t>）场地处理</w:t>
      </w:r>
    </w:p>
    <w:p w14:paraId="51785B2D">
      <w:pPr>
        <w:spacing w:line="360" w:lineRule="auto"/>
        <w:ind w:firstLine="420" w:firstLineChars="200"/>
        <w:rPr>
          <w:color w:val="000000" w:themeColor="text1"/>
          <w:sz w:val="24"/>
          <w:szCs w:val="24"/>
          <w:highlight w:val="none"/>
          <w14:textFill>
            <w14:solidFill>
              <w14:schemeClr w14:val="tx1"/>
            </w14:solidFill>
          </w14:textFill>
        </w:rPr>
      </w:pPr>
      <w:r>
        <w:rPr>
          <w:color w:val="000000" w:themeColor="text1"/>
          <w:highlight w:val="none"/>
          <w14:textFill>
            <w14:solidFill>
              <w14:schemeClr w14:val="tx1"/>
            </w14:solidFill>
          </w14:textFill>
        </w:rPr>
        <w:t xml:space="preserve"> a.</w:t>
      </w:r>
      <w:r>
        <w:rPr>
          <w:rFonts w:hint="eastAsia" w:cs="宋体"/>
          <w:color w:val="000000" w:themeColor="text1"/>
          <w:sz w:val="24"/>
          <w:szCs w:val="24"/>
          <w:highlight w:val="none"/>
          <w14:textFill>
            <w14:solidFill>
              <w14:schemeClr w14:val="tx1"/>
            </w14:solidFill>
          </w14:textFill>
        </w:rPr>
        <w:t>拌和站应根据工程实际情况集中布置，应采用封闭式管理，大门悬挂×××项目经理部××拌合站铭牌；拌和站内应设置工地试验室。</w:t>
      </w:r>
    </w:p>
    <w:p w14:paraId="24FCC05F">
      <w:pPr>
        <w:spacing w:line="360" w:lineRule="auto"/>
        <w:ind w:left="1" w:leftChars="-114" w:hanging="240" w:hangingChars="100"/>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 xml:space="preserve">      b.</w:t>
      </w:r>
      <w:r>
        <w:rPr>
          <w:rFonts w:hint="eastAsia" w:cs="宋体"/>
          <w:color w:val="000000" w:themeColor="text1"/>
          <w:sz w:val="24"/>
          <w:szCs w:val="24"/>
          <w:highlight w:val="none"/>
          <w14:textFill>
            <w14:solidFill>
              <w14:schemeClr w14:val="tx1"/>
            </w14:solidFill>
          </w14:textFill>
        </w:rPr>
        <w:t>拌和站材料堆放区、拌和区、作业区应分开或隔离；场内地面应做硬化处理。</w:t>
      </w:r>
    </w:p>
    <w:p w14:paraId="5EB55755">
      <w:pPr>
        <w:spacing w:line="360" w:lineRule="auto"/>
        <w:ind w:firstLine="482" w:firstLineChars="200"/>
        <w:rPr>
          <w:b/>
          <w:bCs/>
          <w:color w:val="000000" w:themeColor="text1"/>
          <w:sz w:val="24"/>
          <w:szCs w:val="24"/>
          <w:highlight w:val="none"/>
          <w14:textFill>
            <w14:solidFill>
              <w14:schemeClr w14:val="tx1"/>
            </w14:solidFill>
          </w14:textFill>
        </w:rPr>
      </w:pPr>
      <w:r>
        <w:rPr>
          <w:rFonts w:hint="eastAsia" w:cs="宋体"/>
          <w:b/>
          <w:bCs/>
          <w:color w:val="000000" w:themeColor="text1"/>
          <w:sz w:val="24"/>
          <w:szCs w:val="24"/>
          <w:highlight w:val="none"/>
          <w14:textFill>
            <w14:solidFill>
              <w14:schemeClr w14:val="tx1"/>
            </w14:solidFill>
          </w14:textFill>
        </w:rPr>
        <w:t>（</w:t>
      </w:r>
      <w:r>
        <w:rPr>
          <w:b/>
          <w:bCs/>
          <w:color w:val="000000" w:themeColor="text1"/>
          <w:sz w:val="24"/>
          <w:szCs w:val="24"/>
          <w:highlight w:val="none"/>
          <w14:textFill>
            <w14:solidFill>
              <w14:schemeClr w14:val="tx1"/>
            </w14:solidFill>
          </w14:textFill>
        </w:rPr>
        <w:t>4</w:t>
      </w:r>
      <w:r>
        <w:rPr>
          <w:rFonts w:hint="eastAsia" w:cs="宋体"/>
          <w:b/>
          <w:bCs/>
          <w:color w:val="000000" w:themeColor="text1"/>
          <w:sz w:val="24"/>
          <w:szCs w:val="24"/>
          <w:highlight w:val="none"/>
          <w14:textFill>
            <w14:solidFill>
              <w14:schemeClr w14:val="tx1"/>
            </w14:solidFill>
          </w14:textFill>
        </w:rPr>
        <w:t>）堆料场</w:t>
      </w:r>
    </w:p>
    <w:p w14:paraId="6F6C1024">
      <w:pPr>
        <w:spacing w:line="360" w:lineRule="auto"/>
        <w:ind w:firstLine="360" w:firstLineChars="150"/>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a.</w:t>
      </w:r>
      <w:r>
        <w:rPr>
          <w:rFonts w:hint="eastAsia" w:cs="宋体"/>
          <w:color w:val="000000" w:themeColor="text1"/>
          <w:sz w:val="24"/>
          <w:szCs w:val="24"/>
          <w:highlight w:val="none"/>
          <w14:textFill>
            <w14:solidFill>
              <w14:schemeClr w14:val="tx1"/>
            </w14:solidFill>
          </w14:textFill>
        </w:rPr>
        <w:t>原材料的堆放应符合下列要求：</w:t>
      </w:r>
    </w:p>
    <w:p w14:paraId="5419B533">
      <w:pPr>
        <w:spacing w:line="360" w:lineRule="auto"/>
        <w:ind w:left="-40" w:leftChars="-19" w:firstLine="360" w:firstLineChars="150"/>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b.</w:t>
      </w:r>
      <w:r>
        <w:rPr>
          <w:rFonts w:hint="eastAsia" w:cs="宋体"/>
          <w:color w:val="000000" w:themeColor="text1"/>
          <w:sz w:val="24"/>
          <w:szCs w:val="24"/>
          <w:highlight w:val="none"/>
          <w14:textFill>
            <w14:solidFill>
              <w14:schemeClr w14:val="tx1"/>
            </w14:solidFill>
          </w14:textFill>
        </w:rPr>
        <w:t>凡用于工程的砂石料应按配料要求，不同粒径、不同品种分隔砌墙存放，不得混堆或交叉堆放，并设置明显标志分料墙下部预留空洞，严禁积水。</w:t>
      </w:r>
    </w:p>
    <w:p w14:paraId="27C14D68">
      <w:pPr>
        <w:spacing w:line="360" w:lineRule="auto"/>
        <w:ind w:firstLine="360" w:firstLineChars="150"/>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c.</w:t>
      </w:r>
      <w:r>
        <w:rPr>
          <w:rFonts w:hint="eastAsia" w:cs="宋体"/>
          <w:color w:val="000000" w:themeColor="text1"/>
          <w:sz w:val="24"/>
          <w:szCs w:val="24"/>
          <w:highlight w:val="none"/>
          <w14:textFill>
            <w14:solidFill>
              <w14:schemeClr w14:val="tx1"/>
            </w14:solidFill>
          </w14:textFill>
        </w:rPr>
        <w:t>应严格按照规定对现场材料进行标识，标识内容应包括材料名称、产地、规格型号、生产批号、进场日期、检验状态、进场数量、使用部位等，并根据不同的检验状态和结果采用统一的材料标识牌进行标识。</w:t>
      </w:r>
    </w:p>
    <w:p w14:paraId="3352E65B">
      <w:pPr>
        <w:spacing w:line="360" w:lineRule="auto"/>
        <w:ind w:firstLine="482" w:firstLineChars="200"/>
        <w:rPr>
          <w:b/>
          <w:bCs/>
          <w:color w:val="000000" w:themeColor="text1"/>
          <w:sz w:val="24"/>
          <w:szCs w:val="24"/>
          <w:highlight w:val="none"/>
          <w14:textFill>
            <w14:solidFill>
              <w14:schemeClr w14:val="tx1"/>
            </w14:solidFill>
          </w14:textFill>
        </w:rPr>
      </w:pPr>
      <w:r>
        <w:rPr>
          <w:rFonts w:hint="eastAsia" w:cs="宋体"/>
          <w:b/>
          <w:bCs/>
          <w:color w:val="000000" w:themeColor="text1"/>
          <w:sz w:val="24"/>
          <w:szCs w:val="24"/>
          <w:highlight w:val="none"/>
          <w14:textFill>
            <w14:solidFill>
              <w14:schemeClr w14:val="tx1"/>
            </w14:solidFill>
          </w14:textFill>
        </w:rPr>
        <w:t>（</w:t>
      </w:r>
      <w:r>
        <w:rPr>
          <w:b/>
          <w:bCs/>
          <w:color w:val="000000" w:themeColor="text1"/>
          <w:sz w:val="24"/>
          <w:szCs w:val="24"/>
          <w:highlight w:val="none"/>
          <w14:textFill>
            <w14:solidFill>
              <w14:schemeClr w14:val="tx1"/>
            </w14:solidFill>
          </w14:textFill>
        </w:rPr>
        <w:t>5</w:t>
      </w:r>
      <w:r>
        <w:rPr>
          <w:rFonts w:hint="eastAsia" w:cs="宋体"/>
          <w:b/>
          <w:bCs/>
          <w:color w:val="000000" w:themeColor="text1"/>
          <w:sz w:val="24"/>
          <w:szCs w:val="24"/>
          <w:highlight w:val="none"/>
          <w14:textFill>
            <w14:solidFill>
              <w14:schemeClr w14:val="tx1"/>
            </w14:solidFill>
          </w14:textFill>
        </w:rPr>
        <w:t>）拌和站的标示标牌</w:t>
      </w:r>
    </w:p>
    <w:p w14:paraId="0F296C98">
      <w:pPr>
        <w:spacing w:line="360" w:lineRule="auto"/>
        <w:ind w:firstLine="360" w:firstLineChars="150"/>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a.</w:t>
      </w:r>
      <w:r>
        <w:rPr>
          <w:rFonts w:hint="eastAsia" w:cs="宋体"/>
          <w:color w:val="000000" w:themeColor="text1"/>
          <w:sz w:val="24"/>
          <w:szCs w:val="24"/>
          <w:highlight w:val="none"/>
          <w14:textFill>
            <w14:solidFill>
              <w14:schemeClr w14:val="tx1"/>
            </w14:solidFill>
          </w14:textFill>
        </w:rPr>
        <w:t>拌和站大门位置必须设置详细的现场布置图，站内设置明显的标识牌。</w:t>
      </w:r>
    </w:p>
    <w:p w14:paraId="1648F3DC">
      <w:pPr>
        <w:spacing w:line="360" w:lineRule="auto"/>
        <w:ind w:firstLine="360" w:firstLineChars="150"/>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b.</w:t>
      </w:r>
      <w:r>
        <w:rPr>
          <w:rFonts w:hint="eastAsia" w:cs="宋体"/>
          <w:color w:val="000000" w:themeColor="text1"/>
          <w:sz w:val="24"/>
          <w:szCs w:val="24"/>
          <w:highlight w:val="none"/>
          <w14:textFill>
            <w14:solidFill>
              <w14:schemeClr w14:val="tx1"/>
            </w14:solidFill>
          </w14:textFill>
        </w:rPr>
        <w:t>拌和站内醒目位置应设置工程告示牌、拌和站平面布置图、安全生产牌、消防保卫牌、管理人员名单及监督电话牌、文明施工牌等明示标志。</w:t>
      </w:r>
    </w:p>
    <w:p w14:paraId="1914FE95">
      <w:pPr>
        <w:spacing w:line="360" w:lineRule="auto"/>
        <w:ind w:firstLine="360" w:firstLineChars="150"/>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c.</w:t>
      </w:r>
      <w:r>
        <w:rPr>
          <w:rFonts w:hint="eastAsia" w:cs="宋体"/>
          <w:color w:val="000000" w:themeColor="text1"/>
          <w:sz w:val="24"/>
          <w:szCs w:val="24"/>
          <w:highlight w:val="none"/>
          <w14:textFill>
            <w14:solidFill>
              <w14:schemeClr w14:val="tx1"/>
            </w14:solidFill>
          </w14:textFill>
        </w:rPr>
        <w:t>拌和站出入口、拌和楼控制室应设置操作规程、禁止、警告、指令标志。</w:t>
      </w:r>
    </w:p>
    <w:p w14:paraId="6F341C54">
      <w:pPr>
        <w:spacing w:line="360" w:lineRule="auto"/>
        <w:ind w:firstLine="360" w:firstLineChars="150"/>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d.</w:t>
      </w:r>
      <w:r>
        <w:rPr>
          <w:rFonts w:hint="eastAsia" w:cs="宋体"/>
          <w:color w:val="000000" w:themeColor="text1"/>
          <w:sz w:val="24"/>
          <w:szCs w:val="24"/>
          <w:highlight w:val="none"/>
          <w14:textFill>
            <w14:solidFill>
              <w14:schemeClr w14:val="tx1"/>
            </w14:solidFill>
          </w14:textFill>
        </w:rPr>
        <w:t>悬挂值班人员公示牌，内容应包含现场咨询总负责人、试验检测工程师、拌合楼操作员、上料机械员等。</w:t>
      </w:r>
    </w:p>
    <w:p w14:paraId="33DE6BD6">
      <w:pPr>
        <w:spacing w:line="360" w:lineRule="auto"/>
        <w:ind w:firstLine="360" w:firstLineChars="150"/>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e.</w:t>
      </w:r>
      <w:r>
        <w:rPr>
          <w:rFonts w:hint="eastAsia" w:cs="宋体"/>
          <w:color w:val="000000" w:themeColor="text1"/>
          <w:sz w:val="24"/>
          <w:szCs w:val="24"/>
          <w:highlight w:val="none"/>
          <w14:textFill>
            <w14:solidFill>
              <w14:schemeClr w14:val="tx1"/>
            </w14:solidFill>
          </w14:textFill>
        </w:rPr>
        <w:t>拌和站配合比标识牌</w:t>
      </w:r>
    </w:p>
    <w:p w14:paraId="42E625D3">
      <w:pPr>
        <w:spacing w:line="360" w:lineRule="auto"/>
        <w:ind w:leftChars="-57" w:hanging="120" w:hangingChars="50"/>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 xml:space="preserve">    </w:t>
      </w:r>
      <w:r>
        <w:rPr>
          <w:rFonts w:hint="eastAsia" w:cs="宋体"/>
          <w:color w:val="000000" w:themeColor="text1"/>
          <w:sz w:val="24"/>
          <w:szCs w:val="24"/>
          <w:highlight w:val="none"/>
          <w14:textFill>
            <w14:solidFill>
              <w14:schemeClr w14:val="tx1"/>
            </w14:solidFill>
          </w14:textFill>
        </w:rPr>
        <w:t>拌和机操作房前醒目位置应悬挂混凝土配合比标识牌，标识牌采用镀锌铁皮制作，尺寸</w:t>
      </w:r>
      <w:r>
        <w:rPr>
          <w:color w:val="000000" w:themeColor="text1"/>
          <w:sz w:val="24"/>
          <w:szCs w:val="24"/>
          <w:highlight w:val="none"/>
          <w14:textFill>
            <w14:solidFill>
              <w14:schemeClr w14:val="tx1"/>
            </w14:solidFill>
          </w14:textFill>
        </w:rPr>
        <w:t>800mm</w:t>
      </w:r>
      <w:r>
        <w:rPr>
          <w:rFonts w:hint="eastAsia" w:cs="宋体"/>
          <w:color w:val="000000" w:themeColor="text1"/>
          <w:sz w:val="24"/>
          <w:szCs w:val="24"/>
          <w:highlight w:val="none"/>
          <w14:textFill>
            <w14:solidFill>
              <w14:schemeClr w14:val="tx1"/>
            </w14:solidFill>
          </w14:textFill>
        </w:rPr>
        <w:t>×</w:t>
      </w:r>
      <w:r>
        <w:rPr>
          <w:color w:val="000000" w:themeColor="text1"/>
          <w:sz w:val="24"/>
          <w:szCs w:val="24"/>
          <w:highlight w:val="none"/>
          <w14:textFill>
            <w14:solidFill>
              <w14:schemeClr w14:val="tx1"/>
            </w14:solidFill>
          </w14:textFill>
        </w:rPr>
        <w:t>600 mm</w:t>
      </w:r>
      <w:r>
        <w:rPr>
          <w:rFonts w:hint="eastAsia" w:cs="宋体"/>
          <w:color w:val="000000" w:themeColor="text1"/>
          <w:sz w:val="24"/>
          <w:szCs w:val="24"/>
          <w:highlight w:val="none"/>
          <w14:textFill>
            <w14:solidFill>
              <w14:schemeClr w14:val="tx1"/>
            </w14:solidFill>
          </w14:textFill>
        </w:rPr>
        <w:t>，油漆喷涂确保不褪色，数字采用彩笔填写，字迹工整清晰。标识牌内应包括以下内容：混凝土设计与施工配合比（含外加剂），粗细集料的实测含水率及各种材料的每盘使用量等。</w:t>
      </w:r>
    </w:p>
    <w:p w14:paraId="464382FB">
      <w:pPr>
        <w:spacing w:line="360" w:lineRule="auto"/>
        <w:ind w:firstLine="482" w:firstLineChars="200"/>
        <w:rPr>
          <w:b/>
          <w:bCs/>
          <w:color w:val="000000" w:themeColor="text1"/>
          <w:sz w:val="24"/>
          <w:szCs w:val="24"/>
          <w:highlight w:val="none"/>
          <w14:textFill>
            <w14:solidFill>
              <w14:schemeClr w14:val="tx1"/>
            </w14:solidFill>
          </w14:textFill>
        </w:rPr>
      </w:pPr>
      <w:r>
        <w:rPr>
          <w:rFonts w:hint="eastAsia" w:cs="宋体"/>
          <w:b/>
          <w:bCs/>
          <w:color w:val="000000" w:themeColor="text1"/>
          <w:sz w:val="24"/>
          <w:szCs w:val="24"/>
          <w:highlight w:val="none"/>
          <w14:textFill>
            <w14:solidFill>
              <w14:schemeClr w14:val="tx1"/>
            </w14:solidFill>
          </w14:textFill>
        </w:rPr>
        <w:t>（</w:t>
      </w:r>
      <w:r>
        <w:rPr>
          <w:b/>
          <w:bCs/>
          <w:color w:val="000000" w:themeColor="text1"/>
          <w:sz w:val="24"/>
          <w:szCs w:val="24"/>
          <w:highlight w:val="none"/>
          <w14:textFill>
            <w14:solidFill>
              <w14:schemeClr w14:val="tx1"/>
            </w14:solidFill>
          </w14:textFill>
        </w:rPr>
        <w:t>6</w:t>
      </w:r>
      <w:r>
        <w:rPr>
          <w:rFonts w:hint="eastAsia" w:cs="宋体"/>
          <w:b/>
          <w:bCs/>
          <w:color w:val="000000" w:themeColor="text1"/>
          <w:sz w:val="24"/>
          <w:szCs w:val="24"/>
          <w:highlight w:val="none"/>
          <w14:textFill>
            <w14:solidFill>
              <w14:schemeClr w14:val="tx1"/>
            </w14:solidFill>
          </w14:textFill>
        </w:rPr>
        <w:t>）安全文明施工</w:t>
      </w:r>
    </w:p>
    <w:p w14:paraId="5A229E2D">
      <w:pPr>
        <w:spacing w:line="360" w:lineRule="auto"/>
        <w:ind w:firstLine="480" w:firstLineChars="200"/>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a.</w:t>
      </w:r>
      <w:r>
        <w:rPr>
          <w:rFonts w:hint="eastAsia" w:cs="宋体"/>
          <w:color w:val="000000" w:themeColor="text1"/>
          <w:sz w:val="24"/>
          <w:szCs w:val="24"/>
          <w:highlight w:val="none"/>
          <w14:textFill>
            <w14:solidFill>
              <w14:schemeClr w14:val="tx1"/>
            </w14:solidFill>
          </w14:textFill>
        </w:rPr>
        <w:t>施工临时用电：</w:t>
      </w:r>
    </w:p>
    <w:p w14:paraId="1DE0E725">
      <w:pPr>
        <w:spacing w:line="360" w:lineRule="auto"/>
        <w:ind w:firstLine="360" w:firstLineChars="150"/>
        <w:rPr>
          <w:color w:val="000000" w:themeColor="text1"/>
          <w:sz w:val="24"/>
          <w:szCs w:val="24"/>
          <w:highlight w:val="none"/>
          <w14:textFill>
            <w14:solidFill>
              <w14:schemeClr w14:val="tx1"/>
            </w14:solidFill>
          </w14:textFill>
        </w:rPr>
      </w:pPr>
      <w:r>
        <w:rPr>
          <w:rFonts w:hint="eastAsia" w:cs="宋体"/>
          <w:color w:val="000000" w:themeColor="text1"/>
          <w:sz w:val="24"/>
          <w:szCs w:val="24"/>
          <w:highlight w:val="none"/>
          <w14:textFill>
            <w14:solidFill>
              <w14:schemeClr w14:val="tx1"/>
            </w14:solidFill>
          </w14:textFill>
        </w:rPr>
        <w:t>（</w:t>
      </w:r>
      <w:r>
        <w:rPr>
          <w:color w:val="000000" w:themeColor="text1"/>
          <w:sz w:val="24"/>
          <w:szCs w:val="24"/>
          <w:highlight w:val="none"/>
          <w14:textFill>
            <w14:solidFill>
              <w14:schemeClr w14:val="tx1"/>
            </w14:solidFill>
          </w14:textFill>
        </w:rPr>
        <w:t>i</w:t>
      </w:r>
      <w:r>
        <w:rPr>
          <w:rFonts w:hint="eastAsia" w:cs="宋体"/>
          <w:color w:val="000000" w:themeColor="text1"/>
          <w:sz w:val="24"/>
          <w:szCs w:val="24"/>
          <w:highlight w:val="none"/>
          <w14:textFill>
            <w14:solidFill>
              <w14:schemeClr w14:val="tx1"/>
            </w14:solidFill>
          </w14:textFill>
        </w:rPr>
        <w:t>）应编制临时用电施工组织设计，确定电源进线、总配电箱分配电箱的位置及线路定向，进行负荷计算，选择变压器容量和导线截面，制定安全用电技术措施和电器防火措施。</w:t>
      </w:r>
    </w:p>
    <w:p w14:paraId="778AA0D3">
      <w:pPr>
        <w:spacing w:line="360" w:lineRule="auto"/>
        <w:ind w:firstLine="360" w:firstLineChars="150"/>
        <w:rPr>
          <w:color w:val="000000" w:themeColor="text1"/>
          <w:sz w:val="24"/>
          <w:szCs w:val="24"/>
          <w:highlight w:val="none"/>
          <w14:textFill>
            <w14:solidFill>
              <w14:schemeClr w14:val="tx1"/>
            </w14:solidFill>
          </w14:textFill>
        </w:rPr>
      </w:pPr>
      <w:r>
        <w:rPr>
          <w:rFonts w:hint="eastAsia" w:cs="宋体"/>
          <w:color w:val="000000" w:themeColor="text1"/>
          <w:sz w:val="24"/>
          <w:szCs w:val="24"/>
          <w:highlight w:val="none"/>
          <w14:textFill>
            <w14:solidFill>
              <w14:schemeClr w14:val="tx1"/>
            </w14:solidFill>
          </w14:textFill>
        </w:rPr>
        <w:t>（</w:t>
      </w:r>
      <w:r>
        <w:rPr>
          <w:color w:val="000000" w:themeColor="text1"/>
          <w:sz w:val="24"/>
          <w:szCs w:val="24"/>
          <w:highlight w:val="none"/>
          <w14:textFill>
            <w14:solidFill>
              <w14:schemeClr w14:val="tx1"/>
            </w14:solidFill>
          </w14:textFill>
        </w:rPr>
        <w:t>ii</w:t>
      </w:r>
      <w:r>
        <w:rPr>
          <w:rFonts w:hint="eastAsia" w:cs="宋体"/>
          <w:color w:val="000000" w:themeColor="text1"/>
          <w:sz w:val="24"/>
          <w:szCs w:val="24"/>
          <w:highlight w:val="none"/>
          <w14:textFill>
            <w14:solidFill>
              <w14:schemeClr w14:val="tx1"/>
            </w14:solidFill>
          </w14:textFill>
        </w:rPr>
        <w:t>）配电房（室）变压器等固定电力设备均设安全防护屏障或网栅围栏，高度不低于</w:t>
      </w:r>
      <w:r>
        <w:rPr>
          <w:color w:val="000000" w:themeColor="text1"/>
          <w:sz w:val="24"/>
          <w:szCs w:val="24"/>
          <w:highlight w:val="none"/>
          <w14:textFill>
            <w14:solidFill>
              <w14:schemeClr w14:val="tx1"/>
            </w14:solidFill>
          </w14:textFill>
        </w:rPr>
        <w:t>2.5m</w:t>
      </w:r>
      <w:r>
        <w:rPr>
          <w:rFonts w:hint="eastAsia" w:cs="宋体"/>
          <w:color w:val="000000" w:themeColor="text1"/>
          <w:sz w:val="24"/>
          <w:szCs w:val="24"/>
          <w:highlight w:val="none"/>
          <w14:textFill>
            <w14:solidFill>
              <w14:schemeClr w14:val="tx1"/>
            </w14:solidFill>
          </w14:textFill>
        </w:rPr>
        <w:t>，应设置明显的禁止、警告标志。</w:t>
      </w:r>
    </w:p>
    <w:p w14:paraId="596FDE8A">
      <w:pPr>
        <w:spacing w:line="360" w:lineRule="auto"/>
        <w:ind w:firstLine="360" w:firstLineChars="150"/>
        <w:rPr>
          <w:color w:val="000000" w:themeColor="text1"/>
          <w:sz w:val="24"/>
          <w:szCs w:val="24"/>
          <w:highlight w:val="none"/>
          <w14:textFill>
            <w14:solidFill>
              <w14:schemeClr w14:val="tx1"/>
            </w14:solidFill>
          </w14:textFill>
        </w:rPr>
      </w:pPr>
      <w:r>
        <w:rPr>
          <w:rFonts w:hint="eastAsia" w:cs="宋体"/>
          <w:color w:val="000000" w:themeColor="text1"/>
          <w:sz w:val="24"/>
          <w:szCs w:val="24"/>
          <w:highlight w:val="none"/>
          <w14:textFill>
            <w14:solidFill>
              <w14:schemeClr w14:val="tx1"/>
            </w14:solidFill>
          </w14:textFill>
        </w:rPr>
        <w:t>（</w:t>
      </w:r>
      <w:r>
        <w:rPr>
          <w:color w:val="000000" w:themeColor="text1"/>
          <w:sz w:val="24"/>
          <w:szCs w:val="24"/>
          <w:highlight w:val="none"/>
          <w14:textFill>
            <w14:solidFill>
              <w14:schemeClr w14:val="tx1"/>
            </w14:solidFill>
          </w14:textFill>
        </w:rPr>
        <w:t>iii</w:t>
      </w:r>
      <w:r>
        <w:rPr>
          <w:rFonts w:hint="eastAsia" w:cs="宋体"/>
          <w:color w:val="000000" w:themeColor="text1"/>
          <w:sz w:val="24"/>
          <w:szCs w:val="24"/>
          <w:highlight w:val="none"/>
          <w14:textFill>
            <w14:solidFill>
              <w14:schemeClr w14:val="tx1"/>
            </w14:solidFill>
          </w14:textFill>
        </w:rPr>
        <w:t>）施工现场临时用电应符合现行《施工现场临时用电安全技术规范》（</w:t>
      </w:r>
      <w:r>
        <w:rPr>
          <w:color w:val="000000" w:themeColor="text1"/>
          <w:sz w:val="24"/>
          <w:szCs w:val="24"/>
          <w:highlight w:val="none"/>
          <w14:textFill>
            <w14:solidFill>
              <w14:schemeClr w14:val="tx1"/>
            </w14:solidFill>
          </w14:textFill>
        </w:rPr>
        <w:t>JGJ 46—2005</w:t>
      </w:r>
      <w:r>
        <w:rPr>
          <w:rFonts w:hint="eastAsia" w:cs="宋体"/>
          <w:color w:val="000000" w:themeColor="text1"/>
          <w:sz w:val="24"/>
          <w:szCs w:val="24"/>
          <w:highlight w:val="none"/>
          <w14:textFill>
            <w14:solidFill>
              <w14:schemeClr w14:val="tx1"/>
            </w14:solidFill>
          </w14:textFill>
        </w:rPr>
        <w:t>）的规定。工程专用的电源中性点直接接地的</w:t>
      </w:r>
      <w:r>
        <w:rPr>
          <w:color w:val="000000" w:themeColor="text1"/>
          <w:sz w:val="24"/>
          <w:szCs w:val="24"/>
          <w:highlight w:val="none"/>
          <w14:textFill>
            <w14:solidFill>
              <w14:schemeClr w14:val="tx1"/>
            </w14:solidFill>
          </w14:textFill>
        </w:rPr>
        <w:t>220/380V</w:t>
      </w:r>
      <w:r>
        <w:rPr>
          <w:rFonts w:hint="eastAsia" w:cs="宋体"/>
          <w:color w:val="000000" w:themeColor="text1"/>
          <w:sz w:val="24"/>
          <w:szCs w:val="24"/>
          <w:highlight w:val="none"/>
          <w14:textFill>
            <w14:solidFill>
              <w14:schemeClr w14:val="tx1"/>
            </w14:solidFill>
          </w14:textFill>
        </w:rPr>
        <w:t>低压电力系统，必须采用</w:t>
      </w:r>
      <w:r>
        <w:rPr>
          <w:color w:val="000000" w:themeColor="text1"/>
          <w:sz w:val="24"/>
          <w:szCs w:val="24"/>
          <w:highlight w:val="none"/>
          <w14:textFill>
            <w14:solidFill>
              <w14:schemeClr w14:val="tx1"/>
            </w14:solidFill>
          </w14:textFill>
        </w:rPr>
        <w:t>TN-S</w:t>
      </w:r>
      <w:r>
        <w:rPr>
          <w:rFonts w:hint="eastAsia" w:cs="宋体"/>
          <w:color w:val="000000" w:themeColor="text1"/>
          <w:sz w:val="24"/>
          <w:szCs w:val="24"/>
          <w:highlight w:val="none"/>
          <w14:textFill>
            <w14:solidFill>
              <w14:schemeClr w14:val="tx1"/>
            </w14:solidFill>
          </w14:textFill>
        </w:rPr>
        <w:t>接零保护系统，并做到三级配电两级保护和“一机一箱一闸一漏”。</w:t>
      </w:r>
    </w:p>
    <w:p w14:paraId="241E0E74">
      <w:pPr>
        <w:spacing w:line="360" w:lineRule="auto"/>
        <w:ind w:firstLine="360" w:firstLineChars="150"/>
        <w:rPr>
          <w:color w:val="000000" w:themeColor="text1"/>
          <w:sz w:val="24"/>
          <w:szCs w:val="24"/>
          <w:highlight w:val="none"/>
          <w14:textFill>
            <w14:solidFill>
              <w14:schemeClr w14:val="tx1"/>
            </w14:solidFill>
          </w14:textFill>
        </w:rPr>
      </w:pPr>
      <w:r>
        <w:rPr>
          <w:rFonts w:hint="eastAsia" w:cs="宋体"/>
          <w:color w:val="000000" w:themeColor="text1"/>
          <w:sz w:val="24"/>
          <w:szCs w:val="24"/>
          <w:highlight w:val="none"/>
          <w14:textFill>
            <w14:solidFill>
              <w14:schemeClr w14:val="tx1"/>
            </w14:solidFill>
          </w14:textFill>
        </w:rPr>
        <w:t>（</w:t>
      </w:r>
      <w:r>
        <w:rPr>
          <w:color w:val="000000" w:themeColor="text1"/>
          <w:sz w:val="24"/>
          <w:szCs w:val="24"/>
          <w:highlight w:val="none"/>
          <w14:textFill>
            <w14:solidFill>
              <w14:schemeClr w14:val="tx1"/>
            </w14:solidFill>
          </w14:textFill>
        </w:rPr>
        <w:t>iv</w:t>
      </w:r>
      <w:r>
        <w:rPr>
          <w:rFonts w:hint="eastAsia" w:cs="宋体"/>
          <w:color w:val="000000" w:themeColor="text1"/>
          <w:sz w:val="24"/>
          <w:szCs w:val="24"/>
          <w:highlight w:val="none"/>
          <w14:textFill>
            <w14:solidFill>
              <w14:schemeClr w14:val="tx1"/>
            </w14:solidFill>
          </w14:textFill>
        </w:rPr>
        <w:t>）电力作业人员必须持证上岗，按规定正确穿戴、使用劳动防护用品。配电箱内多路配电应有标记，配电箱应有门、有锁、有防雨措施，铁壳开关箱必须接地。所有电器设备必须完整、无破损，性能良好。必须使用安装带有触电保护器的插座。触电保护器应定期试验，确保性能可靠。严禁使用铜丝、铁丝等金属代替保险丝。严禁在一个开关上连接多台电动设备。夜间施工时，现场应设有满足施工安全要求的照明设施。</w:t>
      </w:r>
    </w:p>
    <w:p w14:paraId="57B28771">
      <w:pPr>
        <w:spacing w:line="360" w:lineRule="auto"/>
        <w:ind w:firstLine="480" w:firstLineChars="200"/>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b.</w:t>
      </w:r>
      <w:r>
        <w:rPr>
          <w:rFonts w:hint="eastAsia" w:cs="宋体"/>
          <w:color w:val="000000" w:themeColor="text1"/>
          <w:sz w:val="24"/>
          <w:szCs w:val="24"/>
          <w:highlight w:val="none"/>
          <w14:textFill>
            <w14:solidFill>
              <w14:schemeClr w14:val="tx1"/>
            </w14:solidFill>
          </w14:textFill>
        </w:rPr>
        <w:t>文明施工：</w:t>
      </w:r>
    </w:p>
    <w:p w14:paraId="609597DA">
      <w:pPr>
        <w:spacing w:line="360" w:lineRule="auto"/>
        <w:ind w:firstLine="600" w:firstLineChars="250"/>
        <w:rPr>
          <w:color w:val="000000" w:themeColor="text1"/>
          <w:sz w:val="24"/>
          <w:szCs w:val="24"/>
          <w:highlight w:val="none"/>
          <w14:textFill>
            <w14:solidFill>
              <w14:schemeClr w14:val="tx1"/>
            </w14:solidFill>
          </w14:textFill>
        </w:rPr>
      </w:pPr>
      <w:r>
        <w:rPr>
          <w:rFonts w:hint="eastAsia" w:cs="宋体"/>
          <w:color w:val="000000" w:themeColor="text1"/>
          <w:sz w:val="24"/>
          <w:szCs w:val="24"/>
          <w:highlight w:val="none"/>
          <w14:textFill>
            <w14:solidFill>
              <w14:schemeClr w14:val="tx1"/>
            </w14:solidFill>
          </w14:textFill>
        </w:rPr>
        <w:t>水泥、粉煤灰等材料进料时，要注意材料罐顶的密封性能。当粉尘较大时，应暂时停止上料，待处理完后方可继续。水泥或粉煤灰罐必须安装避雷设施。</w:t>
      </w:r>
    </w:p>
    <w:p w14:paraId="37B527FE">
      <w:pPr>
        <w:spacing w:before="113" w:line="360" w:lineRule="auto"/>
        <w:ind w:right="2"/>
        <w:rPr>
          <w:rFonts w:ascii="宋体" w:hAnsi="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603.02  材料</w:t>
      </w:r>
    </w:p>
    <w:p w14:paraId="4BC3169E">
      <w:pPr>
        <w:spacing w:line="360" w:lineRule="auto"/>
        <w:ind w:firstLine="482" w:firstLineChars="200"/>
        <w:rPr>
          <w:rFonts w:ascii="宋体" w:hAnsi="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5.道路交通标线</w:t>
      </w:r>
    </w:p>
    <w:p w14:paraId="754301FF">
      <w:pPr>
        <w:numPr>
          <w:ilvl w:val="0"/>
          <w:numId w:val="5"/>
        </w:num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项补充：</w:t>
      </w:r>
    </w:p>
    <w:p w14:paraId="6AB80981">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1.1  路面标线所用涂料应符合《路面标线涂料》（JT/T 280-2022）的规定，应能满足在沥青混凝土、水泥混凝土路面上耐久使用的要求，且应有合适的施工机械与之配套。</w:t>
      </w:r>
    </w:p>
    <w:p w14:paraId="253483E9">
      <w:pPr>
        <w:spacing w:line="440" w:lineRule="exact"/>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1.2  路面标线涂料的色度性能应符合《安全色》（GB 2893-2008）的要求，其色品坐标应符合《路面标线涂料》（JT/T 280-2022）表6和图1中规定的范围。</w:t>
      </w:r>
    </w:p>
    <w:p w14:paraId="3C97EBDF">
      <w:pPr>
        <w:spacing w:line="440" w:lineRule="exact"/>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1.3  宜用1号玻璃珠作为面撒玻璃珠、2号玻璃珠作为预混玻璃珠，玻璃珠的各项指标应满足《路面标线用玻璃珠》（GB/T 24722-2020）的相关要求。</w:t>
      </w:r>
    </w:p>
    <w:p w14:paraId="57A81146">
      <w:pPr>
        <w:spacing w:line="440" w:lineRule="exact"/>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1.4  所采用的热熔涂料及玻璃珠材料，在满足《路面标线涂料》（JT/T 280）、《路面标线用玻璃珠》（GB/T 24722）和《安全色》（GB 2893）标准的全部要求外，还应满足表1、表2规定的关键技术指标要求：</w:t>
      </w:r>
    </w:p>
    <w:p w14:paraId="5448C5C1">
      <w:pPr>
        <w:spacing w:line="440" w:lineRule="exact"/>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表1  热熔型涂料原材料关键技术指标</w:t>
      </w:r>
    </w:p>
    <w:tbl>
      <w:tblPr>
        <w:tblStyle w:val="59"/>
        <w:tblW w:w="0" w:type="auto"/>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
      <w:tblGrid>
        <w:gridCol w:w="1778"/>
        <w:gridCol w:w="2050"/>
        <w:gridCol w:w="5296"/>
      </w:tblGrid>
      <w:tr w14:paraId="07FBB7B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778" w:type="dxa"/>
            <w:tcBorders>
              <w:top w:val="single" w:color="000000" w:sz="12" w:space="0"/>
            </w:tcBorders>
            <w:vAlign w:val="center"/>
          </w:tcPr>
          <w:p w14:paraId="5890F30E">
            <w:pPr>
              <w:spacing w:line="440" w:lineRule="exact"/>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材料名称</w:t>
            </w:r>
          </w:p>
        </w:tc>
        <w:tc>
          <w:tcPr>
            <w:tcW w:w="2050" w:type="dxa"/>
            <w:tcBorders>
              <w:top w:val="single" w:color="000000" w:sz="12" w:space="0"/>
            </w:tcBorders>
            <w:vAlign w:val="center"/>
          </w:tcPr>
          <w:p w14:paraId="1D3516B2">
            <w:pPr>
              <w:spacing w:line="440" w:lineRule="exact"/>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技术指标</w:t>
            </w:r>
          </w:p>
        </w:tc>
        <w:tc>
          <w:tcPr>
            <w:tcW w:w="5296" w:type="dxa"/>
            <w:tcBorders>
              <w:top w:val="single" w:color="000000" w:sz="12" w:space="0"/>
            </w:tcBorders>
            <w:vAlign w:val="center"/>
          </w:tcPr>
          <w:p w14:paraId="0948E5B1">
            <w:pPr>
              <w:spacing w:line="440" w:lineRule="exact"/>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技术要求</w:t>
            </w:r>
          </w:p>
        </w:tc>
      </w:tr>
      <w:tr w14:paraId="1B4E10C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778" w:type="dxa"/>
            <w:vMerge w:val="restart"/>
            <w:vAlign w:val="center"/>
          </w:tcPr>
          <w:p w14:paraId="1B7306D8">
            <w:pPr>
              <w:spacing w:line="440" w:lineRule="exact"/>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标线涂料</w:t>
            </w:r>
          </w:p>
        </w:tc>
        <w:tc>
          <w:tcPr>
            <w:tcW w:w="2050" w:type="dxa"/>
            <w:vAlign w:val="center"/>
          </w:tcPr>
          <w:p w14:paraId="715DDE60">
            <w:pPr>
              <w:spacing w:line="440" w:lineRule="exact"/>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总有机物含量</w:t>
            </w:r>
          </w:p>
        </w:tc>
        <w:tc>
          <w:tcPr>
            <w:tcW w:w="5296" w:type="dxa"/>
            <w:vAlign w:val="center"/>
          </w:tcPr>
          <w:p w14:paraId="288E4511">
            <w:pPr>
              <w:spacing w:line="440" w:lineRule="exact"/>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w:t>
            </w:r>
            <w:r>
              <w:rPr>
                <w:rFonts w:ascii="宋体" w:hAnsi="宋体" w:cs="宋体"/>
                <w:color w:val="000000" w:themeColor="text1"/>
                <w:highlight w:val="none"/>
                <w14:textFill>
                  <w14:solidFill>
                    <w14:schemeClr w14:val="tx1"/>
                  </w14:solidFill>
                </w14:textFill>
              </w:rPr>
              <w:t>19%</w:t>
            </w:r>
          </w:p>
        </w:tc>
      </w:tr>
      <w:tr w14:paraId="7D78F77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778" w:type="dxa"/>
            <w:vMerge w:val="continue"/>
            <w:vAlign w:val="center"/>
          </w:tcPr>
          <w:p w14:paraId="1AE2DACE">
            <w:pPr>
              <w:spacing w:line="440" w:lineRule="exact"/>
              <w:rPr>
                <w:rFonts w:ascii="宋体"/>
                <w:color w:val="000000" w:themeColor="text1"/>
                <w:highlight w:val="none"/>
                <w14:textFill>
                  <w14:solidFill>
                    <w14:schemeClr w14:val="tx1"/>
                  </w14:solidFill>
                </w14:textFill>
              </w:rPr>
            </w:pPr>
          </w:p>
        </w:tc>
        <w:tc>
          <w:tcPr>
            <w:tcW w:w="2050" w:type="dxa"/>
            <w:vAlign w:val="center"/>
          </w:tcPr>
          <w:p w14:paraId="239887CD">
            <w:pPr>
              <w:spacing w:line="440" w:lineRule="exact"/>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钛白粉含量</w:t>
            </w:r>
          </w:p>
        </w:tc>
        <w:tc>
          <w:tcPr>
            <w:tcW w:w="5296" w:type="dxa"/>
            <w:vAlign w:val="center"/>
          </w:tcPr>
          <w:p w14:paraId="14B9EB2B">
            <w:pPr>
              <w:spacing w:line="440" w:lineRule="exact"/>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w:t>
            </w:r>
            <w:r>
              <w:rPr>
                <w:rFonts w:ascii="宋体" w:hAnsi="宋体" w:cs="宋体"/>
                <w:color w:val="000000" w:themeColor="text1"/>
                <w:highlight w:val="none"/>
                <w14:textFill>
                  <w14:solidFill>
                    <w14:schemeClr w14:val="tx1"/>
                  </w14:solidFill>
                </w14:textFill>
              </w:rPr>
              <w:t>7%</w:t>
            </w:r>
            <w:r>
              <w:rPr>
                <w:rFonts w:hint="eastAsia" w:ascii="宋体" w:hAnsi="宋体" w:cs="宋体"/>
                <w:color w:val="000000" w:themeColor="text1"/>
                <w:highlight w:val="none"/>
                <w14:textFill>
                  <w14:solidFill>
                    <w14:schemeClr w14:val="tx1"/>
                  </w14:solidFill>
                </w14:textFill>
              </w:rPr>
              <w:t>（重量比）</w:t>
            </w:r>
          </w:p>
        </w:tc>
      </w:tr>
      <w:tr w14:paraId="288ED80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778" w:type="dxa"/>
            <w:tcBorders>
              <w:bottom w:val="single" w:color="000000" w:sz="12" w:space="0"/>
            </w:tcBorders>
            <w:vAlign w:val="center"/>
          </w:tcPr>
          <w:p w14:paraId="56EB475A">
            <w:pPr>
              <w:spacing w:line="440" w:lineRule="exact"/>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面撒及内混玻璃珠</w:t>
            </w:r>
          </w:p>
        </w:tc>
        <w:tc>
          <w:tcPr>
            <w:tcW w:w="2050" w:type="dxa"/>
            <w:tcBorders>
              <w:bottom w:val="single" w:color="000000" w:sz="12" w:space="0"/>
            </w:tcBorders>
            <w:vAlign w:val="center"/>
          </w:tcPr>
          <w:p w14:paraId="2C68A6D9">
            <w:pPr>
              <w:spacing w:line="440" w:lineRule="exact"/>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成圆率</w:t>
            </w:r>
          </w:p>
        </w:tc>
        <w:tc>
          <w:tcPr>
            <w:tcW w:w="5296" w:type="dxa"/>
            <w:tcBorders>
              <w:bottom w:val="single" w:color="000000" w:sz="12" w:space="0"/>
            </w:tcBorders>
            <w:vAlign w:val="center"/>
          </w:tcPr>
          <w:p w14:paraId="1EB3ED02">
            <w:pPr>
              <w:spacing w:line="440" w:lineRule="exact"/>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w:t>
            </w:r>
            <w:r>
              <w:rPr>
                <w:rFonts w:ascii="宋体" w:hAnsi="宋体" w:cs="宋体"/>
                <w:color w:val="000000" w:themeColor="text1"/>
                <w:highlight w:val="none"/>
                <w14:textFill>
                  <w14:solidFill>
                    <w14:schemeClr w14:val="tx1"/>
                  </w14:solidFill>
                </w14:textFill>
              </w:rPr>
              <w:t>90%</w:t>
            </w:r>
            <w:r>
              <w:rPr>
                <w:rFonts w:hint="eastAsia" w:ascii="宋体" w:hAnsi="宋体" w:cs="宋体"/>
                <w:color w:val="000000" w:themeColor="text1"/>
                <w:highlight w:val="none"/>
                <w14:textFill>
                  <w14:solidFill>
                    <w14:schemeClr w14:val="tx1"/>
                  </w14:solidFill>
                </w14:textFill>
              </w:rPr>
              <w:t>（面撒玻璃珠）、≥</w:t>
            </w:r>
            <w:r>
              <w:rPr>
                <w:rFonts w:ascii="宋体" w:hAnsi="宋体" w:cs="宋体"/>
                <w:color w:val="000000" w:themeColor="text1"/>
                <w:highlight w:val="none"/>
                <w14:textFill>
                  <w14:solidFill>
                    <w14:schemeClr w14:val="tx1"/>
                  </w14:solidFill>
                </w14:textFill>
              </w:rPr>
              <w:t>80%</w:t>
            </w:r>
            <w:r>
              <w:rPr>
                <w:rFonts w:hint="eastAsia" w:ascii="宋体" w:hAnsi="宋体" w:cs="宋体"/>
                <w:color w:val="000000" w:themeColor="text1"/>
                <w:highlight w:val="none"/>
                <w14:textFill>
                  <w14:solidFill>
                    <w14:schemeClr w14:val="tx1"/>
                  </w14:solidFill>
                </w14:textFill>
              </w:rPr>
              <w:t>（内混玻璃珠）</w:t>
            </w:r>
          </w:p>
        </w:tc>
      </w:tr>
    </w:tbl>
    <w:p w14:paraId="3884321A">
      <w:pPr>
        <w:spacing w:line="440" w:lineRule="exact"/>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表</w:t>
      </w:r>
      <w:r>
        <w:rPr>
          <w:rFonts w:ascii="宋体" w:hAnsi="宋体" w:cs="宋体"/>
          <w:color w:val="000000" w:themeColor="text1"/>
          <w:highlight w:val="none"/>
          <w14:textFill>
            <w14:solidFill>
              <w14:schemeClr w14:val="tx1"/>
            </w14:solidFill>
          </w14:textFill>
        </w:rPr>
        <w:t xml:space="preserve">2  </w:t>
      </w:r>
      <w:r>
        <w:rPr>
          <w:rFonts w:hint="eastAsia" w:ascii="宋体" w:hAnsi="宋体" w:cs="宋体"/>
          <w:color w:val="000000" w:themeColor="text1"/>
          <w:highlight w:val="none"/>
          <w14:textFill>
            <w14:solidFill>
              <w14:schemeClr w14:val="tx1"/>
            </w14:solidFill>
          </w14:textFill>
        </w:rPr>
        <w:t>热熔型涂料混合料的性能</w:t>
      </w:r>
    </w:p>
    <w:tbl>
      <w:tblPr>
        <w:tblStyle w:val="59"/>
        <w:tblW w:w="9130" w:type="dxa"/>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
      <w:tblGrid>
        <w:gridCol w:w="1261"/>
        <w:gridCol w:w="1419"/>
        <w:gridCol w:w="3191"/>
        <w:gridCol w:w="3259"/>
      </w:tblGrid>
      <w:tr w14:paraId="0A13028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454" w:hRule="exact"/>
          <w:jc w:val="center"/>
        </w:trPr>
        <w:tc>
          <w:tcPr>
            <w:tcW w:w="2680" w:type="dxa"/>
            <w:gridSpan w:val="2"/>
            <w:vMerge w:val="restart"/>
            <w:tcBorders>
              <w:top w:val="single" w:color="000000" w:sz="12" w:space="0"/>
            </w:tcBorders>
            <w:vAlign w:val="center"/>
          </w:tcPr>
          <w:p w14:paraId="03EA60DB">
            <w:pPr>
              <w:spacing w:line="440" w:lineRule="exact"/>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项目</w:t>
            </w:r>
          </w:p>
        </w:tc>
        <w:tc>
          <w:tcPr>
            <w:tcW w:w="6450" w:type="dxa"/>
            <w:gridSpan w:val="2"/>
            <w:tcBorders>
              <w:top w:val="single" w:color="000000" w:sz="12" w:space="0"/>
            </w:tcBorders>
            <w:vAlign w:val="center"/>
          </w:tcPr>
          <w:p w14:paraId="5E2A982D">
            <w:pPr>
              <w:spacing w:line="440" w:lineRule="exact"/>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热熔型</w:t>
            </w:r>
          </w:p>
        </w:tc>
      </w:tr>
      <w:tr w14:paraId="0B6ABF1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454" w:hRule="exact"/>
          <w:jc w:val="center"/>
        </w:trPr>
        <w:tc>
          <w:tcPr>
            <w:tcW w:w="2680" w:type="dxa"/>
            <w:gridSpan w:val="2"/>
            <w:vMerge w:val="continue"/>
            <w:vAlign w:val="center"/>
          </w:tcPr>
          <w:p w14:paraId="45069822">
            <w:pPr>
              <w:spacing w:line="440" w:lineRule="exact"/>
              <w:rPr>
                <w:rFonts w:ascii="宋体"/>
                <w:color w:val="000000" w:themeColor="text1"/>
                <w:highlight w:val="none"/>
                <w14:textFill>
                  <w14:solidFill>
                    <w14:schemeClr w14:val="tx1"/>
                  </w14:solidFill>
                </w14:textFill>
              </w:rPr>
            </w:pPr>
          </w:p>
        </w:tc>
        <w:tc>
          <w:tcPr>
            <w:tcW w:w="3191" w:type="dxa"/>
            <w:tcBorders>
              <w:right w:val="single" w:color="auto" w:sz="4" w:space="0"/>
            </w:tcBorders>
            <w:vAlign w:val="center"/>
          </w:tcPr>
          <w:p w14:paraId="0AFA7C6A">
            <w:pPr>
              <w:spacing w:line="440" w:lineRule="exact"/>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反光型</w:t>
            </w:r>
          </w:p>
        </w:tc>
        <w:tc>
          <w:tcPr>
            <w:tcW w:w="3259" w:type="dxa"/>
            <w:tcBorders>
              <w:left w:val="single" w:color="auto" w:sz="4" w:space="0"/>
            </w:tcBorders>
            <w:vAlign w:val="center"/>
          </w:tcPr>
          <w:p w14:paraId="3F8290B7">
            <w:pPr>
              <w:spacing w:line="440" w:lineRule="exact"/>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突起型</w:t>
            </w:r>
          </w:p>
        </w:tc>
      </w:tr>
      <w:tr w14:paraId="03EF22E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454" w:hRule="exact"/>
          <w:jc w:val="center"/>
        </w:trPr>
        <w:tc>
          <w:tcPr>
            <w:tcW w:w="2680" w:type="dxa"/>
            <w:gridSpan w:val="2"/>
            <w:vAlign w:val="center"/>
          </w:tcPr>
          <w:p w14:paraId="2235BAAF">
            <w:pPr>
              <w:spacing w:line="440" w:lineRule="exact"/>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软化点</w:t>
            </w:r>
            <w:r>
              <w:rPr>
                <w:rFonts w:ascii="宋体" w:hAnsi="宋体" w:cs="宋体"/>
                <w:color w:val="000000" w:themeColor="text1"/>
                <w:highlight w:val="none"/>
                <w14:textFill>
                  <w14:solidFill>
                    <w14:schemeClr w14:val="tx1"/>
                  </w14:solidFill>
                </w14:textFill>
              </w:rPr>
              <w:t>(</w:t>
            </w:r>
            <w:r>
              <w:rPr>
                <w:rFonts w:hint="eastAsia" w:ascii="宋体" w:hAnsi="宋体" w:cs="宋体"/>
                <w:color w:val="000000" w:themeColor="text1"/>
                <w:highlight w:val="none"/>
                <w14:textFill>
                  <w14:solidFill>
                    <w14:schemeClr w14:val="tx1"/>
                  </w14:solidFill>
                </w14:textFill>
              </w:rPr>
              <w:t>℃</w:t>
            </w:r>
            <w:r>
              <w:rPr>
                <w:rFonts w:ascii="宋体" w:hAnsi="宋体" w:cs="宋体"/>
                <w:color w:val="000000" w:themeColor="text1"/>
                <w:highlight w:val="none"/>
                <w14:textFill>
                  <w14:solidFill>
                    <w14:schemeClr w14:val="tx1"/>
                  </w14:solidFill>
                </w14:textFill>
              </w:rPr>
              <w:t>)</w:t>
            </w:r>
          </w:p>
        </w:tc>
        <w:tc>
          <w:tcPr>
            <w:tcW w:w="6450" w:type="dxa"/>
            <w:gridSpan w:val="2"/>
            <w:vAlign w:val="center"/>
          </w:tcPr>
          <w:p w14:paraId="01373C31">
            <w:pPr>
              <w:spacing w:line="440" w:lineRule="exact"/>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100</w:t>
            </w:r>
            <w:r>
              <w:rPr>
                <w:rFonts w:hint="eastAsia" w:ascii="宋体" w:hAnsi="宋体" w:cs="宋体"/>
                <w:color w:val="000000" w:themeColor="text1"/>
                <w:highlight w:val="none"/>
                <w14:textFill>
                  <w14:solidFill>
                    <w14:schemeClr w14:val="tx1"/>
                  </w14:solidFill>
                </w14:textFill>
              </w:rPr>
              <w:t>～</w:t>
            </w:r>
            <w:r>
              <w:rPr>
                <w:rFonts w:ascii="宋体" w:hAnsi="宋体" w:cs="宋体"/>
                <w:color w:val="000000" w:themeColor="text1"/>
                <w:highlight w:val="none"/>
                <w14:textFill>
                  <w14:solidFill>
                    <w14:schemeClr w14:val="tx1"/>
                  </w14:solidFill>
                </w14:textFill>
              </w:rPr>
              <w:t>125</w:t>
            </w:r>
          </w:p>
          <w:p w14:paraId="18C03576">
            <w:pPr>
              <w:spacing w:line="440" w:lineRule="exact"/>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w:t>
            </w:r>
            <w:r>
              <w:rPr>
                <w:rFonts w:ascii="宋体" w:hAnsi="宋体" w:cs="宋体"/>
                <w:color w:val="000000" w:themeColor="text1"/>
                <w:highlight w:val="none"/>
                <w14:textFill>
                  <w14:solidFill>
                    <w14:schemeClr w14:val="tx1"/>
                  </w14:solidFill>
                </w14:textFill>
              </w:rPr>
              <w:t>100</w:t>
            </w:r>
          </w:p>
        </w:tc>
      </w:tr>
      <w:tr w14:paraId="3DE0C53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454" w:hRule="exact"/>
          <w:jc w:val="center"/>
        </w:trPr>
        <w:tc>
          <w:tcPr>
            <w:tcW w:w="2680" w:type="dxa"/>
            <w:gridSpan w:val="2"/>
            <w:vAlign w:val="center"/>
          </w:tcPr>
          <w:p w14:paraId="3B8F2DAD">
            <w:pPr>
              <w:spacing w:line="440" w:lineRule="exact"/>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内混玻璃珠含量</w:t>
            </w:r>
            <w:r>
              <w:rPr>
                <w:rFonts w:ascii="宋体" w:hAnsi="宋体" w:cs="宋体"/>
                <w:color w:val="000000" w:themeColor="text1"/>
                <w:highlight w:val="none"/>
                <w14:textFill>
                  <w14:solidFill>
                    <w14:schemeClr w14:val="tx1"/>
                  </w14:solidFill>
                </w14:textFill>
              </w:rPr>
              <w:t>(%)</w:t>
            </w:r>
          </w:p>
        </w:tc>
        <w:tc>
          <w:tcPr>
            <w:tcW w:w="6450" w:type="dxa"/>
            <w:gridSpan w:val="2"/>
            <w:vAlign w:val="center"/>
          </w:tcPr>
          <w:p w14:paraId="2BED5453">
            <w:pPr>
              <w:spacing w:line="440" w:lineRule="exact"/>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w:t>
            </w:r>
            <w:r>
              <w:rPr>
                <w:rFonts w:ascii="宋体" w:hAnsi="宋体" w:cs="宋体"/>
                <w:color w:val="000000" w:themeColor="text1"/>
                <w:highlight w:val="none"/>
                <w14:textFill>
                  <w14:solidFill>
                    <w14:schemeClr w14:val="tx1"/>
                  </w14:solidFill>
                </w14:textFill>
              </w:rPr>
              <w:t>18</w:t>
            </w:r>
          </w:p>
        </w:tc>
      </w:tr>
      <w:tr w14:paraId="4C581E6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454" w:hRule="exact"/>
          <w:jc w:val="center"/>
        </w:trPr>
        <w:tc>
          <w:tcPr>
            <w:tcW w:w="1261" w:type="dxa"/>
            <w:vMerge w:val="restart"/>
            <w:vAlign w:val="center"/>
          </w:tcPr>
          <w:p w14:paraId="3CB630CD">
            <w:pPr>
              <w:spacing w:line="440" w:lineRule="exact"/>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亮度因素</w:t>
            </w:r>
          </w:p>
        </w:tc>
        <w:tc>
          <w:tcPr>
            <w:tcW w:w="1419" w:type="dxa"/>
            <w:vAlign w:val="center"/>
          </w:tcPr>
          <w:p w14:paraId="47EFAFEA">
            <w:pPr>
              <w:spacing w:line="440" w:lineRule="exact"/>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白色</w:t>
            </w:r>
          </w:p>
        </w:tc>
        <w:tc>
          <w:tcPr>
            <w:tcW w:w="3191" w:type="dxa"/>
            <w:tcBorders>
              <w:right w:val="single" w:color="auto" w:sz="4" w:space="0"/>
            </w:tcBorders>
            <w:vAlign w:val="center"/>
          </w:tcPr>
          <w:p w14:paraId="77C85446">
            <w:pPr>
              <w:spacing w:line="440" w:lineRule="exact"/>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w:t>
            </w:r>
            <w:r>
              <w:rPr>
                <w:rFonts w:ascii="宋体" w:hAnsi="宋体" w:cs="宋体"/>
                <w:color w:val="000000" w:themeColor="text1"/>
                <w:highlight w:val="none"/>
                <w14:textFill>
                  <w14:solidFill>
                    <w14:schemeClr w14:val="tx1"/>
                  </w14:solidFill>
                </w14:textFill>
              </w:rPr>
              <w:t>0.82</w:t>
            </w:r>
          </w:p>
        </w:tc>
        <w:tc>
          <w:tcPr>
            <w:tcW w:w="3259" w:type="dxa"/>
            <w:tcBorders>
              <w:left w:val="single" w:color="auto" w:sz="4" w:space="0"/>
              <w:bottom w:val="single" w:color="auto" w:sz="4" w:space="0"/>
            </w:tcBorders>
            <w:vAlign w:val="center"/>
          </w:tcPr>
          <w:p w14:paraId="58CEACD5">
            <w:pPr>
              <w:spacing w:line="440" w:lineRule="exact"/>
              <w:rPr>
                <w:rFonts w:asci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w:t>
            </w:r>
            <w:r>
              <w:rPr>
                <w:rFonts w:ascii="宋体" w:hAnsi="宋体" w:cs="宋体"/>
                <w:color w:val="000000" w:themeColor="text1"/>
                <w:highlight w:val="none"/>
                <w14:textFill>
                  <w14:solidFill>
                    <w14:schemeClr w14:val="tx1"/>
                  </w14:solidFill>
                </w14:textFill>
              </w:rPr>
              <w:t>0.8</w:t>
            </w:r>
            <w:r>
              <w:rPr>
                <w:rFonts w:ascii="宋体" w:cs="宋体"/>
                <w:color w:val="000000" w:themeColor="text1"/>
                <w:highlight w:val="none"/>
                <w14:textFill>
                  <w14:solidFill>
                    <w14:schemeClr w14:val="tx1"/>
                  </w14:solidFill>
                </w14:textFill>
              </w:rPr>
              <w:t>0</w:t>
            </w:r>
          </w:p>
        </w:tc>
      </w:tr>
      <w:tr w14:paraId="1086786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454" w:hRule="exact"/>
          <w:jc w:val="center"/>
        </w:trPr>
        <w:tc>
          <w:tcPr>
            <w:tcW w:w="1261" w:type="dxa"/>
            <w:vMerge w:val="continue"/>
            <w:vAlign w:val="center"/>
          </w:tcPr>
          <w:p w14:paraId="3A466546">
            <w:pPr>
              <w:spacing w:line="440" w:lineRule="exact"/>
              <w:rPr>
                <w:rFonts w:ascii="宋体"/>
                <w:color w:val="000000" w:themeColor="text1"/>
                <w:highlight w:val="none"/>
                <w14:textFill>
                  <w14:solidFill>
                    <w14:schemeClr w14:val="tx1"/>
                  </w14:solidFill>
                </w14:textFill>
              </w:rPr>
            </w:pPr>
          </w:p>
        </w:tc>
        <w:tc>
          <w:tcPr>
            <w:tcW w:w="1419" w:type="dxa"/>
            <w:vAlign w:val="center"/>
          </w:tcPr>
          <w:p w14:paraId="3B717C8A">
            <w:pPr>
              <w:spacing w:line="440" w:lineRule="exact"/>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黄色</w:t>
            </w:r>
          </w:p>
        </w:tc>
        <w:tc>
          <w:tcPr>
            <w:tcW w:w="3191" w:type="dxa"/>
            <w:tcBorders>
              <w:right w:val="single" w:color="auto" w:sz="4" w:space="0"/>
            </w:tcBorders>
            <w:vAlign w:val="center"/>
          </w:tcPr>
          <w:p w14:paraId="003A9495">
            <w:pPr>
              <w:spacing w:line="440" w:lineRule="exact"/>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w:t>
            </w:r>
            <w:r>
              <w:rPr>
                <w:rFonts w:ascii="宋体" w:hAnsi="宋体" w:cs="宋体"/>
                <w:color w:val="000000" w:themeColor="text1"/>
                <w:highlight w:val="none"/>
                <w14:textFill>
                  <w14:solidFill>
                    <w14:schemeClr w14:val="tx1"/>
                  </w14:solidFill>
                </w14:textFill>
              </w:rPr>
              <w:t xml:space="preserve">0.45  </w:t>
            </w:r>
          </w:p>
        </w:tc>
        <w:tc>
          <w:tcPr>
            <w:tcW w:w="3259" w:type="dxa"/>
            <w:tcBorders>
              <w:top w:val="single" w:color="auto" w:sz="4" w:space="0"/>
              <w:left w:val="single" w:color="auto" w:sz="4" w:space="0"/>
            </w:tcBorders>
            <w:vAlign w:val="center"/>
          </w:tcPr>
          <w:p w14:paraId="5EC7F611">
            <w:pPr>
              <w:spacing w:line="440" w:lineRule="exact"/>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w:t>
            </w:r>
            <w:r>
              <w:rPr>
                <w:rFonts w:ascii="宋体" w:hAnsi="宋体" w:cs="宋体"/>
                <w:color w:val="000000" w:themeColor="text1"/>
                <w:highlight w:val="none"/>
                <w14:textFill>
                  <w14:solidFill>
                    <w14:schemeClr w14:val="tx1"/>
                  </w14:solidFill>
                </w14:textFill>
              </w:rPr>
              <w:t>0.45</w:t>
            </w:r>
          </w:p>
        </w:tc>
      </w:tr>
      <w:tr w14:paraId="784B0D9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1404" w:hRule="exact"/>
          <w:jc w:val="center"/>
        </w:trPr>
        <w:tc>
          <w:tcPr>
            <w:tcW w:w="2680" w:type="dxa"/>
            <w:gridSpan w:val="2"/>
            <w:vAlign w:val="center"/>
          </w:tcPr>
          <w:p w14:paraId="593F6DDD">
            <w:pPr>
              <w:spacing w:line="440" w:lineRule="exact"/>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抗压强度</w:t>
            </w:r>
            <w:r>
              <w:rPr>
                <w:rFonts w:ascii="宋体" w:hAnsi="宋体" w:cs="宋体"/>
                <w:color w:val="000000" w:themeColor="text1"/>
                <w:highlight w:val="none"/>
                <w14:textFill>
                  <w14:solidFill>
                    <w14:schemeClr w14:val="tx1"/>
                  </w14:solidFill>
                </w14:textFill>
              </w:rPr>
              <w:t>(MPa)</w:t>
            </w:r>
          </w:p>
        </w:tc>
        <w:tc>
          <w:tcPr>
            <w:tcW w:w="3191" w:type="dxa"/>
            <w:vAlign w:val="center"/>
          </w:tcPr>
          <w:p w14:paraId="68E6D76D">
            <w:pPr>
              <w:spacing w:line="440" w:lineRule="exact"/>
              <w:rPr>
                <w:rFonts w:ascii="宋体"/>
                <w:color w:val="000000" w:themeColor="text1"/>
                <w:highlight w:val="none"/>
                <w14:textFill>
                  <w14:solidFill>
                    <w14:schemeClr w14:val="tx1"/>
                  </w14:solidFill>
                </w14:textFill>
              </w:rPr>
            </w:pPr>
            <w:r>
              <w:rPr>
                <w:rFonts w:hint="eastAsia" w:ascii="宋体" w:cs="宋体"/>
                <w:color w:val="000000" w:themeColor="text1"/>
                <w:highlight w:val="none"/>
                <w14:textFill>
                  <w14:solidFill>
                    <w14:schemeClr w14:val="tx1"/>
                  </w14:solidFill>
                </w14:textFill>
              </w:rPr>
              <w:t>≥</w:t>
            </w:r>
            <w:r>
              <w:rPr>
                <w:rFonts w:ascii="宋体" w:hAnsi="宋体" w:cs="宋体"/>
                <w:color w:val="000000" w:themeColor="text1"/>
                <w:highlight w:val="none"/>
                <w14:textFill>
                  <w14:solidFill>
                    <w14:schemeClr w14:val="tx1"/>
                  </w14:solidFill>
                </w14:textFill>
              </w:rPr>
              <w:t>15.0</w:t>
            </w:r>
          </w:p>
        </w:tc>
        <w:tc>
          <w:tcPr>
            <w:tcW w:w="3259" w:type="dxa"/>
            <w:vAlign w:val="center"/>
          </w:tcPr>
          <w:p w14:paraId="5729A022">
            <w:pPr>
              <w:spacing w:line="440" w:lineRule="exact"/>
              <w:rPr>
                <w:rFonts w:ascii="宋体"/>
                <w:color w:val="000000" w:themeColor="text1"/>
                <w:highlight w:val="none"/>
                <w:vertAlign w:val="superscript"/>
                <w14:textFill>
                  <w14:solidFill>
                    <w14:schemeClr w14:val="tx1"/>
                  </w14:solidFill>
                </w14:textFill>
              </w:rPr>
            </w:pPr>
            <w:r>
              <w:rPr>
                <w:rFonts w:ascii="宋体" w:hAnsi="宋体" w:cs="宋体"/>
                <w:color w:val="000000" w:themeColor="text1"/>
                <w:highlight w:val="none"/>
                <w14:textFill>
                  <w14:solidFill>
                    <w14:schemeClr w14:val="tx1"/>
                  </w14:solidFill>
                </w14:textFill>
              </w:rPr>
              <w:t>23</w:t>
            </w:r>
            <w:r>
              <w:rPr>
                <w:rFonts w:hint="eastAsia" w:ascii="宋体" w:hAnsi="宋体" w:cs="宋体"/>
                <w:color w:val="000000" w:themeColor="text1"/>
                <w:highlight w:val="none"/>
                <w14:textFill>
                  <w14:solidFill>
                    <w14:schemeClr w14:val="tx1"/>
                  </w14:solidFill>
                </w14:textFill>
              </w:rPr>
              <w:t>℃±</w:t>
            </w:r>
            <w:r>
              <w:rPr>
                <w:rFonts w:ascii="宋体" w:hAnsi="宋体" w:cs="宋体"/>
                <w:color w:val="000000" w:themeColor="text1"/>
                <w:highlight w:val="none"/>
                <w14:textFill>
                  <w14:solidFill>
                    <w14:schemeClr w14:val="tx1"/>
                  </w14:solidFill>
                </w14:textFill>
              </w:rPr>
              <w:t>1</w:t>
            </w:r>
            <w:r>
              <w:rPr>
                <w:rFonts w:hint="eastAsia" w:ascii="宋体" w:hAnsi="宋体" w:cs="宋体"/>
                <w:color w:val="000000" w:themeColor="text1"/>
                <w:highlight w:val="none"/>
                <w14:textFill>
                  <w14:solidFill>
                    <w14:schemeClr w14:val="tx1"/>
                  </w14:solidFill>
                </w14:textFill>
              </w:rPr>
              <w:t>℃时，</w:t>
            </w:r>
            <w:r>
              <w:rPr>
                <w:rFonts w:hint="eastAsia" w:ascii="宋体" w:cs="宋体"/>
                <w:color w:val="000000" w:themeColor="text1"/>
                <w:highlight w:val="none"/>
                <w14:textFill>
                  <w14:solidFill>
                    <w14:schemeClr w14:val="tx1"/>
                  </w14:solidFill>
                </w14:textFill>
              </w:rPr>
              <w:t>≥</w:t>
            </w:r>
            <w:r>
              <w:rPr>
                <w:rFonts w:ascii="宋体" w:hAnsi="宋体" w:cs="宋体"/>
                <w:color w:val="000000" w:themeColor="text1"/>
                <w:highlight w:val="none"/>
                <w14:textFill>
                  <w14:solidFill>
                    <w14:schemeClr w14:val="tx1"/>
                  </w14:solidFill>
                </w14:textFill>
              </w:rPr>
              <w:t>15.0</w:t>
            </w:r>
          </w:p>
          <w:p w14:paraId="31A0DD7B">
            <w:pPr>
              <w:spacing w:line="440" w:lineRule="exact"/>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50</w:t>
            </w:r>
            <w:r>
              <w:rPr>
                <w:rFonts w:hint="eastAsia" w:ascii="宋体" w:cs="宋体"/>
                <w:color w:val="000000" w:themeColor="text1"/>
                <w:highlight w:val="none"/>
                <w14:textFill>
                  <w14:solidFill>
                    <w14:schemeClr w14:val="tx1"/>
                  </w14:solidFill>
                </w14:textFill>
              </w:rPr>
              <w:t>℃±</w:t>
            </w:r>
            <w:r>
              <w:rPr>
                <w:rFonts w:ascii="宋体" w:hAnsi="宋体" w:cs="宋体"/>
                <w:color w:val="000000" w:themeColor="text1"/>
                <w:highlight w:val="none"/>
                <w14:textFill>
                  <w14:solidFill>
                    <w14:schemeClr w14:val="tx1"/>
                  </w14:solidFill>
                </w14:textFill>
              </w:rPr>
              <w:t>2</w:t>
            </w:r>
            <w:r>
              <w:rPr>
                <w:rFonts w:hint="eastAsia" w:ascii="宋体" w:hAnsi="宋体" w:cs="宋体"/>
                <w:color w:val="000000" w:themeColor="text1"/>
                <w:highlight w:val="none"/>
                <w14:textFill>
                  <w14:solidFill>
                    <w14:schemeClr w14:val="tx1"/>
                  </w14:solidFill>
                </w14:textFill>
              </w:rPr>
              <w:t>℃时，</w:t>
            </w:r>
            <w:r>
              <w:rPr>
                <w:rFonts w:hint="eastAsia" w:ascii="宋体" w:cs="宋体"/>
                <w:color w:val="000000" w:themeColor="text1"/>
                <w:highlight w:val="none"/>
                <w14:textFill>
                  <w14:solidFill>
                    <w14:schemeClr w14:val="tx1"/>
                  </w14:solidFill>
                </w14:textFill>
              </w:rPr>
              <w:t>≥</w:t>
            </w:r>
            <w:r>
              <w:rPr>
                <w:rFonts w:ascii="宋体" w:hAnsi="宋体" w:cs="宋体"/>
                <w:color w:val="000000" w:themeColor="text1"/>
                <w:highlight w:val="none"/>
                <w14:textFill>
                  <w14:solidFill>
                    <w14:schemeClr w14:val="tx1"/>
                  </w14:solidFill>
                </w14:textFill>
              </w:rPr>
              <w:t>2</w:t>
            </w:r>
            <w:r>
              <w:rPr>
                <w:rFonts w:ascii="宋体" w:cs="宋体"/>
                <w:color w:val="000000" w:themeColor="text1"/>
                <w:highlight w:val="none"/>
                <w14:textFill>
                  <w14:solidFill>
                    <w14:schemeClr w14:val="tx1"/>
                  </w14:solidFill>
                </w14:textFill>
              </w:rPr>
              <w:t>.0</w:t>
            </w:r>
            <w:r>
              <w:rPr>
                <w:rFonts w:hint="eastAsia" w:ascii="宋体" w:hAnsi="宋体" w:cs="宋体"/>
                <w:color w:val="000000" w:themeColor="text1"/>
                <w:highlight w:val="none"/>
                <w14:textFill>
                  <w14:solidFill>
                    <w14:schemeClr w14:val="tx1"/>
                  </w14:solidFill>
                </w14:textFill>
              </w:rPr>
              <w:t>（压下试块压下试块高度的</w:t>
            </w:r>
            <w:r>
              <w:rPr>
                <w:rFonts w:ascii="宋体" w:hAnsi="宋体" w:cs="宋体"/>
                <w:color w:val="000000" w:themeColor="text1"/>
                <w:highlight w:val="none"/>
                <w14:textFill>
                  <w14:solidFill>
                    <w14:schemeClr w14:val="tx1"/>
                  </w14:solidFill>
                </w14:textFill>
              </w:rPr>
              <w:t>20%</w:t>
            </w:r>
            <w:r>
              <w:rPr>
                <w:rFonts w:hint="eastAsia" w:ascii="宋体" w:hAnsi="宋体" w:cs="宋体"/>
                <w:color w:val="000000" w:themeColor="text1"/>
                <w:highlight w:val="none"/>
                <w14:textFill>
                  <w14:solidFill>
                    <w14:schemeClr w14:val="tx1"/>
                  </w14:solidFill>
                </w14:textFill>
              </w:rPr>
              <w:t>）</w:t>
            </w:r>
          </w:p>
        </w:tc>
      </w:tr>
      <w:tr w14:paraId="6A43753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1200" w:hRule="exact"/>
          <w:jc w:val="center"/>
        </w:trPr>
        <w:tc>
          <w:tcPr>
            <w:tcW w:w="2680" w:type="dxa"/>
            <w:gridSpan w:val="2"/>
            <w:tcBorders>
              <w:bottom w:val="single" w:color="000000" w:sz="12" w:space="0"/>
            </w:tcBorders>
            <w:vAlign w:val="center"/>
          </w:tcPr>
          <w:p w14:paraId="602F5851">
            <w:pPr>
              <w:spacing w:line="440" w:lineRule="exact"/>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耐磨性（</w:t>
            </w:r>
            <w:r>
              <w:rPr>
                <w:rFonts w:ascii="宋体" w:hAnsi="宋体" w:cs="宋体"/>
                <w:color w:val="000000" w:themeColor="text1"/>
                <w:highlight w:val="none"/>
                <w14:textFill>
                  <w14:solidFill>
                    <w14:schemeClr w14:val="tx1"/>
                  </w14:solidFill>
                </w14:textFill>
              </w:rPr>
              <w:t>mg</w:t>
            </w:r>
            <w:r>
              <w:rPr>
                <w:rFonts w:hint="eastAsia" w:ascii="宋体" w:hAnsi="宋体" w:cs="宋体"/>
                <w:color w:val="000000" w:themeColor="text1"/>
                <w:highlight w:val="none"/>
                <w14:textFill>
                  <w14:solidFill>
                    <w14:schemeClr w14:val="tx1"/>
                  </w14:solidFill>
                </w14:textFill>
              </w:rPr>
              <w:t>）</w:t>
            </w:r>
          </w:p>
          <w:p w14:paraId="1C584E52">
            <w:pPr>
              <w:spacing w:line="440" w:lineRule="exact"/>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(200</w:t>
            </w:r>
            <w:r>
              <w:rPr>
                <w:rFonts w:hint="eastAsia" w:ascii="宋体" w:hAnsi="宋体" w:cs="宋体"/>
                <w:color w:val="000000" w:themeColor="text1"/>
                <w:highlight w:val="none"/>
                <w14:textFill>
                  <w14:solidFill>
                    <w14:schemeClr w14:val="tx1"/>
                  </w14:solidFill>
                </w14:textFill>
              </w:rPr>
              <w:t>转</w:t>
            </w:r>
            <w:r>
              <w:rPr>
                <w:rFonts w:ascii="宋体" w:hAnsi="宋体" w:cs="宋体"/>
                <w:color w:val="000000" w:themeColor="text1"/>
                <w:highlight w:val="none"/>
                <w14:textFill>
                  <w14:solidFill>
                    <w14:schemeClr w14:val="tx1"/>
                  </w14:solidFill>
                </w14:textFill>
              </w:rPr>
              <w:t>/1000g</w:t>
            </w:r>
            <w:r>
              <w:rPr>
                <w:rFonts w:hint="eastAsia" w:ascii="宋体" w:hAnsi="宋体" w:cs="宋体"/>
                <w:color w:val="000000" w:themeColor="text1"/>
                <w:highlight w:val="none"/>
                <w14:textFill>
                  <w14:solidFill>
                    <w14:schemeClr w14:val="tx1"/>
                  </w14:solidFill>
                </w14:textFill>
              </w:rPr>
              <w:t>后减重</w:t>
            </w:r>
            <w:r>
              <w:rPr>
                <w:rFonts w:ascii="宋体" w:hAnsi="宋体" w:cs="宋体"/>
                <w:color w:val="000000" w:themeColor="text1"/>
                <w:highlight w:val="none"/>
                <w14:textFill>
                  <w14:solidFill>
                    <w14:schemeClr w14:val="tx1"/>
                  </w14:solidFill>
                </w14:textFill>
              </w:rPr>
              <w:t>)</w:t>
            </w:r>
          </w:p>
        </w:tc>
        <w:tc>
          <w:tcPr>
            <w:tcW w:w="3191" w:type="dxa"/>
            <w:tcBorders>
              <w:bottom w:val="single" w:color="000000" w:sz="12" w:space="0"/>
            </w:tcBorders>
            <w:vAlign w:val="center"/>
          </w:tcPr>
          <w:p w14:paraId="58652E69">
            <w:pPr>
              <w:spacing w:line="440" w:lineRule="exact"/>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w:t>
            </w:r>
            <w:r>
              <w:rPr>
                <w:rFonts w:ascii="宋体" w:hAnsi="宋体" w:cs="宋体"/>
                <w:color w:val="000000" w:themeColor="text1"/>
                <w:highlight w:val="none"/>
                <w14:textFill>
                  <w14:solidFill>
                    <w14:schemeClr w14:val="tx1"/>
                  </w14:solidFill>
                </w14:textFill>
              </w:rPr>
              <w:t>6</w:t>
            </w:r>
            <w:r>
              <w:rPr>
                <w:rFonts w:ascii="宋体" w:cs="宋体"/>
                <w:color w:val="000000" w:themeColor="text1"/>
                <w:highlight w:val="none"/>
                <w14:textFill>
                  <w14:solidFill>
                    <w14:schemeClr w14:val="tx1"/>
                  </w14:solidFill>
                </w14:textFill>
              </w:rPr>
              <w:t>0</w:t>
            </w:r>
            <w:r>
              <w:rPr>
                <w:rFonts w:hint="eastAsia" w:ascii="宋体" w:hAnsi="宋体" w:cs="宋体"/>
                <w:color w:val="000000" w:themeColor="text1"/>
                <w:highlight w:val="none"/>
                <w14:textFill>
                  <w14:solidFill>
                    <w14:schemeClr w14:val="tx1"/>
                  </w14:solidFill>
                </w14:textFill>
              </w:rPr>
              <w:t>（</w:t>
            </w:r>
            <w:r>
              <w:rPr>
                <w:rFonts w:ascii="宋体" w:hAnsi="宋体" w:cs="宋体"/>
                <w:color w:val="000000" w:themeColor="text1"/>
                <w:highlight w:val="none"/>
                <w14:textFill>
                  <w14:solidFill>
                    <w14:schemeClr w14:val="tx1"/>
                  </w14:solidFill>
                </w14:textFill>
              </w:rPr>
              <w:t>JM-100</w:t>
            </w:r>
            <w:r>
              <w:rPr>
                <w:rFonts w:hint="eastAsia" w:ascii="宋体" w:hAnsi="宋体" w:cs="宋体"/>
                <w:color w:val="000000" w:themeColor="text1"/>
                <w:highlight w:val="none"/>
                <w14:textFill>
                  <w14:solidFill>
                    <w14:schemeClr w14:val="tx1"/>
                  </w14:solidFill>
                </w14:textFill>
              </w:rPr>
              <w:t>橡胶砂轮）</w:t>
            </w:r>
          </w:p>
        </w:tc>
        <w:tc>
          <w:tcPr>
            <w:tcW w:w="3259" w:type="dxa"/>
            <w:tcBorders>
              <w:bottom w:val="single" w:color="000000" w:sz="12" w:space="0"/>
            </w:tcBorders>
            <w:vAlign w:val="center"/>
          </w:tcPr>
          <w:p w14:paraId="133E34F2">
            <w:pPr>
              <w:spacing w:line="440" w:lineRule="exact"/>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w:t>
            </w:r>
          </w:p>
        </w:tc>
      </w:tr>
    </w:tbl>
    <w:p w14:paraId="66B32894">
      <w:pPr>
        <w:spacing w:line="440" w:lineRule="exact"/>
        <w:rPr>
          <w:rFonts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 xml:space="preserve"> 1.5  材料的检验、包装、运输和储存以及涂料的试验应满足《公路工程标准施工招标文件》（2018年版）的有关要求。</w:t>
      </w:r>
    </w:p>
    <w:p w14:paraId="0BD2441D">
      <w:pPr>
        <w:spacing w:line="440" w:lineRule="exact"/>
        <w:ind w:firstLine="240" w:firstLineChars="1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1.6  应对运至工地的涂料和玻璃珠等材料进行抽样检验，不合格产品，严禁使用。</w:t>
      </w:r>
    </w:p>
    <w:p w14:paraId="3B5081ED">
      <w:pPr>
        <w:numPr>
          <w:ilvl w:val="0"/>
          <w:numId w:val="6"/>
        </w:numPr>
        <w:spacing w:before="113" w:line="360" w:lineRule="auto"/>
        <w:ind w:left="10" w:right="2" w:firstLine="482"/>
        <w:rPr>
          <w:rFonts w:ascii="宋体" w:hAnsi="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增设交通安全设施</w:t>
      </w:r>
    </w:p>
    <w:p w14:paraId="01A907C8">
      <w:pPr>
        <w:numPr>
          <w:ilvl w:val="0"/>
          <w:numId w:val="7"/>
        </w:numPr>
        <w:spacing w:line="440" w:lineRule="exact"/>
        <w:ind w:firstLine="48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道路交通标线 </w:t>
      </w:r>
    </w:p>
    <w:p w14:paraId="3BCDA7A8">
      <w:pPr>
        <w:spacing w:line="440" w:lineRule="exact"/>
        <w:ind w:firstLine="240" w:firstLineChars="1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（1）路面标线 （增加）</w:t>
      </w:r>
    </w:p>
    <w:p w14:paraId="0D566602">
      <w:pPr>
        <w:spacing w:line="440" w:lineRule="exac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   </w:t>
      </w:r>
      <w:bookmarkStart w:id="55" w:name="_Toc17671"/>
      <w:bookmarkStart w:id="56" w:name="_Toc26177988"/>
      <w:bookmarkStart w:id="57" w:name="_Toc30984"/>
      <w:bookmarkStart w:id="58" w:name="_Toc34838411"/>
      <w:r>
        <w:rPr>
          <w:rFonts w:hint="eastAsia" w:ascii="宋体" w:hAnsi="宋体" w:cs="宋体"/>
          <w:b/>
          <w:bCs/>
          <w:color w:val="000000" w:themeColor="text1"/>
          <w:sz w:val="24"/>
          <w:szCs w:val="24"/>
          <w:highlight w:val="none"/>
          <w14:textFill>
            <w14:solidFill>
              <w14:schemeClr w14:val="tx1"/>
            </w14:solidFill>
          </w14:textFill>
        </w:rPr>
        <w:t xml:space="preserve"> 施工要求</w:t>
      </w:r>
      <w:bookmarkEnd w:id="55"/>
      <w:bookmarkEnd w:id="56"/>
      <w:bookmarkEnd w:id="57"/>
      <w:bookmarkEnd w:id="58"/>
      <w:bookmarkStart w:id="59" w:name="_Toc2661"/>
      <w:bookmarkStart w:id="60" w:name="_Toc11817"/>
      <w:bookmarkStart w:id="61" w:name="_Toc22743"/>
      <w:bookmarkStart w:id="62" w:name="_Toc26177989"/>
    </w:p>
    <w:p w14:paraId="07F4FB79">
      <w:pPr>
        <w:spacing w:line="440" w:lineRule="exact"/>
        <w:ind w:firstLine="480" w:firstLineChars="200"/>
        <w:rPr>
          <w:rFonts w:ascii="宋体" w:hAnsi="宋体" w:cs="宋体"/>
          <w:color w:val="000000" w:themeColor="text1"/>
          <w:sz w:val="24"/>
          <w:szCs w:val="24"/>
          <w:highlight w:val="none"/>
          <w14:textFill>
            <w14:solidFill>
              <w14:schemeClr w14:val="tx1"/>
            </w14:solidFill>
          </w14:textFill>
        </w:rPr>
      </w:pPr>
      <w:bookmarkStart w:id="63" w:name="_Toc34838412"/>
      <w:r>
        <w:rPr>
          <w:rFonts w:hint="eastAsia" w:ascii="宋体" w:hAnsi="宋体" w:cs="宋体"/>
          <w:color w:val="000000" w:themeColor="text1"/>
          <w:sz w:val="24"/>
          <w:szCs w:val="24"/>
          <w:highlight w:val="none"/>
          <w14:textFill>
            <w14:solidFill>
              <w14:schemeClr w14:val="tx1"/>
            </w14:solidFill>
          </w14:textFill>
        </w:rPr>
        <w:t>1  旧标线清除</w:t>
      </w:r>
      <w:bookmarkEnd w:id="59"/>
      <w:bookmarkEnd w:id="60"/>
      <w:bookmarkEnd w:id="61"/>
      <w:bookmarkEnd w:id="62"/>
      <w:bookmarkEnd w:id="63"/>
      <w:r>
        <w:rPr>
          <w:rFonts w:hint="eastAsia" w:ascii="宋体" w:hAnsi="宋体" w:cs="宋体"/>
          <w:color w:val="000000" w:themeColor="text1"/>
          <w:sz w:val="24"/>
          <w:szCs w:val="24"/>
          <w:highlight w:val="none"/>
          <w14:textFill>
            <w14:solidFill>
              <w14:schemeClr w14:val="tx1"/>
            </w14:solidFill>
          </w14:textFill>
        </w:rPr>
        <w:t>（如有）</w:t>
      </w:r>
    </w:p>
    <w:p w14:paraId="3F0EBE2E">
      <w:pPr>
        <w:spacing w:line="440" w:lineRule="exact"/>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1.1 旧标线应采用除线机清除。除线机应运转正常，磨头损坏后应及时更换，以免在除线过程中损伤路面；</w:t>
      </w:r>
    </w:p>
    <w:p w14:paraId="15ABB964">
      <w:pPr>
        <w:spacing w:line="440" w:lineRule="exact"/>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1.2 清除旧标线时，每处以打磨两遍为宜，清除掉的旧标线废弃物应及时回收不得随意丢弃，避免污染环境；</w:t>
      </w:r>
    </w:p>
    <w:p w14:paraId="23CF5440">
      <w:pPr>
        <w:spacing w:line="440" w:lineRule="exact"/>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1.3 旧标线清除后，应使用带钢丝刷的扫地机清扫已除标线部位，然后采用吹风机将路面上的标线废弃物、沙石、尘埃等清扫干净；</w:t>
      </w:r>
    </w:p>
    <w:p w14:paraId="3EF1E739">
      <w:pPr>
        <w:spacing w:line="440" w:lineRule="exact"/>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1.4 清除旧标线时应以保护原路面不受损坏为前提，清除面应保持与原路面相平，沥青路面清除面积应尽可能达到80%以上，水泥路面清除面积应尽可能达到95%以上，清除的旧标线应清扫干净。</w:t>
      </w:r>
    </w:p>
    <w:p w14:paraId="52954ACA">
      <w:pPr>
        <w:spacing w:line="440" w:lineRule="exac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    </w:t>
      </w:r>
      <w:bookmarkStart w:id="64" w:name="_Toc26177990"/>
      <w:bookmarkStart w:id="65" w:name="_Toc25210"/>
      <w:bookmarkStart w:id="66" w:name="_Toc17275"/>
      <w:bookmarkStart w:id="67" w:name="_Toc34838413"/>
      <w:bookmarkStart w:id="68" w:name="_Toc16836"/>
      <w:r>
        <w:rPr>
          <w:rFonts w:hint="eastAsia" w:ascii="宋体" w:hAnsi="宋体" w:cs="宋体"/>
          <w:color w:val="000000" w:themeColor="text1"/>
          <w:sz w:val="24"/>
          <w:szCs w:val="24"/>
          <w:highlight w:val="none"/>
          <w14:textFill>
            <w14:solidFill>
              <w14:schemeClr w14:val="tx1"/>
            </w14:solidFill>
          </w14:textFill>
        </w:rPr>
        <w:t>2  路面标线施划</w:t>
      </w:r>
      <w:bookmarkEnd w:id="64"/>
      <w:bookmarkEnd w:id="65"/>
      <w:bookmarkEnd w:id="66"/>
      <w:bookmarkEnd w:id="67"/>
      <w:bookmarkEnd w:id="68"/>
    </w:p>
    <w:p w14:paraId="25ADF144">
      <w:pPr>
        <w:spacing w:line="440" w:lineRule="exac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2.1  标线施划前的准备</w:t>
      </w:r>
    </w:p>
    <w:p w14:paraId="1AADFCDF">
      <w:pPr>
        <w:spacing w:line="440" w:lineRule="exac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2.1.1设置标线的路面表面应清洁干燥，无松散颗粒、灰尘、沥青、油污或其他有害物质。</w:t>
      </w:r>
    </w:p>
    <w:p w14:paraId="15A0B995">
      <w:pPr>
        <w:spacing w:line="440" w:lineRule="exac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2.1.2 应根据公路横断面的具体尺寸和设计文件的要求确定标线位置和标线宽度、长度，在路面上划出标线位置，保证线条顺直、流畅 ，线型美观。</w:t>
      </w:r>
    </w:p>
    <w:p w14:paraId="3E4F5B36">
      <w:pPr>
        <w:spacing w:line="440" w:lineRule="exac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2.2  涂刷底油</w:t>
      </w:r>
    </w:p>
    <w:p w14:paraId="32EA081C">
      <w:pPr>
        <w:spacing w:line="440" w:lineRule="exac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2.2.1在水泥路面和旧的沥青路面施加标线需要预涂底油时，应先喷涂热熔底油下涂剂，按试验决定的间隔时间喷涂热熔涂料，以提高其粘结力。</w:t>
      </w:r>
    </w:p>
    <w:p w14:paraId="100494E5">
      <w:pPr>
        <w:spacing w:line="440" w:lineRule="exac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2.2.2为了确保标线涂料和路面材料完全相适应，底油的类型和用量应经监理人批准，原则上，底油用量为0.15kg/㎡～0.20kg/㎡，应使用涂料厂家提供的底油，严禁使用废机油。</w:t>
      </w:r>
    </w:p>
    <w:p w14:paraId="1AD0DE47">
      <w:pPr>
        <w:spacing w:line="440" w:lineRule="exac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2.2.3底油应使用底油喷涂机进行喷涂，喷涂的底油应完全覆盖待划标线部位，且其边缘应较标线宽约1cm。</w:t>
      </w:r>
    </w:p>
    <w:p w14:paraId="6687F352">
      <w:pPr>
        <w:spacing w:line="440" w:lineRule="exac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2.2.4待底油彻底干燥，不粘附灰尘、沙土时，方可进行标线施划，以避免产生气泡甚至脱落等严重质量问题。</w:t>
      </w:r>
    </w:p>
    <w:p w14:paraId="5F454F22">
      <w:pPr>
        <w:spacing w:line="440" w:lineRule="exac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2.3  涂料加热</w:t>
      </w:r>
    </w:p>
    <w:p w14:paraId="06499A0D">
      <w:pPr>
        <w:spacing w:line="440" w:lineRule="exac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2.3.1根据环境气温和涂料特性，涂料熔融温度宜保持在215℃～240℃，涂料应在完全熔化，并搅拌均匀后方可使用，禁止使用烧焦的物料。</w:t>
      </w:r>
    </w:p>
    <w:p w14:paraId="50C14C82">
      <w:pPr>
        <w:spacing w:line="440" w:lineRule="exac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2.3.2涂料在容器内加热时，温度应控制在涂料生产商的使用说明规定值内，不得超过最高限制温度。烃树脂类材料，保持在熔融状态的时间不得大于6h，树胶树脂类材料，保持在熔融状态的时间不得大于4h。</w:t>
      </w:r>
    </w:p>
    <w:p w14:paraId="719FDD23">
      <w:pPr>
        <w:spacing w:line="440" w:lineRule="exac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2.4  标线施划</w:t>
      </w:r>
    </w:p>
    <w:p w14:paraId="36A5F59A">
      <w:pPr>
        <w:spacing w:line="440" w:lineRule="exac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2.4.1标线施工应在白天进行，雨天、风大、灰尘大或气温低于10℃时应暂时停止施工。</w:t>
      </w:r>
    </w:p>
    <w:p w14:paraId="0F90C778">
      <w:pPr>
        <w:spacing w:line="440" w:lineRule="exac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2.4.2正式施划前应进行试划，以检验划线车的行驶速度、线宽、标线厚度、玻璃珠撒布量等能否满足要求。调试合格后才能开始正式施工。</w:t>
      </w:r>
    </w:p>
    <w:p w14:paraId="520B25FE">
      <w:pPr>
        <w:spacing w:line="440" w:lineRule="exac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2.4.3应使用安装有玻璃珠双撒播器的热熔划线车施划热熔标线，撒布在标线涂层上的玻璃珠应分布均匀，其撒布量应大于0.5kg/㎡，玻璃珠的撒布应经试验确认后方可实施。施工时应根据环境气温和路面状况，将涂料粘度调整到适宜的状态，尽量使面撒的玻璃珠颗粒有约2/3的体积沉入到标线涂层中。</w:t>
      </w:r>
    </w:p>
    <w:p w14:paraId="5098514E">
      <w:pPr>
        <w:spacing w:line="440" w:lineRule="exac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2.4.4连续设置的实线类标线，应每隔15m左右设置排水缝，其他标线有可能阻水时，应沿排水方向设置排水缝。排水缝宽度一般为3cm-5cm。</w:t>
      </w:r>
    </w:p>
    <w:p w14:paraId="7D91B1B5">
      <w:pPr>
        <w:spacing w:line="440" w:lineRule="exac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2.4.5有缺陷的、施工不当、尺寸不正确或位置错误的标线均应清除，重新施划。</w:t>
      </w:r>
    </w:p>
    <w:p w14:paraId="31DEB45C">
      <w:pPr>
        <w:spacing w:line="440" w:lineRule="exac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2.4.6道路施工时，应有交通安全措施，设置适当警告标志，阻止车辆及行人在作业区内通行，防止将涂料带出或形成车辙，直至标线充分干燥，方可开放交通。</w:t>
      </w:r>
    </w:p>
    <w:p w14:paraId="265DBA1A">
      <w:pPr>
        <w:spacing w:line="440" w:lineRule="exact"/>
        <w:rPr>
          <w:rFonts w:ascii="宋体" w:hAnsi="宋体" w:cs="宋体"/>
          <w:b/>
          <w:bCs/>
          <w:color w:val="000000" w:themeColor="text1"/>
          <w:sz w:val="24"/>
          <w:szCs w:val="24"/>
          <w:highlight w:val="none"/>
          <w14:textFill>
            <w14:solidFill>
              <w14:schemeClr w14:val="tx1"/>
            </w14:solidFill>
          </w14:textFill>
        </w:rPr>
      </w:pPr>
      <w:bookmarkStart w:id="69" w:name="_Toc26177995"/>
      <w:bookmarkStart w:id="70" w:name="_Toc2130"/>
      <w:bookmarkStart w:id="71" w:name="_Toc28247"/>
      <w:bookmarkStart w:id="72" w:name="_Toc34838414"/>
      <w:r>
        <w:rPr>
          <w:rFonts w:hint="eastAsia" w:ascii="宋体" w:hAnsi="宋体" w:cs="宋体"/>
          <w:b/>
          <w:bCs/>
          <w:color w:val="000000" w:themeColor="text1"/>
          <w:sz w:val="24"/>
          <w:szCs w:val="24"/>
          <w:highlight w:val="none"/>
          <w14:textFill>
            <w14:solidFill>
              <w14:schemeClr w14:val="tx1"/>
            </w14:solidFill>
          </w14:textFill>
        </w:rPr>
        <w:t>603.04  质量检验</w:t>
      </w:r>
      <w:bookmarkEnd w:id="69"/>
      <w:bookmarkEnd w:id="70"/>
      <w:bookmarkEnd w:id="71"/>
      <w:bookmarkEnd w:id="72"/>
    </w:p>
    <w:p w14:paraId="4664B9ED">
      <w:pPr>
        <w:spacing w:line="440" w:lineRule="exact"/>
        <w:rPr>
          <w:rFonts w:ascii="宋体" w:hAnsi="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（增加）路面标线</w:t>
      </w:r>
    </w:p>
    <w:p w14:paraId="15F72B88">
      <w:pPr>
        <w:spacing w:line="440" w:lineRule="exact"/>
        <w:rPr>
          <w:rFonts w:ascii="宋体" w:hAnsi="宋体" w:cs="宋体"/>
          <w:color w:val="000000" w:themeColor="text1"/>
          <w:sz w:val="24"/>
          <w:szCs w:val="24"/>
          <w:highlight w:val="none"/>
          <w14:textFill>
            <w14:solidFill>
              <w14:schemeClr w14:val="tx1"/>
            </w14:solidFill>
          </w14:textFill>
        </w:rPr>
      </w:pPr>
      <w:bookmarkStart w:id="73" w:name="_Toc32535"/>
      <w:bookmarkStart w:id="74" w:name="_Toc26177996"/>
      <w:bookmarkStart w:id="75" w:name="_Toc34838415"/>
      <w:bookmarkStart w:id="76" w:name="_Toc7400"/>
      <w:bookmarkStart w:id="77" w:name="_Toc5572"/>
      <w:r>
        <w:rPr>
          <w:rFonts w:hint="eastAsia" w:ascii="宋体" w:hAnsi="宋体" w:cs="宋体"/>
          <w:color w:val="000000" w:themeColor="text1"/>
          <w:sz w:val="24"/>
          <w:szCs w:val="24"/>
          <w:highlight w:val="none"/>
          <w14:textFill>
            <w14:solidFill>
              <w14:schemeClr w14:val="tx1"/>
            </w14:solidFill>
          </w14:textFill>
        </w:rPr>
        <w:t>1 基本要求</w:t>
      </w:r>
      <w:bookmarkEnd w:id="73"/>
      <w:bookmarkEnd w:id="74"/>
      <w:bookmarkEnd w:id="75"/>
      <w:bookmarkEnd w:id="76"/>
      <w:bookmarkEnd w:id="77"/>
    </w:p>
    <w:p w14:paraId="6F7F2401">
      <w:pPr>
        <w:spacing w:line="440" w:lineRule="exac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 1.1  标线的颜色、形状和位置应符合《道路交通标志和标线》（GB 5768）的规定并满足设计要求。</w:t>
      </w:r>
    </w:p>
    <w:p w14:paraId="1E8A7825">
      <w:pPr>
        <w:spacing w:line="440" w:lineRule="exac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1.2  施划后的标线应具有良好的全天候视认性，颜色均匀、边缘整齐、线型规则、线条流畅。</w:t>
      </w:r>
    </w:p>
    <w:p w14:paraId="4BA73851">
      <w:pPr>
        <w:spacing w:line="440" w:lineRule="exac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1.3  标线面撒玻璃珠应撒布均匀。标线无明显起泡、皱纹、开裂、剥落等缺陷。</w:t>
      </w:r>
    </w:p>
    <w:p w14:paraId="6CE95D9C">
      <w:pPr>
        <w:spacing w:line="440" w:lineRule="exac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1.4  标线施工污染路面应及时清理。</w:t>
      </w:r>
    </w:p>
    <w:p w14:paraId="7A7F37B9">
      <w:pPr>
        <w:spacing w:line="440" w:lineRule="exact"/>
        <w:rPr>
          <w:rFonts w:ascii="宋体" w:hAnsi="宋体" w:cs="宋体"/>
          <w:color w:val="000000" w:themeColor="text1"/>
          <w:sz w:val="24"/>
          <w:szCs w:val="24"/>
          <w:highlight w:val="none"/>
          <w14:textFill>
            <w14:solidFill>
              <w14:schemeClr w14:val="tx1"/>
            </w14:solidFill>
          </w14:textFill>
        </w:rPr>
      </w:pPr>
      <w:bookmarkStart w:id="78" w:name="_Toc31844"/>
      <w:bookmarkStart w:id="79" w:name="_Toc6679"/>
      <w:bookmarkStart w:id="80" w:name="_Toc31345"/>
      <w:r>
        <w:rPr>
          <w:rFonts w:hint="eastAsia" w:ascii="宋体" w:hAnsi="宋体" w:cs="宋体"/>
          <w:color w:val="000000" w:themeColor="text1"/>
          <w:sz w:val="24"/>
          <w:szCs w:val="24"/>
          <w:highlight w:val="none"/>
          <w14:textFill>
            <w14:solidFill>
              <w14:schemeClr w14:val="tx1"/>
            </w14:solidFill>
          </w14:textFill>
        </w:rPr>
        <w:t>2  实测项目</w:t>
      </w:r>
      <w:bookmarkEnd w:id="78"/>
      <w:bookmarkEnd w:id="79"/>
      <w:bookmarkEnd w:id="80"/>
    </w:p>
    <w:p w14:paraId="15F7221B">
      <w:pPr>
        <w:spacing w:line="440" w:lineRule="exac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热熔标线实测项目见表3和表4。</w:t>
      </w:r>
    </w:p>
    <w:p w14:paraId="4A1B48EA">
      <w:pPr>
        <w:spacing w:line="440" w:lineRule="exac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表3 热熔标线实测项目</w:t>
      </w:r>
    </w:p>
    <w:tbl>
      <w:tblPr>
        <w:tblStyle w:val="59"/>
        <w:tblW w:w="0" w:type="auto"/>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
      <w:tblGrid>
        <w:gridCol w:w="829"/>
        <w:gridCol w:w="1580"/>
        <w:gridCol w:w="817"/>
        <w:gridCol w:w="1196"/>
        <w:gridCol w:w="2011"/>
        <w:gridCol w:w="2471"/>
      </w:tblGrid>
      <w:tr w14:paraId="63CA293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419" w:hRule="exact"/>
          <w:jc w:val="center"/>
        </w:trPr>
        <w:tc>
          <w:tcPr>
            <w:tcW w:w="829" w:type="dxa"/>
            <w:tcBorders>
              <w:top w:val="single" w:color="000000" w:sz="12" w:space="0"/>
            </w:tcBorders>
            <w:vAlign w:val="center"/>
          </w:tcPr>
          <w:p w14:paraId="6786BBE2">
            <w:pPr>
              <w:spacing w:line="440" w:lineRule="exact"/>
              <w:jc w:val="center"/>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项次</w:t>
            </w:r>
          </w:p>
        </w:tc>
        <w:tc>
          <w:tcPr>
            <w:tcW w:w="3593" w:type="dxa"/>
            <w:gridSpan w:val="3"/>
            <w:tcBorders>
              <w:top w:val="single" w:color="000000" w:sz="12" w:space="0"/>
            </w:tcBorders>
            <w:vAlign w:val="center"/>
          </w:tcPr>
          <w:p w14:paraId="35F6BC5E">
            <w:pPr>
              <w:spacing w:line="440" w:lineRule="exact"/>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检查项目</w:t>
            </w:r>
          </w:p>
        </w:tc>
        <w:tc>
          <w:tcPr>
            <w:tcW w:w="2011" w:type="dxa"/>
            <w:tcBorders>
              <w:top w:val="single" w:color="000000" w:sz="12" w:space="0"/>
            </w:tcBorders>
            <w:vAlign w:val="center"/>
          </w:tcPr>
          <w:p w14:paraId="3DB96CB2">
            <w:pPr>
              <w:spacing w:line="440" w:lineRule="exact"/>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规定值或允许偏差</w:t>
            </w:r>
          </w:p>
        </w:tc>
        <w:tc>
          <w:tcPr>
            <w:tcW w:w="2471" w:type="dxa"/>
            <w:tcBorders>
              <w:top w:val="single" w:color="000000" w:sz="12" w:space="0"/>
            </w:tcBorders>
            <w:vAlign w:val="center"/>
          </w:tcPr>
          <w:p w14:paraId="0417AB92">
            <w:pPr>
              <w:spacing w:line="440" w:lineRule="exact"/>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检查方法和频率</w:t>
            </w:r>
          </w:p>
        </w:tc>
      </w:tr>
      <w:tr w14:paraId="4F1E4FE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404" w:hRule="exact"/>
          <w:jc w:val="center"/>
        </w:trPr>
        <w:tc>
          <w:tcPr>
            <w:tcW w:w="829" w:type="dxa"/>
            <w:vMerge w:val="restart"/>
            <w:vAlign w:val="center"/>
          </w:tcPr>
          <w:p w14:paraId="2E3144DD">
            <w:pPr>
              <w:spacing w:line="440" w:lineRule="exact"/>
              <w:jc w:val="center"/>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1</w:t>
            </w:r>
          </w:p>
        </w:tc>
        <w:tc>
          <w:tcPr>
            <w:tcW w:w="1580" w:type="dxa"/>
            <w:vMerge w:val="restart"/>
            <w:vAlign w:val="center"/>
          </w:tcPr>
          <w:p w14:paraId="076BE7BB">
            <w:pPr>
              <w:spacing w:line="440" w:lineRule="exact"/>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标线线段长度</w:t>
            </w:r>
          </w:p>
          <w:p w14:paraId="2F885534">
            <w:pPr>
              <w:spacing w:line="440" w:lineRule="exact"/>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w:t>
            </w:r>
            <w:r>
              <w:rPr>
                <w:rFonts w:ascii="宋体" w:hAnsi="宋体" w:cs="宋体"/>
                <w:color w:val="000000" w:themeColor="text1"/>
                <w:highlight w:val="none"/>
                <w14:textFill>
                  <w14:solidFill>
                    <w14:schemeClr w14:val="tx1"/>
                  </w14:solidFill>
                </w14:textFill>
              </w:rPr>
              <w:t>mm</w:t>
            </w:r>
            <w:r>
              <w:rPr>
                <w:rFonts w:hint="eastAsia" w:ascii="宋体" w:hAnsi="宋体" w:cs="宋体"/>
                <w:color w:val="000000" w:themeColor="text1"/>
                <w:highlight w:val="none"/>
                <w14:textFill>
                  <w14:solidFill>
                    <w14:schemeClr w14:val="tx1"/>
                  </w14:solidFill>
                </w14:textFill>
              </w:rPr>
              <w:t>）</w:t>
            </w:r>
          </w:p>
        </w:tc>
        <w:tc>
          <w:tcPr>
            <w:tcW w:w="2012" w:type="dxa"/>
            <w:gridSpan w:val="2"/>
            <w:vAlign w:val="center"/>
          </w:tcPr>
          <w:p w14:paraId="477DEFC2">
            <w:pPr>
              <w:spacing w:line="440" w:lineRule="exact"/>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6000</w:t>
            </w:r>
          </w:p>
        </w:tc>
        <w:tc>
          <w:tcPr>
            <w:tcW w:w="2011" w:type="dxa"/>
            <w:vAlign w:val="center"/>
          </w:tcPr>
          <w:p w14:paraId="6832D9A4">
            <w:pPr>
              <w:spacing w:line="440" w:lineRule="exact"/>
              <w:rPr>
                <w:rFonts w:ascii="宋体"/>
                <w:color w:val="000000" w:themeColor="text1"/>
                <w:highlight w:val="none"/>
                <w14:textFill>
                  <w14:solidFill>
                    <w14:schemeClr w14:val="tx1"/>
                  </w14:solidFill>
                </w14:textFill>
              </w:rPr>
            </w:pPr>
            <w:r>
              <w:rPr>
                <w:rFonts w:hint="eastAsia" w:ascii="宋体" w:cs="宋体"/>
                <w:color w:val="000000" w:themeColor="text1"/>
                <w:highlight w:val="none"/>
                <w14:textFill>
                  <w14:solidFill>
                    <w14:schemeClr w14:val="tx1"/>
                  </w14:solidFill>
                </w14:textFill>
              </w:rPr>
              <w:t>±</w:t>
            </w:r>
            <w:r>
              <w:rPr>
                <w:rFonts w:ascii="宋体" w:hAnsi="宋体" w:cs="宋体"/>
                <w:color w:val="000000" w:themeColor="text1"/>
                <w:highlight w:val="none"/>
                <w14:textFill>
                  <w14:solidFill>
                    <w14:schemeClr w14:val="tx1"/>
                  </w14:solidFill>
                </w14:textFill>
              </w:rPr>
              <w:t>30</w:t>
            </w:r>
          </w:p>
        </w:tc>
        <w:tc>
          <w:tcPr>
            <w:tcW w:w="2471" w:type="dxa"/>
            <w:vMerge w:val="restart"/>
            <w:vAlign w:val="center"/>
          </w:tcPr>
          <w:p w14:paraId="289BD5EB">
            <w:pPr>
              <w:spacing w:line="440" w:lineRule="exact"/>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尺量：每</w:t>
            </w:r>
            <w:r>
              <w:rPr>
                <w:rFonts w:ascii="宋体" w:hAnsi="宋体" w:cs="宋体"/>
                <w:color w:val="000000" w:themeColor="text1"/>
                <w:highlight w:val="none"/>
                <w14:textFill>
                  <w14:solidFill>
                    <w14:schemeClr w14:val="tx1"/>
                  </w14:solidFill>
                </w14:textFill>
              </w:rPr>
              <w:t>1km</w:t>
            </w:r>
            <w:r>
              <w:rPr>
                <w:rFonts w:hint="eastAsia" w:ascii="宋体" w:hAnsi="宋体" w:cs="宋体"/>
                <w:color w:val="000000" w:themeColor="text1"/>
                <w:highlight w:val="none"/>
                <w14:textFill>
                  <w14:solidFill>
                    <w14:schemeClr w14:val="tx1"/>
                  </w14:solidFill>
                </w14:textFill>
              </w:rPr>
              <w:t>测</w:t>
            </w:r>
            <w:r>
              <w:rPr>
                <w:rFonts w:ascii="宋体" w:hAnsi="宋体" w:cs="宋体"/>
                <w:color w:val="000000" w:themeColor="text1"/>
                <w:highlight w:val="none"/>
                <w14:textFill>
                  <w14:solidFill>
                    <w14:schemeClr w14:val="tx1"/>
                  </w14:solidFill>
                </w14:textFill>
              </w:rPr>
              <w:t>3</w:t>
            </w:r>
            <w:r>
              <w:rPr>
                <w:rFonts w:hint="eastAsia" w:ascii="宋体" w:hAnsi="宋体" w:cs="宋体"/>
                <w:color w:val="000000" w:themeColor="text1"/>
                <w:highlight w:val="none"/>
                <w14:textFill>
                  <w14:solidFill>
                    <w14:schemeClr w14:val="tx1"/>
                  </w14:solidFill>
                </w14:textFill>
              </w:rPr>
              <w:t>处，每处测</w:t>
            </w:r>
            <w:r>
              <w:rPr>
                <w:rFonts w:ascii="宋体" w:hAnsi="宋体" w:cs="宋体"/>
                <w:color w:val="000000" w:themeColor="text1"/>
                <w:highlight w:val="none"/>
                <w14:textFill>
                  <w14:solidFill>
                    <w14:schemeClr w14:val="tx1"/>
                  </w14:solidFill>
                </w14:textFill>
              </w:rPr>
              <w:t>3</w:t>
            </w:r>
            <w:r>
              <w:rPr>
                <w:rFonts w:hint="eastAsia" w:ascii="宋体" w:hAnsi="宋体" w:cs="宋体"/>
                <w:color w:val="000000" w:themeColor="text1"/>
                <w:highlight w:val="none"/>
                <w14:textFill>
                  <w14:solidFill>
                    <w14:schemeClr w14:val="tx1"/>
                  </w14:solidFill>
                </w14:textFill>
              </w:rPr>
              <w:t>个线段</w:t>
            </w:r>
          </w:p>
        </w:tc>
      </w:tr>
      <w:tr w14:paraId="5F55CCB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418" w:hRule="exact"/>
          <w:jc w:val="center"/>
        </w:trPr>
        <w:tc>
          <w:tcPr>
            <w:tcW w:w="829" w:type="dxa"/>
            <w:vMerge w:val="continue"/>
            <w:vAlign w:val="center"/>
          </w:tcPr>
          <w:p w14:paraId="49B4279B">
            <w:pPr>
              <w:spacing w:line="440" w:lineRule="exact"/>
              <w:jc w:val="center"/>
              <w:rPr>
                <w:rFonts w:ascii="宋体"/>
                <w:color w:val="000000" w:themeColor="text1"/>
                <w:highlight w:val="none"/>
                <w14:textFill>
                  <w14:solidFill>
                    <w14:schemeClr w14:val="tx1"/>
                  </w14:solidFill>
                </w14:textFill>
              </w:rPr>
            </w:pPr>
          </w:p>
        </w:tc>
        <w:tc>
          <w:tcPr>
            <w:tcW w:w="1580" w:type="dxa"/>
            <w:vMerge w:val="continue"/>
            <w:vAlign w:val="center"/>
          </w:tcPr>
          <w:p w14:paraId="5902FE29">
            <w:pPr>
              <w:spacing w:line="440" w:lineRule="exact"/>
              <w:rPr>
                <w:rFonts w:ascii="宋体"/>
                <w:color w:val="000000" w:themeColor="text1"/>
                <w:highlight w:val="none"/>
                <w14:textFill>
                  <w14:solidFill>
                    <w14:schemeClr w14:val="tx1"/>
                  </w14:solidFill>
                </w14:textFill>
              </w:rPr>
            </w:pPr>
          </w:p>
        </w:tc>
        <w:tc>
          <w:tcPr>
            <w:tcW w:w="2012" w:type="dxa"/>
            <w:gridSpan w:val="2"/>
            <w:vAlign w:val="center"/>
          </w:tcPr>
          <w:p w14:paraId="5C0CDD99">
            <w:pPr>
              <w:spacing w:line="440" w:lineRule="exact"/>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4000</w:t>
            </w:r>
          </w:p>
        </w:tc>
        <w:tc>
          <w:tcPr>
            <w:tcW w:w="2011" w:type="dxa"/>
            <w:vAlign w:val="center"/>
          </w:tcPr>
          <w:p w14:paraId="6E5F404B">
            <w:pPr>
              <w:spacing w:line="440" w:lineRule="exact"/>
              <w:rPr>
                <w:rFonts w:ascii="宋体"/>
                <w:color w:val="000000" w:themeColor="text1"/>
                <w:highlight w:val="none"/>
                <w14:textFill>
                  <w14:solidFill>
                    <w14:schemeClr w14:val="tx1"/>
                  </w14:solidFill>
                </w14:textFill>
              </w:rPr>
            </w:pPr>
            <w:r>
              <w:rPr>
                <w:rFonts w:hint="eastAsia" w:ascii="宋体" w:cs="宋体"/>
                <w:color w:val="000000" w:themeColor="text1"/>
                <w:highlight w:val="none"/>
                <w14:textFill>
                  <w14:solidFill>
                    <w14:schemeClr w14:val="tx1"/>
                  </w14:solidFill>
                </w14:textFill>
              </w:rPr>
              <w:t>±</w:t>
            </w:r>
            <w:r>
              <w:rPr>
                <w:rFonts w:ascii="宋体" w:hAnsi="宋体" w:cs="宋体"/>
                <w:color w:val="000000" w:themeColor="text1"/>
                <w:highlight w:val="none"/>
                <w14:textFill>
                  <w14:solidFill>
                    <w14:schemeClr w14:val="tx1"/>
                  </w14:solidFill>
                </w14:textFill>
              </w:rPr>
              <w:t>20</w:t>
            </w:r>
          </w:p>
        </w:tc>
        <w:tc>
          <w:tcPr>
            <w:tcW w:w="2471" w:type="dxa"/>
            <w:vMerge w:val="continue"/>
            <w:vAlign w:val="center"/>
          </w:tcPr>
          <w:p w14:paraId="03A7F1EF">
            <w:pPr>
              <w:spacing w:line="440" w:lineRule="exact"/>
              <w:rPr>
                <w:rFonts w:ascii="宋体"/>
                <w:color w:val="000000" w:themeColor="text1"/>
                <w:highlight w:val="none"/>
                <w14:textFill>
                  <w14:solidFill>
                    <w14:schemeClr w14:val="tx1"/>
                  </w14:solidFill>
                </w14:textFill>
              </w:rPr>
            </w:pPr>
          </w:p>
        </w:tc>
      </w:tr>
      <w:tr w14:paraId="1BE2208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430" w:hRule="exact"/>
          <w:jc w:val="center"/>
        </w:trPr>
        <w:tc>
          <w:tcPr>
            <w:tcW w:w="829" w:type="dxa"/>
            <w:vMerge w:val="continue"/>
            <w:vAlign w:val="center"/>
          </w:tcPr>
          <w:p w14:paraId="715ADE97">
            <w:pPr>
              <w:spacing w:line="440" w:lineRule="exact"/>
              <w:jc w:val="center"/>
              <w:rPr>
                <w:rFonts w:ascii="宋体"/>
                <w:color w:val="000000" w:themeColor="text1"/>
                <w:highlight w:val="none"/>
                <w14:textFill>
                  <w14:solidFill>
                    <w14:schemeClr w14:val="tx1"/>
                  </w14:solidFill>
                </w14:textFill>
              </w:rPr>
            </w:pPr>
          </w:p>
        </w:tc>
        <w:tc>
          <w:tcPr>
            <w:tcW w:w="1580" w:type="dxa"/>
            <w:vMerge w:val="continue"/>
            <w:vAlign w:val="center"/>
          </w:tcPr>
          <w:p w14:paraId="6A2D453D">
            <w:pPr>
              <w:spacing w:line="440" w:lineRule="exact"/>
              <w:rPr>
                <w:rFonts w:ascii="宋体"/>
                <w:color w:val="000000" w:themeColor="text1"/>
                <w:highlight w:val="none"/>
                <w14:textFill>
                  <w14:solidFill>
                    <w14:schemeClr w14:val="tx1"/>
                  </w14:solidFill>
                </w14:textFill>
              </w:rPr>
            </w:pPr>
          </w:p>
        </w:tc>
        <w:tc>
          <w:tcPr>
            <w:tcW w:w="2012" w:type="dxa"/>
            <w:gridSpan w:val="2"/>
            <w:vAlign w:val="center"/>
          </w:tcPr>
          <w:p w14:paraId="0EBB82F3">
            <w:pPr>
              <w:spacing w:line="440" w:lineRule="exact"/>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3000</w:t>
            </w:r>
          </w:p>
        </w:tc>
        <w:tc>
          <w:tcPr>
            <w:tcW w:w="2011" w:type="dxa"/>
            <w:vAlign w:val="center"/>
          </w:tcPr>
          <w:p w14:paraId="3859B937">
            <w:pPr>
              <w:spacing w:line="440" w:lineRule="exact"/>
              <w:rPr>
                <w:rFonts w:ascii="宋体"/>
                <w:color w:val="000000" w:themeColor="text1"/>
                <w:highlight w:val="none"/>
                <w14:textFill>
                  <w14:solidFill>
                    <w14:schemeClr w14:val="tx1"/>
                  </w14:solidFill>
                </w14:textFill>
              </w:rPr>
            </w:pPr>
            <w:r>
              <w:rPr>
                <w:rFonts w:hint="eastAsia" w:ascii="宋体" w:cs="宋体"/>
                <w:color w:val="000000" w:themeColor="text1"/>
                <w:highlight w:val="none"/>
                <w14:textFill>
                  <w14:solidFill>
                    <w14:schemeClr w14:val="tx1"/>
                  </w14:solidFill>
                </w14:textFill>
              </w:rPr>
              <w:t>±</w:t>
            </w:r>
            <w:r>
              <w:rPr>
                <w:rFonts w:ascii="宋体" w:hAnsi="宋体" w:cs="宋体"/>
                <w:color w:val="000000" w:themeColor="text1"/>
                <w:highlight w:val="none"/>
                <w14:textFill>
                  <w14:solidFill>
                    <w14:schemeClr w14:val="tx1"/>
                  </w14:solidFill>
                </w14:textFill>
              </w:rPr>
              <w:t>15</w:t>
            </w:r>
          </w:p>
        </w:tc>
        <w:tc>
          <w:tcPr>
            <w:tcW w:w="2471" w:type="dxa"/>
            <w:vMerge w:val="continue"/>
            <w:vAlign w:val="center"/>
          </w:tcPr>
          <w:p w14:paraId="0C3FB2A2">
            <w:pPr>
              <w:spacing w:line="440" w:lineRule="exact"/>
              <w:rPr>
                <w:rFonts w:ascii="宋体"/>
                <w:color w:val="000000" w:themeColor="text1"/>
                <w:highlight w:val="none"/>
                <w14:textFill>
                  <w14:solidFill>
                    <w14:schemeClr w14:val="tx1"/>
                  </w14:solidFill>
                </w14:textFill>
              </w:rPr>
            </w:pPr>
          </w:p>
        </w:tc>
      </w:tr>
      <w:tr w14:paraId="6ED9192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417" w:hRule="exact"/>
          <w:jc w:val="center"/>
        </w:trPr>
        <w:tc>
          <w:tcPr>
            <w:tcW w:w="829" w:type="dxa"/>
            <w:vMerge w:val="continue"/>
            <w:vAlign w:val="center"/>
          </w:tcPr>
          <w:p w14:paraId="32C5CBD8">
            <w:pPr>
              <w:spacing w:line="440" w:lineRule="exact"/>
              <w:jc w:val="center"/>
              <w:rPr>
                <w:rFonts w:ascii="宋体"/>
                <w:color w:val="000000" w:themeColor="text1"/>
                <w:highlight w:val="none"/>
                <w14:textFill>
                  <w14:solidFill>
                    <w14:schemeClr w14:val="tx1"/>
                  </w14:solidFill>
                </w14:textFill>
              </w:rPr>
            </w:pPr>
          </w:p>
        </w:tc>
        <w:tc>
          <w:tcPr>
            <w:tcW w:w="1580" w:type="dxa"/>
            <w:vMerge w:val="continue"/>
            <w:vAlign w:val="center"/>
          </w:tcPr>
          <w:p w14:paraId="0C45FC5D">
            <w:pPr>
              <w:spacing w:line="440" w:lineRule="exact"/>
              <w:rPr>
                <w:rFonts w:ascii="宋体"/>
                <w:color w:val="000000" w:themeColor="text1"/>
                <w:highlight w:val="none"/>
                <w14:textFill>
                  <w14:solidFill>
                    <w14:schemeClr w14:val="tx1"/>
                  </w14:solidFill>
                </w14:textFill>
              </w:rPr>
            </w:pPr>
          </w:p>
        </w:tc>
        <w:tc>
          <w:tcPr>
            <w:tcW w:w="2012" w:type="dxa"/>
            <w:gridSpan w:val="2"/>
            <w:vAlign w:val="center"/>
          </w:tcPr>
          <w:p w14:paraId="10AADD3C">
            <w:pPr>
              <w:spacing w:line="440" w:lineRule="exact"/>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2000</w:t>
            </w:r>
          </w:p>
        </w:tc>
        <w:tc>
          <w:tcPr>
            <w:tcW w:w="2011" w:type="dxa"/>
            <w:vAlign w:val="center"/>
          </w:tcPr>
          <w:p w14:paraId="7FEEADA4">
            <w:pPr>
              <w:spacing w:line="440" w:lineRule="exact"/>
              <w:rPr>
                <w:rFonts w:ascii="宋体"/>
                <w:color w:val="000000" w:themeColor="text1"/>
                <w:highlight w:val="none"/>
                <w14:textFill>
                  <w14:solidFill>
                    <w14:schemeClr w14:val="tx1"/>
                  </w14:solidFill>
                </w14:textFill>
              </w:rPr>
            </w:pPr>
            <w:r>
              <w:rPr>
                <w:rFonts w:hint="eastAsia" w:ascii="宋体" w:cs="宋体"/>
                <w:color w:val="000000" w:themeColor="text1"/>
                <w:highlight w:val="none"/>
                <w14:textFill>
                  <w14:solidFill>
                    <w14:schemeClr w14:val="tx1"/>
                  </w14:solidFill>
                </w14:textFill>
              </w:rPr>
              <w:t>±</w:t>
            </w:r>
            <w:r>
              <w:rPr>
                <w:rFonts w:ascii="宋体" w:hAnsi="宋体" w:cs="宋体"/>
                <w:color w:val="000000" w:themeColor="text1"/>
                <w:highlight w:val="none"/>
                <w14:textFill>
                  <w14:solidFill>
                    <w14:schemeClr w14:val="tx1"/>
                  </w14:solidFill>
                </w14:textFill>
              </w:rPr>
              <w:t>10</w:t>
            </w:r>
          </w:p>
        </w:tc>
        <w:tc>
          <w:tcPr>
            <w:tcW w:w="2471" w:type="dxa"/>
            <w:vMerge w:val="continue"/>
            <w:vAlign w:val="center"/>
          </w:tcPr>
          <w:p w14:paraId="2BAAE1B9">
            <w:pPr>
              <w:spacing w:line="440" w:lineRule="exact"/>
              <w:rPr>
                <w:rFonts w:ascii="宋体"/>
                <w:color w:val="000000" w:themeColor="text1"/>
                <w:highlight w:val="none"/>
                <w14:textFill>
                  <w14:solidFill>
                    <w14:schemeClr w14:val="tx1"/>
                  </w14:solidFill>
                </w14:textFill>
              </w:rPr>
            </w:pPr>
          </w:p>
        </w:tc>
      </w:tr>
      <w:tr w14:paraId="2DB1D79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482" w:hRule="exact"/>
          <w:jc w:val="center"/>
        </w:trPr>
        <w:tc>
          <w:tcPr>
            <w:tcW w:w="829" w:type="dxa"/>
            <w:vMerge w:val="continue"/>
            <w:vAlign w:val="center"/>
          </w:tcPr>
          <w:p w14:paraId="4BBD7331">
            <w:pPr>
              <w:spacing w:line="440" w:lineRule="exact"/>
              <w:jc w:val="center"/>
              <w:rPr>
                <w:rFonts w:ascii="宋体"/>
                <w:color w:val="000000" w:themeColor="text1"/>
                <w:highlight w:val="none"/>
                <w14:textFill>
                  <w14:solidFill>
                    <w14:schemeClr w14:val="tx1"/>
                  </w14:solidFill>
                </w14:textFill>
              </w:rPr>
            </w:pPr>
          </w:p>
        </w:tc>
        <w:tc>
          <w:tcPr>
            <w:tcW w:w="1580" w:type="dxa"/>
            <w:vMerge w:val="continue"/>
            <w:vAlign w:val="center"/>
          </w:tcPr>
          <w:p w14:paraId="05E8644D">
            <w:pPr>
              <w:spacing w:line="440" w:lineRule="exact"/>
              <w:rPr>
                <w:rFonts w:ascii="宋体"/>
                <w:color w:val="000000" w:themeColor="text1"/>
                <w:highlight w:val="none"/>
                <w14:textFill>
                  <w14:solidFill>
                    <w14:schemeClr w14:val="tx1"/>
                  </w14:solidFill>
                </w14:textFill>
              </w:rPr>
            </w:pPr>
          </w:p>
        </w:tc>
        <w:tc>
          <w:tcPr>
            <w:tcW w:w="2012" w:type="dxa"/>
            <w:gridSpan w:val="2"/>
            <w:vAlign w:val="center"/>
          </w:tcPr>
          <w:p w14:paraId="1365CCA4">
            <w:pPr>
              <w:spacing w:line="440" w:lineRule="exact"/>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1000</w:t>
            </w:r>
          </w:p>
        </w:tc>
        <w:tc>
          <w:tcPr>
            <w:tcW w:w="2011" w:type="dxa"/>
            <w:vAlign w:val="center"/>
          </w:tcPr>
          <w:p w14:paraId="53DF71D5">
            <w:pPr>
              <w:spacing w:line="440" w:lineRule="exact"/>
              <w:rPr>
                <w:rFonts w:ascii="宋体"/>
                <w:color w:val="000000" w:themeColor="text1"/>
                <w:highlight w:val="none"/>
                <w14:textFill>
                  <w14:solidFill>
                    <w14:schemeClr w14:val="tx1"/>
                  </w14:solidFill>
                </w14:textFill>
              </w:rPr>
            </w:pPr>
            <w:r>
              <w:rPr>
                <w:rFonts w:hint="eastAsia" w:ascii="宋体" w:cs="宋体"/>
                <w:color w:val="000000" w:themeColor="text1"/>
                <w:highlight w:val="none"/>
                <w14:textFill>
                  <w14:solidFill>
                    <w14:schemeClr w14:val="tx1"/>
                  </w14:solidFill>
                </w14:textFill>
              </w:rPr>
              <w:t>±</w:t>
            </w:r>
            <w:r>
              <w:rPr>
                <w:rFonts w:ascii="宋体" w:hAnsi="宋体" w:cs="宋体"/>
                <w:color w:val="000000" w:themeColor="text1"/>
                <w:highlight w:val="none"/>
                <w14:textFill>
                  <w14:solidFill>
                    <w14:schemeClr w14:val="tx1"/>
                  </w14:solidFill>
                </w14:textFill>
              </w:rPr>
              <w:t>10</w:t>
            </w:r>
          </w:p>
        </w:tc>
        <w:tc>
          <w:tcPr>
            <w:tcW w:w="2471" w:type="dxa"/>
            <w:vMerge w:val="continue"/>
            <w:vAlign w:val="center"/>
          </w:tcPr>
          <w:p w14:paraId="61EE6D42">
            <w:pPr>
              <w:spacing w:line="440" w:lineRule="exact"/>
              <w:rPr>
                <w:rFonts w:ascii="宋体"/>
                <w:color w:val="000000" w:themeColor="text1"/>
                <w:highlight w:val="none"/>
                <w14:textFill>
                  <w14:solidFill>
                    <w14:schemeClr w14:val="tx1"/>
                  </w14:solidFill>
                </w14:textFill>
              </w:rPr>
            </w:pPr>
          </w:p>
        </w:tc>
      </w:tr>
      <w:tr w14:paraId="57F0151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1019" w:hRule="exact"/>
          <w:jc w:val="center"/>
        </w:trPr>
        <w:tc>
          <w:tcPr>
            <w:tcW w:w="829" w:type="dxa"/>
            <w:vAlign w:val="center"/>
          </w:tcPr>
          <w:p w14:paraId="2A7707E4">
            <w:pPr>
              <w:spacing w:line="440" w:lineRule="exact"/>
              <w:jc w:val="center"/>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2</w:t>
            </w:r>
          </w:p>
        </w:tc>
        <w:tc>
          <w:tcPr>
            <w:tcW w:w="3593" w:type="dxa"/>
            <w:gridSpan w:val="3"/>
            <w:vAlign w:val="center"/>
          </w:tcPr>
          <w:p w14:paraId="51DC01D3">
            <w:pPr>
              <w:spacing w:line="440" w:lineRule="exact"/>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标线宽度（</w:t>
            </w:r>
            <w:r>
              <w:rPr>
                <w:rFonts w:ascii="宋体" w:hAnsi="宋体" w:cs="宋体"/>
                <w:color w:val="000000" w:themeColor="text1"/>
                <w:highlight w:val="none"/>
                <w14:textFill>
                  <w14:solidFill>
                    <w14:schemeClr w14:val="tx1"/>
                  </w14:solidFill>
                </w14:textFill>
              </w:rPr>
              <w:t>mm</w:t>
            </w:r>
            <w:r>
              <w:rPr>
                <w:rFonts w:hint="eastAsia" w:ascii="宋体" w:hAnsi="宋体" w:cs="宋体"/>
                <w:color w:val="000000" w:themeColor="text1"/>
                <w:highlight w:val="none"/>
                <w14:textFill>
                  <w14:solidFill>
                    <w14:schemeClr w14:val="tx1"/>
                  </w14:solidFill>
                </w14:textFill>
              </w:rPr>
              <w:t>）</w:t>
            </w:r>
          </w:p>
        </w:tc>
        <w:tc>
          <w:tcPr>
            <w:tcW w:w="2011" w:type="dxa"/>
            <w:vAlign w:val="center"/>
          </w:tcPr>
          <w:p w14:paraId="4A04A6CA">
            <w:pPr>
              <w:spacing w:line="440" w:lineRule="exact"/>
              <w:rPr>
                <w:rFonts w:ascii="宋体" w:cs="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+5</w:t>
            </w:r>
            <w:r>
              <w:rPr>
                <w:rFonts w:hint="eastAsia" w:ascii="宋体" w:hAnsi="宋体" w:cs="宋体"/>
                <w:color w:val="000000" w:themeColor="text1"/>
                <w:highlight w:val="none"/>
                <w14:textFill>
                  <w14:solidFill>
                    <w14:schemeClr w14:val="tx1"/>
                  </w14:solidFill>
                </w14:textFill>
              </w:rPr>
              <w:t>，</w:t>
            </w:r>
            <w:r>
              <w:rPr>
                <w:rFonts w:ascii="宋体" w:cs="宋体"/>
                <w:color w:val="000000" w:themeColor="text1"/>
                <w:highlight w:val="none"/>
                <w14:textFill>
                  <w14:solidFill>
                    <w14:schemeClr w14:val="tx1"/>
                  </w14:solidFill>
                </w14:textFill>
              </w:rPr>
              <w:t>0</w:t>
            </w:r>
          </w:p>
        </w:tc>
        <w:tc>
          <w:tcPr>
            <w:tcW w:w="2471" w:type="dxa"/>
            <w:vAlign w:val="center"/>
          </w:tcPr>
          <w:p w14:paraId="7E73334D">
            <w:pPr>
              <w:spacing w:line="440" w:lineRule="exact"/>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尺量：每</w:t>
            </w:r>
            <w:r>
              <w:rPr>
                <w:rFonts w:ascii="宋体" w:hAnsi="宋体" w:cs="宋体"/>
                <w:color w:val="000000" w:themeColor="text1"/>
                <w:highlight w:val="none"/>
                <w14:textFill>
                  <w14:solidFill>
                    <w14:schemeClr w14:val="tx1"/>
                  </w14:solidFill>
                </w14:textFill>
              </w:rPr>
              <w:t>1km</w:t>
            </w:r>
            <w:r>
              <w:rPr>
                <w:rFonts w:hint="eastAsia" w:ascii="宋体" w:hAnsi="宋体" w:cs="宋体"/>
                <w:color w:val="000000" w:themeColor="text1"/>
                <w:highlight w:val="none"/>
                <w14:textFill>
                  <w14:solidFill>
                    <w14:schemeClr w14:val="tx1"/>
                  </w14:solidFill>
                </w14:textFill>
              </w:rPr>
              <w:t>测</w:t>
            </w:r>
            <w:r>
              <w:rPr>
                <w:rFonts w:ascii="宋体" w:hAnsi="宋体" w:cs="宋体"/>
                <w:color w:val="000000" w:themeColor="text1"/>
                <w:highlight w:val="none"/>
                <w14:textFill>
                  <w14:solidFill>
                    <w14:schemeClr w14:val="tx1"/>
                  </w14:solidFill>
                </w14:textFill>
              </w:rPr>
              <w:t>3</w:t>
            </w:r>
            <w:r>
              <w:rPr>
                <w:rFonts w:hint="eastAsia" w:ascii="宋体" w:hAnsi="宋体" w:cs="宋体"/>
                <w:color w:val="000000" w:themeColor="text1"/>
                <w:highlight w:val="none"/>
                <w14:textFill>
                  <w14:solidFill>
                    <w14:schemeClr w14:val="tx1"/>
                  </w14:solidFill>
                </w14:textFill>
              </w:rPr>
              <w:t>处，每处测</w:t>
            </w:r>
            <w:r>
              <w:rPr>
                <w:rFonts w:ascii="宋体" w:hAnsi="宋体" w:cs="宋体"/>
                <w:color w:val="000000" w:themeColor="text1"/>
                <w:highlight w:val="none"/>
                <w14:textFill>
                  <w14:solidFill>
                    <w14:schemeClr w14:val="tx1"/>
                  </w14:solidFill>
                </w14:textFill>
              </w:rPr>
              <w:t>3</w:t>
            </w:r>
            <w:r>
              <w:rPr>
                <w:rFonts w:hint="eastAsia" w:ascii="宋体" w:hAnsi="宋体" w:cs="宋体"/>
                <w:color w:val="000000" w:themeColor="text1"/>
                <w:highlight w:val="none"/>
                <w14:textFill>
                  <w14:solidFill>
                    <w14:schemeClr w14:val="tx1"/>
                  </w14:solidFill>
                </w14:textFill>
              </w:rPr>
              <w:t>点</w:t>
            </w:r>
          </w:p>
        </w:tc>
      </w:tr>
      <w:tr w14:paraId="44FF5F0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31" w:hRule="exact"/>
          <w:jc w:val="center"/>
        </w:trPr>
        <w:tc>
          <w:tcPr>
            <w:tcW w:w="829" w:type="dxa"/>
            <w:vMerge w:val="restart"/>
            <w:vAlign w:val="center"/>
          </w:tcPr>
          <w:p w14:paraId="6B7EEE29">
            <w:pPr>
              <w:spacing w:line="440" w:lineRule="exact"/>
              <w:jc w:val="center"/>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3</w:t>
            </w:r>
          </w:p>
        </w:tc>
        <w:tc>
          <w:tcPr>
            <w:tcW w:w="1580" w:type="dxa"/>
            <w:vMerge w:val="restart"/>
            <w:vAlign w:val="center"/>
          </w:tcPr>
          <w:p w14:paraId="5186A74C">
            <w:pPr>
              <w:spacing w:line="440" w:lineRule="exact"/>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标线厚度</w:t>
            </w:r>
          </w:p>
          <w:p w14:paraId="322D2335">
            <w:pPr>
              <w:spacing w:line="440" w:lineRule="exact"/>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（干膜，</w:t>
            </w:r>
            <w:r>
              <w:rPr>
                <w:rFonts w:ascii="宋体" w:hAnsi="宋体" w:cs="宋体"/>
                <w:color w:val="000000" w:themeColor="text1"/>
                <w:highlight w:val="none"/>
                <w14:textFill>
                  <w14:solidFill>
                    <w14:schemeClr w14:val="tx1"/>
                  </w14:solidFill>
                </w14:textFill>
              </w:rPr>
              <w:t>mm</w:t>
            </w:r>
            <w:r>
              <w:rPr>
                <w:rFonts w:hint="eastAsia" w:ascii="宋体" w:hAnsi="宋体" w:cs="宋体"/>
                <w:color w:val="000000" w:themeColor="text1"/>
                <w:highlight w:val="none"/>
                <w14:textFill>
                  <w14:solidFill>
                    <w14:schemeClr w14:val="tx1"/>
                  </w14:solidFill>
                </w14:textFill>
              </w:rPr>
              <w:t>）</w:t>
            </w:r>
          </w:p>
        </w:tc>
        <w:tc>
          <w:tcPr>
            <w:tcW w:w="2012" w:type="dxa"/>
            <w:gridSpan w:val="2"/>
            <w:vAlign w:val="center"/>
          </w:tcPr>
          <w:p w14:paraId="5D0F2AAA">
            <w:pPr>
              <w:spacing w:line="440" w:lineRule="exact"/>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热熔型</w:t>
            </w:r>
          </w:p>
        </w:tc>
        <w:tc>
          <w:tcPr>
            <w:tcW w:w="2011" w:type="dxa"/>
            <w:vAlign w:val="center"/>
          </w:tcPr>
          <w:p w14:paraId="44E8A9BE">
            <w:pPr>
              <w:spacing w:line="440" w:lineRule="exact"/>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2.0mm(0,+0.5)</w:t>
            </w:r>
          </w:p>
        </w:tc>
        <w:tc>
          <w:tcPr>
            <w:tcW w:w="2471" w:type="dxa"/>
            <w:vMerge w:val="restart"/>
            <w:vAlign w:val="center"/>
          </w:tcPr>
          <w:p w14:paraId="692E40C6">
            <w:pPr>
              <w:spacing w:line="440" w:lineRule="exact"/>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标线厚度测量仪或卡尺：每</w:t>
            </w:r>
          </w:p>
          <w:p w14:paraId="4EE1E302">
            <w:pPr>
              <w:spacing w:line="440" w:lineRule="exact"/>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1km</w:t>
            </w:r>
            <w:r>
              <w:rPr>
                <w:rFonts w:hint="eastAsia" w:ascii="宋体" w:hAnsi="宋体" w:cs="宋体"/>
                <w:color w:val="000000" w:themeColor="text1"/>
                <w:highlight w:val="none"/>
                <w14:textFill>
                  <w14:solidFill>
                    <w14:schemeClr w14:val="tx1"/>
                  </w14:solidFill>
                </w14:textFill>
              </w:rPr>
              <w:t>测</w:t>
            </w:r>
            <w:r>
              <w:rPr>
                <w:rFonts w:ascii="宋体" w:hAnsi="宋体" w:cs="宋体"/>
                <w:color w:val="000000" w:themeColor="text1"/>
                <w:highlight w:val="none"/>
                <w14:textFill>
                  <w14:solidFill>
                    <w14:schemeClr w14:val="tx1"/>
                  </w14:solidFill>
                </w14:textFill>
              </w:rPr>
              <w:t>3</w:t>
            </w:r>
            <w:r>
              <w:rPr>
                <w:rFonts w:hint="eastAsia" w:ascii="宋体" w:hAnsi="宋体" w:cs="宋体"/>
                <w:color w:val="000000" w:themeColor="text1"/>
                <w:highlight w:val="none"/>
                <w14:textFill>
                  <w14:solidFill>
                    <w14:schemeClr w14:val="tx1"/>
                  </w14:solidFill>
                </w14:textFill>
              </w:rPr>
              <w:t>处，每处测</w:t>
            </w:r>
            <w:r>
              <w:rPr>
                <w:rFonts w:ascii="宋体" w:hAnsi="宋体" w:cs="宋体"/>
                <w:color w:val="000000" w:themeColor="text1"/>
                <w:highlight w:val="none"/>
                <w14:textFill>
                  <w14:solidFill>
                    <w14:schemeClr w14:val="tx1"/>
                  </w14:solidFill>
                </w14:textFill>
              </w:rPr>
              <w:t>6</w:t>
            </w:r>
            <w:r>
              <w:rPr>
                <w:rFonts w:hint="eastAsia" w:ascii="宋体" w:hAnsi="宋体" w:cs="宋体"/>
                <w:color w:val="000000" w:themeColor="text1"/>
                <w:highlight w:val="none"/>
                <w14:textFill>
                  <w14:solidFill>
                    <w14:schemeClr w14:val="tx1"/>
                  </w14:solidFill>
                </w14:textFill>
              </w:rPr>
              <w:t>点</w:t>
            </w:r>
          </w:p>
        </w:tc>
      </w:tr>
      <w:tr w14:paraId="10B5E8A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470" w:hRule="exact"/>
          <w:jc w:val="center"/>
        </w:trPr>
        <w:tc>
          <w:tcPr>
            <w:tcW w:w="829" w:type="dxa"/>
            <w:vMerge w:val="continue"/>
            <w:vAlign w:val="center"/>
          </w:tcPr>
          <w:p w14:paraId="60DEE258">
            <w:pPr>
              <w:spacing w:line="440" w:lineRule="exact"/>
              <w:jc w:val="center"/>
              <w:rPr>
                <w:rFonts w:ascii="宋体"/>
                <w:color w:val="000000" w:themeColor="text1"/>
                <w:highlight w:val="none"/>
                <w14:textFill>
                  <w14:solidFill>
                    <w14:schemeClr w14:val="tx1"/>
                  </w14:solidFill>
                </w14:textFill>
              </w:rPr>
            </w:pPr>
          </w:p>
        </w:tc>
        <w:tc>
          <w:tcPr>
            <w:tcW w:w="1580" w:type="dxa"/>
            <w:vMerge w:val="continue"/>
            <w:vAlign w:val="center"/>
          </w:tcPr>
          <w:p w14:paraId="40AA7208">
            <w:pPr>
              <w:spacing w:line="440" w:lineRule="exact"/>
              <w:rPr>
                <w:rFonts w:ascii="宋体"/>
                <w:color w:val="000000" w:themeColor="text1"/>
                <w:highlight w:val="none"/>
                <w14:textFill>
                  <w14:solidFill>
                    <w14:schemeClr w14:val="tx1"/>
                  </w14:solidFill>
                </w14:textFill>
              </w:rPr>
            </w:pPr>
          </w:p>
        </w:tc>
        <w:tc>
          <w:tcPr>
            <w:tcW w:w="817" w:type="dxa"/>
            <w:vMerge w:val="restart"/>
            <w:vAlign w:val="center"/>
          </w:tcPr>
          <w:p w14:paraId="58BA1558">
            <w:pPr>
              <w:spacing w:line="440" w:lineRule="exact"/>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突起型</w:t>
            </w:r>
          </w:p>
        </w:tc>
        <w:tc>
          <w:tcPr>
            <w:tcW w:w="1195" w:type="dxa"/>
            <w:vAlign w:val="center"/>
          </w:tcPr>
          <w:p w14:paraId="0CFF5111">
            <w:pPr>
              <w:spacing w:line="440" w:lineRule="exact"/>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突起高度</w:t>
            </w:r>
          </w:p>
        </w:tc>
        <w:tc>
          <w:tcPr>
            <w:tcW w:w="2011" w:type="dxa"/>
            <w:vAlign w:val="center"/>
          </w:tcPr>
          <w:p w14:paraId="4A4B723D">
            <w:pPr>
              <w:spacing w:line="440" w:lineRule="exact"/>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不小于设计值</w:t>
            </w:r>
          </w:p>
        </w:tc>
        <w:tc>
          <w:tcPr>
            <w:tcW w:w="2471" w:type="dxa"/>
            <w:vMerge w:val="continue"/>
            <w:vAlign w:val="center"/>
          </w:tcPr>
          <w:p w14:paraId="40EEA83A">
            <w:pPr>
              <w:spacing w:line="440" w:lineRule="exact"/>
              <w:rPr>
                <w:rFonts w:ascii="宋体"/>
                <w:color w:val="000000" w:themeColor="text1"/>
                <w:highlight w:val="none"/>
                <w14:textFill>
                  <w14:solidFill>
                    <w14:schemeClr w14:val="tx1"/>
                  </w14:solidFill>
                </w14:textFill>
              </w:rPr>
            </w:pPr>
          </w:p>
        </w:tc>
      </w:tr>
      <w:tr w14:paraId="1B389D9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18" w:hRule="exact"/>
          <w:jc w:val="center"/>
        </w:trPr>
        <w:tc>
          <w:tcPr>
            <w:tcW w:w="829" w:type="dxa"/>
            <w:vMerge w:val="continue"/>
            <w:vAlign w:val="center"/>
          </w:tcPr>
          <w:p w14:paraId="1E9A845F">
            <w:pPr>
              <w:spacing w:line="440" w:lineRule="exact"/>
              <w:jc w:val="center"/>
              <w:rPr>
                <w:rFonts w:ascii="宋体"/>
                <w:color w:val="000000" w:themeColor="text1"/>
                <w:highlight w:val="none"/>
                <w14:textFill>
                  <w14:solidFill>
                    <w14:schemeClr w14:val="tx1"/>
                  </w14:solidFill>
                </w14:textFill>
              </w:rPr>
            </w:pPr>
          </w:p>
        </w:tc>
        <w:tc>
          <w:tcPr>
            <w:tcW w:w="1580" w:type="dxa"/>
            <w:vMerge w:val="continue"/>
            <w:vAlign w:val="center"/>
          </w:tcPr>
          <w:p w14:paraId="6B4D1C98">
            <w:pPr>
              <w:spacing w:line="440" w:lineRule="exact"/>
              <w:rPr>
                <w:rFonts w:ascii="宋体"/>
                <w:color w:val="000000" w:themeColor="text1"/>
                <w:highlight w:val="none"/>
                <w14:textFill>
                  <w14:solidFill>
                    <w14:schemeClr w14:val="tx1"/>
                  </w14:solidFill>
                </w14:textFill>
              </w:rPr>
            </w:pPr>
          </w:p>
        </w:tc>
        <w:tc>
          <w:tcPr>
            <w:tcW w:w="817" w:type="dxa"/>
            <w:vMerge w:val="continue"/>
            <w:vAlign w:val="center"/>
          </w:tcPr>
          <w:p w14:paraId="4B690C9D">
            <w:pPr>
              <w:spacing w:line="440" w:lineRule="exact"/>
              <w:rPr>
                <w:rFonts w:ascii="宋体"/>
                <w:color w:val="000000" w:themeColor="text1"/>
                <w:highlight w:val="none"/>
                <w14:textFill>
                  <w14:solidFill>
                    <w14:schemeClr w14:val="tx1"/>
                  </w14:solidFill>
                </w14:textFill>
              </w:rPr>
            </w:pPr>
          </w:p>
        </w:tc>
        <w:tc>
          <w:tcPr>
            <w:tcW w:w="1195" w:type="dxa"/>
            <w:vAlign w:val="center"/>
          </w:tcPr>
          <w:p w14:paraId="01B02CBA">
            <w:pPr>
              <w:spacing w:line="440" w:lineRule="exact"/>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基线厚度</w:t>
            </w:r>
          </w:p>
        </w:tc>
        <w:tc>
          <w:tcPr>
            <w:tcW w:w="2011" w:type="dxa"/>
            <w:vAlign w:val="center"/>
          </w:tcPr>
          <w:p w14:paraId="684CA59C">
            <w:pPr>
              <w:spacing w:line="440" w:lineRule="exact"/>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不小于设计值</w:t>
            </w:r>
          </w:p>
        </w:tc>
        <w:tc>
          <w:tcPr>
            <w:tcW w:w="2471" w:type="dxa"/>
            <w:vMerge w:val="continue"/>
            <w:vAlign w:val="center"/>
          </w:tcPr>
          <w:p w14:paraId="1258185E">
            <w:pPr>
              <w:spacing w:line="440" w:lineRule="exact"/>
              <w:rPr>
                <w:rFonts w:ascii="宋体"/>
                <w:color w:val="000000" w:themeColor="text1"/>
                <w:highlight w:val="none"/>
                <w14:textFill>
                  <w14:solidFill>
                    <w14:schemeClr w14:val="tx1"/>
                  </w14:solidFill>
                </w14:textFill>
              </w:rPr>
            </w:pPr>
          </w:p>
        </w:tc>
      </w:tr>
      <w:tr w14:paraId="3229536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1106" w:hRule="exact"/>
          <w:jc w:val="center"/>
        </w:trPr>
        <w:tc>
          <w:tcPr>
            <w:tcW w:w="829" w:type="dxa"/>
            <w:vAlign w:val="center"/>
          </w:tcPr>
          <w:p w14:paraId="22A1295F">
            <w:pPr>
              <w:spacing w:line="440" w:lineRule="exact"/>
              <w:jc w:val="center"/>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4</w:t>
            </w:r>
          </w:p>
        </w:tc>
        <w:tc>
          <w:tcPr>
            <w:tcW w:w="3593" w:type="dxa"/>
            <w:gridSpan w:val="3"/>
            <w:vAlign w:val="center"/>
          </w:tcPr>
          <w:p w14:paraId="4D683815">
            <w:pPr>
              <w:spacing w:line="440" w:lineRule="exact"/>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标线横向偏位（</w:t>
            </w:r>
            <w:r>
              <w:rPr>
                <w:rFonts w:ascii="宋体" w:hAnsi="宋体" w:cs="宋体"/>
                <w:color w:val="000000" w:themeColor="text1"/>
                <w:highlight w:val="none"/>
                <w14:textFill>
                  <w14:solidFill>
                    <w14:schemeClr w14:val="tx1"/>
                  </w14:solidFill>
                </w14:textFill>
              </w:rPr>
              <w:t>mm</w:t>
            </w:r>
            <w:r>
              <w:rPr>
                <w:rFonts w:hint="eastAsia" w:ascii="宋体" w:hAnsi="宋体" w:cs="宋体"/>
                <w:color w:val="000000" w:themeColor="text1"/>
                <w:highlight w:val="none"/>
                <w14:textFill>
                  <w14:solidFill>
                    <w14:schemeClr w14:val="tx1"/>
                  </w14:solidFill>
                </w14:textFill>
              </w:rPr>
              <w:t>）</w:t>
            </w:r>
          </w:p>
        </w:tc>
        <w:tc>
          <w:tcPr>
            <w:tcW w:w="2011" w:type="dxa"/>
            <w:vAlign w:val="center"/>
          </w:tcPr>
          <w:p w14:paraId="5DB3313B">
            <w:pPr>
              <w:spacing w:line="440" w:lineRule="exact"/>
              <w:rPr>
                <w:rFonts w:ascii="宋体"/>
                <w:color w:val="000000" w:themeColor="text1"/>
                <w:highlight w:val="none"/>
                <w14:textFill>
                  <w14:solidFill>
                    <w14:schemeClr w14:val="tx1"/>
                  </w14:solidFill>
                </w14:textFill>
              </w:rPr>
            </w:pPr>
            <w:r>
              <w:rPr>
                <w:rFonts w:hint="eastAsia" w:ascii="宋体" w:cs="宋体"/>
                <w:color w:val="000000" w:themeColor="text1"/>
                <w:highlight w:val="none"/>
                <w14:textFill>
                  <w14:solidFill>
                    <w14:schemeClr w14:val="tx1"/>
                  </w14:solidFill>
                </w14:textFill>
              </w:rPr>
              <w:t>≤</w:t>
            </w:r>
            <w:r>
              <w:rPr>
                <w:rFonts w:ascii="宋体" w:hAnsi="宋体" w:cs="宋体"/>
                <w:color w:val="000000" w:themeColor="text1"/>
                <w:highlight w:val="none"/>
                <w14:textFill>
                  <w14:solidFill>
                    <w14:schemeClr w14:val="tx1"/>
                  </w14:solidFill>
                </w14:textFill>
              </w:rPr>
              <w:t>30</w:t>
            </w:r>
          </w:p>
        </w:tc>
        <w:tc>
          <w:tcPr>
            <w:tcW w:w="2471" w:type="dxa"/>
            <w:vAlign w:val="center"/>
          </w:tcPr>
          <w:p w14:paraId="21B0E77D">
            <w:pPr>
              <w:spacing w:line="440" w:lineRule="exact"/>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尺量：每</w:t>
            </w:r>
            <w:r>
              <w:rPr>
                <w:rFonts w:ascii="宋体" w:hAnsi="宋体" w:cs="宋体"/>
                <w:color w:val="000000" w:themeColor="text1"/>
                <w:highlight w:val="none"/>
                <w14:textFill>
                  <w14:solidFill>
                    <w14:schemeClr w14:val="tx1"/>
                  </w14:solidFill>
                </w14:textFill>
              </w:rPr>
              <w:t>1km</w:t>
            </w:r>
            <w:r>
              <w:rPr>
                <w:rFonts w:hint="eastAsia" w:ascii="宋体" w:hAnsi="宋体" w:cs="宋体"/>
                <w:color w:val="000000" w:themeColor="text1"/>
                <w:highlight w:val="none"/>
                <w14:textFill>
                  <w14:solidFill>
                    <w14:schemeClr w14:val="tx1"/>
                  </w14:solidFill>
                </w14:textFill>
              </w:rPr>
              <w:t>测</w:t>
            </w:r>
            <w:r>
              <w:rPr>
                <w:rFonts w:ascii="宋体" w:hAnsi="宋体" w:cs="宋体"/>
                <w:color w:val="000000" w:themeColor="text1"/>
                <w:highlight w:val="none"/>
                <w14:textFill>
                  <w14:solidFill>
                    <w14:schemeClr w14:val="tx1"/>
                  </w14:solidFill>
                </w14:textFill>
              </w:rPr>
              <w:t>3</w:t>
            </w:r>
            <w:r>
              <w:rPr>
                <w:rFonts w:hint="eastAsia" w:ascii="宋体" w:hAnsi="宋体" w:cs="宋体"/>
                <w:color w:val="000000" w:themeColor="text1"/>
                <w:highlight w:val="none"/>
                <w14:textFill>
                  <w14:solidFill>
                    <w14:schemeClr w14:val="tx1"/>
                  </w14:solidFill>
                </w14:textFill>
              </w:rPr>
              <w:t>处，每处测</w:t>
            </w:r>
            <w:r>
              <w:rPr>
                <w:rFonts w:ascii="宋体" w:hAnsi="宋体" w:cs="宋体"/>
                <w:color w:val="000000" w:themeColor="text1"/>
                <w:highlight w:val="none"/>
                <w14:textFill>
                  <w14:solidFill>
                    <w14:schemeClr w14:val="tx1"/>
                  </w14:solidFill>
                </w14:textFill>
              </w:rPr>
              <w:t>3</w:t>
            </w:r>
            <w:r>
              <w:rPr>
                <w:rFonts w:hint="eastAsia" w:ascii="宋体" w:hAnsi="宋体" w:cs="宋体"/>
                <w:color w:val="000000" w:themeColor="text1"/>
                <w:highlight w:val="none"/>
                <w14:textFill>
                  <w14:solidFill>
                    <w14:schemeClr w14:val="tx1"/>
                  </w14:solidFill>
                </w14:textFill>
              </w:rPr>
              <w:t>点</w:t>
            </w:r>
          </w:p>
        </w:tc>
      </w:tr>
      <w:tr w14:paraId="435BBCF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443" w:hRule="exact"/>
          <w:jc w:val="center"/>
        </w:trPr>
        <w:tc>
          <w:tcPr>
            <w:tcW w:w="829" w:type="dxa"/>
            <w:vMerge w:val="restart"/>
            <w:vAlign w:val="center"/>
          </w:tcPr>
          <w:p w14:paraId="4C52CD07">
            <w:pPr>
              <w:spacing w:line="440" w:lineRule="exact"/>
              <w:jc w:val="center"/>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5</w:t>
            </w:r>
          </w:p>
        </w:tc>
        <w:tc>
          <w:tcPr>
            <w:tcW w:w="1580" w:type="dxa"/>
            <w:vMerge w:val="restart"/>
            <w:vAlign w:val="center"/>
          </w:tcPr>
          <w:p w14:paraId="24DC87C5">
            <w:pPr>
              <w:spacing w:line="440" w:lineRule="exact"/>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标线纵向间距</w:t>
            </w:r>
          </w:p>
          <w:p w14:paraId="68010638">
            <w:pPr>
              <w:spacing w:line="440" w:lineRule="exact"/>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w:t>
            </w:r>
            <w:r>
              <w:rPr>
                <w:rFonts w:ascii="宋体" w:hAnsi="宋体" w:cs="宋体"/>
                <w:color w:val="000000" w:themeColor="text1"/>
                <w:highlight w:val="none"/>
                <w14:textFill>
                  <w14:solidFill>
                    <w14:schemeClr w14:val="tx1"/>
                  </w14:solidFill>
                </w14:textFill>
              </w:rPr>
              <w:t>mm</w:t>
            </w:r>
            <w:r>
              <w:rPr>
                <w:rFonts w:hint="eastAsia" w:ascii="宋体" w:hAnsi="宋体" w:cs="宋体"/>
                <w:color w:val="000000" w:themeColor="text1"/>
                <w:highlight w:val="none"/>
                <w14:textFill>
                  <w14:solidFill>
                    <w14:schemeClr w14:val="tx1"/>
                  </w14:solidFill>
                </w14:textFill>
              </w:rPr>
              <w:t>）</w:t>
            </w:r>
          </w:p>
        </w:tc>
        <w:tc>
          <w:tcPr>
            <w:tcW w:w="2012" w:type="dxa"/>
            <w:gridSpan w:val="2"/>
            <w:vAlign w:val="center"/>
          </w:tcPr>
          <w:p w14:paraId="78D3ACF2">
            <w:pPr>
              <w:spacing w:line="440" w:lineRule="exact"/>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9000</w:t>
            </w:r>
          </w:p>
        </w:tc>
        <w:tc>
          <w:tcPr>
            <w:tcW w:w="2011" w:type="dxa"/>
            <w:vAlign w:val="center"/>
          </w:tcPr>
          <w:p w14:paraId="692E85C3">
            <w:pPr>
              <w:spacing w:line="440" w:lineRule="exact"/>
              <w:rPr>
                <w:rFonts w:ascii="宋体"/>
                <w:color w:val="000000" w:themeColor="text1"/>
                <w:highlight w:val="none"/>
                <w14:textFill>
                  <w14:solidFill>
                    <w14:schemeClr w14:val="tx1"/>
                  </w14:solidFill>
                </w14:textFill>
              </w:rPr>
            </w:pPr>
            <w:r>
              <w:rPr>
                <w:rFonts w:hint="eastAsia" w:ascii="宋体" w:cs="宋体"/>
                <w:color w:val="000000" w:themeColor="text1"/>
                <w:highlight w:val="none"/>
                <w14:textFill>
                  <w14:solidFill>
                    <w14:schemeClr w14:val="tx1"/>
                  </w14:solidFill>
                </w14:textFill>
              </w:rPr>
              <w:t>±</w:t>
            </w:r>
            <w:r>
              <w:rPr>
                <w:rFonts w:ascii="宋体" w:hAnsi="宋体" w:cs="宋体"/>
                <w:color w:val="000000" w:themeColor="text1"/>
                <w:highlight w:val="none"/>
                <w14:textFill>
                  <w14:solidFill>
                    <w14:schemeClr w14:val="tx1"/>
                  </w14:solidFill>
                </w14:textFill>
              </w:rPr>
              <w:t>45</w:t>
            </w:r>
          </w:p>
        </w:tc>
        <w:tc>
          <w:tcPr>
            <w:tcW w:w="2471" w:type="dxa"/>
            <w:vMerge w:val="restart"/>
            <w:vAlign w:val="center"/>
          </w:tcPr>
          <w:p w14:paraId="315B259F">
            <w:pPr>
              <w:spacing w:line="440" w:lineRule="exact"/>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尺量：每</w:t>
            </w:r>
            <w:r>
              <w:rPr>
                <w:rFonts w:ascii="宋体" w:hAnsi="宋体" w:cs="宋体"/>
                <w:color w:val="000000" w:themeColor="text1"/>
                <w:highlight w:val="none"/>
                <w14:textFill>
                  <w14:solidFill>
                    <w14:schemeClr w14:val="tx1"/>
                  </w14:solidFill>
                </w14:textFill>
              </w:rPr>
              <w:t>1km</w:t>
            </w:r>
            <w:r>
              <w:rPr>
                <w:rFonts w:hint="eastAsia" w:ascii="宋体" w:hAnsi="宋体" w:cs="宋体"/>
                <w:color w:val="000000" w:themeColor="text1"/>
                <w:highlight w:val="none"/>
                <w14:textFill>
                  <w14:solidFill>
                    <w14:schemeClr w14:val="tx1"/>
                  </w14:solidFill>
                </w14:textFill>
              </w:rPr>
              <w:t>测</w:t>
            </w:r>
            <w:r>
              <w:rPr>
                <w:rFonts w:ascii="宋体" w:hAnsi="宋体" w:cs="宋体"/>
                <w:color w:val="000000" w:themeColor="text1"/>
                <w:highlight w:val="none"/>
                <w14:textFill>
                  <w14:solidFill>
                    <w14:schemeClr w14:val="tx1"/>
                  </w14:solidFill>
                </w14:textFill>
              </w:rPr>
              <w:t>3</w:t>
            </w:r>
            <w:r>
              <w:rPr>
                <w:rFonts w:hint="eastAsia" w:ascii="宋体" w:hAnsi="宋体" w:cs="宋体"/>
                <w:color w:val="000000" w:themeColor="text1"/>
                <w:highlight w:val="none"/>
                <w14:textFill>
                  <w14:solidFill>
                    <w14:schemeClr w14:val="tx1"/>
                  </w14:solidFill>
                </w14:textFill>
              </w:rPr>
              <w:t>处，每处测</w:t>
            </w:r>
            <w:r>
              <w:rPr>
                <w:rFonts w:ascii="宋体" w:hAnsi="宋体" w:cs="宋体"/>
                <w:color w:val="000000" w:themeColor="text1"/>
                <w:highlight w:val="none"/>
                <w14:textFill>
                  <w14:solidFill>
                    <w14:schemeClr w14:val="tx1"/>
                  </w14:solidFill>
                </w14:textFill>
              </w:rPr>
              <w:t>3</w:t>
            </w:r>
            <w:r>
              <w:rPr>
                <w:rFonts w:hint="eastAsia" w:ascii="宋体" w:hAnsi="宋体" w:cs="宋体"/>
                <w:color w:val="000000" w:themeColor="text1"/>
                <w:highlight w:val="none"/>
                <w14:textFill>
                  <w14:solidFill>
                    <w14:schemeClr w14:val="tx1"/>
                  </w14:solidFill>
                </w14:textFill>
              </w:rPr>
              <w:t>个线段</w:t>
            </w:r>
          </w:p>
        </w:tc>
      </w:tr>
      <w:tr w14:paraId="3D6939F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428" w:hRule="exact"/>
          <w:jc w:val="center"/>
        </w:trPr>
        <w:tc>
          <w:tcPr>
            <w:tcW w:w="829" w:type="dxa"/>
            <w:vMerge w:val="continue"/>
            <w:vAlign w:val="center"/>
          </w:tcPr>
          <w:p w14:paraId="0421AF53">
            <w:pPr>
              <w:spacing w:line="440" w:lineRule="exact"/>
              <w:jc w:val="center"/>
              <w:rPr>
                <w:rFonts w:ascii="宋体"/>
                <w:color w:val="000000" w:themeColor="text1"/>
                <w:highlight w:val="none"/>
                <w14:textFill>
                  <w14:solidFill>
                    <w14:schemeClr w14:val="tx1"/>
                  </w14:solidFill>
                </w14:textFill>
              </w:rPr>
            </w:pPr>
          </w:p>
        </w:tc>
        <w:tc>
          <w:tcPr>
            <w:tcW w:w="1580" w:type="dxa"/>
            <w:vMerge w:val="continue"/>
            <w:vAlign w:val="center"/>
          </w:tcPr>
          <w:p w14:paraId="5EDA983C">
            <w:pPr>
              <w:spacing w:line="440" w:lineRule="exact"/>
              <w:rPr>
                <w:rFonts w:ascii="宋体"/>
                <w:color w:val="000000" w:themeColor="text1"/>
                <w:highlight w:val="none"/>
                <w14:textFill>
                  <w14:solidFill>
                    <w14:schemeClr w14:val="tx1"/>
                  </w14:solidFill>
                </w14:textFill>
              </w:rPr>
            </w:pPr>
          </w:p>
        </w:tc>
        <w:tc>
          <w:tcPr>
            <w:tcW w:w="2012" w:type="dxa"/>
            <w:gridSpan w:val="2"/>
            <w:vAlign w:val="center"/>
          </w:tcPr>
          <w:p w14:paraId="157CEC8C">
            <w:pPr>
              <w:spacing w:line="440" w:lineRule="exact"/>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6000</w:t>
            </w:r>
          </w:p>
        </w:tc>
        <w:tc>
          <w:tcPr>
            <w:tcW w:w="2011" w:type="dxa"/>
            <w:vAlign w:val="center"/>
          </w:tcPr>
          <w:p w14:paraId="01807BF3">
            <w:pPr>
              <w:spacing w:line="440" w:lineRule="exact"/>
              <w:rPr>
                <w:rFonts w:ascii="宋体"/>
                <w:color w:val="000000" w:themeColor="text1"/>
                <w:highlight w:val="none"/>
                <w14:textFill>
                  <w14:solidFill>
                    <w14:schemeClr w14:val="tx1"/>
                  </w14:solidFill>
                </w14:textFill>
              </w:rPr>
            </w:pPr>
            <w:r>
              <w:rPr>
                <w:rFonts w:hint="eastAsia" w:ascii="宋体" w:cs="宋体"/>
                <w:color w:val="000000" w:themeColor="text1"/>
                <w:highlight w:val="none"/>
                <w14:textFill>
                  <w14:solidFill>
                    <w14:schemeClr w14:val="tx1"/>
                  </w14:solidFill>
                </w14:textFill>
              </w:rPr>
              <w:t>±</w:t>
            </w:r>
            <w:r>
              <w:rPr>
                <w:rFonts w:ascii="宋体" w:hAnsi="宋体" w:cs="宋体"/>
                <w:color w:val="000000" w:themeColor="text1"/>
                <w:highlight w:val="none"/>
                <w14:textFill>
                  <w14:solidFill>
                    <w14:schemeClr w14:val="tx1"/>
                  </w14:solidFill>
                </w14:textFill>
              </w:rPr>
              <w:t>30</w:t>
            </w:r>
          </w:p>
        </w:tc>
        <w:tc>
          <w:tcPr>
            <w:tcW w:w="2471" w:type="dxa"/>
            <w:vMerge w:val="continue"/>
            <w:vAlign w:val="center"/>
          </w:tcPr>
          <w:p w14:paraId="626952DC">
            <w:pPr>
              <w:spacing w:line="440" w:lineRule="exact"/>
              <w:rPr>
                <w:rFonts w:ascii="宋体"/>
                <w:color w:val="000000" w:themeColor="text1"/>
                <w:highlight w:val="none"/>
                <w14:textFill>
                  <w14:solidFill>
                    <w14:schemeClr w14:val="tx1"/>
                  </w14:solidFill>
                </w14:textFill>
              </w:rPr>
            </w:pPr>
          </w:p>
        </w:tc>
      </w:tr>
      <w:tr w14:paraId="6FD039D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456" w:hRule="exact"/>
          <w:jc w:val="center"/>
        </w:trPr>
        <w:tc>
          <w:tcPr>
            <w:tcW w:w="829" w:type="dxa"/>
            <w:vMerge w:val="continue"/>
            <w:vAlign w:val="center"/>
          </w:tcPr>
          <w:p w14:paraId="70F965B6">
            <w:pPr>
              <w:spacing w:line="440" w:lineRule="exact"/>
              <w:jc w:val="center"/>
              <w:rPr>
                <w:rFonts w:ascii="宋体"/>
                <w:color w:val="000000" w:themeColor="text1"/>
                <w:highlight w:val="none"/>
                <w14:textFill>
                  <w14:solidFill>
                    <w14:schemeClr w14:val="tx1"/>
                  </w14:solidFill>
                </w14:textFill>
              </w:rPr>
            </w:pPr>
          </w:p>
        </w:tc>
        <w:tc>
          <w:tcPr>
            <w:tcW w:w="1580" w:type="dxa"/>
            <w:vMerge w:val="continue"/>
            <w:vAlign w:val="center"/>
          </w:tcPr>
          <w:p w14:paraId="2762A997">
            <w:pPr>
              <w:spacing w:line="440" w:lineRule="exact"/>
              <w:rPr>
                <w:rFonts w:ascii="宋体"/>
                <w:color w:val="000000" w:themeColor="text1"/>
                <w:highlight w:val="none"/>
                <w14:textFill>
                  <w14:solidFill>
                    <w14:schemeClr w14:val="tx1"/>
                  </w14:solidFill>
                </w14:textFill>
              </w:rPr>
            </w:pPr>
          </w:p>
        </w:tc>
        <w:tc>
          <w:tcPr>
            <w:tcW w:w="2012" w:type="dxa"/>
            <w:gridSpan w:val="2"/>
            <w:vAlign w:val="center"/>
          </w:tcPr>
          <w:p w14:paraId="67A4D332">
            <w:pPr>
              <w:spacing w:line="440" w:lineRule="exact"/>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4000</w:t>
            </w:r>
          </w:p>
        </w:tc>
        <w:tc>
          <w:tcPr>
            <w:tcW w:w="2011" w:type="dxa"/>
            <w:vAlign w:val="center"/>
          </w:tcPr>
          <w:p w14:paraId="716C843B">
            <w:pPr>
              <w:spacing w:line="440" w:lineRule="exact"/>
              <w:rPr>
                <w:rFonts w:ascii="宋体"/>
                <w:color w:val="000000" w:themeColor="text1"/>
                <w:highlight w:val="none"/>
                <w14:textFill>
                  <w14:solidFill>
                    <w14:schemeClr w14:val="tx1"/>
                  </w14:solidFill>
                </w14:textFill>
              </w:rPr>
            </w:pPr>
            <w:r>
              <w:rPr>
                <w:rFonts w:hint="eastAsia" w:ascii="宋体" w:cs="宋体"/>
                <w:color w:val="000000" w:themeColor="text1"/>
                <w:highlight w:val="none"/>
                <w14:textFill>
                  <w14:solidFill>
                    <w14:schemeClr w14:val="tx1"/>
                  </w14:solidFill>
                </w14:textFill>
              </w:rPr>
              <w:t>±</w:t>
            </w:r>
            <w:r>
              <w:rPr>
                <w:rFonts w:ascii="宋体" w:hAnsi="宋体" w:cs="宋体"/>
                <w:color w:val="000000" w:themeColor="text1"/>
                <w:highlight w:val="none"/>
                <w14:textFill>
                  <w14:solidFill>
                    <w14:schemeClr w14:val="tx1"/>
                  </w14:solidFill>
                </w14:textFill>
              </w:rPr>
              <w:t>20</w:t>
            </w:r>
          </w:p>
        </w:tc>
        <w:tc>
          <w:tcPr>
            <w:tcW w:w="2471" w:type="dxa"/>
            <w:vMerge w:val="continue"/>
            <w:vAlign w:val="center"/>
          </w:tcPr>
          <w:p w14:paraId="2BDFB7D2">
            <w:pPr>
              <w:spacing w:line="440" w:lineRule="exact"/>
              <w:rPr>
                <w:rFonts w:ascii="宋体"/>
                <w:color w:val="000000" w:themeColor="text1"/>
                <w:highlight w:val="none"/>
                <w14:textFill>
                  <w14:solidFill>
                    <w14:schemeClr w14:val="tx1"/>
                  </w14:solidFill>
                </w14:textFill>
              </w:rPr>
            </w:pPr>
          </w:p>
        </w:tc>
      </w:tr>
      <w:tr w14:paraId="64478B4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48" w:hRule="exact"/>
          <w:jc w:val="center"/>
        </w:trPr>
        <w:tc>
          <w:tcPr>
            <w:tcW w:w="829" w:type="dxa"/>
            <w:vMerge w:val="continue"/>
            <w:vAlign w:val="center"/>
          </w:tcPr>
          <w:p w14:paraId="099D1B4D">
            <w:pPr>
              <w:spacing w:line="440" w:lineRule="exact"/>
              <w:jc w:val="center"/>
              <w:rPr>
                <w:rFonts w:ascii="宋体"/>
                <w:color w:val="000000" w:themeColor="text1"/>
                <w:highlight w:val="none"/>
                <w14:textFill>
                  <w14:solidFill>
                    <w14:schemeClr w14:val="tx1"/>
                  </w14:solidFill>
                </w14:textFill>
              </w:rPr>
            </w:pPr>
          </w:p>
        </w:tc>
        <w:tc>
          <w:tcPr>
            <w:tcW w:w="1580" w:type="dxa"/>
            <w:vMerge w:val="continue"/>
            <w:vAlign w:val="center"/>
          </w:tcPr>
          <w:p w14:paraId="6F9547F1">
            <w:pPr>
              <w:spacing w:line="440" w:lineRule="exact"/>
              <w:rPr>
                <w:rFonts w:ascii="宋体"/>
                <w:color w:val="000000" w:themeColor="text1"/>
                <w:highlight w:val="none"/>
                <w14:textFill>
                  <w14:solidFill>
                    <w14:schemeClr w14:val="tx1"/>
                  </w14:solidFill>
                </w14:textFill>
              </w:rPr>
            </w:pPr>
          </w:p>
        </w:tc>
        <w:tc>
          <w:tcPr>
            <w:tcW w:w="2012" w:type="dxa"/>
            <w:gridSpan w:val="2"/>
            <w:vAlign w:val="center"/>
          </w:tcPr>
          <w:p w14:paraId="093B6FE8">
            <w:pPr>
              <w:spacing w:line="440" w:lineRule="exact"/>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3000</w:t>
            </w:r>
          </w:p>
        </w:tc>
        <w:tc>
          <w:tcPr>
            <w:tcW w:w="2011" w:type="dxa"/>
            <w:vAlign w:val="center"/>
          </w:tcPr>
          <w:p w14:paraId="10035B03">
            <w:pPr>
              <w:spacing w:line="440" w:lineRule="exact"/>
              <w:rPr>
                <w:rFonts w:ascii="宋体"/>
                <w:color w:val="000000" w:themeColor="text1"/>
                <w:highlight w:val="none"/>
                <w14:textFill>
                  <w14:solidFill>
                    <w14:schemeClr w14:val="tx1"/>
                  </w14:solidFill>
                </w14:textFill>
              </w:rPr>
            </w:pPr>
            <w:r>
              <w:rPr>
                <w:rFonts w:hint="eastAsia" w:ascii="宋体" w:cs="宋体"/>
                <w:color w:val="000000" w:themeColor="text1"/>
                <w:highlight w:val="none"/>
                <w14:textFill>
                  <w14:solidFill>
                    <w14:schemeClr w14:val="tx1"/>
                  </w14:solidFill>
                </w14:textFill>
              </w:rPr>
              <w:t>±</w:t>
            </w:r>
            <w:r>
              <w:rPr>
                <w:rFonts w:ascii="宋体" w:hAnsi="宋体" w:cs="宋体"/>
                <w:color w:val="000000" w:themeColor="text1"/>
                <w:highlight w:val="none"/>
                <w14:textFill>
                  <w14:solidFill>
                    <w14:schemeClr w14:val="tx1"/>
                  </w14:solidFill>
                </w14:textFill>
              </w:rPr>
              <w:t>15</w:t>
            </w:r>
          </w:p>
        </w:tc>
        <w:tc>
          <w:tcPr>
            <w:tcW w:w="2471" w:type="dxa"/>
            <w:vMerge w:val="continue"/>
            <w:vAlign w:val="center"/>
          </w:tcPr>
          <w:p w14:paraId="7D82946D">
            <w:pPr>
              <w:spacing w:line="440" w:lineRule="exact"/>
              <w:rPr>
                <w:rFonts w:ascii="宋体"/>
                <w:color w:val="000000" w:themeColor="text1"/>
                <w:highlight w:val="none"/>
                <w14:textFill>
                  <w14:solidFill>
                    <w14:schemeClr w14:val="tx1"/>
                  </w14:solidFill>
                </w14:textFill>
              </w:rPr>
            </w:pPr>
          </w:p>
        </w:tc>
      </w:tr>
      <w:tr w14:paraId="75F082E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1024" w:hRule="exact"/>
          <w:jc w:val="center"/>
        </w:trPr>
        <w:tc>
          <w:tcPr>
            <w:tcW w:w="829" w:type="dxa"/>
            <w:tcBorders>
              <w:bottom w:val="single" w:color="000000" w:sz="12" w:space="0"/>
            </w:tcBorders>
            <w:vAlign w:val="center"/>
          </w:tcPr>
          <w:p w14:paraId="755B523F">
            <w:pPr>
              <w:spacing w:line="440" w:lineRule="exact"/>
              <w:jc w:val="center"/>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6</w:t>
            </w:r>
          </w:p>
        </w:tc>
        <w:tc>
          <w:tcPr>
            <w:tcW w:w="1580" w:type="dxa"/>
            <w:tcBorders>
              <w:bottom w:val="single" w:color="000000" w:sz="12" w:space="0"/>
            </w:tcBorders>
            <w:vAlign w:val="center"/>
          </w:tcPr>
          <w:p w14:paraId="619CC35F">
            <w:pPr>
              <w:spacing w:line="440" w:lineRule="exact"/>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抗滑值</w:t>
            </w:r>
          </w:p>
          <w:p w14:paraId="0BC75B77">
            <w:pPr>
              <w:spacing w:line="440" w:lineRule="exact"/>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w:t>
            </w:r>
            <w:r>
              <w:rPr>
                <w:rFonts w:ascii="宋体" w:hAnsi="宋体" w:cs="宋体"/>
                <w:color w:val="000000" w:themeColor="text1"/>
                <w:highlight w:val="none"/>
                <w14:textFill>
                  <w14:solidFill>
                    <w14:schemeClr w14:val="tx1"/>
                  </w14:solidFill>
                </w14:textFill>
              </w:rPr>
              <w:t>BPN</w:t>
            </w:r>
            <w:r>
              <w:rPr>
                <w:rFonts w:hint="eastAsia" w:ascii="宋体" w:hAnsi="宋体" w:cs="宋体"/>
                <w:color w:val="000000" w:themeColor="text1"/>
                <w:highlight w:val="none"/>
                <w14:textFill>
                  <w14:solidFill>
                    <w14:schemeClr w14:val="tx1"/>
                  </w14:solidFill>
                </w14:textFill>
              </w:rPr>
              <w:t>）</w:t>
            </w:r>
          </w:p>
        </w:tc>
        <w:tc>
          <w:tcPr>
            <w:tcW w:w="2012" w:type="dxa"/>
            <w:gridSpan w:val="2"/>
            <w:tcBorders>
              <w:bottom w:val="single" w:color="000000" w:sz="12" w:space="0"/>
            </w:tcBorders>
            <w:vAlign w:val="center"/>
          </w:tcPr>
          <w:p w14:paraId="6B5A5C6D">
            <w:pPr>
              <w:spacing w:line="440" w:lineRule="exact"/>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防滑标线</w:t>
            </w:r>
          </w:p>
        </w:tc>
        <w:tc>
          <w:tcPr>
            <w:tcW w:w="2011" w:type="dxa"/>
            <w:tcBorders>
              <w:bottom w:val="single" w:color="000000" w:sz="12" w:space="0"/>
            </w:tcBorders>
            <w:vAlign w:val="center"/>
          </w:tcPr>
          <w:p w14:paraId="66785699">
            <w:pPr>
              <w:spacing w:line="440" w:lineRule="exact"/>
              <w:rPr>
                <w:rFonts w:ascii="宋体"/>
                <w:color w:val="000000" w:themeColor="text1"/>
                <w:highlight w:val="none"/>
                <w14:textFill>
                  <w14:solidFill>
                    <w14:schemeClr w14:val="tx1"/>
                  </w14:solidFill>
                </w14:textFill>
              </w:rPr>
            </w:pPr>
            <w:r>
              <w:rPr>
                <w:rFonts w:hint="eastAsia" w:ascii="宋体" w:cs="宋体"/>
                <w:color w:val="000000" w:themeColor="text1"/>
                <w:highlight w:val="none"/>
                <w14:textFill>
                  <w14:solidFill>
                    <w14:schemeClr w14:val="tx1"/>
                  </w14:solidFill>
                </w14:textFill>
              </w:rPr>
              <w:t>≥</w:t>
            </w:r>
            <w:r>
              <w:rPr>
                <w:rFonts w:ascii="宋体" w:hAnsi="宋体" w:cs="宋体"/>
                <w:color w:val="000000" w:themeColor="text1"/>
                <w:highlight w:val="none"/>
                <w14:textFill>
                  <w14:solidFill>
                    <w14:schemeClr w14:val="tx1"/>
                  </w14:solidFill>
                </w14:textFill>
              </w:rPr>
              <w:t>45</w:t>
            </w:r>
          </w:p>
        </w:tc>
        <w:tc>
          <w:tcPr>
            <w:tcW w:w="2471" w:type="dxa"/>
            <w:tcBorders>
              <w:bottom w:val="single" w:color="000000" w:sz="12" w:space="0"/>
            </w:tcBorders>
            <w:vAlign w:val="center"/>
          </w:tcPr>
          <w:p w14:paraId="022A56EA">
            <w:pPr>
              <w:spacing w:line="440" w:lineRule="exact"/>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摆式摩擦系数测试仪：每</w:t>
            </w:r>
          </w:p>
          <w:p w14:paraId="3D7915C4">
            <w:pPr>
              <w:spacing w:line="440" w:lineRule="exact"/>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1km</w:t>
            </w:r>
            <w:r>
              <w:rPr>
                <w:rFonts w:hint="eastAsia" w:ascii="宋体" w:hAnsi="宋体" w:cs="宋体"/>
                <w:color w:val="000000" w:themeColor="text1"/>
                <w:highlight w:val="none"/>
                <w14:textFill>
                  <w14:solidFill>
                    <w14:schemeClr w14:val="tx1"/>
                  </w14:solidFill>
                </w14:textFill>
              </w:rPr>
              <w:t>测</w:t>
            </w:r>
            <w:r>
              <w:rPr>
                <w:rFonts w:ascii="宋体" w:hAnsi="宋体" w:cs="宋体"/>
                <w:color w:val="000000" w:themeColor="text1"/>
                <w:highlight w:val="none"/>
                <w14:textFill>
                  <w14:solidFill>
                    <w14:schemeClr w14:val="tx1"/>
                  </w14:solidFill>
                </w14:textFill>
              </w:rPr>
              <w:t>3</w:t>
            </w:r>
            <w:r>
              <w:rPr>
                <w:rFonts w:hint="eastAsia" w:ascii="宋体" w:hAnsi="宋体" w:cs="宋体"/>
                <w:color w:val="000000" w:themeColor="text1"/>
                <w:highlight w:val="none"/>
                <w14:textFill>
                  <w14:solidFill>
                    <w14:schemeClr w14:val="tx1"/>
                  </w14:solidFill>
                </w14:textFill>
              </w:rPr>
              <w:t>处</w:t>
            </w:r>
          </w:p>
        </w:tc>
      </w:tr>
    </w:tbl>
    <w:p w14:paraId="1597CDED">
      <w:pPr>
        <w:spacing w:line="440" w:lineRule="exact"/>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表</w:t>
      </w:r>
      <w:r>
        <w:rPr>
          <w:rFonts w:ascii="宋体" w:hAnsi="宋体" w:cs="宋体"/>
          <w:color w:val="000000" w:themeColor="text1"/>
          <w:highlight w:val="none"/>
          <w14:textFill>
            <w14:solidFill>
              <w14:schemeClr w14:val="tx1"/>
            </w14:solidFill>
          </w14:textFill>
        </w:rPr>
        <w:t xml:space="preserve">4 </w:t>
      </w:r>
      <w:r>
        <w:rPr>
          <w:rFonts w:hint="eastAsia" w:ascii="宋体" w:hAnsi="宋体" w:cs="宋体"/>
          <w:color w:val="000000" w:themeColor="text1"/>
          <w:highlight w:val="none"/>
          <w14:textFill>
            <w14:solidFill>
              <w14:schemeClr w14:val="tx1"/>
            </w14:solidFill>
          </w14:textFill>
        </w:rPr>
        <w:t>热熔标线逆反射亮度系数</w:t>
      </w:r>
      <w:r>
        <w:rPr>
          <w:rFonts w:ascii="宋体" w:hAnsi="宋体" w:cs="宋体"/>
          <w:color w:val="000000" w:themeColor="text1"/>
          <w:highlight w:val="none"/>
          <w14:textFill>
            <w14:solidFill>
              <w14:schemeClr w14:val="tx1"/>
            </w14:solidFill>
          </w14:textFill>
        </w:rPr>
        <w:t>RL</w:t>
      </w:r>
      <w:r>
        <w:rPr>
          <w:rFonts w:hint="eastAsia" w:ascii="宋体" w:hAnsi="宋体" w:cs="宋体"/>
          <w:color w:val="000000" w:themeColor="text1"/>
          <w:highlight w:val="none"/>
          <w14:textFill>
            <w14:solidFill>
              <w14:schemeClr w14:val="tx1"/>
            </w14:solidFill>
          </w14:textFill>
        </w:rPr>
        <w:t>技术要求</w:t>
      </w:r>
    </w:p>
    <w:tbl>
      <w:tblPr>
        <w:tblStyle w:val="59"/>
        <w:tblW w:w="8839" w:type="dxa"/>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
      <w:tblGrid>
        <w:gridCol w:w="2979"/>
        <w:gridCol w:w="3262"/>
        <w:gridCol w:w="2598"/>
      </w:tblGrid>
      <w:tr w14:paraId="5E9B304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66" w:hRule="atLeast"/>
          <w:jc w:val="center"/>
        </w:trPr>
        <w:tc>
          <w:tcPr>
            <w:tcW w:w="2979" w:type="dxa"/>
            <w:tcBorders>
              <w:top w:val="single" w:color="000000" w:sz="12" w:space="0"/>
            </w:tcBorders>
            <w:vAlign w:val="center"/>
          </w:tcPr>
          <w:p w14:paraId="7ED465CD">
            <w:pPr>
              <w:spacing w:line="440" w:lineRule="exact"/>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检测项目</w:t>
            </w:r>
          </w:p>
        </w:tc>
        <w:tc>
          <w:tcPr>
            <w:tcW w:w="3262" w:type="dxa"/>
            <w:tcBorders>
              <w:top w:val="single" w:color="000000" w:sz="12" w:space="0"/>
            </w:tcBorders>
            <w:vAlign w:val="center"/>
          </w:tcPr>
          <w:p w14:paraId="2B70485F">
            <w:pPr>
              <w:spacing w:line="440" w:lineRule="exact"/>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检测时间</w:t>
            </w:r>
          </w:p>
        </w:tc>
        <w:tc>
          <w:tcPr>
            <w:tcW w:w="2598" w:type="dxa"/>
            <w:tcBorders>
              <w:top w:val="single" w:color="000000" w:sz="12" w:space="0"/>
            </w:tcBorders>
            <w:vAlign w:val="center"/>
          </w:tcPr>
          <w:p w14:paraId="7D545D92">
            <w:pPr>
              <w:spacing w:line="440" w:lineRule="exact"/>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合格标准</w:t>
            </w:r>
          </w:p>
        </w:tc>
      </w:tr>
      <w:tr w14:paraId="1EB37B9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53" w:hRule="atLeast"/>
          <w:jc w:val="center"/>
        </w:trPr>
        <w:tc>
          <w:tcPr>
            <w:tcW w:w="2979" w:type="dxa"/>
            <w:vMerge w:val="restart"/>
            <w:vAlign w:val="center"/>
          </w:tcPr>
          <w:p w14:paraId="19346682">
            <w:pPr>
              <w:spacing w:line="440" w:lineRule="exact"/>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白色标线</w:t>
            </w:r>
            <w:r>
              <w:rPr>
                <w:rFonts w:ascii="宋体" w:hAnsi="宋体" w:cs="宋体"/>
                <w:color w:val="000000" w:themeColor="text1"/>
                <w:highlight w:val="none"/>
                <w14:textFill>
                  <w14:solidFill>
                    <w14:schemeClr w14:val="tx1"/>
                  </w14:solidFill>
                </w14:textFill>
              </w:rPr>
              <w:t>R</w:t>
            </w:r>
            <w:r>
              <w:rPr>
                <w:rFonts w:ascii="宋体" w:hAnsi="宋体" w:cs="宋体"/>
                <w:color w:val="000000" w:themeColor="text1"/>
                <w:highlight w:val="none"/>
                <w:vertAlign w:val="subscript"/>
                <w14:textFill>
                  <w14:solidFill>
                    <w14:schemeClr w14:val="tx1"/>
                  </w14:solidFill>
                </w14:textFill>
              </w:rPr>
              <w:t>L</w:t>
            </w:r>
            <w:r>
              <w:rPr>
                <w:rFonts w:hint="eastAsia" w:ascii="宋体" w:hAnsi="宋体" w:cs="宋体"/>
                <w:color w:val="000000" w:themeColor="text1"/>
                <w:highlight w:val="none"/>
                <w14:textFill>
                  <w14:solidFill>
                    <w14:schemeClr w14:val="tx1"/>
                  </w14:solidFill>
                </w14:textFill>
              </w:rPr>
              <w:t>（干态））</w:t>
            </w:r>
            <w:r>
              <w:rPr>
                <w:rFonts w:ascii="宋体" w:hAnsi="宋体" w:cs="宋体"/>
                <w:color w:val="000000" w:themeColor="text1"/>
                <w:highlight w:val="none"/>
                <w14:textFill>
                  <w14:solidFill>
                    <w14:schemeClr w14:val="tx1"/>
                  </w14:solidFill>
                </w14:textFill>
              </w:rPr>
              <w:t xml:space="preserve"> </w:t>
            </w:r>
          </w:p>
          <w:p w14:paraId="2DBE37EB">
            <w:pPr>
              <w:spacing w:line="440" w:lineRule="exact"/>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mcd</w:t>
            </w:r>
            <w:r>
              <w:rPr>
                <w:rFonts w:ascii="宋体"/>
                <w:color w:val="000000" w:themeColor="text1"/>
                <w:highlight w:val="none"/>
                <w14:textFill>
                  <w14:solidFill>
                    <w14:schemeClr w14:val="tx1"/>
                  </w14:solidFill>
                </w14:textFill>
              </w:rPr>
              <w:t>•</w:t>
            </w:r>
            <w:r>
              <w:rPr>
                <w:rFonts w:ascii="宋体" w:hAnsi="宋体" w:cs="宋体"/>
                <w:color w:val="000000" w:themeColor="text1"/>
                <w:highlight w:val="none"/>
                <w14:textFill>
                  <w14:solidFill>
                    <w14:schemeClr w14:val="tx1"/>
                  </w14:solidFill>
                </w14:textFill>
              </w:rPr>
              <w:t xml:space="preserve"> m</w:t>
            </w:r>
            <w:r>
              <w:rPr>
                <w:rFonts w:ascii="宋体" w:hAnsi="宋体" w:cs="宋体"/>
                <w:color w:val="000000" w:themeColor="text1"/>
                <w:highlight w:val="none"/>
                <w:vertAlign w:val="superscript"/>
                <w14:textFill>
                  <w14:solidFill>
                    <w14:schemeClr w14:val="tx1"/>
                  </w14:solidFill>
                </w14:textFill>
              </w:rPr>
              <w:t>-2</w:t>
            </w:r>
            <w:r>
              <w:rPr>
                <w:rFonts w:ascii="宋体"/>
                <w:color w:val="000000" w:themeColor="text1"/>
                <w:highlight w:val="none"/>
                <w14:textFill>
                  <w14:solidFill>
                    <w14:schemeClr w14:val="tx1"/>
                  </w14:solidFill>
                </w14:textFill>
              </w:rPr>
              <w:t>•</w:t>
            </w:r>
            <w:r>
              <w:rPr>
                <w:rFonts w:ascii="宋体" w:hAnsi="宋体" w:cs="宋体"/>
                <w:color w:val="000000" w:themeColor="text1"/>
                <w:highlight w:val="none"/>
                <w14:textFill>
                  <w14:solidFill>
                    <w14:schemeClr w14:val="tx1"/>
                  </w14:solidFill>
                </w14:textFill>
              </w:rPr>
              <w:t>lx</w:t>
            </w:r>
            <w:r>
              <w:rPr>
                <w:rFonts w:ascii="宋体" w:hAnsi="宋体" w:cs="宋体"/>
                <w:color w:val="000000" w:themeColor="text1"/>
                <w:highlight w:val="none"/>
                <w:vertAlign w:val="superscript"/>
                <w14:textFill>
                  <w14:solidFill>
                    <w14:schemeClr w14:val="tx1"/>
                  </w14:solidFill>
                </w14:textFill>
              </w:rPr>
              <w:t>-1</w:t>
            </w:r>
          </w:p>
        </w:tc>
        <w:tc>
          <w:tcPr>
            <w:tcW w:w="3262" w:type="dxa"/>
            <w:vAlign w:val="center"/>
          </w:tcPr>
          <w:p w14:paraId="0D2CEA14">
            <w:pPr>
              <w:spacing w:line="440" w:lineRule="exact"/>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交工验收前的任何时间</w:t>
            </w:r>
          </w:p>
        </w:tc>
        <w:tc>
          <w:tcPr>
            <w:tcW w:w="2598" w:type="dxa"/>
            <w:vAlign w:val="center"/>
          </w:tcPr>
          <w:p w14:paraId="582E2AF3">
            <w:pPr>
              <w:spacing w:line="440" w:lineRule="exact"/>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w:t>
            </w:r>
            <w:r>
              <w:rPr>
                <w:rFonts w:ascii="宋体" w:hAnsi="宋体" w:cs="宋体"/>
                <w:color w:val="000000" w:themeColor="text1"/>
                <w:highlight w:val="none"/>
                <w14:textFill>
                  <w14:solidFill>
                    <w14:schemeClr w14:val="tx1"/>
                  </w14:solidFill>
                </w14:textFill>
              </w:rPr>
              <w:t>15</w:t>
            </w:r>
            <w:r>
              <w:rPr>
                <w:rFonts w:ascii="宋体" w:cs="宋体"/>
                <w:color w:val="000000" w:themeColor="text1"/>
                <w:highlight w:val="none"/>
                <w14:textFill>
                  <w14:solidFill>
                    <w14:schemeClr w14:val="tx1"/>
                  </w14:solidFill>
                </w14:textFill>
              </w:rPr>
              <w:t>0</w:t>
            </w:r>
            <w:r>
              <w:rPr>
                <w:rFonts w:ascii="宋体" w:hAnsi="宋体" w:cs="宋体"/>
                <w:color w:val="000000" w:themeColor="text1"/>
                <w:highlight w:val="none"/>
                <w14:textFill>
                  <w14:solidFill>
                    <w14:schemeClr w14:val="tx1"/>
                  </w14:solidFill>
                </w14:textFill>
              </w:rPr>
              <w:t xml:space="preserve"> </w:t>
            </w:r>
          </w:p>
        </w:tc>
      </w:tr>
      <w:tr w14:paraId="3BB9D0E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35" w:hRule="atLeast"/>
          <w:jc w:val="center"/>
        </w:trPr>
        <w:tc>
          <w:tcPr>
            <w:tcW w:w="2979" w:type="dxa"/>
            <w:vMerge w:val="continue"/>
            <w:vAlign w:val="center"/>
          </w:tcPr>
          <w:p w14:paraId="3B808806">
            <w:pPr>
              <w:spacing w:line="440" w:lineRule="exact"/>
              <w:rPr>
                <w:rFonts w:ascii="宋体"/>
                <w:color w:val="000000" w:themeColor="text1"/>
                <w:highlight w:val="none"/>
                <w14:textFill>
                  <w14:solidFill>
                    <w14:schemeClr w14:val="tx1"/>
                  </w14:solidFill>
                </w14:textFill>
              </w:rPr>
            </w:pPr>
          </w:p>
        </w:tc>
        <w:tc>
          <w:tcPr>
            <w:tcW w:w="3262" w:type="dxa"/>
            <w:vAlign w:val="center"/>
          </w:tcPr>
          <w:p w14:paraId="5A99D017">
            <w:pPr>
              <w:spacing w:line="440" w:lineRule="exact"/>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正常使用一年后</w:t>
            </w:r>
          </w:p>
        </w:tc>
        <w:tc>
          <w:tcPr>
            <w:tcW w:w="2598" w:type="dxa"/>
            <w:vAlign w:val="center"/>
          </w:tcPr>
          <w:p w14:paraId="7E530D83">
            <w:pPr>
              <w:spacing w:line="440" w:lineRule="exact"/>
              <w:rPr>
                <w:rFonts w:asci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w:t>
            </w:r>
            <w:r>
              <w:rPr>
                <w:rFonts w:ascii="宋体" w:hAnsi="宋体" w:cs="宋体"/>
                <w:color w:val="000000" w:themeColor="text1"/>
                <w:highlight w:val="none"/>
                <w14:textFill>
                  <w14:solidFill>
                    <w14:schemeClr w14:val="tx1"/>
                  </w14:solidFill>
                </w14:textFill>
              </w:rPr>
              <w:t>8</w:t>
            </w:r>
            <w:r>
              <w:rPr>
                <w:rFonts w:ascii="宋体" w:cs="宋体"/>
                <w:color w:val="000000" w:themeColor="text1"/>
                <w:highlight w:val="none"/>
                <w14:textFill>
                  <w14:solidFill>
                    <w14:schemeClr w14:val="tx1"/>
                  </w14:solidFill>
                </w14:textFill>
              </w:rPr>
              <w:t>0</w:t>
            </w:r>
          </w:p>
        </w:tc>
      </w:tr>
      <w:tr w14:paraId="1D89B8C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53" w:hRule="atLeast"/>
          <w:jc w:val="center"/>
        </w:trPr>
        <w:tc>
          <w:tcPr>
            <w:tcW w:w="2979" w:type="dxa"/>
            <w:vMerge w:val="restart"/>
            <w:vAlign w:val="center"/>
          </w:tcPr>
          <w:p w14:paraId="7F1F271F">
            <w:pPr>
              <w:spacing w:line="440" w:lineRule="exact"/>
              <w:rPr>
                <w:rFonts w:ascii="宋体"/>
                <w:color w:val="000000" w:themeColor="text1"/>
                <w:highlight w:val="none"/>
                <w14:textFill>
                  <w14:solidFill>
                    <w14:schemeClr w14:val="tx1"/>
                  </w14:solidFill>
                </w14:textFill>
              </w:rPr>
            </w:pPr>
          </w:p>
          <w:p w14:paraId="7B0E3447">
            <w:pPr>
              <w:spacing w:line="440" w:lineRule="exact"/>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黄色标线</w:t>
            </w:r>
            <w:r>
              <w:rPr>
                <w:rFonts w:ascii="宋体" w:hAnsi="宋体" w:cs="宋体"/>
                <w:color w:val="000000" w:themeColor="text1"/>
                <w:highlight w:val="none"/>
                <w14:textFill>
                  <w14:solidFill>
                    <w14:schemeClr w14:val="tx1"/>
                  </w14:solidFill>
                </w14:textFill>
              </w:rPr>
              <w:t>RL</w:t>
            </w:r>
            <w:r>
              <w:rPr>
                <w:rFonts w:hint="eastAsia" w:ascii="宋体" w:hAnsi="宋体" w:cs="宋体"/>
                <w:color w:val="000000" w:themeColor="text1"/>
                <w:highlight w:val="none"/>
                <w14:textFill>
                  <w14:solidFill>
                    <w14:schemeClr w14:val="tx1"/>
                  </w14:solidFill>
                </w14:textFill>
              </w:rPr>
              <w:t>（干态））</w:t>
            </w:r>
            <w:r>
              <w:rPr>
                <w:rFonts w:ascii="宋体" w:hAnsi="宋体" w:cs="宋体"/>
                <w:color w:val="000000" w:themeColor="text1"/>
                <w:highlight w:val="none"/>
                <w14:textFill>
                  <w14:solidFill>
                    <w14:schemeClr w14:val="tx1"/>
                  </w14:solidFill>
                </w14:textFill>
              </w:rPr>
              <w:t xml:space="preserve"> </w:t>
            </w:r>
          </w:p>
          <w:p w14:paraId="1B5B7D6F">
            <w:pPr>
              <w:spacing w:line="440" w:lineRule="exact"/>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mcd</w:t>
            </w:r>
            <w:r>
              <w:rPr>
                <w:rFonts w:ascii="宋体"/>
                <w:color w:val="000000" w:themeColor="text1"/>
                <w:highlight w:val="none"/>
                <w14:textFill>
                  <w14:solidFill>
                    <w14:schemeClr w14:val="tx1"/>
                  </w14:solidFill>
                </w14:textFill>
              </w:rPr>
              <w:t>•</w:t>
            </w:r>
            <w:r>
              <w:rPr>
                <w:rFonts w:ascii="宋体" w:hAnsi="宋体" w:cs="宋体"/>
                <w:color w:val="000000" w:themeColor="text1"/>
                <w:highlight w:val="none"/>
                <w14:textFill>
                  <w14:solidFill>
                    <w14:schemeClr w14:val="tx1"/>
                  </w14:solidFill>
                </w14:textFill>
              </w:rPr>
              <w:t xml:space="preserve"> m-2</w:t>
            </w:r>
            <w:r>
              <w:rPr>
                <w:rFonts w:ascii="宋体"/>
                <w:color w:val="000000" w:themeColor="text1"/>
                <w:highlight w:val="none"/>
                <w14:textFill>
                  <w14:solidFill>
                    <w14:schemeClr w14:val="tx1"/>
                  </w14:solidFill>
                </w14:textFill>
              </w:rPr>
              <w:t>•</w:t>
            </w:r>
            <w:r>
              <w:rPr>
                <w:rFonts w:ascii="宋体" w:hAnsi="宋体" w:cs="宋体"/>
                <w:color w:val="000000" w:themeColor="text1"/>
                <w:highlight w:val="none"/>
                <w14:textFill>
                  <w14:solidFill>
                    <w14:schemeClr w14:val="tx1"/>
                  </w14:solidFill>
                </w14:textFill>
              </w:rPr>
              <w:t xml:space="preserve">lx-1 </w:t>
            </w:r>
          </w:p>
          <w:p w14:paraId="2AD470EB">
            <w:pPr>
              <w:spacing w:line="440" w:lineRule="exact"/>
              <w:rPr>
                <w:rFonts w:ascii="宋体"/>
                <w:color w:val="000000" w:themeColor="text1"/>
                <w:highlight w:val="none"/>
                <w14:textFill>
                  <w14:solidFill>
                    <w14:schemeClr w14:val="tx1"/>
                  </w14:solidFill>
                </w14:textFill>
              </w:rPr>
            </w:pPr>
          </w:p>
        </w:tc>
        <w:tc>
          <w:tcPr>
            <w:tcW w:w="3262" w:type="dxa"/>
            <w:vAlign w:val="center"/>
          </w:tcPr>
          <w:p w14:paraId="34CB9983">
            <w:pPr>
              <w:spacing w:line="440" w:lineRule="exact"/>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交工验收前的任何时间</w:t>
            </w:r>
          </w:p>
        </w:tc>
        <w:tc>
          <w:tcPr>
            <w:tcW w:w="2598" w:type="dxa"/>
            <w:vAlign w:val="center"/>
          </w:tcPr>
          <w:p w14:paraId="0FF83B25">
            <w:pPr>
              <w:spacing w:line="440" w:lineRule="exact"/>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w:t>
            </w:r>
            <w:r>
              <w:rPr>
                <w:rFonts w:ascii="宋体" w:hAnsi="宋体" w:cs="宋体"/>
                <w:color w:val="000000" w:themeColor="text1"/>
                <w:highlight w:val="none"/>
                <w14:textFill>
                  <w14:solidFill>
                    <w14:schemeClr w14:val="tx1"/>
                  </w14:solidFill>
                </w14:textFill>
              </w:rPr>
              <w:t>100</w:t>
            </w:r>
          </w:p>
        </w:tc>
      </w:tr>
      <w:tr w14:paraId="4C04AB7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1474" w:hRule="atLeast"/>
          <w:jc w:val="center"/>
        </w:trPr>
        <w:tc>
          <w:tcPr>
            <w:tcW w:w="2979" w:type="dxa"/>
            <w:vMerge w:val="continue"/>
            <w:tcBorders>
              <w:bottom w:val="single" w:color="000000" w:sz="12" w:space="0"/>
            </w:tcBorders>
            <w:vAlign w:val="center"/>
          </w:tcPr>
          <w:p w14:paraId="68C00177">
            <w:pPr>
              <w:spacing w:line="440" w:lineRule="exact"/>
              <w:rPr>
                <w:rFonts w:ascii="宋体"/>
                <w:color w:val="000000" w:themeColor="text1"/>
                <w:highlight w:val="none"/>
                <w14:textFill>
                  <w14:solidFill>
                    <w14:schemeClr w14:val="tx1"/>
                  </w14:solidFill>
                </w14:textFill>
              </w:rPr>
            </w:pPr>
          </w:p>
        </w:tc>
        <w:tc>
          <w:tcPr>
            <w:tcW w:w="3262" w:type="dxa"/>
            <w:tcBorders>
              <w:bottom w:val="single" w:color="000000" w:sz="12" w:space="0"/>
            </w:tcBorders>
            <w:vAlign w:val="center"/>
          </w:tcPr>
          <w:p w14:paraId="089327BA">
            <w:pPr>
              <w:spacing w:line="440" w:lineRule="exact"/>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正常使用一年后</w:t>
            </w:r>
          </w:p>
        </w:tc>
        <w:tc>
          <w:tcPr>
            <w:tcW w:w="2598" w:type="dxa"/>
            <w:tcBorders>
              <w:bottom w:val="single" w:color="000000" w:sz="12" w:space="0"/>
            </w:tcBorders>
            <w:vAlign w:val="center"/>
          </w:tcPr>
          <w:p w14:paraId="014E0899">
            <w:pPr>
              <w:spacing w:line="440" w:lineRule="exact"/>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w:t>
            </w:r>
            <w:r>
              <w:rPr>
                <w:rFonts w:ascii="宋体" w:hAnsi="宋体" w:cs="宋体"/>
                <w:color w:val="000000" w:themeColor="text1"/>
                <w:highlight w:val="none"/>
                <w14:textFill>
                  <w14:solidFill>
                    <w14:schemeClr w14:val="tx1"/>
                  </w14:solidFill>
                </w14:textFill>
              </w:rPr>
              <w:t>50</w:t>
            </w:r>
          </w:p>
        </w:tc>
      </w:tr>
    </w:tbl>
    <w:p w14:paraId="795AF24D">
      <w:pPr>
        <w:spacing w:line="440" w:lineRule="exac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5.</w:t>
      </w:r>
      <w:r>
        <w:rPr>
          <w:rFonts w:hint="eastAsia" w:ascii="宋体" w:hAnsi="宋体" w:cs="宋体"/>
          <w:b/>
          <w:bCs/>
          <w:color w:val="000000" w:themeColor="text1"/>
          <w:sz w:val="24"/>
          <w:szCs w:val="24"/>
          <w:highlight w:val="none"/>
          <w14:textFill>
            <w14:solidFill>
              <w14:schemeClr w14:val="tx1"/>
            </w14:solidFill>
          </w14:textFill>
        </w:rPr>
        <w:t>交（竣）工验收前对标线质量（包括逆反射亮度系数）进行验证性检测，白色反光标线的逆反射亮度系数不得低于80mcd.m-2.lx-1，黄色反光标线的逆反射亮度系数不得低于 50mcd.m-2.lx-1。不满足的，一律返工处理。</w:t>
      </w:r>
    </w:p>
    <w:p w14:paraId="0D060A4E">
      <w:pPr>
        <w:pStyle w:val="21"/>
        <w:rPr>
          <w:rFonts w:ascii="黑体" w:hAnsi="Calibri"/>
          <w:color w:val="000000" w:themeColor="text1"/>
          <w:sz w:val="20"/>
          <w:szCs w:val="20"/>
          <w:highlight w:val="none"/>
          <w14:textFill>
            <w14:solidFill>
              <w14:schemeClr w14:val="tx1"/>
            </w14:solidFill>
          </w14:textFill>
        </w:rPr>
      </w:pPr>
    </w:p>
    <w:p w14:paraId="03B2A599">
      <w:pPr>
        <w:rPr>
          <w:color w:val="000000" w:themeColor="text1"/>
          <w:highlight w:val="none"/>
          <w14:textFill>
            <w14:solidFill>
              <w14:schemeClr w14:val="tx1"/>
            </w14:solidFill>
          </w14:textFill>
        </w:rPr>
      </w:pPr>
    </w:p>
    <w:p w14:paraId="340B6CF7">
      <w:pPr>
        <w:autoSpaceDE w:val="0"/>
        <w:autoSpaceDN w:val="0"/>
        <w:spacing w:line="440" w:lineRule="exact"/>
        <w:ind w:right="-20" w:firstLine="249" w:firstLineChars="118"/>
        <w:jc w:val="left"/>
        <w:rPr>
          <w:rFonts w:ascii="宋体"/>
          <w:b/>
          <w:bCs/>
          <w:color w:val="000000" w:themeColor="text1"/>
          <w:kern w:val="0"/>
          <w:highlight w:val="none"/>
          <w:lang w:val="zh-CN"/>
          <w14:textFill>
            <w14:solidFill>
              <w14:schemeClr w14:val="tx1"/>
            </w14:solidFill>
          </w14:textFill>
        </w:rPr>
      </w:pPr>
    </w:p>
    <w:p w14:paraId="305C2E21">
      <w:pPr>
        <w:pStyle w:val="21"/>
        <w:rPr>
          <w:rFonts w:ascii="黑体" w:hAnsi="Calibri"/>
          <w:color w:val="000000" w:themeColor="text1"/>
          <w:highlight w:val="none"/>
          <w14:textFill>
            <w14:solidFill>
              <w14:schemeClr w14:val="tx1"/>
            </w14:solidFill>
          </w14:textFill>
        </w:rPr>
      </w:pPr>
    </w:p>
    <w:p w14:paraId="60CBDC5E">
      <w:pPr>
        <w:rPr>
          <w:color w:val="000000" w:themeColor="text1"/>
          <w:highlight w:val="none"/>
          <w14:textFill>
            <w14:solidFill>
              <w14:schemeClr w14:val="tx1"/>
            </w14:solidFill>
          </w14:textFill>
        </w:rPr>
      </w:pPr>
    </w:p>
    <w:p w14:paraId="4904D99A">
      <w:pPr>
        <w:rPr>
          <w:color w:val="000000" w:themeColor="text1"/>
          <w:highlight w:val="none"/>
          <w14:textFill>
            <w14:solidFill>
              <w14:schemeClr w14:val="tx1"/>
            </w14:solidFill>
          </w14:textFill>
        </w:rPr>
      </w:pPr>
    </w:p>
    <w:p w14:paraId="56DB1005">
      <w:pPr>
        <w:rPr>
          <w:color w:val="000000" w:themeColor="text1"/>
          <w:highlight w:val="none"/>
          <w14:textFill>
            <w14:solidFill>
              <w14:schemeClr w14:val="tx1"/>
            </w14:solidFill>
          </w14:textFill>
        </w:rPr>
      </w:pPr>
    </w:p>
    <w:p w14:paraId="5C78178C">
      <w:pPr>
        <w:rPr>
          <w:color w:val="000000" w:themeColor="text1"/>
          <w:highlight w:val="none"/>
          <w14:textFill>
            <w14:solidFill>
              <w14:schemeClr w14:val="tx1"/>
            </w14:solidFill>
          </w14:textFill>
        </w:rPr>
      </w:pPr>
    </w:p>
    <w:p w14:paraId="1B663E20">
      <w:pPr>
        <w:rPr>
          <w:color w:val="000000" w:themeColor="text1"/>
          <w:highlight w:val="none"/>
          <w14:textFill>
            <w14:solidFill>
              <w14:schemeClr w14:val="tx1"/>
            </w14:solidFill>
          </w14:textFill>
        </w:rPr>
      </w:pPr>
    </w:p>
    <w:p w14:paraId="44DE3A7C">
      <w:pPr>
        <w:rPr>
          <w:color w:val="000000" w:themeColor="text1"/>
          <w:highlight w:val="none"/>
          <w14:textFill>
            <w14:solidFill>
              <w14:schemeClr w14:val="tx1"/>
            </w14:solidFill>
          </w14:textFill>
        </w:rPr>
      </w:pPr>
    </w:p>
    <w:p w14:paraId="0AE62782">
      <w:pPr>
        <w:rPr>
          <w:color w:val="000000" w:themeColor="text1"/>
          <w:highlight w:val="none"/>
          <w14:textFill>
            <w14:solidFill>
              <w14:schemeClr w14:val="tx1"/>
            </w14:solidFill>
          </w14:textFill>
        </w:rPr>
      </w:pPr>
    </w:p>
    <w:p w14:paraId="60652D64">
      <w:pPr>
        <w:rPr>
          <w:color w:val="000000" w:themeColor="text1"/>
          <w:highlight w:val="none"/>
          <w14:textFill>
            <w14:solidFill>
              <w14:schemeClr w14:val="tx1"/>
            </w14:solidFill>
          </w14:textFill>
        </w:rPr>
      </w:pPr>
    </w:p>
    <w:p w14:paraId="3405C6AE">
      <w:pPr>
        <w:rPr>
          <w:color w:val="000000" w:themeColor="text1"/>
          <w:highlight w:val="none"/>
          <w14:textFill>
            <w14:solidFill>
              <w14:schemeClr w14:val="tx1"/>
            </w14:solidFill>
          </w14:textFill>
        </w:rPr>
      </w:pPr>
    </w:p>
    <w:p w14:paraId="7AD1587A">
      <w:pPr>
        <w:rPr>
          <w:color w:val="000000" w:themeColor="text1"/>
          <w:highlight w:val="none"/>
          <w14:textFill>
            <w14:solidFill>
              <w14:schemeClr w14:val="tx1"/>
            </w14:solidFill>
          </w14:textFill>
        </w:rPr>
      </w:pPr>
    </w:p>
    <w:p w14:paraId="4C049E3C">
      <w:pPr>
        <w:rPr>
          <w:color w:val="000000" w:themeColor="text1"/>
          <w:highlight w:val="none"/>
          <w14:textFill>
            <w14:solidFill>
              <w14:schemeClr w14:val="tx1"/>
            </w14:solidFill>
          </w14:textFill>
        </w:rPr>
      </w:pPr>
    </w:p>
    <w:p w14:paraId="2CF559DA">
      <w:pPr>
        <w:rPr>
          <w:color w:val="000000" w:themeColor="text1"/>
          <w:highlight w:val="none"/>
          <w14:textFill>
            <w14:solidFill>
              <w14:schemeClr w14:val="tx1"/>
            </w14:solidFill>
          </w14:textFill>
        </w:rPr>
      </w:pPr>
    </w:p>
    <w:p w14:paraId="4C90B76E">
      <w:pPr>
        <w:rPr>
          <w:color w:val="000000" w:themeColor="text1"/>
          <w:highlight w:val="none"/>
          <w14:textFill>
            <w14:solidFill>
              <w14:schemeClr w14:val="tx1"/>
            </w14:solidFill>
          </w14:textFill>
        </w:rPr>
      </w:pPr>
    </w:p>
    <w:p w14:paraId="0F54DB94">
      <w:pPr>
        <w:rPr>
          <w:color w:val="000000" w:themeColor="text1"/>
          <w:highlight w:val="none"/>
          <w14:textFill>
            <w14:solidFill>
              <w14:schemeClr w14:val="tx1"/>
            </w14:solidFill>
          </w14:textFill>
        </w:rPr>
      </w:pPr>
    </w:p>
    <w:p w14:paraId="43F72FAA">
      <w:pPr>
        <w:rPr>
          <w:color w:val="000000" w:themeColor="text1"/>
          <w:highlight w:val="none"/>
          <w14:textFill>
            <w14:solidFill>
              <w14:schemeClr w14:val="tx1"/>
            </w14:solidFill>
          </w14:textFill>
        </w:rPr>
      </w:pPr>
    </w:p>
    <w:p w14:paraId="39D52CF6">
      <w:pPr>
        <w:rPr>
          <w:color w:val="000000" w:themeColor="text1"/>
          <w:highlight w:val="none"/>
          <w14:textFill>
            <w14:solidFill>
              <w14:schemeClr w14:val="tx1"/>
            </w14:solidFill>
          </w14:textFill>
        </w:rPr>
      </w:pPr>
    </w:p>
    <w:p w14:paraId="0EA14046">
      <w:pPr>
        <w:rPr>
          <w:color w:val="000000" w:themeColor="text1"/>
          <w:highlight w:val="none"/>
          <w14:textFill>
            <w14:solidFill>
              <w14:schemeClr w14:val="tx1"/>
            </w14:solidFill>
          </w14:textFill>
        </w:rPr>
      </w:pPr>
    </w:p>
    <w:p w14:paraId="323CFF93">
      <w:pPr>
        <w:rPr>
          <w:color w:val="000000" w:themeColor="text1"/>
          <w:highlight w:val="none"/>
          <w14:textFill>
            <w14:solidFill>
              <w14:schemeClr w14:val="tx1"/>
            </w14:solidFill>
          </w14:textFill>
        </w:rPr>
      </w:pPr>
    </w:p>
    <w:p w14:paraId="63F43890">
      <w:pPr>
        <w:rPr>
          <w:color w:val="000000" w:themeColor="text1"/>
          <w:highlight w:val="none"/>
          <w14:textFill>
            <w14:solidFill>
              <w14:schemeClr w14:val="tx1"/>
            </w14:solidFill>
          </w14:textFill>
        </w:rPr>
      </w:pPr>
    </w:p>
    <w:p w14:paraId="7FCA3E02">
      <w:pPr>
        <w:rPr>
          <w:color w:val="000000" w:themeColor="text1"/>
          <w:highlight w:val="none"/>
          <w14:textFill>
            <w14:solidFill>
              <w14:schemeClr w14:val="tx1"/>
            </w14:solidFill>
          </w14:textFill>
        </w:rPr>
      </w:pPr>
    </w:p>
    <w:p w14:paraId="685FAC4A">
      <w:pPr>
        <w:rPr>
          <w:color w:val="000000" w:themeColor="text1"/>
          <w:highlight w:val="none"/>
          <w14:textFill>
            <w14:solidFill>
              <w14:schemeClr w14:val="tx1"/>
            </w14:solidFill>
          </w14:textFill>
        </w:rPr>
      </w:pPr>
    </w:p>
    <w:p w14:paraId="23E1E693">
      <w:pPr>
        <w:pStyle w:val="2"/>
        <w:spacing w:before="300" w:after="310" w:line="240" w:lineRule="auto"/>
        <w:jc w:val="center"/>
        <w:rPr>
          <w:rFonts w:ascii="宋体"/>
          <w:color w:val="000000" w:themeColor="text1"/>
          <w:highlight w:val="none"/>
          <w14:textFill>
            <w14:solidFill>
              <w14:schemeClr w14:val="tx1"/>
            </w14:solidFill>
          </w14:textFill>
        </w:rPr>
      </w:pPr>
      <w:bookmarkStart w:id="81" w:name="_Toc4516"/>
      <w:r>
        <w:rPr>
          <w:rFonts w:hint="eastAsia" w:ascii="宋体" w:hAnsi="宋体" w:cs="宋体"/>
          <w:color w:val="000000" w:themeColor="text1"/>
          <w:highlight w:val="none"/>
          <w14:textFill>
            <w14:solidFill>
              <w14:schemeClr w14:val="tx1"/>
            </w14:solidFill>
          </w14:textFill>
        </w:rPr>
        <w:t>第四章</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评审程序、评审方法和评审标准</w:t>
      </w:r>
      <w:bookmarkEnd w:id="81"/>
    </w:p>
    <w:p w14:paraId="565E09E1">
      <w:pPr>
        <w:spacing w:line="360" w:lineRule="auto"/>
        <w:jc w:val="left"/>
        <w:rPr>
          <w:rFonts w:ascii="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32"/>
          <w:szCs w:val="32"/>
          <w:highlight w:val="none"/>
          <w14:textFill>
            <w14:solidFill>
              <w14:schemeClr w14:val="tx1"/>
            </w14:solidFill>
          </w14:textFill>
        </w:rPr>
        <w:t>一、评审程序和评审方法</w:t>
      </w:r>
    </w:p>
    <w:p w14:paraId="2F04D20D">
      <w:pPr>
        <w:spacing w:line="360" w:lineRule="auto"/>
        <w:ind w:firstLine="482" w:firstLineChars="200"/>
        <w:rPr>
          <w:rFonts w:ascii="宋体"/>
          <w:b/>
          <w:bCs/>
          <w:color w:val="000000" w:themeColor="text1"/>
          <w:sz w:val="24"/>
          <w:szCs w:val="24"/>
          <w:highlight w:val="none"/>
          <w14:textFill>
            <w14:solidFill>
              <w14:schemeClr w14:val="tx1"/>
            </w14:solidFill>
          </w14:textFill>
        </w:rPr>
      </w:pPr>
      <w:r>
        <w:rPr>
          <w:rFonts w:ascii="宋体" w:hAnsi="宋体" w:cs="宋体"/>
          <w:b/>
          <w:bCs/>
          <w:color w:val="000000" w:themeColor="text1"/>
          <w:sz w:val="24"/>
          <w:szCs w:val="24"/>
          <w:highlight w:val="none"/>
          <w14:textFill>
            <w14:solidFill>
              <w14:schemeClr w14:val="tx1"/>
            </w14:solidFill>
          </w14:textFill>
        </w:rPr>
        <w:t>1.</w:t>
      </w:r>
      <w:r>
        <w:rPr>
          <w:rFonts w:hint="eastAsia" w:ascii="宋体" w:hAnsi="宋体" w:cs="宋体"/>
          <w:b/>
          <w:bCs/>
          <w:color w:val="000000" w:themeColor="text1"/>
          <w:sz w:val="24"/>
          <w:szCs w:val="24"/>
          <w:highlight w:val="none"/>
          <w14:textFill>
            <w14:solidFill>
              <w14:schemeClr w14:val="tx1"/>
            </w14:solidFill>
          </w14:textFill>
        </w:rPr>
        <w:t>资格审查</w:t>
      </w:r>
    </w:p>
    <w:p w14:paraId="528AC7C9">
      <w:pPr>
        <w:snapToGrid w:val="0"/>
        <w:spacing w:line="360" w:lineRule="auto"/>
        <w:ind w:firstLine="480" w:firstLineChars="200"/>
        <w:rPr>
          <w:rFonts w:ascii="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1.1</w:t>
      </w:r>
      <w:r>
        <w:rPr>
          <w:rFonts w:hint="eastAsia" w:ascii="宋体" w:hAnsi="宋体" w:cs="宋体"/>
          <w:color w:val="000000" w:themeColor="text1"/>
          <w:sz w:val="24"/>
          <w:szCs w:val="24"/>
          <w:highlight w:val="none"/>
          <w14:textFill>
            <w14:solidFill>
              <w14:schemeClr w14:val="tx1"/>
            </w14:solidFill>
          </w14:textFill>
        </w:rPr>
        <w:t>响应文件开启后，磋商小组依法对供应商的资格证明文件进行审查。</w:t>
      </w:r>
    </w:p>
    <w:p w14:paraId="616D006E">
      <w:pPr>
        <w:snapToGrid w:val="0"/>
        <w:spacing w:line="360" w:lineRule="auto"/>
        <w:ind w:firstLine="480" w:firstLineChars="200"/>
        <w:jc w:val="left"/>
        <w:rPr>
          <w:rFonts w:ascii="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w:t>
      </w:r>
      <w:r>
        <w:rPr>
          <w:rFonts w:ascii="宋体" w:hAnsi="宋体" w:cs="宋体"/>
          <w:color w:val="000000" w:themeColor="text1"/>
          <w:sz w:val="24"/>
          <w:szCs w:val="24"/>
          <w:highlight w:val="none"/>
          <w14:textFill>
            <w14:solidFill>
              <w14:schemeClr w14:val="tx1"/>
            </w14:solidFill>
          </w14:textFill>
        </w:rPr>
        <w:t>1</w:t>
      </w:r>
      <w:r>
        <w:rPr>
          <w:rFonts w:hint="eastAsia" w:ascii="宋体" w:hAnsi="宋体" w:cs="宋体"/>
          <w:color w:val="000000" w:themeColor="text1"/>
          <w:sz w:val="24"/>
          <w:szCs w:val="24"/>
          <w:highlight w:val="none"/>
          <w14:textFill>
            <w14:solidFill>
              <w14:schemeClr w14:val="tx1"/>
            </w14:solidFill>
          </w14:textFill>
        </w:rPr>
        <w:t>）查询渠道：“信用中国”网站（</w:t>
      </w:r>
      <w:r>
        <w:rPr>
          <w:rFonts w:ascii="宋体" w:hAnsi="宋体" w:cs="宋体"/>
          <w:color w:val="000000" w:themeColor="text1"/>
          <w:sz w:val="24"/>
          <w:szCs w:val="24"/>
          <w:highlight w:val="none"/>
          <w14:textFill>
            <w14:solidFill>
              <w14:schemeClr w14:val="tx1"/>
            </w14:solidFill>
          </w14:textFill>
        </w:rPr>
        <w:t>www.creditchina.gov.cn</w:t>
      </w:r>
      <w:r>
        <w:rPr>
          <w:rFonts w:hint="eastAsia" w:ascii="宋体" w:hAnsi="宋体" w:cs="宋体"/>
          <w:color w:val="000000" w:themeColor="text1"/>
          <w:sz w:val="24"/>
          <w:szCs w:val="24"/>
          <w:highlight w:val="none"/>
          <w14:textFill>
            <w14:solidFill>
              <w14:schemeClr w14:val="tx1"/>
            </w14:solidFill>
          </w14:textFill>
        </w:rPr>
        <w:t>）、中国政府采购网（</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"http://www.ccgp.gov.cn" </w:instrText>
      </w:r>
      <w:r>
        <w:rPr>
          <w:color w:val="000000" w:themeColor="text1"/>
          <w:highlight w:val="none"/>
          <w14:textFill>
            <w14:solidFill>
              <w14:schemeClr w14:val="tx1"/>
            </w14:solidFill>
          </w14:textFill>
        </w:rPr>
        <w:fldChar w:fldCharType="separate"/>
      </w:r>
      <w:r>
        <w:rPr>
          <w:rFonts w:ascii="宋体" w:hAnsi="宋体" w:cs="宋体"/>
          <w:color w:val="000000" w:themeColor="text1"/>
          <w:sz w:val="24"/>
          <w:szCs w:val="24"/>
          <w:highlight w:val="none"/>
          <w14:textFill>
            <w14:solidFill>
              <w14:schemeClr w14:val="tx1"/>
            </w14:solidFill>
          </w14:textFill>
        </w:rPr>
        <w:t>www.ccgp.gov.cn</w:t>
      </w:r>
      <w:r>
        <w:rPr>
          <w:rFonts w:ascii="宋体" w:hAnsi="宋体" w:cs="宋体"/>
          <w:color w:val="000000" w:themeColor="text1"/>
          <w:sz w:val="24"/>
          <w:szCs w:val="24"/>
          <w:highlight w:val="none"/>
          <w14:textFill>
            <w14:solidFill>
              <w14:schemeClr w14:val="tx1"/>
            </w14:solidFill>
          </w14:textFill>
        </w:rPr>
        <w:fldChar w:fldCharType="end"/>
      </w:r>
      <w:r>
        <w:rPr>
          <w:rFonts w:hint="eastAsia" w:ascii="宋体" w:hAnsi="宋体" w:cs="宋体"/>
          <w:color w:val="000000" w:themeColor="text1"/>
          <w:sz w:val="24"/>
          <w:szCs w:val="24"/>
          <w:highlight w:val="none"/>
          <w14:textFill>
            <w14:solidFill>
              <w14:schemeClr w14:val="tx1"/>
            </w14:solidFill>
          </w14:textFill>
        </w:rPr>
        <w:t>）</w:t>
      </w:r>
    </w:p>
    <w:p w14:paraId="698FB4F3">
      <w:pPr>
        <w:snapToGrid w:val="0"/>
        <w:spacing w:line="360" w:lineRule="auto"/>
        <w:ind w:firstLine="480" w:firstLineChars="200"/>
        <w:jc w:val="left"/>
        <w:rPr>
          <w:rFonts w:ascii="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w:t>
      </w:r>
      <w:r>
        <w:rPr>
          <w:rFonts w:ascii="宋体" w:hAnsi="宋体" w:cs="宋体"/>
          <w:color w:val="000000" w:themeColor="text1"/>
          <w:sz w:val="24"/>
          <w:szCs w:val="24"/>
          <w:highlight w:val="none"/>
          <w14:textFill>
            <w14:solidFill>
              <w14:schemeClr w14:val="tx1"/>
            </w14:solidFill>
          </w14:textFill>
        </w:rPr>
        <w:t>2</w:t>
      </w:r>
      <w:r>
        <w:rPr>
          <w:rFonts w:hint="eastAsia" w:ascii="宋体" w:hAnsi="宋体" w:cs="宋体"/>
          <w:color w:val="000000" w:themeColor="text1"/>
          <w:sz w:val="24"/>
          <w:szCs w:val="24"/>
          <w:highlight w:val="none"/>
          <w14:textFill>
            <w14:solidFill>
              <w14:schemeClr w14:val="tx1"/>
            </w14:solidFill>
          </w14:textFill>
        </w:rPr>
        <w:t>）信用查询截止时点：资格审查结束前</w:t>
      </w:r>
    </w:p>
    <w:p w14:paraId="39574A29">
      <w:pPr>
        <w:snapToGrid w:val="0"/>
        <w:spacing w:line="360" w:lineRule="auto"/>
        <w:ind w:firstLine="480" w:firstLineChars="200"/>
        <w:jc w:val="left"/>
        <w:rPr>
          <w:rFonts w:ascii="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w:t>
      </w:r>
      <w:r>
        <w:rPr>
          <w:rFonts w:ascii="宋体" w:hAnsi="宋体" w:cs="宋体"/>
          <w:color w:val="000000" w:themeColor="text1"/>
          <w:sz w:val="24"/>
          <w:szCs w:val="24"/>
          <w:highlight w:val="none"/>
          <w14:textFill>
            <w14:solidFill>
              <w14:schemeClr w14:val="tx1"/>
            </w14:solidFill>
          </w14:textFill>
        </w:rPr>
        <w:t>3</w:t>
      </w:r>
      <w:r>
        <w:rPr>
          <w:rFonts w:hint="eastAsia" w:ascii="宋体" w:hAnsi="宋体" w:cs="宋体"/>
          <w:color w:val="000000" w:themeColor="text1"/>
          <w:sz w:val="24"/>
          <w:szCs w:val="24"/>
          <w:highlight w:val="none"/>
          <w14:textFill>
            <w14:solidFill>
              <w14:schemeClr w14:val="tx1"/>
            </w14:solidFill>
          </w14:textFill>
        </w:rPr>
        <w:t>）查询记录和证据留存方式：通过政采云平台链接到相关查询网站进行查询及记录。</w:t>
      </w:r>
    </w:p>
    <w:p w14:paraId="2E4AB33F">
      <w:pPr>
        <w:snapToGrid w:val="0"/>
        <w:spacing w:line="360" w:lineRule="auto"/>
        <w:ind w:firstLine="480" w:firstLineChars="200"/>
        <w:jc w:val="left"/>
        <w:rPr>
          <w:rFonts w:ascii="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w:t>
      </w:r>
      <w:r>
        <w:rPr>
          <w:rFonts w:ascii="宋体" w:hAnsi="宋体" w:cs="宋体"/>
          <w:color w:val="000000" w:themeColor="text1"/>
          <w:sz w:val="24"/>
          <w:szCs w:val="24"/>
          <w:highlight w:val="none"/>
          <w14:textFill>
            <w14:solidFill>
              <w14:schemeClr w14:val="tx1"/>
            </w14:solidFill>
          </w14:textFill>
        </w:rPr>
        <w:t>4</w:t>
      </w:r>
      <w:r>
        <w:rPr>
          <w:rFonts w:hint="eastAsia" w:ascii="宋体" w:hAnsi="宋体" w:cs="宋体"/>
          <w:color w:val="000000" w:themeColor="text1"/>
          <w:sz w:val="24"/>
          <w:szCs w:val="24"/>
          <w:highlight w:val="none"/>
          <w14:textFill>
            <w14:solidFill>
              <w14:schemeClr w14:val="tx1"/>
            </w14:solidFill>
          </w14:textFill>
        </w:rPr>
        <w:t>）信用信息使用规则：根据财政部《关于在政府采购活动中查询及使用信用记录有关问题的通知》（财库〔</w:t>
      </w:r>
      <w:r>
        <w:rPr>
          <w:rFonts w:ascii="宋体" w:hAnsi="宋体" w:cs="宋体"/>
          <w:color w:val="000000" w:themeColor="text1"/>
          <w:sz w:val="24"/>
          <w:szCs w:val="24"/>
          <w:highlight w:val="none"/>
          <w14:textFill>
            <w14:solidFill>
              <w14:schemeClr w14:val="tx1"/>
            </w14:solidFill>
          </w14:textFill>
        </w:rPr>
        <w:t>2016</w:t>
      </w:r>
      <w:r>
        <w:rPr>
          <w:rFonts w:hint="eastAsia" w:ascii="宋体" w:hAnsi="宋体" w:cs="宋体"/>
          <w:color w:val="000000" w:themeColor="text1"/>
          <w:sz w:val="24"/>
          <w:szCs w:val="24"/>
          <w:highlight w:val="none"/>
          <w14:textFill>
            <w14:solidFill>
              <w14:schemeClr w14:val="tx1"/>
            </w14:solidFill>
          </w14:textFill>
        </w:rPr>
        <w:t>〕</w:t>
      </w:r>
      <w:r>
        <w:rPr>
          <w:rFonts w:ascii="宋体" w:hAnsi="宋体" w:cs="宋体"/>
          <w:color w:val="000000" w:themeColor="text1"/>
          <w:sz w:val="24"/>
          <w:szCs w:val="24"/>
          <w:highlight w:val="none"/>
          <w14:textFill>
            <w14:solidFill>
              <w14:schemeClr w14:val="tx1"/>
            </w14:solidFill>
          </w14:textFill>
        </w:rPr>
        <w:t>125</w:t>
      </w:r>
      <w:r>
        <w:rPr>
          <w:rFonts w:hint="eastAsia" w:ascii="宋体" w:hAnsi="宋体" w:cs="宋体"/>
          <w:color w:val="000000" w:themeColor="text1"/>
          <w:sz w:val="24"/>
          <w:szCs w:val="24"/>
          <w:highlight w:val="none"/>
          <w14:textFill>
            <w14:solidFill>
              <w14:schemeClr w14:val="tx1"/>
            </w14:solidFill>
          </w14:textFill>
        </w:rPr>
        <w:t>号）的规定，对在“信用中国”网站</w:t>
      </w:r>
      <w:r>
        <w:rPr>
          <w:rFonts w:ascii="宋体" w:hAnsi="宋体" w:cs="宋体"/>
          <w:color w:val="000000" w:themeColor="text1"/>
          <w:sz w:val="24"/>
          <w:szCs w:val="24"/>
          <w:highlight w:val="none"/>
          <w14:textFill>
            <w14:solidFill>
              <w14:schemeClr w14:val="tx1"/>
            </w14:solidFill>
          </w14:textFill>
        </w:rPr>
        <w:t xml:space="preserve">(www.creditchina.gov.cn) </w:t>
      </w:r>
      <w:r>
        <w:rPr>
          <w:rFonts w:hint="eastAsia" w:ascii="宋体" w:hAnsi="宋体" w:cs="宋体"/>
          <w:color w:val="000000" w:themeColor="text1"/>
          <w:sz w:val="24"/>
          <w:szCs w:val="24"/>
          <w:highlight w:val="none"/>
          <w14:textFill>
            <w14:solidFill>
              <w14:schemeClr w14:val="tx1"/>
            </w14:solidFill>
          </w14:textFill>
        </w:rPr>
        <w:t>、中国政府采购网</w:t>
      </w:r>
      <w:r>
        <w:rPr>
          <w:rFonts w:ascii="宋体" w:hAnsi="宋体" w:cs="宋体"/>
          <w:color w:val="000000" w:themeColor="text1"/>
          <w:sz w:val="24"/>
          <w:szCs w:val="24"/>
          <w:highlight w:val="none"/>
          <w14:textFill>
            <w14:solidFill>
              <w14:schemeClr w14:val="tx1"/>
            </w14:solidFill>
          </w14:textFill>
        </w:rPr>
        <w:t>(www.ccgp.gov.cn)</w:t>
      </w:r>
      <w:r>
        <w:rPr>
          <w:rFonts w:hint="eastAsia" w:ascii="宋体" w:hAnsi="宋体" w:cs="宋体"/>
          <w:color w:val="000000" w:themeColor="text1"/>
          <w:sz w:val="24"/>
          <w:szCs w:val="24"/>
          <w:highlight w:val="none"/>
          <w14:textFill>
            <w14:solidFill>
              <w14:schemeClr w14:val="tx1"/>
            </w14:solidFill>
          </w14:textFill>
        </w:rPr>
        <w:t>被列入失信被执行人、</w:t>
      </w:r>
      <w:r>
        <w:rPr>
          <w:rFonts w:hint="eastAsia" w:ascii="宋体" w:hAnsi="宋体" w:cs="宋体"/>
          <w:color w:val="000000" w:themeColor="text1"/>
          <w:sz w:val="24"/>
          <w:szCs w:val="24"/>
          <w:highlight w:val="none"/>
          <w:lang w:eastAsia="zh-CN"/>
          <w14:textFill>
            <w14:solidFill>
              <w14:schemeClr w14:val="tx1"/>
            </w14:solidFill>
          </w14:textFill>
        </w:rPr>
        <w:t>重大税收违法失信主体</w:t>
      </w:r>
      <w:r>
        <w:rPr>
          <w:rFonts w:hint="eastAsia" w:ascii="宋体" w:hAnsi="宋体" w:cs="宋体"/>
          <w:color w:val="000000" w:themeColor="text1"/>
          <w:sz w:val="24"/>
          <w:szCs w:val="24"/>
          <w:highlight w:val="none"/>
          <w14:textFill>
            <w14:solidFill>
              <w14:schemeClr w14:val="tx1"/>
            </w14:solidFill>
          </w14:textFill>
        </w:rPr>
        <w:t>、政府采购严重违法失信行为记录名单及其他不符合《中华人民共和国政府采购法》第二十二条规定条件的供应商，不得参与政府采购活动。</w:t>
      </w:r>
    </w:p>
    <w:p w14:paraId="7452345F">
      <w:pPr>
        <w:snapToGrid w:val="0"/>
        <w:spacing w:line="360" w:lineRule="auto"/>
        <w:ind w:firstLine="480" w:firstLineChars="200"/>
        <w:jc w:val="left"/>
        <w:rPr>
          <w:rFonts w:ascii="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1.2</w:t>
      </w:r>
      <w:r>
        <w:rPr>
          <w:rFonts w:hint="eastAsia" w:ascii="宋体" w:hAnsi="宋体" w:cs="宋体"/>
          <w:color w:val="000000" w:themeColor="text1"/>
          <w:sz w:val="24"/>
          <w:szCs w:val="24"/>
          <w:highlight w:val="none"/>
          <w14:textFill>
            <w14:solidFill>
              <w14:schemeClr w14:val="tx1"/>
            </w14:solidFill>
          </w14:textFill>
        </w:rPr>
        <w:t>资格审查标准为本磋商文件中载明对供应商资格要求的条件。资格审查采用合格制，凡符合磋商文件规定的供应商资格要求的响应文件均通过资格审查。</w:t>
      </w:r>
    </w:p>
    <w:p w14:paraId="651BBC66">
      <w:pPr>
        <w:spacing w:line="360" w:lineRule="auto"/>
        <w:ind w:firstLine="480" w:firstLineChars="200"/>
        <w:rPr>
          <w:rFonts w:ascii="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1.3</w:t>
      </w:r>
      <w:r>
        <w:rPr>
          <w:rFonts w:hint="eastAsia" w:ascii="宋体" w:hAnsi="宋体" w:cs="宋体"/>
          <w:color w:val="000000" w:themeColor="text1"/>
          <w:sz w:val="24"/>
          <w:szCs w:val="24"/>
          <w:highlight w:val="none"/>
          <w14:textFill>
            <w14:solidFill>
              <w14:schemeClr w14:val="tx1"/>
            </w14:solidFill>
          </w14:textFill>
        </w:rPr>
        <w:t>供应商有下列情形之一的，资格审查不通过，其响应文件按无效响应处理：</w:t>
      </w:r>
    </w:p>
    <w:p w14:paraId="5300DAAA">
      <w:pPr>
        <w:spacing w:line="360" w:lineRule="auto"/>
        <w:ind w:firstLine="480" w:firstLineChars="200"/>
        <w:rPr>
          <w:rFonts w:ascii="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w:t>
      </w:r>
      <w:r>
        <w:rPr>
          <w:rFonts w:ascii="宋体" w:hAnsi="宋体" w:cs="宋体"/>
          <w:color w:val="000000" w:themeColor="text1"/>
          <w:sz w:val="24"/>
          <w:szCs w:val="24"/>
          <w:highlight w:val="none"/>
          <w14:textFill>
            <w14:solidFill>
              <w14:schemeClr w14:val="tx1"/>
            </w14:solidFill>
          </w14:textFill>
        </w:rPr>
        <w:t>1</w:t>
      </w:r>
      <w:r>
        <w:rPr>
          <w:rFonts w:hint="eastAsia" w:ascii="宋体" w:hAnsi="宋体" w:cs="宋体"/>
          <w:color w:val="000000" w:themeColor="text1"/>
          <w:sz w:val="24"/>
          <w:szCs w:val="24"/>
          <w:highlight w:val="none"/>
          <w14:textFill>
            <w14:solidFill>
              <w14:schemeClr w14:val="tx1"/>
            </w14:solidFill>
          </w14:textFill>
        </w:rPr>
        <w:t>）不具备磋商文件中规定的资格要求的；</w:t>
      </w:r>
    </w:p>
    <w:p w14:paraId="7551FC0D">
      <w:pPr>
        <w:spacing w:line="360" w:lineRule="auto"/>
        <w:ind w:firstLine="480" w:firstLineChars="200"/>
        <w:rPr>
          <w:rFonts w:ascii="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w:t>
      </w:r>
      <w:r>
        <w:rPr>
          <w:rFonts w:ascii="宋体" w:hAnsi="宋体" w:cs="宋体"/>
          <w:color w:val="000000" w:themeColor="text1"/>
          <w:sz w:val="24"/>
          <w:szCs w:val="24"/>
          <w:highlight w:val="none"/>
          <w14:textFill>
            <w14:solidFill>
              <w14:schemeClr w14:val="tx1"/>
            </w14:solidFill>
          </w14:textFill>
        </w:rPr>
        <w:t>2</w:t>
      </w:r>
      <w:r>
        <w:rPr>
          <w:rFonts w:hint="eastAsia" w:ascii="宋体" w:hAnsi="宋体" w:cs="宋体"/>
          <w:color w:val="000000" w:themeColor="text1"/>
          <w:sz w:val="24"/>
          <w:szCs w:val="24"/>
          <w:highlight w:val="none"/>
          <w14:textFill>
            <w14:solidFill>
              <w14:schemeClr w14:val="tx1"/>
            </w14:solidFill>
          </w14:textFill>
        </w:rPr>
        <w:t>）响应文件的资格证明文件缺少任一项“供应商须知前附表”资格证明文件规定的“必须提供”的文件资料的；</w:t>
      </w:r>
    </w:p>
    <w:p w14:paraId="1551702B">
      <w:pPr>
        <w:spacing w:line="360" w:lineRule="auto"/>
        <w:ind w:firstLine="480" w:firstLineChars="200"/>
        <w:rPr>
          <w:rFonts w:ascii="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w:t>
      </w:r>
      <w:r>
        <w:rPr>
          <w:rFonts w:ascii="宋体" w:hAnsi="宋体" w:cs="宋体"/>
          <w:color w:val="000000" w:themeColor="text1"/>
          <w:sz w:val="24"/>
          <w:szCs w:val="24"/>
          <w:highlight w:val="none"/>
          <w14:textFill>
            <w14:solidFill>
              <w14:schemeClr w14:val="tx1"/>
            </w14:solidFill>
          </w14:textFill>
        </w:rPr>
        <w:t>3</w:t>
      </w:r>
      <w:r>
        <w:rPr>
          <w:rFonts w:hint="eastAsia" w:ascii="宋体" w:hAnsi="宋体" w:cs="宋体"/>
          <w:color w:val="000000" w:themeColor="text1"/>
          <w:sz w:val="24"/>
          <w:szCs w:val="24"/>
          <w:highlight w:val="none"/>
          <w14:textFill>
            <w14:solidFill>
              <w14:schemeClr w14:val="tx1"/>
            </w14:solidFill>
          </w14:textFill>
        </w:rPr>
        <w:t>）响应文件中的资格证明文件出现任一项不符合“供应商须知前附表”资格证明文件规定的“必须提供”的文件资料要求或者无效的；</w:t>
      </w:r>
    </w:p>
    <w:p w14:paraId="0A6DCF6D">
      <w:pPr>
        <w:spacing w:line="360" w:lineRule="auto"/>
        <w:ind w:firstLine="480" w:firstLineChars="200"/>
        <w:rPr>
          <w:rFonts w:ascii="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w:t>
      </w:r>
      <w:r>
        <w:rPr>
          <w:rFonts w:ascii="宋体" w:hAnsi="宋体" w:cs="宋体"/>
          <w:color w:val="000000" w:themeColor="text1"/>
          <w:sz w:val="24"/>
          <w:szCs w:val="24"/>
          <w:highlight w:val="none"/>
          <w14:textFill>
            <w14:solidFill>
              <w14:schemeClr w14:val="tx1"/>
            </w14:solidFill>
          </w14:textFill>
        </w:rPr>
        <w:t>4</w:t>
      </w:r>
      <w:r>
        <w:rPr>
          <w:rFonts w:hint="eastAsia" w:ascii="宋体" w:hAnsi="宋体" w:cs="宋体"/>
          <w:color w:val="000000" w:themeColor="text1"/>
          <w:sz w:val="24"/>
          <w:szCs w:val="24"/>
          <w:highlight w:val="none"/>
          <w14:textFill>
            <w14:solidFill>
              <w14:schemeClr w14:val="tx1"/>
            </w14:solidFill>
          </w14:textFill>
        </w:rPr>
        <w:t>）同一合同项下的不同供应商，单位负责人为同一人或者存在直接控股、管理关系的；为本项目提供过整体设计、规范编制或者项目管理、监理、检测等服务的供应商，再参加该采购项目的其他采购活动的。</w:t>
      </w:r>
    </w:p>
    <w:p w14:paraId="39FD772F">
      <w:pPr>
        <w:spacing w:line="360" w:lineRule="auto"/>
        <w:ind w:firstLine="480" w:firstLineChars="200"/>
        <w:rPr>
          <w:rFonts w:ascii="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1.4</w:t>
      </w:r>
      <w:r>
        <w:rPr>
          <w:rFonts w:hint="eastAsia" w:ascii="宋体" w:hAnsi="宋体" w:cs="宋体"/>
          <w:color w:val="000000" w:themeColor="text1"/>
          <w:sz w:val="24"/>
          <w:szCs w:val="24"/>
          <w:highlight w:val="none"/>
          <w14:textFill>
            <w14:solidFill>
              <w14:schemeClr w14:val="tx1"/>
            </w14:solidFill>
          </w14:textFill>
        </w:rPr>
        <w:t>通过资格审查的合格供应商不足</w:t>
      </w:r>
      <w:r>
        <w:rPr>
          <w:rFonts w:ascii="宋体" w:hAnsi="宋体" w:cs="宋体"/>
          <w:color w:val="000000" w:themeColor="text1"/>
          <w:sz w:val="24"/>
          <w:szCs w:val="24"/>
          <w:highlight w:val="none"/>
          <w14:textFill>
            <w14:solidFill>
              <w14:schemeClr w14:val="tx1"/>
            </w14:solidFill>
          </w14:textFill>
        </w:rPr>
        <w:t>3</w:t>
      </w:r>
      <w:r>
        <w:rPr>
          <w:rFonts w:hint="eastAsia" w:ascii="宋体" w:hAnsi="宋体" w:cs="宋体"/>
          <w:color w:val="000000" w:themeColor="text1"/>
          <w:sz w:val="24"/>
          <w:szCs w:val="24"/>
          <w:highlight w:val="none"/>
          <w14:textFill>
            <w14:solidFill>
              <w14:schemeClr w14:val="tx1"/>
            </w14:solidFill>
          </w14:textFill>
        </w:rPr>
        <w:t>家的，不得进入符合性审查环节，采购人或者采购代理机构应当重新开展采购活动。</w:t>
      </w:r>
    </w:p>
    <w:p w14:paraId="4D3F7C06">
      <w:pPr>
        <w:spacing w:line="360" w:lineRule="auto"/>
        <w:ind w:firstLine="482" w:firstLineChars="200"/>
        <w:rPr>
          <w:rFonts w:ascii="宋体"/>
          <w:b/>
          <w:bCs/>
          <w:color w:val="000000" w:themeColor="text1"/>
          <w:sz w:val="24"/>
          <w:szCs w:val="24"/>
          <w:highlight w:val="none"/>
          <w14:textFill>
            <w14:solidFill>
              <w14:schemeClr w14:val="tx1"/>
            </w14:solidFill>
          </w14:textFill>
        </w:rPr>
      </w:pPr>
      <w:r>
        <w:rPr>
          <w:rFonts w:ascii="宋体" w:hAnsi="宋体" w:cs="宋体"/>
          <w:b/>
          <w:bCs/>
          <w:color w:val="000000" w:themeColor="text1"/>
          <w:sz w:val="24"/>
          <w:szCs w:val="24"/>
          <w:highlight w:val="none"/>
          <w14:textFill>
            <w14:solidFill>
              <w14:schemeClr w14:val="tx1"/>
            </w14:solidFill>
          </w14:textFill>
        </w:rPr>
        <w:t>2.</w:t>
      </w:r>
      <w:r>
        <w:rPr>
          <w:rFonts w:hint="eastAsia" w:ascii="宋体" w:hAnsi="宋体" w:cs="宋体"/>
          <w:b/>
          <w:bCs/>
          <w:color w:val="000000" w:themeColor="text1"/>
          <w:sz w:val="24"/>
          <w:szCs w:val="24"/>
          <w:highlight w:val="none"/>
          <w14:textFill>
            <w14:solidFill>
              <w14:schemeClr w14:val="tx1"/>
            </w14:solidFill>
          </w14:textFill>
        </w:rPr>
        <w:t>符合性审查</w:t>
      </w:r>
    </w:p>
    <w:p w14:paraId="524394F1">
      <w:pPr>
        <w:spacing w:line="360" w:lineRule="auto"/>
        <w:ind w:firstLine="480" w:firstLineChars="200"/>
        <w:rPr>
          <w:rFonts w:ascii="宋体"/>
          <w:color w:val="000000" w:themeColor="text1"/>
          <w:sz w:val="24"/>
          <w:szCs w:val="24"/>
          <w:highlight w:val="none"/>
          <w14:textFill>
            <w14:solidFill>
              <w14:schemeClr w14:val="tx1"/>
            </w14:solidFill>
          </w14:textFill>
        </w:rPr>
      </w:pPr>
      <w:bookmarkStart w:id="82" w:name="_Hlk42528882"/>
      <w:r>
        <w:rPr>
          <w:rFonts w:ascii="宋体" w:hAnsi="宋体" w:cs="宋体"/>
          <w:color w:val="000000" w:themeColor="text1"/>
          <w:sz w:val="24"/>
          <w:szCs w:val="24"/>
          <w:highlight w:val="none"/>
          <w14:textFill>
            <w14:solidFill>
              <w14:schemeClr w14:val="tx1"/>
            </w14:solidFill>
          </w14:textFill>
        </w:rPr>
        <w:t>2.1</w:t>
      </w:r>
      <w:r>
        <w:rPr>
          <w:rFonts w:hint="eastAsia" w:ascii="宋体" w:hAnsi="宋体" w:cs="宋体"/>
          <w:color w:val="000000" w:themeColor="text1"/>
          <w:sz w:val="24"/>
          <w:szCs w:val="24"/>
          <w:highlight w:val="none"/>
          <w14:textFill>
            <w14:solidFill>
              <w14:schemeClr w14:val="tx1"/>
            </w14:solidFill>
          </w14:textFill>
        </w:rPr>
        <w:t>由磋商小组对资格审查的合格供应商的响应文件的磋商报价、商务、技术等实质性要求进行符合性审查，以确定其是否满足磋商文件的实质性要求。</w:t>
      </w:r>
    </w:p>
    <w:bookmarkEnd w:id="82"/>
    <w:p w14:paraId="0413EE22">
      <w:pPr>
        <w:spacing w:line="360" w:lineRule="auto"/>
        <w:ind w:firstLine="480" w:firstLineChars="200"/>
        <w:rPr>
          <w:rFonts w:ascii="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2.2</w:t>
      </w:r>
      <w:r>
        <w:rPr>
          <w:rFonts w:hint="eastAsia" w:ascii="宋体" w:hAnsi="宋体" w:cs="宋体"/>
          <w:color w:val="000000" w:themeColor="text1"/>
          <w:sz w:val="24"/>
          <w:szCs w:val="24"/>
          <w:highlight w:val="none"/>
          <w14:textFill>
            <w14:solidFill>
              <w14:schemeClr w14:val="tx1"/>
            </w14:solidFill>
          </w14:textFill>
        </w:rPr>
        <w:t>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6C8CDF58">
      <w:pPr>
        <w:spacing w:line="360" w:lineRule="auto"/>
        <w:ind w:firstLine="480" w:firstLineChars="200"/>
        <w:rPr>
          <w:rFonts w:ascii="宋体"/>
          <w:color w:val="000000" w:themeColor="text1"/>
          <w:spacing w:val="-6"/>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2.3</w:t>
      </w:r>
      <w:r>
        <w:rPr>
          <w:rFonts w:hint="eastAsia" w:ascii="宋体" w:hAnsi="宋体" w:cs="宋体"/>
          <w:color w:val="000000" w:themeColor="text1"/>
          <w:sz w:val="24"/>
          <w:szCs w:val="24"/>
          <w:highlight w:val="none"/>
          <w14:textFill>
            <w14:solidFill>
              <w14:schemeClr w14:val="tx1"/>
            </w14:solidFill>
          </w14:textFill>
        </w:rPr>
        <w:t>磋商小组要求供应商澄清、说明或者更正响应文件应当以电子澄清函形式作出。供应商的澄清、说明或者更正应当以电子回函形式按照磋商小组的要求作出明确的澄清、说明或者更正，未按磋商小组的要求作出明确澄清、说明或者更正的供应商的响应文件将按照有利于采购人的原则由磋商小组进行判定。供应商的澄清、说明或者更正必须由法定代表人或者其授权代表签字或加盖供应商公章</w:t>
      </w:r>
      <w:r>
        <w:rPr>
          <w:rFonts w:hint="eastAsia" w:ascii="宋体" w:hAnsi="宋体" w:cs="宋体"/>
          <w:color w:val="000000" w:themeColor="text1"/>
          <w:spacing w:val="-6"/>
          <w:sz w:val="24"/>
          <w:szCs w:val="24"/>
          <w:highlight w:val="none"/>
          <w14:textFill>
            <w14:solidFill>
              <w14:schemeClr w14:val="tx1"/>
            </w14:solidFill>
          </w14:textFill>
        </w:rPr>
        <w:t>。供应商为自然人的，必须由本人签字并附身份证明。</w:t>
      </w:r>
    </w:p>
    <w:p w14:paraId="057F4446">
      <w:pPr>
        <w:spacing w:line="360" w:lineRule="auto"/>
        <w:ind w:firstLine="456" w:firstLineChars="200"/>
        <w:rPr>
          <w:rFonts w:ascii="宋体"/>
          <w:color w:val="000000" w:themeColor="text1"/>
          <w:sz w:val="24"/>
          <w:szCs w:val="24"/>
          <w:highlight w:val="none"/>
          <w14:textFill>
            <w14:solidFill>
              <w14:schemeClr w14:val="tx1"/>
            </w14:solidFill>
          </w14:textFill>
        </w:rPr>
      </w:pPr>
      <w:r>
        <w:rPr>
          <w:rFonts w:ascii="宋体" w:hAnsi="宋体" w:cs="宋体"/>
          <w:color w:val="000000" w:themeColor="text1"/>
          <w:spacing w:val="-6"/>
          <w:sz w:val="24"/>
          <w:szCs w:val="24"/>
          <w:highlight w:val="none"/>
          <w14:textFill>
            <w14:solidFill>
              <w14:schemeClr w14:val="tx1"/>
            </w14:solidFill>
          </w14:textFill>
        </w:rPr>
        <w:t>2.4</w:t>
      </w:r>
      <w:r>
        <w:rPr>
          <w:rFonts w:hint="eastAsia" w:ascii="宋体" w:hAnsi="宋体" w:cs="宋体"/>
          <w:color w:val="000000" w:themeColor="text1"/>
          <w:sz w:val="24"/>
          <w:szCs w:val="24"/>
          <w:highlight w:val="none"/>
          <w14:textFill>
            <w14:solidFill>
              <w14:schemeClr w14:val="tx1"/>
            </w14:solidFill>
          </w14:textFill>
        </w:rPr>
        <w:t>首次响应文件报价出现前后不一致的，按照下列规定修正：</w:t>
      </w:r>
      <w:r>
        <w:rPr>
          <w:rFonts w:ascii="宋体" w:hAnsi="宋体" w:cs="宋体"/>
          <w:color w:val="000000" w:themeColor="text1"/>
          <w:sz w:val="24"/>
          <w:szCs w:val="24"/>
          <w:highlight w:val="none"/>
          <w14:textFill>
            <w14:solidFill>
              <w14:schemeClr w14:val="tx1"/>
            </w14:solidFill>
          </w14:textFill>
        </w:rPr>
        <w:t xml:space="preserve"> </w:t>
      </w:r>
    </w:p>
    <w:p w14:paraId="34FD48F1">
      <w:pPr>
        <w:spacing w:line="360" w:lineRule="auto"/>
        <w:ind w:firstLine="480" w:firstLineChars="200"/>
        <w:rPr>
          <w:rFonts w:ascii="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w:t>
      </w:r>
      <w:r>
        <w:rPr>
          <w:rFonts w:ascii="宋体" w:hAnsi="宋体" w:cs="宋体"/>
          <w:color w:val="000000" w:themeColor="text1"/>
          <w:sz w:val="24"/>
          <w:szCs w:val="24"/>
          <w:highlight w:val="none"/>
          <w14:textFill>
            <w14:solidFill>
              <w14:schemeClr w14:val="tx1"/>
            </w14:solidFill>
          </w14:textFill>
        </w:rPr>
        <w:t>1</w:t>
      </w:r>
      <w:r>
        <w:rPr>
          <w:rFonts w:hint="eastAsia" w:ascii="宋体" w:hAnsi="宋体" w:cs="宋体"/>
          <w:color w:val="000000" w:themeColor="text1"/>
          <w:sz w:val="24"/>
          <w:szCs w:val="24"/>
          <w:highlight w:val="none"/>
          <w14:textFill>
            <w14:solidFill>
              <w14:schemeClr w14:val="tx1"/>
            </w14:solidFill>
          </w14:textFill>
        </w:rPr>
        <w:t>）响应文件中报价表内容与响应文件中相应内容不一致的，以报价表为准；</w:t>
      </w:r>
    </w:p>
    <w:p w14:paraId="4314C23B">
      <w:pPr>
        <w:spacing w:line="360" w:lineRule="auto"/>
        <w:ind w:firstLine="480" w:firstLineChars="200"/>
        <w:rPr>
          <w:rFonts w:ascii="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w:t>
      </w:r>
      <w:r>
        <w:rPr>
          <w:rFonts w:ascii="宋体" w:hAnsi="宋体" w:cs="宋体"/>
          <w:color w:val="000000" w:themeColor="text1"/>
          <w:sz w:val="24"/>
          <w:szCs w:val="24"/>
          <w:highlight w:val="none"/>
          <w14:textFill>
            <w14:solidFill>
              <w14:schemeClr w14:val="tx1"/>
            </w14:solidFill>
          </w14:textFill>
        </w:rPr>
        <w:t>2</w:t>
      </w:r>
      <w:r>
        <w:rPr>
          <w:rFonts w:hint="eastAsia" w:ascii="宋体" w:hAnsi="宋体" w:cs="宋体"/>
          <w:color w:val="000000" w:themeColor="text1"/>
          <w:sz w:val="24"/>
          <w:szCs w:val="24"/>
          <w:highlight w:val="none"/>
          <w14:textFill>
            <w14:solidFill>
              <w14:schemeClr w14:val="tx1"/>
            </w14:solidFill>
          </w14:textFill>
        </w:rPr>
        <w:t>）大写金额和小写金额不一致的，以大写金额为准；</w:t>
      </w:r>
    </w:p>
    <w:p w14:paraId="3621D4E8">
      <w:pPr>
        <w:spacing w:line="360" w:lineRule="auto"/>
        <w:ind w:firstLine="480" w:firstLineChars="200"/>
        <w:rPr>
          <w:rFonts w:ascii="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w:t>
      </w:r>
      <w:r>
        <w:rPr>
          <w:rFonts w:ascii="宋体" w:hAnsi="宋体" w:cs="宋体"/>
          <w:color w:val="000000" w:themeColor="text1"/>
          <w:sz w:val="24"/>
          <w:szCs w:val="24"/>
          <w:highlight w:val="none"/>
          <w14:textFill>
            <w14:solidFill>
              <w14:schemeClr w14:val="tx1"/>
            </w14:solidFill>
          </w14:textFill>
        </w:rPr>
        <w:t>3</w:t>
      </w:r>
      <w:r>
        <w:rPr>
          <w:rFonts w:hint="eastAsia" w:ascii="宋体" w:hAnsi="宋体" w:cs="宋体"/>
          <w:color w:val="000000" w:themeColor="text1"/>
          <w:sz w:val="24"/>
          <w:szCs w:val="24"/>
          <w:highlight w:val="none"/>
          <w14:textFill>
            <w14:solidFill>
              <w14:schemeClr w14:val="tx1"/>
            </w14:solidFill>
          </w14:textFill>
        </w:rPr>
        <w:t>）单价金额小数点或者百分比有明显错位的，以报价表的总价为准，并修改单价；</w:t>
      </w:r>
    </w:p>
    <w:p w14:paraId="536AA5D9">
      <w:pPr>
        <w:spacing w:line="360" w:lineRule="auto"/>
        <w:ind w:firstLine="480" w:firstLineChars="200"/>
        <w:rPr>
          <w:rFonts w:ascii="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w:t>
      </w:r>
      <w:r>
        <w:rPr>
          <w:rFonts w:ascii="宋体" w:hAnsi="宋体" w:cs="宋体"/>
          <w:color w:val="000000" w:themeColor="text1"/>
          <w:sz w:val="24"/>
          <w:szCs w:val="24"/>
          <w:highlight w:val="none"/>
          <w14:textFill>
            <w14:solidFill>
              <w14:schemeClr w14:val="tx1"/>
            </w14:solidFill>
          </w14:textFill>
        </w:rPr>
        <w:t>4</w:t>
      </w:r>
      <w:r>
        <w:rPr>
          <w:rFonts w:hint="eastAsia" w:ascii="宋体" w:hAnsi="宋体" w:cs="宋体"/>
          <w:color w:val="000000" w:themeColor="text1"/>
          <w:sz w:val="24"/>
          <w:szCs w:val="24"/>
          <w:highlight w:val="none"/>
          <w14:textFill>
            <w14:solidFill>
              <w14:schemeClr w14:val="tx1"/>
            </w14:solidFill>
          </w14:textFill>
        </w:rPr>
        <w:t>）总价金额与按单价汇总金额不一致的，以单价金额计算结果为准。</w:t>
      </w:r>
    </w:p>
    <w:p w14:paraId="7B76DDBA">
      <w:pPr>
        <w:spacing w:line="360" w:lineRule="auto"/>
        <w:ind w:firstLine="480" w:firstLineChars="200"/>
        <w:rPr>
          <w:rFonts w:ascii="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同时出现两种以上不一致的，按照以上（</w:t>
      </w:r>
      <w:r>
        <w:rPr>
          <w:rFonts w:ascii="宋体" w:hAnsi="宋体" w:cs="宋体"/>
          <w:color w:val="000000" w:themeColor="text1"/>
          <w:sz w:val="24"/>
          <w:szCs w:val="24"/>
          <w:highlight w:val="none"/>
          <w14:textFill>
            <w14:solidFill>
              <w14:schemeClr w14:val="tx1"/>
            </w14:solidFill>
          </w14:textFill>
        </w:rPr>
        <w:t>1</w:t>
      </w:r>
      <w:r>
        <w:rPr>
          <w:rFonts w:hint="eastAsia" w:ascii="宋体" w:hAnsi="宋体" w:cs="宋体"/>
          <w:color w:val="000000" w:themeColor="text1"/>
          <w:sz w:val="24"/>
          <w:szCs w:val="24"/>
          <w:highlight w:val="none"/>
          <w14:textFill>
            <w14:solidFill>
              <w14:schemeClr w14:val="tx1"/>
            </w14:solidFill>
          </w14:textFill>
        </w:rPr>
        <w:t>）</w:t>
      </w:r>
      <w:r>
        <w:rPr>
          <w:rFonts w:ascii="宋体" w:cs="宋体"/>
          <w:color w:val="000000" w:themeColor="text1"/>
          <w:sz w:val="24"/>
          <w:szCs w:val="24"/>
          <w:highlight w:val="none"/>
          <w14:textFill>
            <w14:solidFill>
              <w14:schemeClr w14:val="tx1"/>
            </w14:solidFill>
          </w14:textFill>
        </w:rPr>
        <w:t>-</w:t>
      </w:r>
      <w:r>
        <w:rPr>
          <w:rFonts w:hint="eastAsia" w:ascii="宋体" w:hAnsi="宋体" w:cs="宋体"/>
          <w:color w:val="000000" w:themeColor="text1"/>
          <w:sz w:val="24"/>
          <w:szCs w:val="24"/>
          <w:highlight w:val="none"/>
          <w14:textFill>
            <w14:solidFill>
              <w14:schemeClr w14:val="tx1"/>
            </w14:solidFill>
          </w14:textFill>
        </w:rPr>
        <w:t>（</w:t>
      </w:r>
      <w:r>
        <w:rPr>
          <w:rFonts w:ascii="宋体" w:hAnsi="宋体" w:cs="宋体"/>
          <w:color w:val="000000" w:themeColor="text1"/>
          <w:sz w:val="24"/>
          <w:szCs w:val="24"/>
          <w:highlight w:val="none"/>
          <w14:textFill>
            <w14:solidFill>
              <w14:schemeClr w14:val="tx1"/>
            </w14:solidFill>
          </w14:textFill>
        </w:rPr>
        <w:t>4</w:t>
      </w:r>
      <w:r>
        <w:rPr>
          <w:rFonts w:hint="eastAsia" w:ascii="宋体" w:hAnsi="宋体" w:cs="宋体"/>
          <w:color w:val="000000" w:themeColor="text1"/>
          <w:sz w:val="24"/>
          <w:szCs w:val="24"/>
          <w:highlight w:val="none"/>
          <w14:textFill>
            <w14:solidFill>
              <w14:schemeClr w14:val="tx1"/>
            </w14:solidFill>
          </w14:textFill>
        </w:rPr>
        <w:t>）规定的顺序逐条进行修正。修正后的报价经供应商确认后产生约束力，供应商不确认的，其响应文件按无效响应处理。</w:t>
      </w:r>
    </w:p>
    <w:p w14:paraId="51045963">
      <w:pPr>
        <w:spacing w:line="360" w:lineRule="auto"/>
        <w:ind w:firstLine="480" w:firstLineChars="200"/>
        <w:rPr>
          <w:rFonts w:ascii="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2.5</w:t>
      </w:r>
      <w:r>
        <w:rPr>
          <w:rFonts w:hint="eastAsia" w:ascii="宋体" w:hAnsi="宋体" w:cs="宋体"/>
          <w:color w:val="000000" w:themeColor="text1"/>
          <w:sz w:val="24"/>
          <w:szCs w:val="24"/>
          <w:highlight w:val="none"/>
          <w14:textFill>
            <w14:solidFill>
              <w14:schemeClr w14:val="tx1"/>
            </w14:solidFill>
          </w14:textFill>
        </w:rPr>
        <w:t>商务技术报价评审</w:t>
      </w:r>
    </w:p>
    <w:p w14:paraId="30AB3663">
      <w:pPr>
        <w:spacing w:line="360" w:lineRule="auto"/>
        <w:ind w:firstLine="480" w:firstLineChars="200"/>
        <w:rPr>
          <w:rFonts w:ascii="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在评审时，如发现下列情形之一的，将被视为响应文件无效响应处理：</w:t>
      </w:r>
    </w:p>
    <w:p w14:paraId="18A3197C">
      <w:pPr>
        <w:spacing w:line="360" w:lineRule="auto"/>
        <w:ind w:firstLine="480" w:firstLineChars="200"/>
        <w:rPr>
          <w:rFonts w:ascii="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w:t>
      </w:r>
      <w:r>
        <w:rPr>
          <w:rFonts w:ascii="宋体" w:hAnsi="宋体" w:cs="宋体"/>
          <w:color w:val="000000" w:themeColor="text1"/>
          <w:sz w:val="24"/>
          <w:szCs w:val="24"/>
          <w:highlight w:val="none"/>
          <w14:textFill>
            <w14:solidFill>
              <w14:schemeClr w14:val="tx1"/>
            </w14:solidFill>
          </w14:textFill>
        </w:rPr>
        <w:t>1</w:t>
      </w:r>
      <w:r>
        <w:rPr>
          <w:rFonts w:hint="eastAsia" w:ascii="宋体" w:hAnsi="宋体" w:cs="宋体"/>
          <w:color w:val="000000" w:themeColor="text1"/>
          <w:sz w:val="24"/>
          <w:szCs w:val="24"/>
          <w:highlight w:val="none"/>
          <w14:textFill>
            <w14:solidFill>
              <w14:schemeClr w14:val="tx1"/>
            </w14:solidFill>
          </w14:textFill>
        </w:rPr>
        <w:t>）商务技术评审</w:t>
      </w:r>
    </w:p>
    <w:p w14:paraId="05307310">
      <w:pPr>
        <w:spacing w:line="360" w:lineRule="auto"/>
        <w:ind w:firstLine="480" w:firstLineChars="200"/>
        <w:rPr>
          <w:rFonts w:ascii="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1</w:t>
      </w:r>
      <w:r>
        <w:rPr>
          <w:rFonts w:hint="eastAsia" w:ascii="宋体" w:hAnsi="宋体" w:cs="宋体"/>
          <w:color w:val="000000" w:themeColor="text1"/>
          <w:sz w:val="24"/>
          <w:szCs w:val="24"/>
          <w:highlight w:val="none"/>
          <w14:textFill>
            <w14:solidFill>
              <w14:schemeClr w14:val="tx1"/>
            </w14:solidFill>
          </w14:textFill>
        </w:rPr>
        <w:t>）响应文件未按磋商文件要求签署、盖章；</w:t>
      </w:r>
    </w:p>
    <w:p w14:paraId="09EB671F">
      <w:pPr>
        <w:spacing w:line="360" w:lineRule="auto"/>
        <w:ind w:firstLine="480" w:firstLineChars="200"/>
        <w:rPr>
          <w:rFonts w:ascii="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2</w:t>
      </w:r>
      <w:r>
        <w:rPr>
          <w:rFonts w:hint="eastAsia" w:ascii="宋体" w:hAnsi="宋体" w:cs="宋体"/>
          <w:color w:val="000000" w:themeColor="text1"/>
          <w:sz w:val="24"/>
          <w:szCs w:val="24"/>
          <w:highlight w:val="none"/>
          <w14:textFill>
            <w14:solidFill>
              <w14:schemeClr w14:val="tx1"/>
            </w14:solidFill>
          </w14:textFill>
        </w:rPr>
        <w:t>）委托代理人未能出具有效身份证或者出具的身份证与授权委托书中的信息不符的；</w:t>
      </w:r>
      <w:r>
        <w:rPr>
          <w:rFonts w:ascii="宋体" w:hAnsi="宋体" w:cs="宋体"/>
          <w:color w:val="000000" w:themeColor="text1"/>
          <w:sz w:val="24"/>
          <w:szCs w:val="24"/>
          <w:highlight w:val="none"/>
          <w14:textFill>
            <w14:solidFill>
              <w14:schemeClr w14:val="tx1"/>
            </w14:solidFill>
          </w14:textFill>
        </w:rPr>
        <w:t xml:space="preserve"> </w:t>
      </w:r>
    </w:p>
    <w:p w14:paraId="0FD723B8">
      <w:pPr>
        <w:spacing w:line="360" w:lineRule="auto"/>
        <w:ind w:firstLine="480" w:firstLineChars="200"/>
        <w:rPr>
          <w:rFonts w:ascii="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3</w:t>
      </w:r>
      <w:r>
        <w:rPr>
          <w:rFonts w:hint="eastAsia" w:ascii="宋体" w:hAnsi="宋体" w:cs="宋体"/>
          <w:color w:val="000000" w:themeColor="text1"/>
          <w:sz w:val="24"/>
          <w:szCs w:val="24"/>
          <w:highlight w:val="none"/>
          <w14:textFill>
            <w14:solidFill>
              <w14:schemeClr w14:val="tx1"/>
            </w14:solidFill>
          </w14:textFill>
        </w:rPr>
        <w:t>）提交的磋商保证金无效的或者未按照磋商文件的规定提交磋商保证金；</w:t>
      </w:r>
    </w:p>
    <w:p w14:paraId="1219E1B5">
      <w:pPr>
        <w:spacing w:line="360" w:lineRule="auto"/>
        <w:ind w:firstLine="480" w:firstLineChars="200"/>
        <w:rPr>
          <w:rFonts w:ascii="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4</w:t>
      </w:r>
      <w:r>
        <w:rPr>
          <w:rFonts w:hint="eastAsia" w:ascii="宋体" w:hAnsi="宋体" w:cs="宋体"/>
          <w:color w:val="000000" w:themeColor="text1"/>
          <w:sz w:val="24"/>
          <w:szCs w:val="24"/>
          <w:highlight w:val="none"/>
          <w14:textFill>
            <w14:solidFill>
              <w14:schemeClr w14:val="tx1"/>
            </w14:solidFill>
          </w14:textFill>
        </w:rPr>
        <w:t>）响应文件中的报商务技术文件出现任一项不符合“供应商须知前附表”中“必须提供”或者“委托时必须提供”文件资料要求的规定或者提供的报价商务技术文件无效。</w:t>
      </w:r>
    </w:p>
    <w:p w14:paraId="508D3EDA">
      <w:pPr>
        <w:spacing w:line="360" w:lineRule="auto"/>
        <w:ind w:firstLine="480" w:firstLineChars="200"/>
        <w:rPr>
          <w:rFonts w:ascii="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5</w:t>
      </w:r>
      <w:r>
        <w:rPr>
          <w:rFonts w:hint="eastAsia" w:ascii="宋体" w:hAnsi="宋体" w:cs="宋体"/>
          <w:color w:val="000000" w:themeColor="text1"/>
          <w:sz w:val="24"/>
          <w:szCs w:val="24"/>
          <w:highlight w:val="none"/>
          <w14:textFill>
            <w14:solidFill>
              <w14:schemeClr w14:val="tx1"/>
            </w14:solidFill>
          </w14:textFill>
        </w:rPr>
        <w:t>）商务条款中标“▲”的条款发生负偏离或者允许负偏离的条款数超过“供应商须知前附表”规定项数的；</w:t>
      </w:r>
    </w:p>
    <w:p w14:paraId="7EE5BF02">
      <w:pPr>
        <w:spacing w:line="360" w:lineRule="auto"/>
        <w:ind w:firstLine="480" w:firstLineChars="200"/>
        <w:rPr>
          <w:rFonts w:ascii="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6</w:t>
      </w:r>
      <w:r>
        <w:rPr>
          <w:rFonts w:hint="eastAsia" w:ascii="宋体" w:hAnsi="宋体" w:cs="宋体"/>
          <w:color w:val="000000" w:themeColor="text1"/>
          <w:sz w:val="24"/>
          <w:szCs w:val="24"/>
          <w:highlight w:val="none"/>
          <w14:textFill>
            <w14:solidFill>
              <w14:schemeClr w14:val="tx1"/>
            </w14:solidFill>
          </w14:textFill>
        </w:rPr>
        <w:t>）未对磋商有效期作出响应或者响应文件承诺的磋商有效期不满足磋商文件要求；</w:t>
      </w:r>
    </w:p>
    <w:p w14:paraId="4EDBE8FC">
      <w:pPr>
        <w:spacing w:line="360" w:lineRule="auto"/>
        <w:ind w:firstLine="480" w:firstLineChars="200"/>
        <w:rPr>
          <w:rFonts w:ascii="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7</w:t>
      </w:r>
      <w:r>
        <w:rPr>
          <w:rFonts w:hint="eastAsia" w:ascii="宋体" w:hAnsi="宋体" w:cs="宋体"/>
          <w:color w:val="000000" w:themeColor="text1"/>
          <w:sz w:val="24"/>
          <w:szCs w:val="24"/>
          <w:highlight w:val="none"/>
          <w14:textFill>
            <w14:solidFill>
              <w14:schemeClr w14:val="tx1"/>
            </w14:solidFill>
          </w14:textFill>
        </w:rPr>
        <w:t>）响应文件的实质性内容未使用中文表述、使用计量单位不符合磋商文件要求；</w:t>
      </w:r>
    </w:p>
    <w:p w14:paraId="4E50017A">
      <w:pPr>
        <w:spacing w:line="360" w:lineRule="auto"/>
        <w:ind w:firstLine="480" w:firstLineChars="200"/>
        <w:rPr>
          <w:rFonts w:ascii="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8</w:t>
      </w:r>
      <w:r>
        <w:rPr>
          <w:rFonts w:hint="eastAsia" w:ascii="宋体" w:hAnsi="宋体" w:cs="宋体"/>
          <w:color w:val="000000" w:themeColor="text1"/>
          <w:sz w:val="24"/>
          <w:szCs w:val="24"/>
          <w:highlight w:val="none"/>
          <w14:textFill>
            <w14:solidFill>
              <w14:schemeClr w14:val="tx1"/>
            </w14:solidFill>
          </w14:textFill>
        </w:rPr>
        <w:t>）响应文件中的文件资料因填写不齐全或者内容虚假或者出现其他情形而导致被磋商小组认定无效；</w:t>
      </w:r>
    </w:p>
    <w:p w14:paraId="3634743F">
      <w:pPr>
        <w:spacing w:line="360" w:lineRule="auto"/>
        <w:ind w:firstLine="480" w:firstLineChars="200"/>
        <w:rPr>
          <w:rFonts w:ascii="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9</w:t>
      </w:r>
      <w:r>
        <w:rPr>
          <w:rFonts w:hint="eastAsia" w:ascii="宋体" w:hAnsi="宋体" w:cs="宋体"/>
          <w:color w:val="000000" w:themeColor="text1"/>
          <w:sz w:val="24"/>
          <w:szCs w:val="24"/>
          <w:highlight w:val="none"/>
          <w14:textFill>
            <w14:solidFill>
              <w14:schemeClr w14:val="tx1"/>
            </w14:solidFill>
          </w14:textFill>
        </w:rPr>
        <w:t>）响应文件含有采购人不能接受的附加条件；</w:t>
      </w:r>
    </w:p>
    <w:p w14:paraId="3FC0EFCA">
      <w:pPr>
        <w:spacing w:line="360" w:lineRule="auto"/>
        <w:ind w:firstLine="480" w:firstLineChars="200"/>
        <w:rPr>
          <w:rFonts w:ascii="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10</w:t>
      </w:r>
      <w:r>
        <w:rPr>
          <w:rFonts w:hint="eastAsia" w:ascii="宋体" w:hAnsi="宋体" w:cs="宋体"/>
          <w:color w:val="000000" w:themeColor="text1"/>
          <w:sz w:val="24"/>
          <w:szCs w:val="24"/>
          <w:highlight w:val="none"/>
          <w14:textFill>
            <w14:solidFill>
              <w14:schemeClr w14:val="tx1"/>
            </w14:solidFill>
          </w14:textFill>
        </w:rPr>
        <w:t>）属于“供应商须知正文”第</w:t>
      </w:r>
      <w:r>
        <w:rPr>
          <w:rFonts w:ascii="宋体" w:hAnsi="宋体" w:cs="宋体"/>
          <w:color w:val="000000" w:themeColor="text1"/>
          <w:sz w:val="24"/>
          <w:szCs w:val="24"/>
          <w:highlight w:val="none"/>
          <w14:textFill>
            <w14:solidFill>
              <w14:schemeClr w14:val="tx1"/>
            </w14:solidFill>
          </w14:textFill>
        </w:rPr>
        <w:t>7.5</w:t>
      </w:r>
      <w:r>
        <w:rPr>
          <w:rFonts w:hint="eastAsia" w:ascii="宋体" w:hAnsi="宋体" w:cs="宋体"/>
          <w:color w:val="000000" w:themeColor="text1"/>
          <w:sz w:val="24"/>
          <w:szCs w:val="24"/>
          <w:highlight w:val="none"/>
          <w14:textFill>
            <w14:solidFill>
              <w14:schemeClr w14:val="tx1"/>
            </w14:solidFill>
          </w14:textFill>
        </w:rPr>
        <w:t>条情形；</w:t>
      </w:r>
    </w:p>
    <w:p w14:paraId="010496D7">
      <w:pPr>
        <w:spacing w:line="360" w:lineRule="auto"/>
        <w:ind w:firstLine="480" w:firstLineChars="200"/>
        <w:rPr>
          <w:rFonts w:ascii="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11</w:t>
      </w:r>
      <w:r>
        <w:rPr>
          <w:rFonts w:hint="eastAsia" w:ascii="宋体" w:hAnsi="宋体" w:cs="宋体"/>
          <w:color w:val="000000" w:themeColor="text1"/>
          <w:sz w:val="24"/>
          <w:szCs w:val="24"/>
          <w:highlight w:val="none"/>
          <w14:textFill>
            <w14:solidFill>
              <w14:schemeClr w14:val="tx1"/>
            </w14:solidFill>
          </w14:textFill>
        </w:rPr>
        <w:t>）技术要求中标“▲”的条款发生负偏离或允许负偏离的条款数超过“供应商须知前附表”规定项数的；</w:t>
      </w:r>
    </w:p>
    <w:p w14:paraId="686F3081">
      <w:pPr>
        <w:spacing w:line="360" w:lineRule="auto"/>
        <w:ind w:firstLine="480" w:firstLineChars="200"/>
        <w:rPr>
          <w:rFonts w:ascii="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12</w:t>
      </w:r>
      <w:r>
        <w:rPr>
          <w:rFonts w:hint="eastAsia" w:ascii="宋体" w:hAnsi="宋体" w:cs="宋体"/>
          <w:color w:val="000000" w:themeColor="text1"/>
          <w:sz w:val="24"/>
          <w:szCs w:val="24"/>
          <w:highlight w:val="none"/>
          <w14:textFill>
            <w14:solidFill>
              <w14:schemeClr w14:val="tx1"/>
            </w14:solidFill>
          </w14:textFill>
        </w:rPr>
        <w:t>）虚假磋商，或者出现其他情形而导致被磋商小组认定无效；</w:t>
      </w:r>
    </w:p>
    <w:p w14:paraId="4E4755BC">
      <w:pPr>
        <w:spacing w:line="360" w:lineRule="auto"/>
        <w:ind w:firstLine="480" w:firstLineChars="200"/>
        <w:rPr>
          <w:rFonts w:ascii="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13</w:t>
      </w:r>
      <w:r>
        <w:rPr>
          <w:rFonts w:hint="eastAsia" w:ascii="宋体" w:hAnsi="宋体" w:cs="宋体"/>
          <w:color w:val="000000" w:themeColor="text1"/>
          <w:sz w:val="24"/>
          <w:szCs w:val="24"/>
          <w:highlight w:val="none"/>
          <w14:textFill>
            <w14:solidFill>
              <w14:schemeClr w14:val="tx1"/>
            </w14:solidFill>
          </w14:textFill>
        </w:rPr>
        <w:t>）</w:t>
      </w:r>
      <w:bookmarkStart w:id="83" w:name="_Hlk71704147"/>
      <w:r>
        <w:rPr>
          <w:rFonts w:hint="eastAsia" w:ascii="宋体" w:hAnsi="宋体" w:cs="宋体"/>
          <w:color w:val="000000" w:themeColor="text1"/>
          <w:sz w:val="24"/>
          <w:szCs w:val="24"/>
          <w:highlight w:val="none"/>
          <w14:textFill>
            <w14:solidFill>
              <w14:schemeClr w14:val="tx1"/>
            </w14:solidFill>
          </w14:textFill>
        </w:rPr>
        <w:t>磋商文件未载明允许提供备选（替代）磋商方案或明确不允许提供备选（替代）磋商方案时，供应商提供了备选（替代）磋商方案的；</w:t>
      </w:r>
      <w:bookmarkEnd w:id="83"/>
    </w:p>
    <w:p w14:paraId="382466E5">
      <w:pPr>
        <w:spacing w:line="360" w:lineRule="auto"/>
        <w:ind w:firstLine="480" w:firstLineChars="200"/>
        <w:rPr>
          <w:rFonts w:ascii="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14</w:t>
      </w:r>
      <w:r>
        <w:rPr>
          <w:rFonts w:hint="eastAsia" w:ascii="宋体" w:hAnsi="宋体" w:cs="宋体"/>
          <w:color w:val="000000" w:themeColor="text1"/>
          <w:sz w:val="24"/>
          <w:szCs w:val="24"/>
          <w:highlight w:val="none"/>
          <w14:textFill>
            <w14:solidFill>
              <w14:schemeClr w14:val="tx1"/>
            </w14:solidFill>
          </w14:textFill>
        </w:rPr>
        <w:t>）响应文件标注的项目名称或者项目编号与磋商文件标注的项目名称或者项目编号不一致的；</w:t>
      </w:r>
    </w:p>
    <w:p w14:paraId="058260FA">
      <w:pPr>
        <w:spacing w:line="360" w:lineRule="auto"/>
        <w:ind w:firstLine="480" w:firstLineChars="200"/>
        <w:rPr>
          <w:rFonts w:ascii="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15</w:t>
      </w:r>
      <w:r>
        <w:rPr>
          <w:rFonts w:hint="eastAsia" w:ascii="宋体" w:hAnsi="宋体" w:cs="宋体"/>
          <w:color w:val="000000" w:themeColor="text1"/>
          <w:sz w:val="24"/>
          <w:szCs w:val="24"/>
          <w:highlight w:val="none"/>
          <w14:textFill>
            <w14:solidFill>
              <w14:schemeClr w14:val="tx1"/>
            </w14:solidFill>
          </w14:textFill>
        </w:rPr>
        <w:t>）竞争性磋商文件明确不允许分包，响应文件拟分包的；</w:t>
      </w:r>
    </w:p>
    <w:p w14:paraId="152EB0E3">
      <w:pPr>
        <w:spacing w:line="360" w:lineRule="auto"/>
        <w:ind w:firstLine="480" w:firstLineChars="200"/>
        <w:rPr>
          <w:rFonts w:ascii="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16</w:t>
      </w:r>
      <w:r>
        <w:rPr>
          <w:rFonts w:hint="eastAsia" w:ascii="宋体" w:hAnsi="宋体" w:cs="宋体"/>
          <w:color w:val="000000" w:themeColor="text1"/>
          <w:sz w:val="24"/>
          <w:szCs w:val="24"/>
          <w:highlight w:val="none"/>
          <w14:textFill>
            <w14:solidFill>
              <w14:schemeClr w14:val="tx1"/>
            </w14:solidFill>
          </w14:textFill>
        </w:rPr>
        <w:t>）未响应磋商文件实质性要求；</w:t>
      </w:r>
    </w:p>
    <w:p w14:paraId="10FA6177">
      <w:pPr>
        <w:spacing w:line="360" w:lineRule="auto"/>
        <w:ind w:firstLine="480" w:firstLineChars="200"/>
        <w:rPr>
          <w:rFonts w:ascii="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17</w:t>
      </w:r>
      <w:r>
        <w:rPr>
          <w:rFonts w:hint="eastAsia" w:ascii="宋体" w:hAnsi="宋体" w:cs="宋体"/>
          <w:color w:val="000000" w:themeColor="text1"/>
          <w:sz w:val="24"/>
          <w:szCs w:val="24"/>
          <w:highlight w:val="none"/>
          <w14:textFill>
            <w14:solidFill>
              <w14:schemeClr w14:val="tx1"/>
            </w14:solidFill>
          </w14:textFill>
        </w:rPr>
        <w:t>）法律、法规和磋商文件规定的其他无效情形。</w:t>
      </w:r>
    </w:p>
    <w:p w14:paraId="212FDF2B">
      <w:pPr>
        <w:spacing w:line="360" w:lineRule="auto"/>
        <w:ind w:firstLine="480" w:firstLineChars="200"/>
        <w:rPr>
          <w:rFonts w:ascii="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w:t>
      </w:r>
      <w:r>
        <w:rPr>
          <w:rFonts w:ascii="宋体" w:hAnsi="宋体" w:cs="宋体"/>
          <w:color w:val="000000" w:themeColor="text1"/>
          <w:sz w:val="24"/>
          <w:szCs w:val="24"/>
          <w:highlight w:val="none"/>
          <w14:textFill>
            <w14:solidFill>
              <w14:schemeClr w14:val="tx1"/>
            </w14:solidFill>
          </w14:textFill>
        </w:rPr>
        <w:t>2</w:t>
      </w:r>
      <w:r>
        <w:rPr>
          <w:rFonts w:hint="eastAsia" w:ascii="宋体" w:hAnsi="宋体" w:cs="宋体"/>
          <w:color w:val="000000" w:themeColor="text1"/>
          <w:sz w:val="24"/>
          <w:szCs w:val="24"/>
          <w:highlight w:val="none"/>
          <w14:textFill>
            <w14:solidFill>
              <w14:schemeClr w14:val="tx1"/>
            </w14:solidFill>
          </w14:textFill>
        </w:rPr>
        <w:t>）报价评审</w:t>
      </w:r>
    </w:p>
    <w:p w14:paraId="4CF3672E">
      <w:pPr>
        <w:spacing w:line="360" w:lineRule="auto"/>
        <w:ind w:firstLine="480" w:firstLineChars="200"/>
        <w:rPr>
          <w:rFonts w:ascii="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1</w:t>
      </w:r>
      <w:r>
        <w:rPr>
          <w:rFonts w:hint="eastAsia" w:ascii="宋体" w:hAnsi="宋体" w:cs="宋体"/>
          <w:color w:val="000000" w:themeColor="text1"/>
          <w:sz w:val="24"/>
          <w:szCs w:val="24"/>
          <w:highlight w:val="none"/>
          <w14:textFill>
            <w14:solidFill>
              <w14:schemeClr w14:val="tx1"/>
            </w14:solidFill>
          </w14:textFill>
        </w:rPr>
        <w:t>）</w:t>
      </w:r>
      <w:r>
        <w:rPr>
          <w:rFonts w:ascii="宋体" w:hAnsi="宋体" w:cs="宋体"/>
          <w:color w:val="000000" w:themeColor="text1"/>
          <w:sz w:val="24"/>
          <w:szCs w:val="24"/>
          <w:highlight w:val="non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响应文件未提供“供应商须知前附表”</w:t>
      </w:r>
      <w:r>
        <w:rPr>
          <w:rFonts w:ascii="宋体" w:hAnsi="宋体" w:cs="宋体"/>
          <w:color w:val="000000" w:themeColor="text1"/>
          <w:sz w:val="24"/>
          <w:szCs w:val="24"/>
          <w:highlight w:val="non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报价文件中规定的“磋商报价表”；</w:t>
      </w:r>
    </w:p>
    <w:p w14:paraId="6A7E0318">
      <w:pPr>
        <w:spacing w:line="360" w:lineRule="auto"/>
        <w:ind w:firstLine="480" w:firstLineChars="200"/>
        <w:rPr>
          <w:rFonts w:ascii="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2</w:t>
      </w:r>
      <w:r>
        <w:rPr>
          <w:rFonts w:hint="eastAsia" w:ascii="宋体" w:hAnsi="宋体" w:cs="宋体"/>
          <w:color w:val="000000" w:themeColor="text1"/>
          <w:sz w:val="24"/>
          <w:szCs w:val="24"/>
          <w:highlight w:val="none"/>
          <w14:textFill>
            <w14:solidFill>
              <w14:schemeClr w14:val="tx1"/>
            </w14:solidFill>
          </w14:textFill>
        </w:rPr>
        <w:t>）未采用人民币报价或者未按照磋商文件标明的币种报价；</w:t>
      </w:r>
    </w:p>
    <w:p w14:paraId="14DBED6F">
      <w:pPr>
        <w:spacing w:line="360" w:lineRule="auto"/>
        <w:ind w:firstLine="480" w:firstLineChars="200"/>
        <w:rPr>
          <w:rFonts w:ascii="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3</w:t>
      </w:r>
      <w:r>
        <w:rPr>
          <w:rFonts w:hint="eastAsia" w:ascii="宋体" w:hAnsi="宋体" w:cs="宋体"/>
          <w:color w:val="000000" w:themeColor="text1"/>
          <w:sz w:val="24"/>
          <w:szCs w:val="24"/>
          <w:highlight w:val="none"/>
          <w14:textFill>
            <w14:solidFill>
              <w14:schemeClr w14:val="tx1"/>
            </w14:solidFill>
          </w14:textFill>
        </w:rPr>
        <w:t>）供应商未就所磋商的单项内容作唯一报价；供应商响应文件中存在有选择、有条件报价的（磋商文件允许有备选方案或者其他约定的除外）；</w:t>
      </w:r>
    </w:p>
    <w:p w14:paraId="02A3E4BF">
      <w:pPr>
        <w:spacing w:line="360" w:lineRule="auto"/>
        <w:ind w:firstLine="480" w:firstLineChars="200"/>
        <w:rPr>
          <w:rFonts w:ascii="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4</w:t>
      </w:r>
      <w:r>
        <w:rPr>
          <w:rFonts w:hint="eastAsia" w:ascii="宋体" w:hAnsi="宋体" w:cs="宋体"/>
          <w:color w:val="000000" w:themeColor="text1"/>
          <w:sz w:val="24"/>
          <w:szCs w:val="24"/>
          <w:highlight w:val="none"/>
          <w14:textFill>
            <w14:solidFill>
              <w14:schemeClr w14:val="tx1"/>
            </w14:solidFill>
          </w14:textFill>
        </w:rPr>
        <w:t>）最后报价超过所磋商分标规定的采购预算金额或者最高限价的（如本项目公布了最高限价）；</w:t>
      </w:r>
      <w:bookmarkStart w:id="84" w:name="_Hlk42596405"/>
      <w:r>
        <w:rPr>
          <w:rFonts w:ascii="宋体" w:hAnsi="宋体" w:cs="宋体"/>
          <w:color w:val="000000" w:themeColor="text1"/>
          <w:sz w:val="24"/>
          <w:szCs w:val="24"/>
          <w:highlight w:val="none"/>
          <w14:textFill>
            <w14:solidFill>
              <w14:schemeClr w14:val="tx1"/>
            </w14:solidFill>
          </w14:textFill>
        </w:rPr>
        <w:t xml:space="preserve"> </w:t>
      </w:r>
      <w:bookmarkEnd w:id="84"/>
    </w:p>
    <w:p w14:paraId="4557A8F3">
      <w:pPr>
        <w:spacing w:line="360" w:lineRule="auto"/>
        <w:ind w:firstLine="480" w:firstLineChars="200"/>
        <w:rPr>
          <w:rFonts w:ascii="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5</w:t>
      </w:r>
      <w:r>
        <w:rPr>
          <w:rFonts w:hint="eastAsia" w:ascii="宋体" w:hAnsi="宋体" w:cs="宋体"/>
          <w:color w:val="000000" w:themeColor="text1"/>
          <w:sz w:val="24"/>
          <w:szCs w:val="24"/>
          <w:highlight w:val="none"/>
          <w14:textFill>
            <w14:solidFill>
              <w14:schemeClr w14:val="tx1"/>
            </w14:solidFill>
          </w14:textFill>
        </w:rPr>
        <w:t>）修正后的报价，供应商不确认的；或者经供应商确认修正后的最后报价超过所磋商分标规定的采购预算金额或者最高限价（如本项目公布了最高限价）；</w:t>
      </w:r>
    </w:p>
    <w:p w14:paraId="6F5BB32E">
      <w:pPr>
        <w:spacing w:line="360" w:lineRule="auto"/>
        <w:ind w:firstLine="480" w:firstLineChars="200"/>
        <w:rPr>
          <w:rFonts w:ascii="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6</w:t>
      </w:r>
      <w:r>
        <w:rPr>
          <w:rFonts w:hint="eastAsia" w:ascii="宋体" w:hAnsi="宋体" w:cs="宋体"/>
          <w:color w:val="000000" w:themeColor="text1"/>
          <w:sz w:val="24"/>
          <w:szCs w:val="24"/>
          <w:highlight w:val="none"/>
          <w14:textFill>
            <w14:solidFill>
              <w14:schemeClr w14:val="tx1"/>
            </w14:solidFill>
          </w14:textFill>
        </w:rPr>
        <w:t>）响应文件响应的标的数量及单位与竞争性磋商文件要求实质性不一致的。</w:t>
      </w:r>
    </w:p>
    <w:p w14:paraId="2AA2871E">
      <w:pPr>
        <w:snapToGrid w:val="0"/>
        <w:spacing w:line="360" w:lineRule="auto"/>
        <w:ind w:firstLine="482" w:firstLineChars="200"/>
        <w:jc w:val="left"/>
        <w:rPr>
          <w:rFonts w:ascii="宋体"/>
          <w:b/>
          <w:bCs/>
          <w:color w:val="000000" w:themeColor="text1"/>
          <w:sz w:val="24"/>
          <w:szCs w:val="24"/>
          <w:highlight w:val="none"/>
          <w:lang w:val="zh-CN"/>
          <w14:textFill>
            <w14:solidFill>
              <w14:schemeClr w14:val="tx1"/>
            </w14:solidFill>
          </w14:textFill>
        </w:rPr>
      </w:pPr>
      <w:r>
        <w:rPr>
          <w:rFonts w:ascii="宋体" w:hAnsi="宋体" w:cs="宋体"/>
          <w:b/>
          <w:bCs/>
          <w:color w:val="000000" w:themeColor="text1"/>
          <w:sz w:val="24"/>
          <w:szCs w:val="24"/>
          <w:highlight w:val="none"/>
          <w14:textFill>
            <w14:solidFill>
              <w14:schemeClr w14:val="tx1"/>
            </w14:solidFill>
          </w14:textFill>
        </w:rPr>
        <w:t>7</w:t>
      </w:r>
      <w:r>
        <w:rPr>
          <w:rFonts w:hint="eastAsia" w:ascii="宋体" w:hAnsi="宋体" w:cs="宋体"/>
          <w:b/>
          <w:bCs/>
          <w:color w:val="000000" w:themeColor="text1"/>
          <w:sz w:val="24"/>
          <w:szCs w:val="24"/>
          <w:highlight w:val="none"/>
          <w14:textFill>
            <w14:solidFill>
              <w14:schemeClr w14:val="tx1"/>
            </w14:solidFill>
          </w14:textFill>
        </w:rPr>
        <w:t>）</w:t>
      </w:r>
      <w:r>
        <w:rPr>
          <w:rFonts w:hint="eastAsia" w:ascii="宋体" w:hAnsi="宋体" w:cs="宋体"/>
          <w:b/>
          <w:bCs/>
          <w:color w:val="000000" w:themeColor="text1"/>
          <w:sz w:val="24"/>
          <w:szCs w:val="24"/>
          <w:highlight w:val="none"/>
          <w:lang w:val="zh-CN"/>
          <w14:textFill>
            <w14:solidFill>
              <w14:schemeClr w14:val="tx1"/>
            </w14:solidFill>
          </w14:textFill>
        </w:rPr>
        <w:t>安全生产责任险按最高限价的</w:t>
      </w:r>
      <w:r>
        <w:rPr>
          <w:rFonts w:ascii="宋体" w:hAnsi="宋体" w:cs="宋体"/>
          <w:b/>
          <w:bCs/>
          <w:color w:val="000000" w:themeColor="text1"/>
          <w:sz w:val="24"/>
          <w:szCs w:val="24"/>
          <w:highlight w:val="none"/>
          <w:lang w:val="zh-CN"/>
          <w14:textFill>
            <w14:solidFill>
              <w14:schemeClr w14:val="tx1"/>
            </w14:solidFill>
          </w14:textFill>
        </w:rPr>
        <w:t>0.3%</w:t>
      </w:r>
      <w:r>
        <w:rPr>
          <w:rFonts w:hint="eastAsia" w:ascii="宋体" w:hAnsi="宋体" w:cs="宋体"/>
          <w:b/>
          <w:bCs/>
          <w:color w:val="000000" w:themeColor="text1"/>
          <w:sz w:val="24"/>
          <w:szCs w:val="24"/>
          <w:highlight w:val="none"/>
          <w:lang w:val="zh-CN"/>
          <w14:textFill>
            <w14:solidFill>
              <w14:schemeClr w14:val="tx1"/>
            </w14:solidFill>
          </w14:textFill>
        </w:rPr>
        <w:t>进行报价，作为不可竞争报价，否则响应文件作无效响应处理；</w:t>
      </w:r>
    </w:p>
    <w:p w14:paraId="6D7E76EB">
      <w:pPr>
        <w:snapToGrid w:val="0"/>
        <w:spacing w:line="360" w:lineRule="auto"/>
        <w:ind w:firstLine="482" w:firstLineChars="200"/>
        <w:jc w:val="left"/>
        <w:rPr>
          <w:rFonts w:ascii="宋体"/>
          <w:b/>
          <w:bCs/>
          <w:color w:val="000000" w:themeColor="text1"/>
          <w:sz w:val="24"/>
          <w:szCs w:val="24"/>
          <w:highlight w:val="none"/>
          <w:lang w:val="zh-CN"/>
          <w14:textFill>
            <w14:solidFill>
              <w14:schemeClr w14:val="tx1"/>
            </w14:solidFill>
          </w14:textFill>
        </w:rPr>
      </w:pPr>
      <w:r>
        <w:rPr>
          <w:rFonts w:ascii="宋体" w:hAnsi="宋体" w:cs="宋体"/>
          <w:b/>
          <w:bCs/>
          <w:color w:val="000000" w:themeColor="text1"/>
          <w:sz w:val="24"/>
          <w:szCs w:val="24"/>
          <w:highlight w:val="none"/>
          <w:lang w:val="zh-CN"/>
          <w14:textFill>
            <w14:solidFill>
              <w14:schemeClr w14:val="tx1"/>
            </w14:solidFill>
          </w14:textFill>
        </w:rPr>
        <w:t>8</w:t>
      </w:r>
      <w:r>
        <w:rPr>
          <w:rFonts w:hint="eastAsia" w:ascii="宋体" w:hAnsi="宋体" w:cs="宋体"/>
          <w:b/>
          <w:bCs/>
          <w:color w:val="000000" w:themeColor="text1"/>
          <w:sz w:val="24"/>
          <w:szCs w:val="24"/>
          <w:highlight w:val="none"/>
          <w:lang w:val="zh-CN"/>
          <w14:textFill>
            <w14:solidFill>
              <w14:schemeClr w14:val="tx1"/>
            </w14:solidFill>
          </w14:textFill>
        </w:rPr>
        <w:t>）安全生产费按最高限价的</w:t>
      </w:r>
      <w:r>
        <w:rPr>
          <w:rFonts w:ascii="宋体" w:hAnsi="宋体" w:cs="宋体"/>
          <w:b/>
          <w:bCs/>
          <w:color w:val="000000" w:themeColor="text1"/>
          <w:sz w:val="24"/>
          <w:szCs w:val="24"/>
          <w:highlight w:val="none"/>
          <w:lang w:val="zh-CN"/>
          <w14:textFill>
            <w14:solidFill>
              <w14:schemeClr w14:val="tx1"/>
            </w14:solidFill>
          </w14:textFill>
        </w:rPr>
        <w:t>1.5%</w:t>
      </w:r>
      <w:r>
        <w:rPr>
          <w:rFonts w:hint="eastAsia" w:ascii="宋体" w:hAnsi="宋体" w:cs="宋体"/>
          <w:b/>
          <w:bCs/>
          <w:color w:val="000000" w:themeColor="text1"/>
          <w:sz w:val="24"/>
          <w:szCs w:val="24"/>
          <w:highlight w:val="none"/>
          <w:lang w:val="zh-CN"/>
          <w14:textFill>
            <w14:solidFill>
              <w14:schemeClr w14:val="tx1"/>
            </w14:solidFill>
          </w14:textFill>
        </w:rPr>
        <w:t>进行报价，作为不可竞争报价</w:t>
      </w:r>
      <w:r>
        <w:rPr>
          <w:rFonts w:ascii="宋体" w:cs="宋体"/>
          <w:b/>
          <w:bCs/>
          <w:color w:val="000000" w:themeColor="text1"/>
          <w:sz w:val="24"/>
          <w:szCs w:val="24"/>
          <w:highlight w:val="none"/>
          <w:lang w:val="zh-CN"/>
          <w14:textFill>
            <w14:solidFill>
              <w14:schemeClr w14:val="tx1"/>
            </w14:solidFill>
          </w14:textFill>
        </w:rPr>
        <w:t>,</w:t>
      </w:r>
      <w:r>
        <w:rPr>
          <w:rFonts w:hint="eastAsia" w:ascii="宋体" w:hAnsi="宋体" w:cs="宋体"/>
          <w:b/>
          <w:bCs/>
          <w:color w:val="000000" w:themeColor="text1"/>
          <w:sz w:val="24"/>
          <w:szCs w:val="24"/>
          <w:highlight w:val="none"/>
          <w:lang w:val="zh-CN"/>
          <w14:textFill>
            <w14:solidFill>
              <w14:schemeClr w14:val="tx1"/>
            </w14:solidFill>
          </w14:textFill>
        </w:rPr>
        <w:t>否则响应文件作无效响应处理。</w:t>
      </w:r>
    </w:p>
    <w:p w14:paraId="7F46972D">
      <w:pPr>
        <w:spacing w:line="360" w:lineRule="auto"/>
        <w:ind w:firstLine="480" w:firstLineChars="200"/>
        <w:rPr>
          <w:rFonts w:ascii="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2.6</w:t>
      </w:r>
      <w:r>
        <w:rPr>
          <w:rFonts w:hint="eastAsia" w:ascii="宋体" w:hAnsi="宋体" w:cs="宋体"/>
          <w:color w:val="000000" w:themeColor="text1"/>
          <w:sz w:val="24"/>
          <w:szCs w:val="24"/>
          <w:highlight w:val="none"/>
          <w14:textFill>
            <w14:solidFill>
              <w14:schemeClr w14:val="tx1"/>
            </w14:solidFill>
          </w14:textFill>
        </w:rPr>
        <w:t>磋商小组对响应文件进行评审，未实质性响应磋商文件的响应文件按无效响应处理，磋商小组应当将资格和符合性不通过的情况告知有关供应商。磋商小组从符合磋商文件规定的相应资格条件的供应商名单中确定不少于</w:t>
      </w:r>
      <w:r>
        <w:rPr>
          <w:rFonts w:ascii="宋体" w:hAnsi="宋体" w:cs="宋体"/>
          <w:color w:val="000000" w:themeColor="text1"/>
          <w:sz w:val="24"/>
          <w:szCs w:val="24"/>
          <w:highlight w:val="none"/>
          <w14:textFill>
            <w14:solidFill>
              <w14:schemeClr w14:val="tx1"/>
            </w14:solidFill>
          </w14:textFill>
        </w:rPr>
        <w:t>3</w:t>
      </w:r>
      <w:r>
        <w:rPr>
          <w:rFonts w:hint="eastAsia" w:ascii="宋体" w:hAnsi="宋体" w:cs="宋体"/>
          <w:color w:val="000000" w:themeColor="text1"/>
          <w:sz w:val="24"/>
          <w:szCs w:val="24"/>
          <w:highlight w:val="none"/>
          <w14:textFill>
            <w14:solidFill>
              <w14:schemeClr w14:val="tx1"/>
            </w14:solidFill>
          </w14:textFill>
        </w:rPr>
        <w:t>家的供应商参加磋商。</w:t>
      </w:r>
    </w:p>
    <w:p w14:paraId="101B4D21">
      <w:pPr>
        <w:spacing w:line="360" w:lineRule="auto"/>
        <w:ind w:firstLine="480" w:firstLineChars="200"/>
        <w:rPr>
          <w:rFonts w:ascii="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2.7</w:t>
      </w:r>
      <w:r>
        <w:rPr>
          <w:rFonts w:hint="eastAsia" w:ascii="宋体" w:hAnsi="宋体" w:cs="宋体"/>
          <w:color w:val="000000" w:themeColor="text1"/>
          <w:sz w:val="24"/>
          <w:szCs w:val="24"/>
          <w:highlight w:val="none"/>
          <w14:textFill>
            <w14:solidFill>
              <w14:schemeClr w14:val="tx1"/>
            </w14:solidFill>
          </w14:textFill>
        </w:rPr>
        <w:t>非政府购买服务项目，通过符合性审查的合格供应商不足</w:t>
      </w:r>
      <w:r>
        <w:rPr>
          <w:rFonts w:ascii="宋体" w:hAnsi="宋体" w:cs="宋体"/>
          <w:color w:val="000000" w:themeColor="text1"/>
          <w:sz w:val="24"/>
          <w:szCs w:val="24"/>
          <w:highlight w:val="none"/>
          <w14:textFill>
            <w14:solidFill>
              <w14:schemeClr w14:val="tx1"/>
            </w14:solidFill>
          </w14:textFill>
        </w:rPr>
        <w:t>3</w:t>
      </w:r>
      <w:r>
        <w:rPr>
          <w:rFonts w:hint="eastAsia" w:ascii="宋体" w:hAnsi="宋体" w:cs="宋体"/>
          <w:color w:val="000000" w:themeColor="text1"/>
          <w:sz w:val="24"/>
          <w:szCs w:val="24"/>
          <w:highlight w:val="none"/>
          <w14:textFill>
            <w14:solidFill>
              <w14:schemeClr w14:val="tx1"/>
            </w14:solidFill>
          </w14:textFill>
        </w:rPr>
        <w:t>家的，不得进入磋商环节，采购人或者采购代理机构应当重新开展采购活动。政府购买服务项目，按《财政部关于政府采购竞争性磋商采购方式管理暂行办法有关问题的补充通知》（财库〔</w:t>
      </w:r>
      <w:r>
        <w:rPr>
          <w:rFonts w:ascii="宋体" w:hAnsi="宋体" w:cs="宋体"/>
          <w:color w:val="000000" w:themeColor="text1"/>
          <w:sz w:val="24"/>
          <w:szCs w:val="24"/>
          <w:highlight w:val="none"/>
          <w14:textFill>
            <w14:solidFill>
              <w14:schemeClr w14:val="tx1"/>
            </w14:solidFill>
          </w14:textFill>
        </w:rPr>
        <w:t>2015</w:t>
      </w:r>
      <w:r>
        <w:rPr>
          <w:rFonts w:hint="eastAsia" w:ascii="宋体" w:hAnsi="宋体" w:cs="宋体"/>
          <w:color w:val="000000" w:themeColor="text1"/>
          <w:sz w:val="24"/>
          <w:szCs w:val="24"/>
          <w:highlight w:val="none"/>
          <w14:textFill>
            <w14:solidFill>
              <w14:schemeClr w14:val="tx1"/>
            </w14:solidFill>
          </w14:textFill>
        </w:rPr>
        <w:t>〕</w:t>
      </w:r>
      <w:r>
        <w:rPr>
          <w:rFonts w:ascii="宋体" w:hAnsi="宋体" w:cs="宋体"/>
          <w:color w:val="000000" w:themeColor="text1"/>
          <w:sz w:val="24"/>
          <w:szCs w:val="24"/>
          <w:highlight w:val="none"/>
          <w14:textFill>
            <w14:solidFill>
              <w14:schemeClr w14:val="tx1"/>
            </w14:solidFill>
          </w14:textFill>
        </w:rPr>
        <w:t>124</w:t>
      </w:r>
      <w:r>
        <w:rPr>
          <w:rFonts w:hint="eastAsia" w:ascii="宋体" w:hAnsi="宋体" w:cs="宋体"/>
          <w:color w:val="000000" w:themeColor="text1"/>
          <w:sz w:val="24"/>
          <w:szCs w:val="24"/>
          <w:highlight w:val="none"/>
          <w14:textFill>
            <w14:solidFill>
              <w14:schemeClr w14:val="tx1"/>
            </w14:solidFill>
          </w14:textFill>
        </w:rPr>
        <w:t>号）规定，采购过程中通过符合性审查的供应商（社会资本）只有</w:t>
      </w:r>
      <w:r>
        <w:rPr>
          <w:rFonts w:ascii="宋体" w:hAnsi="宋体" w:cs="宋体"/>
          <w:color w:val="000000" w:themeColor="text1"/>
          <w:sz w:val="24"/>
          <w:szCs w:val="24"/>
          <w:highlight w:val="none"/>
          <w14:textFill>
            <w14:solidFill>
              <w14:schemeClr w14:val="tx1"/>
            </w14:solidFill>
          </w14:textFill>
        </w:rPr>
        <w:t>2</w:t>
      </w:r>
      <w:r>
        <w:rPr>
          <w:rFonts w:hint="eastAsia" w:ascii="宋体" w:hAnsi="宋体" w:cs="宋体"/>
          <w:color w:val="000000" w:themeColor="text1"/>
          <w:sz w:val="24"/>
          <w:szCs w:val="24"/>
          <w:highlight w:val="none"/>
          <w14:textFill>
            <w14:solidFill>
              <w14:schemeClr w14:val="tx1"/>
            </w14:solidFill>
          </w14:textFill>
        </w:rPr>
        <w:t>家的，磋商采购活动可以继续进行。</w:t>
      </w:r>
    </w:p>
    <w:p w14:paraId="4AFFA730">
      <w:pPr>
        <w:spacing w:line="360" w:lineRule="auto"/>
        <w:ind w:firstLine="482" w:firstLineChars="200"/>
        <w:rPr>
          <w:rFonts w:ascii="宋体"/>
          <w:b/>
          <w:bCs/>
          <w:color w:val="000000" w:themeColor="text1"/>
          <w:sz w:val="24"/>
          <w:szCs w:val="24"/>
          <w:highlight w:val="none"/>
          <w14:textFill>
            <w14:solidFill>
              <w14:schemeClr w14:val="tx1"/>
            </w14:solidFill>
          </w14:textFill>
        </w:rPr>
      </w:pPr>
      <w:r>
        <w:rPr>
          <w:rFonts w:ascii="宋体" w:hAnsi="宋体" w:cs="宋体"/>
          <w:b/>
          <w:bCs/>
          <w:color w:val="000000" w:themeColor="text1"/>
          <w:sz w:val="24"/>
          <w:szCs w:val="24"/>
          <w:highlight w:val="none"/>
          <w14:textFill>
            <w14:solidFill>
              <w14:schemeClr w14:val="tx1"/>
            </w14:solidFill>
          </w14:textFill>
        </w:rPr>
        <w:t>3.</w:t>
      </w:r>
      <w:r>
        <w:rPr>
          <w:rFonts w:hint="eastAsia" w:ascii="宋体" w:hAnsi="宋体" w:cs="宋体"/>
          <w:b/>
          <w:bCs/>
          <w:color w:val="000000" w:themeColor="text1"/>
          <w:sz w:val="24"/>
          <w:szCs w:val="24"/>
          <w:highlight w:val="none"/>
          <w14:textFill>
            <w14:solidFill>
              <w14:schemeClr w14:val="tx1"/>
            </w14:solidFill>
          </w14:textFill>
        </w:rPr>
        <w:t>磋商程序</w:t>
      </w:r>
    </w:p>
    <w:p w14:paraId="1E652550">
      <w:pPr>
        <w:spacing w:line="360" w:lineRule="auto"/>
        <w:ind w:firstLine="480" w:firstLineChars="200"/>
        <w:rPr>
          <w:rFonts w:ascii="宋体"/>
          <w:color w:val="000000" w:themeColor="text1"/>
          <w:sz w:val="24"/>
          <w:szCs w:val="24"/>
          <w:highlight w:val="none"/>
          <w14:textFill>
            <w14:solidFill>
              <w14:schemeClr w14:val="tx1"/>
            </w14:solidFill>
          </w14:textFill>
        </w:rPr>
      </w:pPr>
      <w:r>
        <w:rPr>
          <w:rFonts w:ascii="宋体" w:hAnsi="宋体" w:cs="宋体"/>
          <w:color w:val="000000" w:themeColor="text1"/>
          <w:kern w:val="0"/>
          <w:sz w:val="24"/>
          <w:szCs w:val="24"/>
          <w:highlight w:val="none"/>
          <w14:textFill>
            <w14:solidFill>
              <w14:schemeClr w14:val="tx1"/>
            </w14:solidFill>
          </w14:textFill>
        </w:rPr>
        <w:t>3.1</w:t>
      </w:r>
      <w:r>
        <w:rPr>
          <w:rFonts w:hint="eastAsia" w:ascii="宋体" w:hAnsi="宋体" w:cs="宋体"/>
          <w:color w:val="000000" w:themeColor="text1"/>
          <w:kern w:val="0"/>
          <w:sz w:val="24"/>
          <w:szCs w:val="24"/>
          <w:highlight w:val="none"/>
          <w14:textFill>
            <w14:solidFill>
              <w14:schemeClr w14:val="tx1"/>
            </w14:solidFill>
          </w14:textFill>
        </w:rPr>
        <w:t>磋商小组按照“供应商须知前附表”</w:t>
      </w:r>
      <w:r>
        <w:rPr>
          <w:rFonts w:ascii="宋体" w:hAnsi="宋体" w:cs="宋体"/>
          <w:color w:val="000000" w:themeColor="text1"/>
          <w:sz w:val="24"/>
          <w:szCs w:val="24"/>
          <w:highlight w:val="none"/>
          <w14:textFill>
            <w14:solidFill>
              <w14:schemeClr w14:val="tx1"/>
            </w14:solidFill>
          </w14:textFill>
        </w:rPr>
        <w:t xml:space="preserve"> </w:t>
      </w:r>
      <w:r>
        <w:rPr>
          <w:rFonts w:hint="eastAsia" w:ascii="宋体" w:hAnsi="宋体" w:cs="宋体"/>
          <w:color w:val="000000" w:themeColor="text1"/>
          <w:kern w:val="0"/>
          <w:sz w:val="24"/>
          <w:szCs w:val="24"/>
          <w:highlight w:val="none"/>
          <w14:textFill>
            <w14:solidFill>
              <w14:schemeClr w14:val="tx1"/>
            </w14:solidFill>
          </w14:textFill>
        </w:rPr>
        <w:t>确定的</w:t>
      </w:r>
      <w:r>
        <w:rPr>
          <w:rFonts w:hint="eastAsia" w:ascii="宋体" w:hAnsi="宋体" w:cs="宋体"/>
          <w:color w:val="000000" w:themeColor="text1"/>
          <w:sz w:val="24"/>
          <w:szCs w:val="24"/>
          <w:highlight w:val="none"/>
          <w14:textFill>
            <w14:solidFill>
              <w14:schemeClr w14:val="tx1"/>
            </w14:solidFill>
          </w14:textFill>
        </w:rPr>
        <w:t>顺序，集中与单一供应商分别进行磋商，并给予所有参加磋商的供应商平等的磋商机会。符合磋商资格的供应商必须在接到磋商通知后规定时间内参加磋商，未在规定时间内参加磋商的视同放弃参加磋商权利，其响应文件按无效响应处理。</w:t>
      </w:r>
    </w:p>
    <w:p w14:paraId="15E40869">
      <w:pPr>
        <w:spacing w:line="360" w:lineRule="auto"/>
        <w:ind w:firstLine="480" w:firstLineChars="200"/>
        <w:rPr>
          <w:rFonts w:ascii="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3.2</w:t>
      </w:r>
      <w:r>
        <w:rPr>
          <w:rFonts w:hint="eastAsia" w:ascii="宋体" w:hAnsi="宋体" w:cs="宋体"/>
          <w:color w:val="000000" w:themeColor="text1"/>
          <w:sz w:val="24"/>
          <w:szCs w:val="24"/>
          <w:highlight w:val="none"/>
          <w14:textFill>
            <w14:solidFill>
              <w14:schemeClr w14:val="tx1"/>
            </w14:solidFill>
          </w14:textFill>
        </w:rPr>
        <w:t>在磋商过程中，磋商小组可以根据磋商文件和磋商情况实质性变动采购需求中的技术、服务要求以及合同草案条款，但不得变动磋商文件中的其他内容。实质性变动的内容，须经采购人代表确认。可能实质性变动的内容为采购需求中的技术、服务要求以及合同草案条款。</w:t>
      </w:r>
    </w:p>
    <w:p w14:paraId="51EF1779">
      <w:pPr>
        <w:spacing w:line="360" w:lineRule="auto"/>
        <w:ind w:firstLine="480" w:firstLineChars="200"/>
        <w:rPr>
          <w:rFonts w:ascii="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3.3</w:t>
      </w:r>
      <w:r>
        <w:rPr>
          <w:rFonts w:hint="eastAsia" w:ascii="宋体" w:hAnsi="宋体" w:cs="宋体"/>
          <w:color w:val="000000" w:themeColor="text1"/>
          <w:sz w:val="24"/>
          <w:szCs w:val="24"/>
          <w:highlight w:val="none"/>
          <w14:textFill>
            <w14:solidFill>
              <w14:schemeClr w14:val="tx1"/>
            </w14:solidFill>
          </w14:textFill>
        </w:rPr>
        <w:t>对磋商文件作出的实质性变动是磋商文件的有效组成部分，由磋商小组及时以电子磋商记录形式同时通知所有参加磋商的供应商。</w:t>
      </w:r>
    </w:p>
    <w:p w14:paraId="6EFBA23A">
      <w:pPr>
        <w:spacing w:line="360" w:lineRule="auto"/>
        <w:ind w:firstLine="480" w:firstLineChars="200"/>
        <w:rPr>
          <w:rFonts w:ascii="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3.4</w:t>
      </w:r>
      <w:r>
        <w:rPr>
          <w:rFonts w:hint="eastAsia" w:ascii="宋体" w:hAnsi="宋体" w:cs="宋体"/>
          <w:color w:val="000000" w:themeColor="text1"/>
          <w:sz w:val="24"/>
          <w:szCs w:val="24"/>
          <w:highlight w:val="none"/>
          <w14:textFill>
            <w14:solidFill>
              <w14:schemeClr w14:val="tx1"/>
            </w14:solidFill>
          </w14:textFill>
        </w:rPr>
        <w:t>供应商必须按照磋商文件的变动情况和磋商小组的要求以电子回函的形式重新提交响应文件，并由其法定代表人或者授权代表签字或者加盖供应商公章。供应商为自然人的，必须由本人签字并附身份证明。参加磋商的供应商未在规定时间内以电子回函的形式重新提交响应文件的，视同退出磋商。</w:t>
      </w:r>
    </w:p>
    <w:p w14:paraId="406CABAF">
      <w:pPr>
        <w:spacing w:line="360" w:lineRule="auto"/>
        <w:ind w:firstLine="480" w:firstLineChars="200"/>
        <w:rPr>
          <w:rFonts w:ascii="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3.5</w:t>
      </w:r>
      <w:r>
        <w:rPr>
          <w:rFonts w:hint="eastAsia" w:ascii="宋体" w:hAnsi="宋体" w:cs="宋体"/>
          <w:color w:val="000000" w:themeColor="text1"/>
          <w:sz w:val="24"/>
          <w:szCs w:val="24"/>
          <w:highlight w:val="none"/>
          <w14:textFill>
            <w14:solidFill>
              <w14:schemeClr w14:val="tx1"/>
            </w14:solidFill>
          </w14:textFill>
        </w:rPr>
        <w:t>磋商中，</w:t>
      </w:r>
      <w:r>
        <w:rPr>
          <w:rFonts w:hint="eastAsia" w:ascii="宋体" w:hAnsi="宋体" w:cs="宋体"/>
          <w:color w:val="000000" w:themeColor="text1"/>
          <w:spacing w:val="-6"/>
          <w:sz w:val="24"/>
          <w:szCs w:val="24"/>
          <w:highlight w:val="none"/>
          <w14:textFill>
            <w14:solidFill>
              <w14:schemeClr w14:val="tx1"/>
            </w14:solidFill>
          </w14:textFill>
        </w:rPr>
        <w:t>磋商的任何一方不得透露与磋商有关的其他供应商的技术资料、价格和其他信息。</w:t>
      </w:r>
    </w:p>
    <w:p w14:paraId="3262B484">
      <w:pPr>
        <w:tabs>
          <w:tab w:val="left" w:pos="2835"/>
        </w:tabs>
        <w:spacing w:line="360" w:lineRule="auto"/>
        <w:ind w:firstLine="480" w:firstLineChars="200"/>
        <w:rPr>
          <w:rFonts w:ascii="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3.6</w:t>
      </w:r>
      <w:r>
        <w:rPr>
          <w:rFonts w:hint="eastAsia" w:ascii="宋体" w:hAnsi="宋体" w:cs="宋体"/>
          <w:color w:val="000000" w:themeColor="text1"/>
          <w:sz w:val="24"/>
          <w:szCs w:val="24"/>
          <w:highlight w:val="none"/>
          <w14:textFill>
            <w14:solidFill>
              <w14:schemeClr w14:val="tx1"/>
            </w14:solidFill>
          </w14:textFill>
        </w:rPr>
        <w:t>对磋商过程提交的响应文件进行有效性、完整性和响应程度审查，通过审查的合格供应商不足</w:t>
      </w:r>
      <w:r>
        <w:rPr>
          <w:rFonts w:ascii="宋体" w:hAnsi="宋体" w:cs="宋体"/>
          <w:color w:val="000000" w:themeColor="text1"/>
          <w:sz w:val="24"/>
          <w:szCs w:val="24"/>
          <w:highlight w:val="none"/>
          <w14:textFill>
            <w14:solidFill>
              <w14:schemeClr w14:val="tx1"/>
            </w14:solidFill>
          </w14:textFill>
        </w:rPr>
        <w:t>3</w:t>
      </w:r>
      <w:r>
        <w:rPr>
          <w:rFonts w:hint="eastAsia" w:ascii="宋体" w:hAnsi="宋体" w:cs="宋体"/>
          <w:color w:val="000000" w:themeColor="text1"/>
          <w:sz w:val="24"/>
          <w:szCs w:val="24"/>
          <w:highlight w:val="none"/>
          <w14:textFill>
            <w14:solidFill>
              <w14:schemeClr w14:val="tx1"/>
            </w14:solidFill>
          </w14:textFill>
        </w:rPr>
        <w:t>家的，采购人或者采购代理机构应当重新开展采购活动。</w:t>
      </w:r>
    </w:p>
    <w:p w14:paraId="24A53050">
      <w:pPr>
        <w:widowControl/>
        <w:tabs>
          <w:tab w:val="left" w:pos="540"/>
        </w:tabs>
        <w:spacing w:line="360" w:lineRule="auto"/>
        <w:ind w:firstLine="480" w:firstLineChars="200"/>
        <w:jc w:val="left"/>
        <w:rPr>
          <w:rFonts w:ascii="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3.7</w:t>
      </w:r>
      <w:r>
        <w:rPr>
          <w:rFonts w:hint="eastAsia" w:ascii="宋体" w:hAnsi="宋体" w:cs="宋体"/>
          <w:color w:val="000000" w:themeColor="text1"/>
          <w:sz w:val="24"/>
          <w:szCs w:val="24"/>
          <w:highlight w:val="none"/>
          <w14:textFill>
            <w14:solidFill>
              <w14:schemeClr w14:val="tx1"/>
            </w14:solidFill>
          </w14:textFill>
        </w:rPr>
        <w:t>根据《财政部关于政府采购竞争性磋商采购方式管理暂行办法有关问题的补充通知》（财库〔</w:t>
      </w:r>
      <w:r>
        <w:rPr>
          <w:rFonts w:ascii="宋体" w:hAnsi="宋体" w:cs="宋体"/>
          <w:color w:val="000000" w:themeColor="text1"/>
          <w:sz w:val="24"/>
          <w:szCs w:val="24"/>
          <w:highlight w:val="none"/>
          <w14:textFill>
            <w14:solidFill>
              <w14:schemeClr w14:val="tx1"/>
            </w14:solidFill>
          </w14:textFill>
        </w:rPr>
        <w:t>2015</w:t>
      </w:r>
      <w:r>
        <w:rPr>
          <w:rFonts w:hint="eastAsia" w:ascii="宋体" w:hAnsi="宋体" w:cs="宋体"/>
          <w:color w:val="000000" w:themeColor="text1"/>
          <w:sz w:val="24"/>
          <w:szCs w:val="24"/>
          <w:highlight w:val="none"/>
          <w14:textFill>
            <w14:solidFill>
              <w14:schemeClr w14:val="tx1"/>
            </w14:solidFill>
          </w14:textFill>
        </w:rPr>
        <w:t>〕</w:t>
      </w:r>
      <w:r>
        <w:rPr>
          <w:rFonts w:ascii="宋体" w:hAnsi="宋体" w:cs="宋体"/>
          <w:color w:val="000000" w:themeColor="text1"/>
          <w:sz w:val="24"/>
          <w:szCs w:val="24"/>
          <w:highlight w:val="none"/>
          <w14:textFill>
            <w14:solidFill>
              <w14:schemeClr w14:val="tx1"/>
            </w14:solidFill>
          </w14:textFill>
        </w:rPr>
        <w:t>124</w:t>
      </w:r>
      <w:r>
        <w:rPr>
          <w:rFonts w:hint="eastAsia" w:ascii="宋体" w:hAnsi="宋体" w:cs="宋体"/>
          <w:color w:val="000000" w:themeColor="text1"/>
          <w:sz w:val="24"/>
          <w:szCs w:val="24"/>
          <w:highlight w:val="none"/>
          <w14:textFill>
            <w14:solidFill>
              <w14:schemeClr w14:val="tx1"/>
            </w14:solidFill>
          </w14:textFill>
        </w:rPr>
        <w:t>号）的规定，采用竞争性磋商采购方式采购的政府购买服务项目（含政府和社会资本合作项目），在采购过程中符合要求的供应商（社会资本）只有</w:t>
      </w:r>
      <w:r>
        <w:rPr>
          <w:rFonts w:ascii="宋体" w:hAnsi="宋体" w:cs="宋体"/>
          <w:color w:val="000000" w:themeColor="text1"/>
          <w:sz w:val="24"/>
          <w:szCs w:val="24"/>
          <w:highlight w:val="none"/>
          <w14:textFill>
            <w14:solidFill>
              <w14:schemeClr w14:val="tx1"/>
            </w14:solidFill>
          </w14:textFill>
        </w:rPr>
        <w:t>2</w:t>
      </w:r>
      <w:r>
        <w:rPr>
          <w:rFonts w:hint="eastAsia" w:ascii="宋体" w:hAnsi="宋体" w:cs="宋体"/>
          <w:color w:val="000000" w:themeColor="text1"/>
          <w:sz w:val="24"/>
          <w:szCs w:val="24"/>
          <w:highlight w:val="none"/>
          <w14:textFill>
            <w14:solidFill>
              <w14:schemeClr w14:val="tx1"/>
            </w14:solidFill>
          </w14:textFill>
        </w:rPr>
        <w:t>家的，竞争性磋商采购活动可以继续进行。采购过程中符合要求的供应商（社会资本）只有</w:t>
      </w:r>
      <w:r>
        <w:rPr>
          <w:rFonts w:ascii="宋体" w:hAnsi="宋体" w:cs="宋体"/>
          <w:color w:val="000000" w:themeColor="text1"/>
          <w:sz w:val="24"/>
          <w:szCs w:val="24"/>
          <w:highlight w:val="none"/>
          <w14:textFill>
            <w14:solidFill>
              <w14:schemeClr w14:val="tx1"/>
            </w14:solidFill>
          </w14:textFill>
        </w:rPr>
        <w:t>1</w:t>
      </w:r>
      <w:r>
        <w:rPr>
          <w:rFonts w:hint="eastAsia" w:ascii="宋体" w:hAnsi="宋体" w:cs="宋体"/>
          <w:color w:val="000000" w:themeColor="text1"/>
          <w:sz w:val="24"/>
          <w:szCs w:val="24"/>
          <w:highlight w:val="none"/>
          <w14:textFill>
            <w14:solidFill>
              <w14:schemeClr w14:val="tx1"/>
            </w14:solidFill>
          </w14:textFill>
        </w:rPr>
        <w:t>家的，采购人（项目实施机构）或者采购代理机构应当终止竞争性磋商采购活动，发布项目终止公告并说明原因，重新开展采购活动。</w:t>
      </w:r>
    </w:p>
    <w:p w14:paraId="04808AA4">
      <w:pPr>
        <w:spacing w:line="360" w:lineRule="auto"/>
        <w:ind w:firstLine="482" w:firstLineChars="200"/>
        <w:rPr>
          <w:rFonts w:ascii="宋体"/>
          <w:color w:val="000000" w:themeColor="text1"/>
          <w:sz w:val="24"/>
          <w:szCs w:val="24"/>
          <w:highlight w:val="none"/>
          <w14:textFill>
            <w14:solidFill>
              <w14:schemeClr w14:val="tx1"/>
            </w14:solidFill>
          </w14:textFill>
        </w:rPr>
      </w:pPr>
      <w:r>
        <w:rPr>
          <w:rFonts w:ascii="宋体" w:hAnsi="宋体" w:cs="宋体"/>
          <w:b/>
          <w:bCs/>
          <w:color w:val="000000" w:themeColor="text1"/>
          <w:sz w:val="24"/>
          <w:szCs w:val="24"/>
          <w:highlight w:val="none"/>
          <w14:textFill>
            <w14:solidFill>
              <w14:schemeClr w14:val="tx1"/>
            </w14:solidFill>
          </w14:textFill>
        </w:rPr>
        <w:t xml:space="preserve">4. </w:t>
      </w:r>
      <w:r>
        <w:rPr>
          <w:rFonts w:hint="eastAsia" w:ascii="宋体" w:hAnsi="宋体" w:cs="宋体"/>
          <w:b/>
          <w:bCs/>
          <w:color w:val="000000" w:themeColor="text1"/>
          <w:sz w:val="24"/>
          <w:szCs w:val="24"/>
          <w:highlight w:val="none"/>
          <w14:textFill>
            <w14:solidFill>
              <w14:schemeClr w14:val="tx1"/>
            </w14:solidFill>
          </w14:textFill>
        </w:rPr>
        <w:t>最后报价</w:t>
      </w:r>
    </w:p>
    <w:p w14:paraId="2FCF306A">
      <w:pPr>
        <w:spacing w:line="360" w:lineRule="auto"/>
        <w:ind w:firstLine="480" w:firstLineChars="200"/>
        <w:rPr>
          <w:rFonts w:ascii="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4.1</w:t>
      </w:r>
      <w:r>
        <w:rPr>
          <w:rFonts w:hint="eastAsia" w:ascii="宋体" w:hAnsi="宋体" w:cs="宋体"/>
          <w:color w:val="000000" w:themeColor="text1"/>
          <w:sz w:val="24"/>
          <w:szCs w:val="24"/>
          <w:highlight w:val="none"/>
          <w14:textFill>
            <w14:solidFill>
              <w14:schemeClr w14:val="tx1"/>
            </w14:solidFill>
          </w14:textFill>
        </w:rPr>
        <w:t>磋商文件能够详细列明采购标的的技术、服务要求的，磋商结束后，由磋商小组要求所有继续参加磋商的供应商在规定时间内以电子文件形式提交最后报价（</w:t>
      </w:r>
      <w:r>
        <w:rPr>
          <w:rFonts w:hint="eastAsia" w:ascii="宋体" w:hAnsi="宋体" w:cs="宋体"/>
          <w:b/>
          <w:bCs/>
          <w:color w:val="000000" w:themeColor="text1"/>
          <w:sz w:val="24"/>
          <w:szCs w:val="24"/>
          <w:highlight w:val="none"/>
          <w14:textFill>
            <w14:solidFill>
              <w14:schemeClr w14:val="tx1"/>
            </w14:solidFill>
          </w14:textFill>
        </w:rPr>
        <w:t>若最后报价有变动，必须将最后报价的固化清单加盖电子签章以附件形式上传，否则磋商无效</w:t>
      </w:r>
      <w:r>
        <w:rPr>
          <w:rFonts w:hint="eastAsia" w:ascii="宋体" w:hAnsi="宋体" w:cs="宋体"/>
          <w:color w:val="000000" w:themeColor="text1"/>
          <w:sz w:val="24"/>
          <w:szCs w:val="24"/>
          <w:highlight w:val="none"/>
          <w14:textFill>
            <w14:solidFill>
              <w14:schemeClr w14:val="tx1"/>
            </w14:solidFill>
          </w14:textFill>
        </w:rPr>
        <w:t>），除本章第</w:t>
      </w:r>
      <w:r>
        <w:rPr>
          <w:rFonts w:ascii="宋体" w:hAnsi="宋体" w:cs="宋体"/>
          <w:color w:val="000000" w:themeColor="text1"/>
          <w:sz w:val="24"/>
          <w:szCs w:val="24"/>
          <w:highlight w:val="none"/>
          <w14:textFill>
            <w14:solidFill>
              <w14:schemeClr w14:val="tx1"/>
            </w14:solidFill>
          </w14:textFill>
        </w:rPr>
        <w:t>2.7</w:t>
      </w:r>
      <w:r>
        <w:rPr>
          <w:rFonts w:hint="eastAsia" w:ascii="宋体" w:hAnsi="宋体" w:cs="宋体"/>
          <w:color w:val="000000" w:themeColor="text1"/>
          <w:sz w:val="24"/>
          <w:szCs w:val="24"/>
          <w:highlight w:val="none"/>
          <w14:textFill>
            <w14:solidFill>
              <w14:schemeClr w14:val="tx1"/>
            </w14:solidFill>
          </w14:textFill>
        </w:rPr>
        <w:t>、</w:t>
      </w:r>
      <w:r>
        <w:rPr>
          <w:rFonts w:ascii="宋体" w:hAnsi="宋体" w:cs="宋体"/>
          <w:color w:val="000000" w:themeColor="text1"/>
          <w:sz w:val="24"/>
          <w:szCs w:val="24"/>
          <w:highlight w:val="none"/>
          <w14:textFill>
            <w14:solidFill>
              <w14:schemeClr w14:val="tx1"/>
            </w14:solidFill>
          </w14:textFill>
        </w:rPr>
        <w:t>3.7</w:t>
      </w:r>
      <w:r>
        <w:rPr>
          <w:rFonts w:hint="eastAsia" w:ascii="宋体" w:hAnsi="宋体" w:cs="宋体"/>
          <w:color w:val="000000" w:themeColor="text1"/>
          <w:sz w:val="24"/>
          <w:szCs w:val="24"/>
          <w:highlight w:val="none"/>
          <w14:textFill>
            <w14:solidFill>
              <w14:schemeClr w14:val="tx1"/>
            </w14:solidFill>
          </w14:textFill>
        </w:rPr>
        <w:t>、</w:t>
      </w:r>
      <w:r>
        <w:rPr>
          <w:rFonts w:ascii="宋体" w:hAnsi="宋体" w:cs="宋体"/>
          <w:color w:val="000000" w:themeColor="text1"/>
          <w:sz w:val="24"/>
          <w:szCs w:val="24"/>
          <w:highlight w:val="none"/>
          <w14:textFill>
            <w14:solidFill>
              <w14:schemeClr w14:val="tx1"/>
            </w14:solidFill>
          </w14:textFill>
        </w:rPr>
        <w:t>4.3</w:t>
      </w:r>
      <w:r>
        <w:rPr>
          <w:rFonts w:hint="eastAsia" w:ascii="宋体" w:hAnsi="宋体" w:cs="宋体"/>
          <w:color w:val="000000" w:themeColor="text1"/>
          <w:sz w:val="24"/>
          <w:szCs w:val="24"/>
          <w:highlight w:val="none"/>
          <w14:textFill>
            <w14:solidFill>
              <w14:schemeClr w14:val="tx1"/>
            </w14:solidFill>
          </w14:textFill>
        </w:rPr>
        <w:t>条外，提交最后报价的供应商不得少于</w:t>
      </w:r>
      <w:r>
        <w:rPr>
          <w:rFonts w:ascii="宋体" w:hAnsi="宋体" w:cs="宋体"/>
          <w:color w:val="000000" w:themeColor="text1"/>
          <w:sz w:val="24"/>
          <w:szCs w:val="24"/>
          <w:highlight w:val="none"/>
          <w14:textFill>
            <w14:solidFill>
              <w14:schemeClr w14:val="tx1"/>
            </w14:solidFill>
          </w14:textFill>
        </w:rPr>
        <w:t>3</w:t>
      </w:r>
      <w:r>
        <w:rPr>
          <w:rFonts w:hint="eastAsia" w:ascii="宋体" w:hAnsi="宋体" w:cs="宋体"/>
          <w:color w:val="000000" w:themeColor="text1"/>
          <w:sz w:val="24"/>
          <w:szCs w:val="24"/>
          <w:highlight w:val="none"/>
          <w14:textFill>
            <w14:solidFill>
              <w14:schemeClr w14:val="tx1"/>
            </w14:solidFill>
          </w14:textFill>
        </w:rPr>
        <w:t>家，否则必须重新采购。</w:t>
      </w:r>
    </w:p>
    <w:p w14:paraId="2B537E2B">
      <w:pPr>
        <w:spacing w:line="360" w:lineRule="auto"/>
        <w:ind w:firstLine="480" w:firstLineChars="200"/>
        <w:rPr>
          <w:rFonts w:ascii="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4.2</w:t>
      </w:r>
      <w:r>
        <w:rPr>
          <w:rFonts w:hint="eastAsia" w:ascii="宋体" w:hAnsi="宋体" w:cs="宋体"/>
          <w:color w:val="000000" w:themeColor="text1"/>
          <w:sz w:val="24"/>
          <w:szCs w:val="24"/>
          <w:highlight w:val="none"/>
          <w14:textFill>
            <w14:solidFill>
              <w14:schemeClr w14:val="tx1"/>
            </w14:solidFill>
          </w14:textFill>
        </w:rPr>
        <w:t>磋商文件不能详细列明采购标的的技术、服务要求，需经磋商由供应商提供最后设计方案或者解决方案的，磋商结束后，由磋商小组按照少数服从多数的原则投票推荐</w:t>
      </w:r>
      <w:r>
        <w:rPr>
          <w:rFonts w:ascii="宋体" w:hAnsi="宋体" w:cs="宋体"/>
          <w:color w:val="000000" w:themeColor="text1"/>
          <w:sz w:val="24"/>
          <w:szCs w:val="24"/>
          <w:highlight w:val="none"/>
          <w14:textFill>
            <w14:solidFill>
              <w14:schemeClr w14:val="tx1"/>
            </w14:solidFill>
          </w14:textFill>
        </w:rPr>
        <w:t>3</w:t>
      </w:r>
      <w:r>
        <w:rPr>
          <w:rFonts w:hint="eastAsia" w:ascii="宋体" w:hAnsi="宋体" w:cs="宋体"/>
          <w:color w:val="000000" w:themeColor="text1"/>
          <w:sz w:val="24"/>
          <w:szCs w:val="24"/>
          <w:highlight w:val="none"/>
          <w14:textFill>
            <w14:solidFill>
              <w14:schemeClr w14:val="tx1"/>
            </w14:solidFill>
          </w14:textFill>
        </w:rPr>
        <w:t>家以上供应商的设计方案或者解决方案，并要求其在规定时间内以电子文件形式提交最后报价。</w:t>
      </w:r>
    </w:p>
    <w:p w14:paraId="72913154">
      <w:pPr>
        <w:spacing w:line="360" w:lineRule="auto"/>
        <w:ind w:firstLine="480" w:firstLineChars="200"/>
        <w:rPr>
          <w:rFonts w:ascii="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 xml:space="preserve">4.3 </w:t>
      </w:r>
      <w:r>
        <w:rPr>
          <w:rFonts w:hint="eastAsia" w:ascii="宋体" w:hAnsi="宋体" w:cs="宋体"/>
          <w:color w:val="000000" w:themeColor="text1"/>
          <w:sz w:val="24"/>
          <w:szCs w:val="24"/>
          <w:highlight w:val="none"/>
          <w14:textFill>
            <w14:solidFill>
              <w14:schemeClr w14:val="tx1"/>
            </w14:solidFill>
          </w14:textFill>
        </w:rPr>
        <w:t>最后报价是供应商响应文件的有效组成部分。符合《政府采购竞争性磋商采购方式管理暂行办法》（财库〔</w:t>
      </w:r>
      <w:r>
        <w:rPr>
          <w:rFonts w:ascii="宋体" w:hAnsi="宋体" w:cs="宋体"/>
          <w:color w:val="000000" w:themeColor="text1"/>
          <w:sz w:val="24"/>
          <w:szCs w:val="24"/>
          <w:highlight w:val="none"/>
          <w14:textFill>
            <w14:solidFill>
              <w14:schemeClr w14:val="tx1"/>
            </w14:solidFill>
          </w14:textFill>
        </w:rPr>
        <w:t>2014</w:t>
      </w:r>
      <w:r>
        <w:rPr>
          <w:rFonts w:hint="eastAsia" w:ascii="宋体" w:hAnsi="宋体" w:cs="宋体"/>
          <w:color w:val="000000" w:themeColor="text1"/>
          <w:sz w:val="24"/>
          <w:szCs w:val="24"/>
          <w:highlight w:val="none"/>
          <w14:textFill>
            <w14:solidFill>
              <w14:schemeClr w14:val="tx1"/>
            </w14:solidFill>
          </w14:textFill>
        </w:rPr>
        <w:t>〕</w:t>
      </w:r>
      <w:r>
        <w:rPr>
          <w:rFonts w:ascii="宋体" w:hAnsi="宋体" w:cs="宋体"/>
          <w:color w:val="000000" w:themeColor="text1"/>
          <w:sz w:val="24"/>
          <w:szCs w:val="24"/>
          <w:highlight w:val="none"/>
          <w14:textFill>
            <w14:solidFill>
              <w14:schemeClr w14:val="tx1"/>
            </w14:solidFill>
          </w14:textFill>
        </w:rPr>
        <w:t>214</w:t>
      </w:r>
      <w:r>
        <w:rPr>
          <w:rFonts w:hint="eastAsia" w:ascii="宋体" w:hAnsi="宋体" w:cs="宋体"/>
          <w:color w:val="000000" w:themeColor="text1"/>
          <w:sz w:val="24"/>
          <w:szCs w:val="24"/>
          <w:highlight w:val="none"/>
          <w14:textFill>
            <w14:solidFill>
              <w14:schemeClr w14:val="tx1"/>
            </w14:solidFill>
          </w14:textFill>
        </w:rPr>
        <w:t>号）第三条第四项“市场竞争不充分的科研项目，以及需要扶持的科技成果转化项目”和本章第</w:t>
      </w:r>
      <w:r>
        <w:rPr>
          <w:rFonts w:ascii="宋体" w:hAnsi="宋体" w:cs="宋体"/>
          <w:color w:val="000000" w:themeColor="text1"/>
          <w:sz w:val="24"/>
          <w:szCs w:val="24"/>
          <w:highlight w:val="none"/>
          <w14:textFill>
            <w14:solidFill>
              <w14:schemeClr w14:val="tx1"/>
            </w14:solidFill>
          </w14:textFill>
        </w:rPr>
        <w:t>3.7</w:t>
      </w:r>
      <w:r>
        <w:rPr>
          <w:rFonts w:hint="eastAsia" w:ascii="宋体" w:hAnsi="宋体" w:cs="宋体"/>
          <w:color w:val="000000" w:themeColor="text1"/>
          <w:sz w:val="24"/>
          <w:szCs w:val="24"/>
          <w:highlight w:val="none"/>
          <w14:textFill>
            <w14:solidFill>
              <w14:schemeClr w14:val="tx1"/>
            </w14:solidFill>
          </w14:textFill>
        </w:rPr>
        <w:t>条情形的，提交最后报价的供应商可以为</w:t>
      </w:r>
      <w:r>
        <w:rPr>
          <w:rFonts w:ascii="宋体" w:hAnsi="宋体" w:cs="宋体"/>
          <w:color w:val="000000" w:themeColor="text1"/>
          <w:sz w:val="24"/>
          <w:szCs w:val="24"/>
          <w:highlight w:val="none"/>
          <w14:textFill>
            <w14:solidFill>
              <w14:schemeClr w14:val="tx1"/>
            </w14:solidFill>
          </w14:textFill>
        </w:rPr>
        <w:t>2</w:t>
      </w:r>
      <w:r>
        <w:rPr>
          <w:rFonts w:hint="eastAsia" w:ascii="宋体" w:hAnsi="宋体" w:cs="宋体"/>
          <w:color w:val="000000" w:themeColor="text1"/>
          <w:sz w:val="24"/>
          <w:szCs w:val="24"/>
          <w:highlight w:val="none"/>
          <w14:textFill>
            <w14:solidFill>
              <w14:schemeClr w14:val="tx1"/>
            </w14:solidFill>
          </w14:textFill>
        </w:rPr>
        <w:t>家。</w:t>
      </w:r>
    </w:p>
    <w:p w14:paraId="3DB56927">
      <w:pPr>
        <w:spacing w:line="360" w:lineRule="auto"/>
        <w:ind w:firstLine="480" w:firstLineChars="200"/>
        <w:rPr>
          <w:rFonts w:ascii="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4.4</w:t>
      </w:r>
      <w:r>
        <w:rPr>
          <w:rFonts w:hint="eastAsia" w:ascii="宋体" w:hAnsi="宋体" w:cs="宋体"/>
          <w:color w:val="000000" w:themeColor="text1"/>
          <w:sz w:val="24"/>
          <w:szCs w:val="24"/>
          <w:highlight w:val="none"/>
          <w14:textFill>
            <w14:solidFill>
              <w14:schemeClr w14:val="tx1"/>
            </w14:solidFill>
          </w14:textFill>
        </w:rPr>
        <w:t>已经提交响应文件的供应商，在提交最后报价之前，可以根据磋商情况退出磋商，退出磋商的供应商的响应文件按无效响应处理。采购人、采购代理机构将退还退出磋商的供应商的保证金。</w:t>
      </w:r>
    </w:p>
    <w:p w14:paraId="3AEC9F11">
      <w:pPr>
        <w:spacing w:line="360" w:lineRule="auto"/>
        <w:ind w:firstLine="480" w:firstLineChars="200"/>
        <w:rPr>
          <w:rFonts w:ascii="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4.5</w:t>
      </w:r>
      <w:r>
        <w:rPr>
          <w:rFonts w:hint="eastAsia" w:ascii="宋体" w:hAnsi="宋体" w:cs="宋体"/>
          <w:color w:val="000000" w:themeColor="text1"/>
          <w:sz w:val="24"/>
          <w:szCs w:val="24"/>
          <w:highlight w:val="none"/>
          <w14:textFill>
            <w14:solidFill>
              <w14:schemeClr w14:val="tx1"/>
            </w14:solidFill>
          </w14:textFill>
        </w:rPr>
        <w:t>供应商未在规定时间内提交最后报价的，视同退出磋商。</w:t>
      </w:r>
    </w:p>
    <w:p w14:paraId="3329F650">
      <w:pPr>
        <w:spacing w:line="360" w:lineRule="auto"/>
        <w:ind w:firstLine="480" w:firstLineChars="200"/>
        <w:rPr>
          <w:rFonts w:ascii="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4.6</w:t>
      </w:r>
      <w:r>
        <w:rPr>
          <w:rFonts w:hint="eastAsia" w:ascii="宋体" w:hAnsi="宋体" w:cs="宋体"/>
          <w:color w:val="000000" w:themeColor="text1"/>
          <w:sz w:val="24"/>
          <w:szCs w:val="24"/>
          <w:highlight w:val="none"/>
          <w14:textFill>
            <w14:solidFill>
              <w14:schemeClr w14:val="tx1"/>
            </w14:solidFill>
          </w14:textFill>
        </w:rPr>
        <w:t>磋商小组收齐某一分标最后报价后或达到规定时间后统一开启，磋商小组对最后报价进行有效性、完整性和响应程度的审查。</w:t>
      </w:r>
    </w:p>
    <w:p w14:paraId="4FD1547C">
      <w:pPr>
        <w:spacing w:line="360" w:lineRule="auto"/>
        <w:ind w:firstLine="480" w:firstLineChars="200"/>
        <w:rPr>
          <w:rFonts w:ascii="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4.7</w:t>
      </w:r>
      <w:r>
        <w:rPr>
          <w:rFonts w:hint="eastAsia" w:ascii="宋体" w:hAnsi="宋体" w:cs="宋体"/>
          <w:color w:val="000000" w:themeColor="text1"/>
          <w:sz w:val="24"/>
          <w:szCs w:val="24"/>
          <w:highlight w:val="none"/>
          <w14:textFill>
            <w14:solidFill>
              <w14:schemeClr w14:val="tx1"/>
            </w14:solidFill>
          </w14:textFill>
        </w:rPr>
        <w:t>响应文件最后报价出现前后不一致的，按照本章第</w:t>
      </w:r>
      <w:r>
        <w:rPr>
          <w:rFonts w:ascii="宋体" w:hAnsi="宋体" w:cs="宋体"/>
          <w:color w:val="000000" w:themeColor="text1"/>
          <w:sz w:val="24"/>
          <w:szCs w:val="24"/>
          <w:highlight w:val="none"/>
          <w14:textFill>
            <w14:solidFill>
              <w14:schemeClr w14:val="tx1"/>
            </w14:solidFill>
          </w14:textFill>
        </w:rPr>
        <w:t>2.4</w:t>
      </w:r>
      <w:r>
        <w:rPr>
          <w:rFonts w:hint="eastAsia" w:ascii="宋体" w:hAnsi="宋体" w:cs="宋体"/>
          <w:color w:val="000000" w:themeColor="text1"/>
          <w:sz w:val="24"/>
          <w:szCs w:val="24"/>
          <w:highlight w:val="none"/>
          <w14:textFill>
            <w14:solidFill>
              <w14:schemeClr w14:val="tx1"/>
            </w14:solidFill>
          </w14:textFill>
        </w:rPr>
        <w:t>条的规定修正。</w:t>
      </w:r>
      <w:r>
        <w:rPr>
          <w:rFonts w:ascii="宋体" w:hAnsi="宋体" w:cs="宋体"/>
          <w:color w:val="000000" w:themeColor="text1"/>
          <w:sz w:val="24"/>
          <w:szCs w:val="24"/>
          <w:highlight w:val="none"/>
          <w14:textFill>
            <w14:solidFill>
              <w14:schemeClr w14:val="tx1"/>
            </w14:solidFill>
          </w14:textFill>
        </w:rPr>
        <w:t xml:space="preserve"> </w:t>
      </w:r>
    </w:p>
    <w:p w14:paraId="0BB426C6">
      <w:pPr>
        <w:spacing w:line="360" w:lineRule="auto"/>
        <w:ind w:firstLine="480" w:firstLineChars="200"/>
        <w:rPr>
          <w:rFonts w:ascii="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4.8</w:t>
      </w:r>
      <w:r>
        <w:rPr>
          <w:rFonts w:hint="eastAsia" w:ascii="宋体" w:hAnsi="宋体" w:cs="宋体"/>
          <w:color w:val="000000" w:themeColor="text1"/>
          <w:sz w:val="24"/>
          <w:szCs w:val="24"/>
          <w:highlight w:val="none"/>
          <w14:textFill>
            <w14:solidFill>
              <w14:schemeClr w14:val="tx1"/>
            </w14:solidFill>
          </w14:textFill>
        </w:rPr>
        <w:t>经供应商确认修正后的最后报价作为评审及签订合同的依据。</w:t>
      </w:r>
    </w:p>
    <w:p w14:paraId="27099926">
      <w:pPr>
        <w:spacing w:line="360" w:lineRule="auto"/>
        <w:ind w:firstLine="480" w:firstLineChars="200"/>
        <w:rPr>
          <w:rFonts w:ascii="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4.9</w:t>
      </w:r>
      <w:r>
        <w:rPr>
          <w:rFonts w:hint="eastAsia" w:ascii="宋体" w:hAnsi="宋体" w:cs="宋体"/>
          <w:color w:val="000000" w:themeColor="text1"/>
          <w:sz w:val="24"/>
          <w:szCs w:val="24"/>
          <w:highlight w:val="none"/>
          <w14:textFill>
            <w14:solidFill>
              <w14:schemeClr w14:val="tx1"/>
            </w14:solidFill>
          </w14:textFill>
        </w:rPr>
        <w:t>供应商出现最后报价按无效响应处理或者响应文件按无效响应处理时，磋商小组应当告知有关供应商。</w:t>
      </w:r>
    </w:p>
    <w:p w14:paraId="7A396768">
      <w:pPr>
        <w:spacing w:line="360" w:lineRule="auto"/>
        <w:ind w:firstLine="480" w:firstLineChars="200"/>
        <w:rPr>
          <w:rFonts w:ascii="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4.10</w:t>
      </w:r>
      <w:r>
        <w:rPr>
          <w:rFonts w:hint="eastAsia" w:ascii="宋体" w:hAnsi="宋体" w:cs="宋体"/>
          <w:color w:val="000000" w:themeColor="text1"/>
          <w:sz w:val="24"/>
          <w:szCs w:val="24"/>
          <w:highlight w:val="none"/>
          <w14:textFill>
            <w14:solidFill>
              <w14:schemeClr w14:val="tx1"/>
            </w14:solidFill>
          </w14:textFill>
        </w:rPr>
        <w:t>最后报价结束后，磋商小组不得再与供应商进行任何形式的商谈。</w:t>
      </w:r>
    </w:p>
    <w:p w14:paraId="75B1F24D">
      <w:pPr>
        <w:spacing w:line="360" w:lineRule="auto"/>
        <w:ind w:firstLine="482" w:firstLineChars="200"/>
        <w:rPr>
          <w:rFonts w:ascii="宋体"/>
          <w:b/>
          <w:bCs/>
          <w:color w:val="000000" w:themeColor="text1"/>
          <w:sz w:val="24"/>
          <w:szCs w:val="24"/>
          <w:highlight w:val="none"/>
          <w14:textFill>
            <w14:solidFill>
              <w14:schemeClr w14:val="tx1"/>
            </w14:solidFill>
          </w14:textFill>
        </w:rPr>
      </w:pPr>
      <w:r>
        <w:rPr>
          <w:rFonts w:ascii="宋体" w:hAnsi="宋体" w:cs="宋体"/>
          <w:b/>
          <w:bCs/>
          <w:color w:val="000000" w:themeColor="text1"/>
          <w:sz w:val="24"/>
          <w:szCs w:val="24"/>
          <w:highlight w:val="none"/>
          <w14:textFill>
            <w14:solidFill>
              <w14:schemeClr w14:val="tx1"/>
            </w14:solidFill>
          </w14:textFill>
        </w:rPr>
        <w:t>5.</w:t>
      </w:r>
      <w:r>
        <w:rPr>
          <w:rFonts w:hint="eastAsia" w:ascii="宋体" w:hAnsi="宋体" w:cs="宋体"/>
          <w:b/>
          <w:bCs/>
          <w:color w:val="000000" w:themeColor="text1"/>
          <w:sz w:val="24"/>
          <w:szCs w:val="24"/>
          <w:highlight w:val="none"/>
          <w14:textFill>
            <w14:solidFill>
              <w14:schemeClr w14:val="tx1"/>
            </w14:solidFill>
          </w14:textFill>
        </w:rPr>
        <w:t>比较与评价</w:t>
      </w:r>
    </w:p>
    <w:p w14:paraId="4779056C">
      <w:pPr>
        <w:spacing w:line="360" w:lineRule="auto"/>
        <w:ind w:firstLine="480" w:firstLineChars="200"/>
        <w:rPr>
          <w:rFonts w:ascii="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5.1</w:t>
      </w:r>
      <w:r>
        <w:rPr>
          <w:rFonts w:hint="eastAsia" w:ascii="宋体" w:hAnsi="宋体" w:cs="宋体"/>
          <w:color w:val="000000" w:themeColor="text1"/>
          <w:sz w:val="24"/>
          <w:szCs w:val="24"/>
          <w:highlight w:val="none"/>
          <w14:textFill>
            <w14:solidFill>
              <w14:schemeClr w14:val="tx1"/>
            </w14:solidFill>
          </w14:textFill>
        </w:rPr>
        <w:t>评审方法：综合评分法。</w:t>
      </w:r>
    </w:p>
    <w:p w14:paraId="50DB9836">
      <w:pPr>
        <w:spacing w:line="360" w:lineRule="auto"/>
        <w:ind w:firstLine="480" w:firstLineChars="200"/>
        <w:rPr>
          <w:rFonts w:ascii="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5.2</w:t>
      </w:r>
      <w:r>
        <w:rPr>
          <w:rFonts w:hint="eastAsia" w:ascii="宋体" w:hAnsi="宋体" w:cs="宋体"/>
          <w:color w:val="000000" w:themeColor="text1"/>
          <w:sz w:val="24"/>
          <w:szCs w:val="24"/>
          <w:highlight w:val="none"/>
          <w14:textFill>
            <w14:solidFill>
              <w14:schemeClr w14:val="tx1"/>
            </w14:solidFill>
          </w14:textFill>
        </w:rPr>
        <w:t>经磋商确定最终采购需求和提交最后报价的供应商后，由磋商小组采用综合评分法对提交最后报价的供应商的响应文件和最后报价进行综合评分。</w:t>
      </w:r>
    </w:p>
    <w:p w14:paraId="0032180D">
      <w:pPr>
        <w:spacing w:line="360" w:lineRule="auto"/>
        <w:ind w:firstLine="480" w:firstLineChars="200"/>
        <w:rPr>
          <w:rFonts w:ascii="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5.3</w:t>
      </w:r>
      <w:r>
        <w:rPr>
          <w:rFonts w:hint="eastAsia" w:ascii="宋体" w:hAnsi="宋体" w:cs="宋体"/>
          <w:color w:val="000000" w:themeColor="text1"/>
          <w:sz w:val="24"/>
          <w:szCs w:val="24"/>
          <w:highlight w:val="none"/>
          <w14:textFill>
            <w14:solidFill>
              <w14:schemeClr w14:val="tx1"/>
            </w14:solidFill>
          </w14:textFill>
        </w:rPr>
        <w:t>评审时，磋商小组各成员应当独立对每个有效响应的文件进行评价、打分，然后汇总每个供应商每项评分因素的得分。</w:t>
      </w:r>
    </w:p>
    <w:p w14:paraId="6FC85CAA">
      <w:pPr>
        <w:spacing w:line="360" w:lineRule="auto"/>
        <w:ind w:firstLine="480" w:firstLineChars="200"/>
        <w:rPr>
          <w:rFonts w:ascii="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w:t>
      </w:r>
      <w:r>
        <w:rPr>
          <w:rFonts w:ascii="宋体" w:hAnsi="宋体" w:cs="宋体"/>
          <w:color w:val="000000" w:themeColor="text1"/>
          <w:sz w:val="24"/>
          <w:szCs w:val="24"/>
          <w:highlight w:val="none"/>
          <w14:textFill>
            <w14:solidFill>
              <w14:schemeClr w14:val="tx1"/>
            </w14:solidFill>
          </w14:textFill>
        </w:rPr>
        <w:t>1</w:t>
      </w:r>
      <w:r>
        <w:rPr>
          <w:rFonts w:hint="eastAsia" w:ascii="宋体" w:hAnsi="宋体" w:cs="宋体"/>
          <w:color w:val="000000" w:themeColor="text1"/>
          <w:sz w:val="24"/>
          <w:szCs w:val="24"/>
          <w:highlight w:val="none"/>
          <w14:textFill>
            <w14:solidFill>
              <w14:schemeClr w14:val="tx1"/>
            </w14:solidFill>
          </w14:textFill>
        </w:rPr>
        <w:t>）磋商小组按照磋商文件中规定的评审标准计算各供应商的报价得分。项目评审过程中，不得去掉最后报价中的最高报价和最低报价。</w:t>
      </w:r>
    </w:p>
    <w:p w14:paraId="6A2F6EB7">
      <w:pPr>
        <w:spacing w:line="360" w:lineRule="auto"/>
        <w:ind w:firstLine="480" w:firstLineChars="200"/>
        <w:rPr>
          <w:rFonts w:ascii="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w:t>
      </w:r>
      <w:r>
        <w:rPr>
          <w:rFonts w:ascii="宋体" w:hAnsi="宋体" w:cs="宋体"/>
          <w:color w:val="000000" w:themeColor="text1"/>
          <w:sz w:val="24"/>
          <w:szCs w:val="24"/>
          <w:highlight w:val="none"/>
          <w14:textFill>
            <w14:solidFill>
              <w14:schemeClr w14:val="tx1"/>
            </w14:solidFill>
          </w14:textFill>
        </w:rPr>
        <w:t>2</w:t>
      </w:r>
      <w:r>
        <w:rPr>
          <w:rFonts w:hint="eastAsia" w:ascii="宋体" w:hAnsi="宋体" w:cs="宋体"/>
          <w:color w:val="000000" w:themeColor="text1"/>
          <w:sz w:val="24"/>
          <w:szCs w:val="24"/>
          <w:highlight w:val="none"/>
          <w14:textFill>
            <w14:solidFill>
              <w14:schemeClr w14:val="tx1"/>
            </w14:solidFill>
          </w14:textFill>
        </w:rPr>
        <w:t>）各供应商的得分为磋商小组所有成员的有效评分的算术平均数。</w:t>
      </w:r>
    </w:p>
    <w:p w14:paraId="0B386A2B">
      <w:pPr>
        <w:spacing w:line="360" w:lineRule="auto"/>
        <w:ind w:firstLine="480" w:firstLineChars="200"/>
        <w:rPr>
          <w:rFonts w:ascii="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5.4</w:t>
      </w:r>
      <w:r>
        <w:rPr>
          <w:rFonts w:hint="eastAsia" w:ascii="宋体" w:hAnsi="宋体" w:cs="宋体"/>
          <w:color w:val="000000" w:themeColor="text1"/>
          <w:sz w:val="24"/>
          <w:szCs w:val="24"/>
          <w:highlight w:val="none"/>
          <w14:textFill>
            <w14:solidFill>
              <w14:schemeClr w14:val="tx1"/>
            </w14:solidFill>
          </w14:textFill>
        </w:rPr>
        <w:t>评标价为供应商的最后报价进行政策性扣除后的价格，评标价只是作为评审时使用。最终成交供应商的成交金额等于最后报价（如有修正，以确认修正后的最后报价为准）。</w:t>
      </w:r>
    </w:p>
    <w:p w14:paraId="5435FE33">
      <w:pPr>
        <w:spacing w:line="360" w:lineRule="auto"/>
        <w:ind w:firstLine="480" w:firstLineChars="200"/>
        <w:rPr>
          <w:rFonts w:ascii="宋体"/>
          <w:color w:val="000000" w:themeColor="text1"/>
          <w:kern w:val="0"/>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5.5</w:t>
      </w:r>
      <w:r>
        <w:rPr>
          <w:rFonts w:hint="eastAsia" w:ascii="宋体" w:hAnsi="宋体" w:cs="宋体"/>
          <w:color w:val="000000" w:themeColor="text1"/>
          <w:sz w:val="24"/>
          <w:szCs w:val="24"/>
          <w:highlight w:val="none"/>
          <w14:textFill>
            <w14:solidFill>
              <w14:schemeClr w14:val="tx1"/>
            </w14:solidFill>
          </w14:textFill>
        </w:rPr>
        <w:t>由磋商小组根据综合评分情况，按照评审得分由高到低顺序推荐</w:t>
      </w:r>
      <w:r>
        <w:rPr>
          <w:rFonts w:ascii="宋体" w:hAnsi="宋体" w:cs="宋体"/>
          <w:color w:val="000000" w:themeColor="text1"/>
          <w:sz w:val="24"/>
          <w:szCs w:val="24"/>
          <w:highlight w:val="none"/>
          <w14:textFill>
            <w14:solidFill>
              <w14:schemeClr w14:val="tx1"/>
            </w14:solidFill>
          </w14:textFill>
        </w:rPr>
        <w:t>3</w:t>
      </w:r>
      <w:r>
        <w:rPr>
          <w:rFonts w:hint="eastAsia" w:ascii="宋体" w:hAnsi="宋体" w:cs="宋体"/>
          <w:color w:val="000000" w:themeColor="text1"/>
          <w:sz w:val="24"/>
          <w:szCs w:val="24"/>
          <w:highlight w:val="none"/>
          <w14:textFill>
            <w14:solidFill>
              <w14:schemeClr w14:val="tx1"/>
            </w14:solidFill>
          </w14:textFill>
        </w:rPr>
        <w:t>名以上成交候选供应商，并编写评</w:t>
      </w:r>
      <w:r>
        <w:rPr>
          <w:rFonts w:hint="eastAsia" w:ascii="宋体" w:hAnsi="宋体" w:cs="宋体"/>
          <w:color w:val="000000" w:themeColor="text1"/>
          <w:kern w:val="0"/>
          <w:sz w:val="24"/>
          <w:szCs w:val="24"/>
          <w:highlight w:val="none"/>
          <w14:textFill>
            <w14:solidFill>
              <w14:schemeClr w14:val="tx1"/>
            </w14:solidFill>
          </w14:textFill>
        </w:rPr>
        <w:t>审报告。符合本章第</w:t>
      </w:r>
      <w:r>
        <w:rPr>
          <w:rFonts w:ascii="宋体" w:hAnsi="宋体" w:cs="宋体"/>
          <w:color w:val="000000" w:themeColor="text1"/>
          <w:sz w:val="24"/>
          <w:szCs w:val="24"/>
          <w:highlight w:val="none"/>
          <w14:textFill>
            <w14:solidFill>
              <w14:schemeClr w14:val="tx1"/>
            </w14:solidFill>
          </w14:textFill>
        </w:rPr>
        <w:t>2.7</w:t>
      </w:r>
      <w:r>
        <w:rPr>
          <w:rFonts w:hint="eastAsia" w:ascii="宋体" w:hAnsi="宋体" w:cs="宋体"/>
          <w:color w:val="000000" w:themeColor="text1"/>
          <w:sz w:val="24"/>
          <w:szCs w:val="24"/>
          <w:highlight w:val="none"/>
          <w14:textFill>
            <w14:solidFill>
              <w14:schemeClr w14:val="tx1"/>
            </w14:solidFill>
          </w14:textFill>
        </w:rPr>
        <w:t>、</w:t>
      </w:r>
      <w:r>
        <w:rPr>
          <w:rFonts w:ascii="宋体" w:hAnsi="宋体" w:cs="宋体"/>
          <w:color w:val="000000" w:themeColor="text1"/>
          <w:sz w:val="24"/>
          <w:szCs w:val="24"/>
          <w:highlight w:val="none"/>
          <w14:textFill>
            <w14:solidFill>
              <w14:schemeClr w14:val="tx1"/>
            </w14:solidFill>
          </w14:textFill>
        </w:rPr>
        <w:t>3.7</w:t>
      </w:r>
      <w:r>
        <w:rPr>
          <w:rFonts w:hint="eastAsia" w:ascii="宋体" w:hAnsi="宋体" w:cs="宋体"/>
          <w:color w:val="000000" w:themeColor="text1"/>
          <w:sz w:val="24"/>
          <w:szCs w:val="24"/>
          <w:highlight w:val="none"/>
          <w14:textFill>
            <w14:solidFill>
              <w14:schemeClr w14:val="tx1"/>
            </w14:solidFill>
          </w14:textFill>
        </w:rPr>
        <w:t>、</w:t>
      </w:r>
      <w:r>
        <w:rPr>
          <w:rFonts w:ascii="宋体" w:hAnsi="宋体" w:cs="宋体"/>
          <w:color w:val="000000" w:themeColor="text1"/>
          <w:sz w:val="24"/>
          <w:szCs w:val="24"/>
          <w:highlight w:val="none"/>
          <w14:textFill>
            <w14:solidFill>
              <w14:schemeClr w14:val="tx1"/>
            </w14:solidFill>
          </w14:textFill>
        </w:rPr>
        <w:t>4.3</w:t>
      </w:r>
      <w:r>
        <w:rPr>
          <w:rFonts w:hint="eastAsia" w:ascii="宋体" w:hAnsi="宋体" w:cs="宋体"/>
          <w:color w:val="000000" w:themeColor="text1"/>
          <w:kern w:val="0"/>
          <w:sz w:val="24"/>
          <w:szCs w:val="24"/>
          <w:highlight w:val="none"/>
          <w14:textFill>
            <w14:solidFill>
              <w14:schemeClr w14:val="tx1"/>
            </w14:solidFill>
          </w14:textFill>
        </w:rPr>
        <w:t>条情形的，可以推荐</w:t>
      </w:r>
      <w:r>
        <w:rPr>
          <w:rFonts w:ascii="宋体" w:hAnsi="宋体" w:cs="宋体"/>
          <w:color w:val="000000" w:themeColor="text1"/>
          <w:kern w:val="0"/>
          <w:sz w:val="24"/>
          <w:szCs w:val="24"/>
          <w:highlight w:val="none"/>
          <w14:textFill>
            <w14:solidFill>
              <w14:schemeClr w14:val="tx1"/>
            </w14:solidFill>
          </w14:textFill>
        </w:rPr>
        <w:t>2</w:t>
      </w:r>
      <w:r>
        <w:rPr>
          <w:rFonts w:hint="eastAsia" w:ascii="宋体" w:hAnsi="宋体" w:cs="宋体"/>
          <w:color w:val="000000" w:themeColor="text1"/>
          <w:kern w:val="0"/>
          <w:sz w:val="24"/>
          <w:szCs w:val="24"/>
          <w:highlight w:val="none"/>
          <w14:textFill>
            <w14:solidFill>
              <w14:schemeClr w14:val="tx1"/>
            </w14:solidFill>
          </w14:textFill>
        </w:rPr>
        <w:t>家成交候选供应商。评审得分相同的，按照最后报价由低到高的顺序推荐。评审得分且最后报价相同的，按照技术指标优劣顺序推荐。</w:t>
      </w:r>
    </w:p>
    <w:p w14:paraId="50A226EB">
      <w:pPr>
        <w:spacing w:line="360" w:lineRule="auto"/>
        <w:ind w:firstLine="480" w:firstLineChars="200"/>
        <w:rPr>
          <w:rFonts w:ascii="宋体"/>
          <w:color w:val="000000" w:themeColor="text1"/>
          <w:sz w:val="24"/>
          <w:szCs w:val="24"/>
          <w:highlight w:val="none"/>
          <w14:textFill>
            <w14:solidFill>
              <w14:schemeClr w14:val="tx1"/>
            </w14:solidFill>
          </w14:textFill>
        </w:rPr>
      </w:pPr>
      <w:r>
        <w:rPr>
          <w:rFonts w:ascii="宋体" w:hAnsi="宋体" w:cs="宋体"/>
          <w:color w:val="000000" w:themeColor="text1"/>
          <w:kern w:val="0"/>
          <w:sz w:val="24"/>
          <w:szCs w:val="24"/>
          <w:highlight w:val="none"/>
          <w14:textFill>
            <w14:solidFill>
              <w14:schemeClr w14:val="tx1"/>
            </w14:solidFill>
          </w14:textFill>
        </w:rPr>
        <w:t>5.6</w:t>
      </w:r>
      <w:r>
        <w:rPr>
          <w:rFonts w:hint="eastAsia" w:ascii="宋体" w:hAnsi="宋体" w:cs="宋体"/>
          <w:color w:val="000000" w:themeColor="text1"/>
          <w:kern w:val="0"/>
          <w:sz w:val="24"/>
          <w:szCs w:val="24"/>
          <w:highlight w:val="none"/>
          <w14:textFill>
            <w14:solidFill>
              <w14:schemeClr w14:val="tx1"/>
            </w14:solidFill>
          </w14:textFill>
        </w:rPr>
        <w:t>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16AF4FFC">
      <w:pPr>
        <w:widowControl/>
        <w:tabs>
          <w:tab w:val="left" w:pos="540"/>
        </w:tabs>
        <w:spacing w:line="500" w:lineRule="exact"/>
        <w:ind w:firstLine="482" w:firstLineChars="200"/>
        <w:jc w:val="left"/>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6.异常低价审查</w:t>
      </w:r>
    </w:p>
    <w:p w14:paraId="5583C2D6">
      <w:pPr>
        <w:widowControl/>
        <w:tabs>
          <w:tab w:val="left" w:pos="540"/>
        </w:tabs>
        <w:spacing w:line="500" w:lineRule="exact"/>
        <w:ind w:firstLine="482" w:firstLineChars="200"/>
        <w:jc w:val="left"/>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6.1根据《关于推动解决政府采购异常低价问题的通知》财库〔2026〕2号的规定，政府采购评审中出现下列情形之一的，评审委员会应当启动异常低价投标（响应）审查程序：</w:t>
      </w:r>
    </w:p>
    <w:p w14:paraId="7E5B5F3E">
      <w:pPr>
        <w:widowControl/>
        <w:tabs>
          <w:tab w:val="left" w:pos="540"/>
        </w:tabs>
        <w:spacing w:line="500" w:lineRule="exact"/>
        <w:ind w:firstLine="482" w:firstLineChars="200"/>
        <w:jc w:val="left"/>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（1）投标（响应）报价低于全部通过符合性审查供应商投标（响应）报价平均值50%的，即投标（响应）报价&lt;全部通过符合性审查供应商投标（响应）报价平均值×50%；</w:t>
      </w:r>
    </w:p>
    <w:p w14:paraId="570A18F8">
      <w:pPr>
        <w:widowControl/>
        <w:tabs>
          <w:tab w:val="left" w:pos="540"/>
        </w:tabs>
        <w:spacing w:line="500" w:lineRule="exact"/>
        <w:ind w:firstLine="482" w:firstLineChars="200"/>
        <w:jc w:val="left"/>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（2）投标（响应）报价低于通过符合性审查的次低报价供应商投标（响应）报价50%的，即投标（响应）报价&lt;通过符合性审查的次低报价供应商投标（响应）报价×50%；</w:t>
      </w:r>
    </w:p>
    <w:p w14:paraId="59D6378D">
      <w:pPr>
        <w:widowControl/>
        <w:tabs>
          <w:tab w:val="left" w:pos="540"/>
        </w:tabs>
        <w:spacing w:line="500" w:lineRule="exact"/>
        <w:ind w:firstLine="482" w:firstLineChars="200"/>
        <w:jc w:val="left"/>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（3）投标（响应）报价低于采购项目最高限价45%的，即投标（响应）报价&lt;采购项目最高限价×45%；</w:t>
      </w:r>
    </w:p>
    <w:p w14:paraId="2D2C8B81">
      <w:pPr>
        <w:widowControl/>
        <w:tabs>
          <w:tab w:val="left" w:pos="540"/>
        </w:tabs>
        <w:spacing w:line="500" w:lineRule="exact"/>
        <w:ind w:firstLine="482" w:firstLineChars="200"/>
        <w:jc w:val="left"/>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（4）评审委员会基于专业判断，认为供应商报价过低，有可能影响产品质量或者不能诚信履约的其他情形。</w:t>
      </w:r>
    </w:p>
    <w:p w14:paraId="234D4B1B">
      <w:pPr>
        <w:widowControl/>
        <w:tabs>
          <w:tab w:val="left" w:pos="540"/>
        </w:tabs>
        <w:spacing w:line="500" w:lineRule="exact"/>
        <w:ind w:firstLine="482" w:firstLineChars="200"/>
        <w:jc w:val="left"/>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采购人可以结合具体项目实际情况，提高上述第1项至第3项中启动异常低价投标（响应）审查的数值标准，但是最高不得超过65%。</w:t>
      </w:r>
    </w:p>
    <w:p w14:paraId="6257F230">
      <w:pPr>
        <w:widowControl/>
        <w:tabs>
          <w:tab w:val="left" w:pos="540"/>
        </w:tabs>
        <w:spacing w:line="500" w:lineRule="exact"/>
        <w:ind w:firstLine="482" w:firstLineChars="200"/>
        <w:jc w:val="left"/>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相关法律法规对供应商报价有规定的，从其规定。</w:t>
      </w:r>
    </w:p>
    <w:p w14:paraId="62F5B4AB">
      <w:pPr>
        <w:widowControl/>
        <w:tabs>
          <w:tab w:val="left" w:pos="540"/>
        </w:tabs>
        <w:spacing w:line="500" w:lineRule="exact"/>
        <w:ind w:firstLine="482" w:firstLineChars="200"/>
        <w:jc w:val="left"/>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6.2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365149EC">
      <w:pPr>
        <w:widowControl/>
        <w:tabs>
          <w:tab w:val="left" w:pos="540"/>
        </w:tabs>
        <w:spacing w:line="500" w:lineRule="exact"/>
        <w:ind w:firstLine="482" w:firstLineChars="200"/>
        <w:jc w:val="left"/>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17340490">
      <w:pPr>
        <w:widowControl/>
        <w:tabs>
          <w:tab w:val="left" w:pos="540"/>
        </w:tabs>
        <w:spacing w:line="500" w:lineRule="exact"/>
        <w:ind w:firstLine="482" w:firstLineChars="200"/>
        <w:jc w:val="left"/>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2BE3F269">
      <w:pPr>
        <w:spacing w:line="360" w:lineRule="auto"/>
        <w:jc w:val="left"/>
        <w:rPr>
          <w:rFonts w:ascii="宋体"/>
          <w:b/>
          <w:bCs/>
          <w:color w:val="000000" w:themeColor="text1"/>
          <w:sz w:val="32"/>
          <w:szCs w:val="32"/>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异常低价投标（响应）审查的启动原因、审查意见和审查结果应当在评审报告中记录，并随供应商提供的相关书面说明及证明材料，以及评审委员会有关互联网浏览、查询历史一并归档。</w:t>
      </w:r>
      <w:r>
        <w:rPr>
          <w:rFonts w:ascii="宋体"/>
          <w:b/>
          <w:bCs/>
          <w:color w:val="000000" w:themeColor="text1"/>
          <w:sz w:val="32"/>
          <w:szCs w:val="32"/>
          <w:highlight w:val="none"/>
          <w14:textFill>
            <w14:solidFill>
              <w14:schemeClr w14:val="tx1"/>
            </w14:solidFill>
          </w14:textFill>
        </w:rPr>
        <w:br w:type="page"/>
      </w:r>
      <w:r>
        <w:rPr>
          <w:rFonts w:hint="eastAsia" w:ascii="宋体" w:hAnsi="宋体" w:cs="宋体"/>
          <w:b/>
          <w:bCs/>
          <w:color w:val="000000" w:themeColor="text1"/>
          <w:sz w:val="32"/>
          <w:szCs w:val="32"/>
          <w:highlight w:val="none"/>
          <w14:textFill>
            <w14:solidFill>
              <w14:schemeClr w14:val="tx1"/>
            </w14:solidFill>
          </w14:textFill>
        </w:rPr>
        <w:t>二、评审标准</w:t>
      </w:r>
    </w:p>
    <w:p w14:paraId="2549E525">
      <w:pP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6.评审依据：磋商小组将以磋商响应文件为评审依据，对供应商的报价、技术等方面内容按百分制打分。（计分方法按四舍五入取至百分位）</w:t>
      </w:r>
    </w:p>
    <w:tbl>
      <w:tblPr>
        <w:tblStyle w:val="59"/>
        <w:tblW w:w="96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2"/>
        <w:gridCol w:w="709"/>
        <w:gridCol w:w="709"/>
        <w:gridCol w:w="2298"/>
        <w:gridCol w:w="5350"/>
      </w:tblGrid>
      <w:tr w14:paraId="7663E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562" w:type="dxa"/>
            <w:vAlign w:val="center"/>
          </w:tcPr>
          <w:p w14:paraId="7E2FB286">
            <w:pPr>
              <w:adjustRightInd w:val="0"/>
              <w:spacing w:line="410" w:lineRule="exact"/>
              <w:jc w:val="center"/>
              <w:textAlignment w:val="baseline"/>
              <w:rPr>
                <w:rFonts w:ascii="宋体" w:hAnsi="宋体"/>
                <w:b/>
                <w:color w:val="000000" w:themeColor="text1"/>
                <w:highlight w:val="none"/>
                <w14:textFill>
                  <w14:solidFill>
                    <w14:schemeClr w14:val="tx1"/>
                  </w14:solidFill>
                </w14:textFill>
              </w:rPr>
            </w:pPr>
            <w:r>
              <w:rPr>
                <w:rFonts w:hint="eastAsia" w:ascii="宋体" w:hAnsi="宋体"/>
                <w:b/>
                <w:color w:val="000000" w:themeColor="text1"/>
                <w:highlight w:val="none"/>
                <w14:textFill>
                  <w14:solidFill>
                    <w14:schemeClr w14:val="tx1"/>
                  </w14:solidFill>
                </w14:textFill>
              </w:rPr>
              <w:t>序号</w:t>
            </w:r>
          </w:p>
        </w:tc>
        <w:tc>
          <w:tcPr>
            <w:tcW w:w="709" w:type="dxa"/>
            <w:vAlign w:val="center"/>
          </w:tcPr>
          <w:p w14:paraId="4FB4E647">
            <w:pPr>
              <w:adjustRightInd w:val="0"/>
              <w:spacing w:line="410" w:lineRule="exact"/>
              <w:jc w:val="center"/>
              <w:textAlignment w:val="baseline"/>
              <w:rPr>
                <w:rFonts w:ascii="宋体" w:hAnsi="宋体"/>
                <w:color w:val="000000" w:themeColor="text1"/>
                <w:highlight w:val="none"/>
                <w14:textFill>
                  <w14:solidFill>
                    <w14:schemeClr w14:val="tx1"/>
                  </w14:solidFill>
                </w14:textFill>
              </w:rPr>
            </w:pPr>
            <w:r>
              <w:rPr>
                <w:rFonts w:hint="eastAsia" w:ascii="宋体" w:hAnsi="宋体"/>
                <w:b/>
                <w:color w:val="000000" w:themeColor="text1"/>
                <w:highlight w:val="none"/>
                <w14:textFill>
                  <w14:solidFill>
                    <w14:schemeClr w14:val="tx1"/>
                  </w14:solidFill>
                </w14:textFill>
              </w:rPr>
              <w:t>评审因素</w:t>
            </w:r>
          </w:p>
        </w:tc>
        <w:tc>
          <w:tcPr>
            <w:tcW w:w="709" w:type="dxa"/>
            <w:vAlign w:val="center"/>
          </w:tcPr>
          <w:p w14:paraId="07EC0862">
            <w:pPr>
              <w:adjustRightInd w:val="0"/>
              <w:spacing w:line="410" w:lineRule="exact"/>
              <w:jc w:val="center"/>
              <w:textAlignment w:val="baseline"/>
              <w:rPr>
                <w:rFonts w:ascii="宋体" w:hAnsi="宋体"/>
                <w:b/>
                <w:color w:val="000000" w:themeColor="text1"/>
                <w:highlight w:val="none"/>
                <w14:textFill>
                  <w14:solidFill>
                    <w14:schemeClr w14:val="tx1"/>
                  </w14:solidFill>
                </w14:textFill>
              </w:rPr>
            </w:pPr>
            <w:r>
              <w:rPr>
                <w:rFonts w:hint="eastAsia" w:ascii="宋体" w:hAnsi="宋体"/>
                <w:b/>
                <w:color w:val="000000" w:themeColor="text1"/>
                <w:highlight w:val="none"/>
                <w14:textFill>
                  <w14:solidFill>
                    <w14:schemeClr w14:val="tx1"/>
                  </w14:solidFill>
                </w14:textFill>
              </w:rPr>
              <w:t>分值</w:t>
            </w:r>
          </w:p>
        </w:tc>
        <w:tc>
          <w:tcPr>
            <w:tcW w:w="7648" w:type="dxa"/>
            <w:gridSpan w:val="2"/>
            <w:vAlign w:val="center"/>
          </w:tcPr>
          <w:p w14:paraId="1C35ED59">
            <w:pPr>
              <w:adjustRightInd w:val="0"/>
              <w:spacing w:line="410" w:lineRule="exact"/>
              <w:jc w:val="center"/>
              <w:textAlignment w:val="baseline"/>
              <w:rPr>
                <w:rFonts w:ascii="宋体" w:hAnsi="宋体"/>
                <w:b/>
                <w:color w:val="000000" w:themeColor="text1"/>
                <w:highlight w:val="none"/>
                <w14:textFill>
                  <w14:solidFill>
                    <w14:schemeClr w14:val="tx1"/>
                  </w14:solidFill>
                </w14:textFill>
              </w:rPr>
            </w:pPr>
            <w:r>
              <w:rPr>
                <w:rFonts w:hint="eastAsia" w:ascii="宋体" w:hAnsi="宋体"/>
                <w:b/>
                <w:color w:val="000000" w:themeColor="text1"/>
                <w:highlight w:val="none"/>
                <w14:textFill>
                  <w14:solidFill>
                    <w14:schemeClr w14:val="tx1"/>
                  </w14:solidFill>
                </w14:textFill>
              </w:rPr>
              <w:t>评标标准</w:t>
            </w:r>
          </w:p>
        </w:tc>
      </w:tr>
      <w:tr w14:paraId="73E42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562" w:type="dxa"/>
            <w:vAlign w:val="center"/>
          </w:tcPr>
          <w:p w14:paraId="0F95C91C">
            <w:pPr>
              <w:adjustRightInd w:val="0"/>
              <w:spacing w:line="360" w:lineRule="auto"/>
              <w:jc w:val="center"/>
              <w:textAlignment w:val="baseline"/>
              <w:rPr>
                <w:rFonts w:ascii="宋体" w:hAnsi="宋体"/>
                <w:b/>
                <w:color w:val="000000" w:themeColor="text1"/>
                <w:highlight w:val="none"/>
                <w14:textFill>
                  <w14:solidFill>
                    <w14:schemeClr w14:val="tx1"/>
                  </w14:solidFill>
                </w14:textFill>
              </w:rPr>
            </w:pPr>
            <w:r>
              <w:rPr>
                <w:rFonts w:hint="eastAsia" w:ascii="宋体" w:hAnsi="宋体"/>
                <w:b/>
                <w:color w:val="000000" w:themeColor="text1"/>
                <w:highlight w:val="none"/>
                <w14:textFill>
                  <w14:solidFill>
                    <w14:schemeClr w14:val="tx1"/>
                  </w14:solidFill>
                </w14:textFill>
              </w:rPr>
              <w:t>1</w:t>
            </w:r>
          </w:p>
        </w:tc>
        <w:tc>
          <w:tcPr>
            <w:tcW w:w="709" w:type="dxa"/>
            <w:vAlign w:val="center"/>
          </w:tcPr>
          <w:p w14:paraId="341169F4">
            <w:pPr>
              <w:adjustRightInd w:val="0"/>
              <w:spacing w:line="360" w:lineRule="auto"/>
              <w:jc w:val="center"/>
              <w:textAlignment w:val="baseline"/>
              <w:rPr>
                <w:rFonts w:ascii="宋体" w:hAnsi="宋体"/>
                <w:b/>
                <w:color w:val="000000" w:themeColor="text1"/>
                <w:highlight w:val="none"/>
                <w14:textFill>
                  <w14:solidFill>
                    <w14:schemeClr w14:val="tx1"/>
                  </w14:solidFill>
                </w14:textFill>
              </w:rPr>
            </w:pPr>
            <w:r>
              <w:rPr>
                <w:rFonts w:hint="eastAsia" w:ascii="宋体" w:hAnsi="宋体" w:cs="宋体"/>
                <w:b/>
                <w:bCs/>
                <w:color w:val="000000" w:themeColor="text1"/>
                <w:highlight w:val="none"/>
                <w14:textFill>
                  <w14:solidFill>
                    <w14:schemeClr w14:val="tx1"/>
                  </w14:solidFill>
                </w14:textFill>
              </w:rPr>
              <w:t>报价分</w:t>
            </w:r>
          </w:p>
        </w:tc>
        <w:tc>
          <w:tcPr>
            <w:tcW w:w="709" w:type="dxa"/>
            <w:vAlign w:val="center"/>
          </w:tcPr>
          <w:p w14:paraId="085621A3">
            <w:pPr>
              <w:adjustRightInd w:val="0"/>
              <w:spacing w:line="360" w:lineRule="auto"/>
              <w:jc w:val="center"/>
              <w:textAlignment w:val="baseline"/>
              <w:rPr>
                <w:rFonts w:ascii="宋体" w:hAnsi="宋体"/>
                <w:b/>
                <w:color w:val="000000" w:themeColor="text1"/>
                <w:highlight w:val="none"/>
                <w14:textFill>
                  <w14:solidFill>
                    <w14:schemeClr w14:val="tx1"/>
                  </w14:solidFill>
                </w14:textFill>
              </w:rPr>
            </w:pPr>
            <w:r>
              <w:rPr>
                <w:rFonts w:ascii="宋体" w:hAnsi="宋体"/>
                <w:b/>
                <w:color w:val="000000" w:themeColor="text1"/>
                <w:highlight w:val="none"/>
                <w14:textFill>
                  <w14:solidFill>
                    <w14:schemeClr w14:val="tx1"/>
                  </w14:solidFill>
                </w14:textFill>
              </w:rPr>
              <w:t>30</w:t>
            </w:r>
            <w:r>
              <w:rPr>
                <w:rFonts w:hint="eastAsia" w:ascii="宋体" w:hAnsi="宋体"/>
                <w:b/>
                <w:color w:val="000000" w:themeColor="text1"/>
                <w:highlight w:val="none"/>
                <w14:textFill>
                  <w14:solidFill>
                    <w14:schemeClr w14:val="tx1"/>
                  </w14:solidFill>
                </w14:textFill>
              </w:rPr>
              <w:t>分</w:t>
            </w:r>
          </w:p>
        </w:tc>
        <w:tc>
          <w:tcPr>
            <w:tcW w:w="7648" w:type="dxa"/>
            <w:gridSpan w:val="2"/>
            <w:vAlign w:val="center"/>
          </w:tcPr>
          <w:p w14:paraId="3DA65822">
            <w:pPr>
              <w:pStyle w:val="29"/>
              <w:spacing w:line="360" w:lineRule="auto"/>
              <w:rPr>
                <w:rFonts w:hAnsi="宋体" w:cs="Courier New"/>
                <w:b/>
                <w:bCs/>
                <w:color w:val="000000" w:themeColor="text1"/>
                <w:kern w:val="2"/>
                <w:sz w:val="21"/>
                <w:highlight w:val="none"/>
                <w14:textFill>
                  <w14:solidFill>
                    <w14:schemeClr w14:val="tx1"/>
                  </w14:solidFill>
                </w14:textFill>
              </w:rPr>
            </w:pPr>
            <w:r>
              <w:rPr>
                <w:rFonts w:hint="eastAsia" w:hAnsi="宋体" w:cs="Courier New"/>
                <w:b/>
                <w:bCs/>
                <w:color w:val="000000" w:themeColor="text1"/>
                <w:kern w:val="2"/>
                <w:sz w:val="21"/>
                <w:highlight w:val="none"/>
                <w14:textFill>
                  <w14:solidFill>
                    <w14:schemeClr w14:val="tx1"/>
                  </w14:solidFill>
                </w14:textFill>
              </w:rPr>
              <w:t>一、政府采购政策扣除</w:t>
            </w:r>
          </w:p>
          <w:p w14:paraId="57108433">
            <w:pPr>
              <w:pStyle w:val="29"/>
              <w:spacing w:line="420" w:lineRule="exact"/>
              <w:ind w:firstLine="422" w:firstLineChars="200"/>
              <w:outlineLvl w:val="0"/>
              <w:rPr>
                <w:rFonts w:hAnsi="宋体"/>
                <w:b/>
                <w:color w:val="000000" w:themeColor="text1"/>
                <w:sz w:val="21"/>
                <w:highlight w:val="none"/>
                <w14:textFill>
                  <w14:solidFill>
                    <w14:schemeClr w14:val="tx1"/>
                  </w14:solidFill>
                </w14:textFill>
              </w:rPr>
            </w:pPr>
            <w:bookmarkStart w:id="85" w:name="_Toc4204"/>
            <w:bookmarkStart w:id="86" w:name="_Toc142321502"/>
            <w:bookmarkStart w:id="87" w:name="_Toc129015974"/>
            <w:r>
              <w:rPr>
                <w:rFonts w:hint="eastAsia" w:hAnsi="宋体"/>
                <w:b/>
                <w:color w:val="000000" w:themeColor="text1"/>
                <w:sz w:val="21"/>
                <w:highlight w:val="none"/>
                <w14:textFill>
                  <w14:solidFill>
                    <w14:schemeClr w14:val="tx1"/>
                  </w14:solidFill>
                </w14:textFill>
              </w:rPr>
              <w:t>本项目为专门面向中小企业采购的项目（供应商应为中小微企业)，因此不享受政府采购政策扣除。</w:t>
            </w:r>
            <w:bookmarkEnd w:id="85"/>
            <w:bookmarkEnd w:id="86"/>
            <w:bookmarkEnd w:id="87"/>
          </w:p>
          <w:p w14:paraId="4F902B75">
            <w:pPr>
              <w:pStyle w:val="29"/>
              <w:spacing w:line="420" w:lineRule="exact"/>
              <w:outlineLvl w:val="0"/>
              <w:rPr>
                <w:rFonts w:hAnsi="宋体"/>
                <w:b/>
                <w:color w:val="000000" w:themeColor="text1"/>
                <w:sz w:val="21"/>
                <w:highlight w:val="none"/>
                <w14:textFill>
                  <w14:solidFill>
                    <w14:schemeClr w14:val="tx1"/>
                  </w14:solidFill>
                </w14:textFill>
              </w:rPr>
            </w:pPr>
            <w:bookmarkStart w:id="88" w:name="_Toc129015975"/>
            <w:bookmarkStart w:id="89" w:name="_Toc24087"/>
            <w:bookmarkStart w:id="90" w:name="_Toc142321503"/>
            <w:r>
              <w:rPr>
                <w:rFonts w:hint="eastAsia" w:hAnsi="宋体"/>
                <w:b/>
                <w:color w:val="000000" w:themeColor="text1"/>
                <w:sz w:val="21"/>
                <w:highlight w:val="none"/>
                <w14:textFill>
                  <w14:solidFill>
                    <w14:schemeClr w14:val="tx1"/>
                  </w14:solidFill>
                </w14:textFill>
              </w:rPr>
              <w:t>二、报价分（满分</w:t>
            </w:r>
            <w:r>
              <w:rPr>
                <w:rFonts w:hAnsi="宋体"/>
                <w:b/>
                <w:color w:val="000000" w:themeColor="text1"/>
                <w:sz w:val="21"/>
                <w:highlight w:val="none"/>
                <w14:textFill>
                  <w14:solidFill>
                    <w14:schemeClr w14:val="tx1"/>
                  </w14:solidFill>
                </w14:textFill>
              </w:rPr>
              <w:t>30</w:t>
            </w:r>
            <w:r>
              <w:rPr>
                <w:rFonts w:hint="eastAsia" w:hAnsi="宋体"/>
                <w:b/>
                <w:color w:val="000000" w:themeColor="text1"/>
                <w:sz w:val="21"/>
                <w:highlight w:val="none"/>
                <w14:textFill>
                  <w14:solidFill>
                    <w14:schemeClr w14:val="tx1"/>
                  </w14:solidFill>
                </w14:textFill>
              </w:rPr>
              <w:t>分）</w:t>
            </w:r>
            <w:bookmarkEnd w:id="88"/>
            <w:bookmarkEnd w:id="89"/>
            <w:bookmarkEnd w:id="90"/>
          </w:p>
          <w:p w14:paraId="6781AFD6">
            <w:pPr>
              <w:pStyle w:val="29"/>
              <w:spacing w:line="420" w:lineRule="exact"/>
              <w:ind w:firstLine="420" w:firstLineChars="200"/>
              <w:rPr>
                <w:rFonts w:hAnsi="宋体"/>
                <w:bCs/>
                <w:color w:val="000000" w:themeColor="text1"/>
                <w:sz w:val="21"/>
                <w:highlight w:val="none"/>
                <w14:textFill>
                  <w14:solidFill>
                    <w14:schemeClr w14:val="tx1"/>
                  </w14:solidFill>
                </w14:textFill>
              </w:rPr>
            </w:pPr>
            <w:r>
              <w:rPr>
                <w:rFonts w:hint="eastAsia"/>
                <w:color w:val="000000" w:themeColor="text1"/>
                <w:sz w:val="21"/>
                <w:highlight w:val="none"/>
                <w14:textFill>
                  <w14:solidFill>
                    <w14:schemeClr w14:val="tx1"/>
                  </w14:solidFill>
                </w14:textFill>
              </w:rPr>
              <w:t>1、</w:t>
            </w:r>
            <w:r>
              <w:rPr>
                <w:rFonts w:hint="eastAsia" w:hAnsi="宋体"/>
                <w:bCs/>
                <w:color w:val="000000" w:themeColor="text1"/>
                <w:sz w:val="21"/>
                <w:highlight w:val="none"/>
                <w14:textFill>
                  <w14:solidFill>
                    <w14:schemeClr w14:val="tx1"/>
                  </w14:solidFill>
                </w14:textFill>
              </w:rPr>
              <w:t>报价</w:t>
            </w:r>
            <w:r>
              <w:rPr>
                <w:rFonts w:hAnsi="宋体"/>
                <w:bCs/>
                <w:color w:val="000000" w:themeColor="text1"/>
                <w:sz w:val="21"/>
                <w:highlight w:val="none"/>
                <w14:textFill>
                  <w14:solidFill>
                    <w14:schemeClr w14:val="tx1"/>
                  </w14:solidFill>
                </w14:textFill>
              </w:rPr>
              <w:t>分采用低价优先法计算，满足</w:t>
            </w:r>
            <w:r>
              <w:rPr>
                <w:rFonts w:hint="eastAsia" w:hAnsi="宋体"/>
                <w:bCs/>
                <w:color w:val="000000" w:themeColor="text1"/>
                <w:sz w:val="21"/>
                <w:highlight w:val="none"/>
                <w14:textFill>
                  <w14:solidFill>
                    <w14:schemeClr w14:val="tx1"/>
                  </w14:solidFill>
                </w14:textFill>
              </w:rPr>
              <w:t>磋商</w:t>
            </w:r>
            <w:r>
              <w:rPr>
                <w:rFonts w:hAnsi="宋体"/>
                <w:bCs/>
                <w:color w:val="000000" w:themeColor="text1"/>
                <w:sz w:val="21"/>
                <w:highlight w:val="none"/>
                <w14:textFill>
                  <w14:solidFill>
                    <w14:schemeClr w14:val="tx1"/>
                  </w14:solidFill>
                </w14:textFill>
              </w:rPr>
              <w:t>文件要求且</w:t>
            </w:r>
            <w:r>
              <w:rPr>
                <w:rFonts w:hint="eastAsia" w:hAnsi="宋体"/>
                <w:bCs/>
                <w:color w:val="000000" w:themeColor="text1"/>
                <w:sz w:val="21"/>
                <w:highlight w:val="none"/>
                <w14:textFill>
                  <w14:solidFill>
                    <w14:schemeClr w14:val="tx1"/>
                  </w14:solidFill>
                </w14:textFill>
              </w:rPr>
              <w:t>评标价</w:t>
            </w:r>
            <w:r>
              <w:rPr>
                <w:rFonts w:hAnsi="宋体"/>
                <w:bCs/>
                <w:color w:val="000000" w:themeColor="text1"/>
                <w:sz w:val="21"/>
                <w:highlight w:val="none"/>
                <w14:textFill>
                  <w14:solidFill>
                    <w14:schemeClr w14:val="tx1"/>
                  </w14:solidFill>
                </w14:textFill>
              </w:rPr>
              <w:t>最低的</w:t>
            </w:r>
            <w:r>
              <w:rPr>
                <w:rFonts w:hint="eastAsia" w:hAnsi="宋体"/>
                <w:bCs/>
                <w:color w:val="000000" w:themeColor="text1"/>
                <w:sz w:val="21"/>
                <w:highlight w:val="none"/>
                <w14:textFill>
                  <w14:solidFill>
                    <w14:schemeClr w14:val="tx1"/>
                  </w14:solidFill>
                </w14:textFill>
              </w:rPr>
              <w:t>有效供应商的评标价</w:t>
            </w:r>
            <w:r>
              <w:rPr>
                <w:rFonts w:hAnsi="宋体"/>
                <w:bCs/>
                <w:color w:val="000000" w:themeColor="text1"/>
                <w:sz w:val="21"/>
                <w:highlight w:val="none"/>
                <w14:textFill>
                  <w14:solidFill>
                    <w14:schemeClr w14:val="tx1"/>
                  </w14:solidFill>
                </w14:textFill>
              </w:rPr>
              <w:t>为评标基准价，其</w:t>
            </w:r>
            <w:r>
              <w:rPr>
                <w:rFonts w:hint="eastAsia" w:hAnsi="宋体"/>
                <w:bCs/>
                <w:color w:val="000000" w:themeColor="text1"/>
                <w:sz w:val="21"/>
                <w:highlight w:val="none"/>
                <w14:textFill>
                  <w14:solidFill>
                    <w14:schemeClr w14:val="tx1"/>
                  </w14:solidFill>
                </w14:textFill>
              </w:rPr>
              <w:t>报价</w:t>
            </w:r>
            <w:r>
              <w:rPr>
                <w:rFonts w:hAnsi="宋体"/>
                <w:bCs/>
                <w:color w:val="000000" w:themeColor="text1"/>
                <w:sz w:val="21"/>
                <w:highlight w:val="none"/>
                <w14:textFill>
                  <w14:solidFill>
                    <w14:schemeClr w14:val="tx1"/>
                  </w14:solidFill>
                </w14:textFill>
              </w:rPr>
              <w:t>分为满分。</w:t>
            </w:r>
          </w:p>
          <w:p w14:paraId="422C2618">
            <w:pPr>
              <w:pStyle w:val="29"/>
              <w:spacing w:line="420" w:lineRule="exact"/>
              <w:ind w:firstLine="420" w:firstLineChars="200"/>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2、</w:t>
            </w:r>
            <w:r>
              <w:rPr>
                <w:rFonts w:hAnsi="宋体"/>
                <w:bCs/>
                <w:color w:val="000000" w:themeColor="text1"/>
                <w:sz w:val="21"/>
                <w:highlight w:val="none"/>
                <w14:textFill>
                  <w14:solidFill>
                    <w14:schemeClr w14:val="tx1"/>
                  </w14:solidFill>
                </w14:textFill>
              </w:rPr>
              <w:t>其他供应商的价格分统一按照下列公式计算：</w:t>
            </w:r>
          </w:p>
          <w:p w14:paraId="3285186E">
            <w:pPr>
              <w:pStyle w:val="29"/>
              <w:spacing w:line="420" w:lineRule="exact"/>
              <w:rPr>
                <w:rFonts w:hAnsi="宋体" w:cs="Courier New"/>
                <w:bCs/>
                <w:color w:val="000000" w:themeColor="text1"/>
                <w:kern w:val="2"/>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某有效供应商的报价</w:t>
            </w:r>
            <w:r>
              <w:rPr>
                <w:rFonts w:hAnsi="宋体"/>
                <w:bCs/>
                <w:color w:val="000000" w:themeColor="text1"/>
                <w:sz w:val="21"/>
                <w:highlight w:val="none"/>
                <w14:textFill>
                  <w14:solidFill>
                    <w14:schemeClr w14:val="tx1"/>
                  </w14:solidFill>
                </w14:textFill>
              </w:rPr>
              <w:t>分=</w:t>
            </w:r>
            <w:r>
              <w:rPr>
                <w:rFonts w:hint="eastAsia" w:hAnsi="宋体"/>
                <w:bCs/>
                <w:color w:val="000000" w:themeColor="text1"/>
                <w:sz w:val="21"/>
                <w:highlight w:val="none"/>
                <w14:textFill>
                  <w14:solidFill>
                    <w14:schemeClr w14:val="tx1"/>
                  </w14:solidFill>
                </w14:textFill>
              </w:rPr>
              <w:t>（</w:t>
            </w:r>
            <w:r>
              <w:rPr>
                <w:rFonts w:hAnsi="宋体"/>
                <w:bCs/>
                <w:color w:val="000000" w:themeColor="text1"/>
                <w:sz w:val="21"/>
                <w:highlight w:val="none"/>
                <w14:textFill>
                  <w14:solidFill>
                    <w14:schemeClr w14:val="tx1"/>
                  </w14:solidFill>
                </w14:textFill>
              </w:rPr>
              <w:t>评标基准价／</w:t>
            </w:r>
            <w:r>
              <w:rPr>
                <w:rFonts w:hint="eastAsia" w:hAnsi="宋体"/>
                <w:bCs/>
                <w:color w:val="000000" w:themeColor="text1"/>
                <w:sz w:val="21"/>
                <w:highlight w:val="none"/>
                <w14:textFill>
                  <w14:solidFill>
                    <w14:schemeClr w14:val="tx1"/>
                  </w14:solidFill>
                </w14:textFill>
              </w:rPr>
              <w:t>某有效供应商评标价）</w:t>
            </w:r>
            <w:r>
              <w:rPr>
                <w:rFonts w:hAnsi="宋体"/>
                <w:bCs/>
                <w:color w:val="000000" w:themeColor="text1"/>
                <w:sz w:val="21"/>
                <w:highlight w:val="none"/>
                <w14:textFill>
                  <w14:solidFill>
                    <w14:schemeClr w14:val="tx1"/>
                  </w14:solidFill>
                </w14:textFill>
              </w:rPr>
              <w:t>×</w:t>
            </w:r>
            <w:r>
              <w:rPr>
                <w:rFonts w:hint="eastAsia" w:hAnsi="宋体"/>
                <w:bCs/>
                <w:color w:val="000000" w:themeColor="text1"/>
                <w:sz w:val="21"/>
                <w:highlight w:val="none"/>
                <w14:textFill>
                  <w14:solidFill>
                    <w14:schemeClr w14:val="tx1"/>
                  </w14:solidFill>
                </w14:textFill>
              </w:rPr>
              <w:t xml:space="preserve"> 30分</w:t>
            </w:r>
          </w:p>
        </w:tc>
      </w:tr>
      <w:tr w14:paraId="11F79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562" w:type="dxa"/>
            <w:vMerge w:val="restart"/>
            <w:vAlign w:val="center"/>
          </w:tcPr>
          <w:p w14:paraId="0BF32C43">
            <w:pPr>
              <w:adjustRightInd w:val="0"/>
              <w:spacing w:line="360" w:lineRule="auto"/>
              <w:jc w:val="center"/>
              <w:textAlignment w:val="baseline"/>
              <w:rPr>
                <w:rFonts w:ascii="宋体" w:hAnsi="宋体"/>
                <w:b/>
                <w:color w:val="000000" w:themeColor="text1"/>
                <w:highlight w:val="none"/>
                <w14:textFill>
                  <w14:solidFill>
                    <w14:schemeClr w14:val="tx1"/>
                  </w14:solidFill>
                </w14:textFill>
              </w:rPr>
            </w:pPr>
            <w:r>
              <w:rPr>
                <w:rFonts w:hint="eastAsia" w:ascii="宋体" w:hAnsi="宋体"/>
                <w:b/>
                <w:color w:val="000000" w:themeColor="text1"/>
                <w:highlight w:val="none"/>
                <w14:textFill>
                  <w14:solidFill>
                    <w14:schemeClr w14:val="tx1"/>
                  </w14:solidFill>
                </w14:textFill>
              </w:rPr>
              <w:t>2</w:t>
            </w:r>
          </w:p>
        </w:tc>
        <w:tc>
          <w:tcPr>
            <w:tcW w:w="709" w:type="dxa"/>
            <w:vMerge w:val="restart"/>
            <w:vAlign w:val="center"/>
          </w:tcPr>
          <w:p w14:paraId="33EBD685">
            <w:pPr>
              <w:adjustRightInd w:val="0"/>
              <w:spacing w:line="360" w:lineRule="auto"/>
              <w:jc w:val="center"/>
              <w:textAlignment w:val="baseline"/>
              <w:rPr>
                <w:rFonts w:ascii="宋体" w:hAnsi="宋体"/>
                <w:b/>
                <w:color w:val="000000" w:themeColor="text1"/>
                <w:highlight w:val="none"/>
                <w14:textFill>
                  <w14:solidFill>
                    <w14:schemeClr w14:val="tx1"/>
                  </w14:solidFill>
                </w14:textFill>
              </w:rPr>
            </w:pPr>
            <w:r>
              <w:rPr>
                <w:rFonts w:hint="eastAsia" w:ascii="宋体" w:hAnsi="宋体" w:cs="宋体"/>
                <w:b/>
                <w:bCs/>
                <w:color w:val="000000" w:themeColor="text1"/>
                <w:highlight w:val="none"/>
                <w14:textFill>
                  <w14:solidFill>
                    <w14:schemeClr w14:val="tx1"/>
                  </w14:solidFill>
                </w14:textFill>
              </w:rPr>
              <w:t>技术分</w:t>
            </w:r>
          </w:p>
        </w:tc>
        <w:tc>
          <w:tcPr>
            <w:tcW w:w="709" w:type="dxa"/>
            <w:vMerge w:val="restart"/>
            <w:vAlign w:val="center"/>
          </w:tcPr>
          <w:p w14:paraId="71F2FB04">
            <w:pPr>
              <w:adjustRightInd w:val="0"/>
              <w:spacing w:line="360" w:lineRule="auto"/>
              <w:jc w:val="center"/>
              <w:textAlignment w:val="baseline"/>
              <w:rPr>
                <w:rFonts w:ascii="宋体" w:hAnsi="宋体"/>
                <w:b/>
                <w:color w:val="000000" w:themeColor="text1"/>
                <w:highlight w:val="none"/>
                <w14:textFill>
                  <w14:solidFill>
                    <w14:schemeClr w14:val="tx1"/>
                  </w14:solidFill>
                </w14:textFill>
              </w:rPr>
            </w:pPr>
            <w:r>
              <w:rPr>
                <w:rFonts w:ascii="宋体" w:hAnsi="宋体"/>
                <w:b/>
                <w:color w:val="000000" w:themeColor="text1"/>
                <w:highlight w:val="none"/>
                <w14:textFill>
                  <w14:solidFill>
                    <w14:schemeClr w14:val="tx1"/>
                  </w14:solidFill>
                </w14:textFill>
              </w:rPr>
              <w:t>67</w:t>
            </w:r>
            <w:r>
              <w:rPr>
                <w:rFonts w:hint="eastAsia" w:ascii="宋体" w:hAnsi="宋体"/>
                <w:b/>
                <w:color w:val="000000" w:themeColor="text1"/>
                <w:highlight w:val="none"/>
                <w14:textFill>
                  <w14:solidFill>
                    <w14:schemeClr w14:val="tx1"/>
                  </w14:solidFill>
                </w14:textFill>
              </w:rPr>
              <w:t>分</w:t>
            </w:r>
          </w:p>
        </w:tc>
        <w:tc>
          <w:tcPr>
            <w:tcW w:w="2298" w:type="dxa"/>
            <w:vAlign w:val="center"/>
          </w:tcPr>
          <w:p w14:paraId="65B89652">
            <w:pPr>
              <w:spacing w:line="420" w:lineRule="exact"/>
              <w:jc w:val="center"/>
              <w:rPr>
                <w:rFonts w:ascii="宋体" w:hAnsi="宋体"/>
                <w:bCs/>
                <w:color w:val="000000" w:themeColor="text1"/>
                <w:highlight w:val="none"/>
                <w14:textFill>
                  <w14:solidFill>
                    <w14:schemeClr w14:val="tx1"/>
                  </w14:solidFill>
                </w14:textFill>
              </w:rPr>
            </w:pPr>
            <w:r>
              <w:rPr>
                <w:rFonts w:hint="eastAsia" w:ascii="宋体" w:hAnsi="宋体" w:cs="宋体"/>
                <w:b/>
                <w:bCs/>
                <w:color w:val="000000" w:themeColor="text1"/>
                <w:kern w:val="0"/>
                <w:highlight w:val="none"/>
                <w14:textFill>
                  <w14:solidFill>
                    <w14:schemeClr w14:val="tx1"/>
                  </w14:solidFill>
                </w14:textFill>
              </w:rPr>
              <w:t>主要施工方法（满分</w:t>
            </w:r>
            <w:r>
              <w:rPr>
                <w:rFonts w:ascii="宋体" w:hAnsi="宋体" w:cs="宋体"/>
                <w:b/>
                <w:bCs/>
                <w:color w:val="000000" w:themeColor="text1"/>
                <w:kern w:val="0"/>
                <w:highlight w:val="none"/>
                <w14:textFill>
                  <w14:solidFill>
                    <w14:schemeClr w14:val="tx1"/>
                  </w14:solidFill>
                </w14:textFill>
              </w:rPr>
              <w:t>10</w:t>
            </w:r>
            <w:r>
              <w:rPr>
                <w:rFonts w:hint="eastAsia" w:ascii="宋体" w:hAnsi="宋体" w:cs="宋体"/>
                <w:b/>
                <w:bCs/>
                <w:color w:val="000000" w:themeColor="text1"/>
                <w:kern w:val="0"/>
                <w:highlight w:val="none"/>
                <w14:textFill>
                  <w14:solidFill>
                    <w14:schemeClr w14:val="tx1"/>
                  </w14:solidFill>
                </w14:textFill>
              </w:rPr>
              <w:t>分）</w:t>
            </w:r>
          </w:p>
        </w:tc>
        <w:tc>
          <w:tcPr>
            <w:tcW w:w="5350" w:type="dxa"/>
            <w:vAlign w:val="center"/>
          </w:tcPr>
          <w:p w14:paraId="409FF107">
            <w:pPr>
              <w:spacing w:line="420" w:lineRule="exact"/>
              <w:jc w:val="left"/>
              <w:rPr>
                <w:rFonts w:ascii="宋体"/>
                <w:color w:val="000000" w:themeColor="text1"/>
                <w:highlight w:val="none"/>
                <w14:textFill>
                  <w14:solidFill>
                    <w14:schemeClr w14:val="tx1"/>
                  </w14:solidFill>
                </w14:textFill>
              </w:rPr>
            </w:pPr>
            <w:r>
              <w:rPr>
                <w:rFonts w:hint="eastAsia" w:ascii="宋体" w:hAnsi="宋体" w:eastAsia="宋体" w:cs="宋体"/>
                <w:color w:val="000000" w:themeColor="text1"/>
                <w:kern w:val="0"/>
                <w:sz w:val="21"/>
                <w:szCs w:val="20"/>
                <w:highlight w:val="none"/>
                <w:lang w:val="en-US" w:eastAsia="zh-CN" w:bidi="ar-SA"/>
                <w14:textFill>
                  <w14:solidFill>
                    <w14:schemeClr w14:val="tx1"/>
                  </w14:solidFill>
                </w14:textFill>
              </w:rPr>
              <w:t>磋商小组各成员在打分前根据供应商提供的主要施工方法自行确定各供应商所属档次及分值，达不到</w:t>
            </w:r>
            <w:r>
              <w:rPr>
                <w:rFonts w:hint="eastAsia" w:ascii="宋体" w:hAnsi="宋体" w:cs="宋体"/>
                <w:color w:val="000000" w:themeColor="text1"/>
                <w:highlight w:val="none"/>
                <w14:textFill>
                  <w14:solidFill>
                    <w14:schemeClr w14:val="tx1"/>
                  </w14:solidFill>
                </w14:textFill>
              </w:rPr>
              <w:t>三档要求的不得分。</w:t>
            </w:r>
          </w:p>
          <w:p w14:paraId="6BA391D0">
            <w:pPr>
              <w:pStyle w:val="29"/>
              <w:spacing w:line="420" w:lineRule="exact"/>
              <w:jc w:val="left"/>
              <w:rPr>
                <w:rFonts w:hAnsi="宋体"/>
                <w:color w:val="000000" w:themeColor="text1"/>
                <w:sz w:val="21"/>
                <w:highlight w:val="none"/>
                <w14:textFill>
                  <w14:solidFill>
                    <w14:schemeClr w14:val="tx1"/>
                  </w14:solidFill>
                </w14:textFill>
              </w:rPr>
            </w:pPr>
            <w:r>
              <w:rPr>
                <w:rFonts w:hint="eastAsia" w:hAnsi="宋体"/>
                <w:color w:val="000000" w:themeColor="text1"/>
                <w:sz w:val="21"/>
                <w:highlight w:val="none"/>
                <w14:textFill>
                  <w14:solidFill>
                    <w14:schemeClr w14:val="tx1"/>
                  </w14:solidFill>
                </w14:textFill>
              </w:rPr>
              <w:t>一档（</w:t>
            </w:r>
            <w:r>
              <w:rPr>
                <w:rFonts w:hAnsi="宋体"/>
                <w:color w:val="000000" w:themeColor="text1"/>
                <w:sz w:val="21"/>
                <w:highlight w:val="none"/>
                <w14:textFill>
                  <w14:solidFill>
                    <w14:schemeClr w14:val="tx1"/>
                  </w14:solidFill>
                </w14:textFill>
              </w:rPr>
              <w:t>10</w:t>
            </w:r>
            <w:r>
              <w:rPr>
                <w:rFonts w:hint="eastAsia" w:hAnsi="宋体"/>
                <w:color w:val="000000" w:themeColor="text1"/>
                <w:sz w:val="21"/>
                <w:highlight w:val="none"/>
                <w14:textFill>
                  <w14:solidFill>
                    <w14:schemeClr w14:val="tx1"/>
                  </w14:solidFill>
                </w14:textFill>
              </w:rPr>
              <w:t>分）：各主要分部施工方法符合项目实际，有详尽的施工技术方案，工艺先进方法科学合理、可行，能指导具体施工并确保安全。</w:t>
            </w:r>
          </w:p>
          <w:p w14:paraId="68FA2037">
            <w:pPr>
              <w:pStyle w:val="29"/>
              <w:spacing w:line="420" w:lineRule="exact"/>
              <w:jc w:val="left"/>
              <w:rPr>
                <w:rFonts w:hAnsi="宋体"/>
                <w:color w:val="000000" w:themeColor="text1"/>
                <w:sz w:val="21"/>
                <w:highlight w:val="none"/>
                <w14:textFill>
                  <w14:solidFill>
                    <w14:schemeClr w14:val="tx1"/>
                  </w14:solidFill>
                </w14:textFill>
              </w:rPr>
            </w:pPr>
            <w:r>
              <w:rPr>
                <w:rFonts w:hint="eastAsia" w:hAnsi="宋体"/>
                <w:color w:val="000000" w:themeColor="text1"/>
                <w:sz w:val="21"/>
                <w:highlight w:val="none"/>
                <w14:textFill>
                  <w14:solidFill>
                    <w14:schemeClr w14:val="tx1"/>
                  </w14:solidFill>
                </w14:textFill>
              </w:rPr>
              <w:t>二档（</w:t>
            </w:r>
            <w:r>
              <w:rPr>
                <w:rFonts w:hAnsi="宋体"/>
                <w:color w:val="000000" w:themeColor="text1"/>
                <w:sz w:val="21"/>
                <w:highlight w:val="none"/>
                <w14:textFill>
                  <w14:solidFill>
                    <w14:schemeClr w14:val="tx1"/>
                  </w14:solidFill>
                </w14:textFill>
              </w:rPr>
              <w:t>5</w:t>
            </w:r>
            <w:r>
              <w:rPr>
                <w:rFonts w:hint="eastAsia" w:hAnsi="宋体"/>
                <w:color w:val="000000" w:themeColor="text1"/>
                <w:sz w:val="21"/>
                <w:highlight w:val="none"/>
                <w14:textFill>
                  <w14:solidFill>
                    <w14:schemeClr w14:val="tx1"/>
                  </w14:solidFill>
                </w14:textFill>
              </w:rPr>
              <w:t>分）：各主要分部施工方法基本符合项目实际，施工技术方案基本齐全，方法基本合理、可行，基本能指导具体施工并确保安全。</w:t>
            </w:r>
          </w:p>
          <w:p w14:paraId="0421C328">
            <w:pPr>
              <w:spacing w:line="360" w:lineRule="auto"/>
              <w:jc w:val="left"/>
              <w:rPr>
                <w:rFonts w:ascii="宋体" w:hAnsi="宋体"/>
                <w:bCs/>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三档（</w:t>
            </w:r>
            <w:r>
              <w:rPr>
                <w:rFonts w:hAnsi="宋体"/>
                <w:color w:val="000000" w:themeColor="text1"/>
                <w:highlight w:val="none"/>
                <w14:textFill>
                  <w14:solidFill>
                    <w14:schemeClr w14:val="tx1"/>
                  </w14:solidFill>
                </w14:textFill>
              </w:rPr>
              <w:t>2</w:t>
            </w:r>
            <w:r>
              <w:rPr>
                <w:rFonts w:hint="eastAsia" w:hAnsi="宋体"/>
                <w:color w:val="000000" w:themeColor="text1"/>
                <w:highlight w:val="none"/>
                <w14:textFill>
                  <w14:solidFill>
                    <w14:schemeClr w14:val="tx1"/>
                  </w14:solidFill>
                </w14:textFill>
              </w:rPr>
              <w:t>分）：各主要分部施工方法针对性不强，施工技术方案简单，工艺落后、方法不合理，不能指导具体施工和确保安全。</w:t>
            </w:r>
          </w:p>
        </w:tc>
      </w:tr>
      <w:tr w14:paraId="0E8B1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562" w:type="dxa"/>
            <w:vMerge w:val="continue"/>
            <w:vAlign w:val="center"/>
          </w:tcPr>
          <w:p w14:paraId="37535427">
            <w:pPr>
              <w:adjustRightInd w:val="0"/>
              <w:spacing w:line="360" w:lineRule="auto"/>
              <w:jc w:val="center"/>
              <w:textAlignment w:val="baseline"/>
              <w:rPr>
                <w:rFonts w:ascii="宋体" w:hAnsi="宋体"/>
                <w:b/>
                <w:color w:val="000000" w:themeColor="text1"/>
                <w:highlight w:val="none"/>
                <w14:textFill>
                  <w14:solidFill>
                    <w14:schemeClr w14:val="tx1"/>
                  </w14:solidFill>
                </w14:textFill>
              </w:rPr>
            </w:pPr>
          </w:p>
        </w:tc>
        <w:tc>
          <w:tcPr>
            <w:tcW w:w="709" w:type="dxa"/>
            <w:vMerge w:val="continue"/>
            <w:vAlign w:val="center"/>
          </w:tcPr>
          <w:p w14:paraId="5CA287BA">
            <w:pPr>
              <w:adjustRightInd w:val="0"/>
              <w:spacing w:line="360" w:lineRule="auto"/>
              <w:jc w:val="center"/>
              <w:textAlignment w:val="baseline"/>
              <w:rPr>
                <w:rFonts w:ascii="宋体" w:hAnsi="宋体"/>
                <w:b/>
                <w:color w:val="000000" w:themeColor="text1"/>
                <w:highlight w:val="none"/>
                <w14:textFill>
                  <w14:solidFill>
                    <w14:schemeClr w14:val="tx1"/>
                  </w14:solidFill>
                </w14:textFill>
              </w:rPr>
            </w:pPr>
          </w:p>
        </w:tc>
        <w:tc>
          <w:tcPr>
            <w:tcW w:w="709" w:type="dxa"/>
            <w:vMerge w:val="continue"/>
            <w:vAlign w:val="center"/>
          </w:tcPr>
          <w:p w14:paraId="093145F0">
            <w:pPr>
              <w:adjustRightInd w:val="0"/>
              <w:spacing w:line="360" w:lineRule="auto"/>
              <w:jc w:val="center"/>
              <w:textAlignment w:val="baseline"/>
              <w:rPr>
                <w:rFonts w:ascii="宋体" w:hAnsi="宋体"/>
                <w:b/>
                <w:color w:val="000000" w:themeColor="text1"/>
                <w:highlight w:val="none"/>
                <w14:textFill>
                  <w14:solidFill>
                    <w14:schemeClr w14:val="tx1"/>
                  </w14:solidFill>
                </w14:textFill>
              </w:rPr>
            </w:pPr>
          </w:p>
        </w:tc>
        <w:tc>
          <w:tcPr>
            <w:tcW w:w="2298" w:type="dxa"/>
            <w:vAlign w:val="center"/>
          </w:tcPr>
          <w:p w14:paraId="5B20FECC">
            <w:pPr>
              <w:spacing w:line="360" w:lineRule="auto"/>
              <w:jc w:val="center"/>
              <w:rPr>
                <w:rFonts w:ascii="宋体" w:hAnsi="宋体"/>
                <w:bCs/>
                <w:color w:val="000000" w:themeColor="text1"/>
                <w:highlight w:val="none"/>
                <w14:textFill>
                  <w14:solidFill>
                    <w14:schemeClr w14:val="tx1"/>
                  </w14:solidFill>
                </w14:textFill>
              </w:rPr>
            </w:pPr>
            <w:r>
              <w:rPr>
                <w:rFonts w:hint="eastAsia" w:ascii="宋体" w:hAnsi="宋体" w:cs="宋体"/>
                <w:b/>
                <w:bCs/>
                <w:color w:val="000000" w:themeColor="text1"/>
                <w:kern w:val="0"/>
                <w:highlight w:val="none"/>
                <w14:textFill>
                  <w14:solidFill>
                    <w14:schemeClr w14:val="tx1"/>
                  </w14:solidFill>
                </w14:textFill>
              </w:rPr>
              <w:t>拟投入的主要施工机械、设备计划（满分</w:t>
            </w:r>
            <w:r>
              <w:rPr>
                <w:rFonts w:ascii="宋体" w:hAnsi="宋体" w:cs="宋体"/>
                <w:b/>
                <w:bCs/>
                <w:color w:val="000000" w:themeColor="text1"/>
                <w:kern w:val="0"/>
                <w:highlight w:val="none"/>
                <w14:textFill>
                  <w14:solidFill>
                    <w14:schemeClr w14:val="tx1"/>
                  </w14:solidFill>
                </w14:textFill>
              </w:rPr>
              <w:t>10</w:t>
            </w:r>
            <w:r>
              <w:rPr>
                <w:rFonts w:hint="eastAsia" w:ascii="宋体" w:hAnsi="宋体" w:cs="宋体"/>
                <w:b/>
                <w:bCs/>
                <w:color w:val="000000" w:themeColor="text1"/>
                <w:kern w:val="0"/>
                <w:highlight w:val="none"/>
                <w14:textFill>
                  <w14:solidFill>
                    <w14:schemeClr w14:val="tx1"/>
                  </w14:solidFill>
                </w14:textFill>
              </w:rPr>
              <w:t>分）</w:t>
            </w:r>
          </w:p>
        </w:tc>
        <w:tc>
          <w:tcPr>
            <w:tcW w:w="5350" w:type="dxa"/>
            <w:vAlign w:val="center"/>
          </w:tcPr>
          <w:p w14:paraId="0FBDF7BD">
            <w:pPr>
              <w:spacing w:line="420" w:lineRule="exact"/>
              <w:jc w:val="left"/>
              <w:rPr>
                <w:rFonts w:hint="eastAsia" w:ascii="宋体" w:hAnsi="宋体" w:eastAsia="宋体" w:cs="宋体"/>
                <w:color w:val="000000" w:themeColor="text1"/>
                <w:kern w:val="0"/>
                <w:sz w:val="21"/>
                <w:szCs w:val="20"/>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0"/>
                <w:highlight w:val="none"/>
                <w:lang w:val="en-US" w:eastAsia="zh-CN" w:bidi="ar-SA"/>
                <w14:textFill>
                  <w14:solidFill>
                    <w14:schemeClr w14:val="tx1"/>
                  </w14:solidFill>
                </w14:textFill>
              </w:rPr>
              <w:t>磋商小组各成员在打分前根据供应商提供的拟投入的主要施工机械、设备计划自行确定各供应商所属档次及分值，达不到三档要求的不得分。</w:t>
            </w:r>
          </w:p>
          <w:p w14:paraId="1C0397BF">
            <w:pPr>
              <w:pStyle w:val="29"/>
              <w:spacing w:line="420" w:lineRule="exact"/>
              <w:jc w:val="left"/>
              <w:rPr>
                <w:rFonts w:hAnsi="宋体"/>
                <w:color w:val="000000" w:themeColor="text1"/>
                <w:sz w:val="21"/>
                <w:highlight w:val="none"/>
                <w14:textFill>
                  <w14:solidFill>
                    <w14:schemeClr w14:val="tx1"/>
                  </w14:solidFill>
                </w14:textFill>
              </w:rPr>
            </w:pPr>
            <w:r>
              <w:rPr>
                <w:rFonts w:hint="eastAsia" w:hAnsi="宋体"/>
                <w:color w:val="000000" w:themeColor="text1"/>
                <w:sz w:val="21"/>
                <w:highlight w:val="none"/>
                <w14:textFill>
                  <w14:solidFill>
                    <w14:schemeClr w14:val="tx1"/>
                  </w14:solidFill>
                </w14:textFill>
              </w:rPr>
              <w:t>一档（</w:t>
            </w:r>
            <w:r>
              <w:rPr>
                <w:rFonts w:hAnsi="宋体"/>
                <w:color w:val="000000" w:themeColor="text1"/>
                <w:sz w:val="21"/>
                <w:highlight w:val="none"/>
                <w14:textFill>
                  <w14:solidFill>
                    <w14:schemeClr w14:val="tx1"/>
                  </w14:solidFill>
                </w14:textFill>
              </w:rPr>
              <w:t>10</w:t>
            </w:r>
            <w:r>
              <w:rPr>
                <w:rFonts w:hint="eastAsia" w:hAnsi="宋体"/>
                <w:color w:val="000000" w:themeColor="text1"/>
                <w:sz w:val="21"/>
                <w:highlight w:val="none"/>
                <w14:textFill>
                  <w14:solidFill>
                    <w14:schemeClr w14:val="tx1"/>
                  </w14:solidFill>
                </w14:textFill>
              </w:rPr>
              <w:t>分）：投入的主要施工机械、设备有详细周密的组织计划且计划周密，投入计划与进度计划呼应较好满足施工需要，调配投入计划合理、准确。</w:t>
            </w:r>
          </w:p>
          <w:p w14:paraId="07381837">
            <w:pPr>
              <w:pStyle w:val="29"/>
              <w:spacing w:line="420" w:lineRule="exact"/>
              <w:jc w:val="left"/>
              <w:rPr>
                <w:rFonts w:hAnsi="宋体"/>
                <w:color w:val="000000" w:themeColor="text1"/>
                <w:sz w:val="21"/>
                <w:highlight w:val="none"/>
                <w14:textFill>
                  <w14:solidFill>
                    <w14:schemeClr w14:val="tx1"/>
                  </w14:solidFill>
                </w14:textFill>
              </w:rPr>
            </w:pPr>
            <w:r>
              <w:rPr>
                <w:rFonts w:hint="eastAsia" w:hAnsi="宋体"/>
                <w:color w:val="000000" w:themeColor="text1"/>
                <w:sz w:val="21"/>
                <w:highlight w:val="none"/>
                <w14:textFill>
                  <w14:solidFill>
                    <w14:schemeClr w14:val="tx1"/>
                  </w14:solidFill>
                </w14:textFill>
              </w:rPr>
              <w:t>二档（</w:t>
            </w:r>
            <w:r>
              <w:rPr>
                <w:rFonts w:hAnsi="宋体"/>
                <w:color w:val="000000" w:themeColor="text1"/>
                <w:sz w:val="21"/>
                <w:highlight w:val="none"/>
                <w14:textFill>
                  <w14:solidFill>
                    <w14:schemeClr w14:val="tx1"/>
                  </w14:solidFill>
                </w14:textFill>
              </w:rPr>
              <w:t>5</w:t>
            </w:r>
            <w:r>
              <w:rPr>
                <w:rFonts w:hint="eastAsia" w:hAnsi="宋体"/>
                <w:color w:val="000000" w:themeColor="text1"/>
                <w:sz w:val="21"/>
                <w:highlight w:val="none"/>
                <w14:textFill>
                  <w14:solidFill>
                    <w14:schemeClr w14:val="tx1"/>
                  </w14:solidFill>
                </w14:textFill>
              </w:rPr>
              <w:t>分）：投入的主要施工机械、设备有组织计划，投入计划与进度计划呼应，基本满足施工需要，调配投入计划基本合理。</w:t>
            </w:r>
          </w:p>
          <w:p w14:paraId="735058BC">
            <w:pPr>
              <w:spacing w:line="360" w:lineRule="auto"/>
              <w:jc w:val="left"/>
              <w:rPr>
                <w:rFonts w:ascii="宋体" w:hAnsi="宋体"/>
                <w:bCs/>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三档（</w:t>
            </w:r>
            <w:r>
              <w:rPr>
                <w:rFonts w:hAnsi="宋体"/>
                <w:color w:val="000000" w:themeColor="text1"/>
                <w:highlight w:val="none"/>
                <w14:textFill>
                  <w14:solidFill>
                    <w14:schemeClr w14:val="tx1"/>
                  </w14:solidFill>
                </w14:textFill>
              </w:rPr>
              <w:t>2</w:t>
            </w:r>
            <w:r>
              <w:rPr>
                <w:rFonts w:hint="eastAsia" w:hAnsi="宋体"/>
                <w:color w:val="000000" w:themeColor="text1"/>
                <w:highlight w:val="none"/>
                <w14:textFill>
                  <w14:solidFill>
                    <w14:schemeClr w14:val="tx1"/>
                  </w14:solidFill>
                </w14:textFill>
              </w:rPr>
              <w:t>分）：投入的主要施工机械、设备的组织计划不全，投入计划与进度计划不呼应，不能满足施工需要。</w:t>
            </w:r>
          </w:p>
        </w:tc>
      </w:tr>
      <w:tr w14:paraId="6C66C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562" w:type="dxa"/>
            <w:vMerge w:val="continue"/>
            <w:vAlign w:val="center"/>
          </w:tcPr>
          <w:p w14:paraId="10CB23E8">
            <w:pPr>
              <w:adjustRightInd w:val="0"/>
              <w:spacing w:line="360" w:lineRule="auto"/>
              <w:jc w:val="center"/>
              <w:textAlignment w:val="baseline"/>
              <w:rPr>
                <w:rFonts w:ascii="宋体" w:hAnsi="宋体"/>
                <w:b/>
                <w:color w:val="000000" w:themeColor="text1"/>
                <w:highlight w:val="none"/>
                <w14:textFill>
                  <w14:solidFill>
                    <w14:schemeClr w14:val="tx1"/>
                  </w14:solidFill>
                </w14:textFill>
              </w:rPr>
            </w:pPr>
          </w:p>
        </w:tc>
        <w:tc>
          <w:tcPr>
            <w:tcW w:w="709" w:type="dxa"/>
            <w:vMerge w:val="continue"/>
            <w:vAlign w:val="center"/>
          </w:tcPr>
          <w:p w14:paraId="12179055">
            <w:pPr>
              <w:adjustRightInd w:val="0"/>
              <w:spacing w:line="360" w:lineRule="auto"/>
              <w:jc w:val="center"/>
              <w:textAlignment w:val="baseline"/>
              <w:rPr>
                <w:rFonts w:ascii="宋体" w:hAnsi="宋体"/>
                <w:b/>
                <w:color w:val="000000" w:themeColor="text1"/>
                <w:highlight w:val="none"/>
                <w14:textFill>
                  <w14:solidFill>
                    <w14:schemeClr w14:val="tx1"/>
                  </w14:solidFill>
                </w14:textFill>
              </w:rPr>
            </w:pPr>
          </w:p>
        </w:tc>
        <w:tc>
          <w:tcPr>
            <w:tcW w:w="709" w:type="dxa"/>
            <w:vMerge w:val="continue"/>
            <w:vAlign w:val="center"/>
          </w:tcPr>
          <w:p w14:paraId="522E6C42">
            <w:pPr>
              <w:adjustRightInd w:val="0"/>
              <w:spacing w:line="360" w:lineRule="auto"/>
              <w:jc w:val="center"/>
              <w:textAlignment w:val="baseline"/>
              <w:rPr>
                <w:rFonts w:ascii="宋体" w:hAnsi="宋体"/>
                <w:b/>
                <w:color w:val="000000" w:themeColor="text1"/>
                <w:highlight w:val="none"/>
                <w14:textFill>
                  <w14:solidFill>
                    <w14:schemeClr w14:val="tx1"/>
                  </w14:solidFill>
                </w14:textFill>
              </w:rPr>
            </w:pPr>
          </w:p>
        </w:tc>
        <w:tc>
          <w:tcPr>
            <w:tcW w:w="2298" w:type="dxa"/>
            <w:vAlign w:val="center"/>
          </w:tcPr>
          <w:p w14:paraId="35372094">
            <w:pPr>
              <w:spacing w:line="360" w:lineRule="auto"/>
              <w:jc w:val="center"/>
              <w:rPr>
                <w:rFonts w:ascii="宋体" w:hAnsi="宋体"/>
                <w:bCs/>
                <w:color w:val="000000" w:themeColor="text1"/>
                <w:highlight w:val="none"/>
                <w14:textFill>
                  <w14:solidFill>
                    <w14:schemeClr w14:val="tx1"/>
                  </w14:solidFill>
                </w14:textFill>
              </w:rPr>
            </w:pPr>
            <w:r>
              <w:rPr>
                <w:rFonts w:hint="eastAsia" w:ascii="宋体" w:hAnsi="宋体" w:cs="宋体"/>
                <w:b/>
                <w:bCs/>
                <w:color w:val="000000" w:themeColor="text1"/>
                <w:kern w:val="0"/>
                <w:highlight w:val="none"/>
                <w14:textFill>
                  <w14:solidFill>
                    <w14:schemeClr w14:val="tx1"/>
                  </w14:solidFill>
                </w14:textFill>
              </w:rPr>
              <w:t>劳动力安排计划（满分</w:t>
            </w:r>
            <w:r>
              <w:rPr>
                <w:rFonts w:ascii="宋体" w:hAnsi="宋体" w:cs="宋体"/>
                <w:b/>
                <w:bCs/>
                <w:color w:val="000000" w:themeColor="text1"/>
                <w:kern w:val="0"/>
                <w:highlight w:val="none"/>
                <w14:textFill>
                  <w14:solidFill>
                    <w14:schemeClr w14:val="tx1"/>
                  </w14:solidFill>
                </w14:textFill>
              </w:rPr>
              <w:t>10</w:t>
            </w:r>
            <w:r>
              <w:rPr>
                <w:rFonts w:hint="eastAsia" w:ascii="宋体" w:hAnsi="宋体" w:cs="宋体"/>
                <w:b/>
                <w:bCs/>
                <w:color w:val="000000" w:themeColor="text1"/>
                <w:kern w:val="0"/>
                <w:highlight w:val="none"/>
                <w14:textFill>
                  <w14:solidFill>
                    <w14:schemeClr w14:val="tx1"/>
                  </w14:solidFill>
                </w14:textFill>
              </w:rPr>
              <w:t>分）</w:t>
            </w:r>
          </w:p>
        </w:tc>
        <w:tc>
          <w:tcPr>
            <w:tcW w:w="5350" w:type="dxa"/>
            <w:vAlign w:val="center"/>
          </w:tcPr>
          <w:p w14:paraId="250BF374">
            <w:pPr>
              <w:spacing w:line="420" w:lineRule="exact"/>
              <w:jc w:val="left"/>
              <w:rPr>
                <w:rFonts w:ascii="宋体"/>
                <w:color w:val="000000" w:themeColor="text1"/>
                <w:highlight w:val="none"/>
                <w14:textFill>
                  <w14:solidFill>
                    <w14:schemeClr w14:val="tx1"/>
                  </w14:solidFill>
                </w14:textFill>
              </w:rPr>
            </w:pPr>
            <w:r>
              <w:rPr>
                <w:rFonts w:hint="eastAsia" w:ascii="宋体" w:hAnsi="宋体" w:eastAsia="宋体" w:cs="宋体"/>
                <w:color w:val="000000" w:themeColor="text1"/>
                <w:kern w:val="0"/>
                <w:sz w:val="21"/>
                <w:szCs w:val="20"/>
                <w:highlight w:val="none"/>
                <w:lang w:val="en-US" w:eastAsia="zh-CN" w:bidi="ar-SA"/>
                <w14:textFill>
                  <w14:solidFill>
                    <w14:schemeClr w14:val="tx1"/>
                  </w14:solidFill>
                </w14:textFill>
              </w:rPr>
              <w:t>磋商小组各成员在打分前根据供应商提供的劳动力安排计划自行确定各供应商所属档次及分值，达不</w:t>
            </w:r>
            <w:r>
              <w:rPr>
                <w:rFonts w:hint="eastAsia" w:ascii="宋体" w:hAnsi="宋体" w:cs="宋体"/>
                <w:color w:val="000000" w:themeColor="text1"/>
                <w:highlight w:val="none"/>
                <w14:textFill>
                  <w14:solidFill>
                    <w14:schemeClr w14:val="tx1"/>
                  </w14:solidFill>
                </w14:textFill>
              </w:rPr>
              <w:t>到三档要求的不得分。</w:t>
            </w:r>
          </w:p>
          <w:p w14:paraId="5ED2A2A3">
            <w:pPr>
              <w:pStyle w:val="29"/>
              <w:spacing w:line="420" w:lineRule="exact"/>
              <w:jc w:val="left"/>
              <w:rPr>
                <w:rFonts w:hAnsi="宋体"/>
                <w:color w:val="000000" w:themeColor="text1"/>
                <w:sz w:val="21"/>
                <w:highlight w:val="none"/>
                <w14:textFill>
                  <w14:solidFill>
                    <w14:schemeClr w14:val="tx1"/>
                  </w14:solidFill>
                </w14:textFill>
              </w:rPr>
            </w:pPr>
            <w:r>
              <w:rPr>
                <w:rFonts w:hint="eastAsia" w:hAnsi="宋体"/>
                <w:color w:val="000000" w:themeColor="text1"/>
                <w:sz w:val="21"/>
                <w:highlight w:val="none"/>
                <w14:textFill>
                  <w14:solidFill>
                    <w14:schemeClr w14:val="tx1"/>
                  </w14:solidFill>
                </w14:textFill>
              </w:rPr>
              <w:t>一档（</w:t>
            </w:r>
            <w:r>
              <w:rPr>
                <w:rFonts w:hAnsi="宋体"/>
                <w:color w:val="000000" w:themeColor="text1"/>
                <w:sz w:val="21"/>
                <w:highlight w:val="none"/>
                <w14:textFill>
                  <w14:solidFill>
                    <w14:schemeClr w14:val="tx1"/>
                  </w14:solidFill>
                </w14:textFill>
              </w:rPr>
              <w:t>10</w:t>
            </w:r>
            <w:r>
              <w:rPr>
                <w:rFonts w:hint="eastAsia" w:hAnsi="宋体"/>
                <w:color w:val="000000" w:themeColor="text1"/>
                <w:sz w:val="21"/>
                <w:highlight w:val="none"/>
                <w14:textFill>
                  <w14:solidFill>
                    <w14:schemeClr w14:val="tx1"/>
                  </w14:solidFill>
                </w14:textFill>
              </w:rPr>
              <w:t>分）：各主要施工工序有详细周密的劳动力安排计划，各工种劳动力安排计划齐全，劳动力投入与进度计划呼应合理，满足施工需要。</w:t>
            </w:r>
          </w:p>
          <w:p w14:paraId="3CFB308C">
            <w:pPr>
              <w:pStyle w:val="29"/>
              <w:spacing w:line="420" w:lineRule="exact"/>
              <w:jc w:val="left"/>
              <w:rPr>
                <w:rFonts w:hAnsi="宋体"/>
                <w:color w:val="000000" w:themeColor="text1"/>
                <w:sz w:val="21"/>
                <w:highlight w:val="none"/>
                <w14:textFill>
                  <w14:solidFill>
                    <w14:schemeClr w14:val="tx1"/>
                  </w14:solidFill>
                </w14:textFill>
              </w:rPr>
            </w:pPr>
            <w:r>
              <w:rPr>
                <w:rFonts w:hint="eastAsia" w:hAnsi="宋体"/>
                <w:color w:val="000000" w:themeColor="text1"/>
                <w:sz w:val="21"/>
                <w:highlight w:val="none"/>
                <w14:textFill>
                  <w14:solidFill>
                    <w14:schemeClr w14:val="tx1"/>
                  </w14:solidFill>
                </w14:textFill>
              </w:rPr>
              <w:t>二档（</w:t>
            </w:r>
            <w:r>
              <w:rPr>
                <w:rFonts w:hAnsi="宋体"/>
                <w:color w:val="000000" w:themeColor="text1"/>
                <w:sz w:val="21"/>
                <w:highlight w:val="none"/>
                <w14:textFill>
                  <w14:solidFill>
                    <w14:schemeClr w14:val="tx1"/>
                  </w14:solidFill>
                </w14:textFill>
              </w:rPr>
              <w:t>5</w:t>
            </w:r>
            <w:r>
              <w:rPr>
                <w:rFonts w:hint="eastAsia" w:hAnsi="宋体"/>
                <w:color w:val="000000" w:themeColor="text1"/>
                <w:sz w:val="21"/>
                <w:highlight w:val="none"/>
                <w14:textFill>
                  <w14:solidFill>
                    <w14:schemeClr w14:val="tx1"/>
                  </w14:solidFill>
                </w14:textFill>
              </w:rPr>
              <w:t>分）：各主要施工工序应有劳动力安排计划，提供各工种劳动力安排计划，劳动力投入基本合理，基本满足施工需要。</w:t>
            </w:r>
          </w:p>
          <w:p w14:paraId="2FDD4B80">
            <w:pPr>
              <w:spacing w:line="360" w:lineRule="auto"/>
              <w:jc w:val="left"/>
              <w:rPr>
                <w:rFonts w:ascii="宋体" w:hAnsi="宋体"/>
                <w:bCs/>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三档（</w:t>
            </w:r>
            <w:r>
              <w:rPr>
                <w:rFonts w:hAnsi="宋体"/>
                <w:color w:val="000000" w:themeColor="text1"/>
                <w:highlight w:val="none"/>
                <w14:textFill>
                  <w14:solidFill>
                    <w14:schemeClr w14:val="tx1"/>
                  </w14:solidFill>
                </w14:textFill>
              </w:rPr>
              <w:t>2</w:t>
            </w:r>
            <w:r>
              <w:rPr>
                <w:rFonts w:hint="eastAsia" w:hAnsi="宋体"/>
                <w:color w:val="000000" w:themeColor="text1"/>
                <w:highlight w:val="none"/>
                <w14:textFill>
                  <w14:solidFill>
                    <w14:schemeClr w14:val="tx1"/>
                  </w14:solidFill>
                </w14:textFill>
              </w:rPr>
              <w:t>分）：各主要施工工序劳动力安排计划不全，无各工种劳动力安排计划或计划不全，劳动力投入不合理，不能满足施工需要。</w:t>
            </w:r>
          </w:p>
        </w:tc>
      </w:tr>
      <w:tr w14:paraId="30AB7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562" w:type="dxa"/>
            <w:vMerge w:val="continue"/>
            <w:vAlign w:val="center"/>
          </w:tcPr>
          <w:p w14:paraId="334040AF">
            <w:pPr>
              <w:adjustRightInd w:val="0"/>
              <w:spacing w:line="360" w:lineRule="auto"/>
              <w:jc w:val="center"/>
              <w:textAlignment w:val="baseline"/>
              <w:rPr>
                <w:rFonts w:ascii="宋体" w:hAnsi="宋体"/>
                <w:b/>
                <w:color w:val="000000" w:themeColor="text1"/>
                <w:highlight w:val="none"/>
                <w14:textFill>
                  <w14:solidFill>
                    <w14:schemeClr w14:val="tx1"/>
                  </w14:solidFill>
                </w14:textFill>
              </w:rPr>
            </w:pPr>
          </w:p>
        </w:tc>
        <w:tc>
          <w:tcPr>
            <w:tcW w:w="709" w:type="dxa"/>
            <w:vMerge w:val="continue"/>
            <w:vAlign w:val="center"/>
          </w:tcPr>
          <w:p w14:paraId="022D94F9">
            <w:pPr>
              <w:adjustRightInd w:val="0"/>
              <w:spacing w:line="360" w:lineRule="auto"/>
              <w:jc w:val="center"/>
              <w:textAlignment w:val="baseline"/>
              <w:rPr>
                <w:rFonts w:ascii="宋体" w:hAnsi="宋体"/>
                <w:b/>
                <w:color w:val="000000" w:themeColor="text1"/>
                <w:highlight w:val="none"/>
                <w14:textFill>
                  <w14:solidFill>
                    <w14:schemeClr w14:val="tx1"/>
                  </w14:solidFill>
                </w14:textFill>
              </w:rPr>
            </w:pPr>
          </w:p>
        </w:tc>
        <w:tc>
          <w:tcPr>
            <w:tcW w:w="709" w:type="dxa"/>
            <w:vMerge w:val="continue"/>
            <w:vAlign w:val="center"/>
          </w:tcPr>
          <w:p w14:paraId="0D555A8E">
            <w:pPr>
              <w:adjustRightInd w:val="0"/>
              <w:spacing w:line="360" w:lineRule="auto"/>
              <w:jc w:val="center"/>
              <w:textAlignment w:val="baseline"/>
              <w:rPr>
                <w:rFonts w:ascii="宋体" w:hAnsi="宋体"/>
                <w:b/>
                <w:color w:val="000000" w:themeColor="text1"/>
                <w:highlight w:val="none"/>
                <w14:textFill>
                  <w14:solidFill>
                    <w14:schemeClr w14:val="tx1"/>
                  </w14:solidFill>
                </w14:textFill>
              </w:rPr>
            </w:pPr>
          </w:p>
        </w:tc>
        <w:tc>
          <w:tcPr>
            <w:tcW w:w="2298" w:type="dxa"/>
            <w:vAlign w:val="center"/>
          </w:tcPr>
          <w:p w14:paraId="491BD063">
            <w:pPr>
              <w:spacing w:line="360" w:lineRule="auto"/>
              <w:jc w:val="center"/>
              <w:rPr>
                <w:rFonts w:hAnsi="宋体"/>
                <w:b/>
                <w:bCs/>
                <w:color w:val="000000" w:themeColor="text1"/>
                <w:highlight w:val="none"/>
                <w14:textFill>
                  <w14:solidFill>
                    <w14:schemeClr w14:val="tx1"/>
                  </w14:solidFill>
                </w14:textFill>
              </w:rPr>
            </w:pPr>
            <w:r>
              <w:rPr>
                <w:rFonts w:hint="eastAsia" w:ascii="宋体" w:hAnsi="宋体" w:cs="宋体"/>
                <w:b/>
                <w:bCs/>
                <w:color w:val="000000" w:themeColor="text1"/>
                <w:kern w:val="0"/>
                <w:highlight w:val="none"/>
                <w14:textFill>
                  <w14:solidFill>
                    <w14:schemeClr w14:val="tx1"/>
                  </w14:solidFill>
                </w14:textFill>
              </w:rPr>
              <w:t>确保工程质量的技术组织措施（满分</w:t>
            </w:r>
            <w:r>
              <w:rPr>
                <w:rFonts w:ascii="宋体" w:hAnsi="宋体" w:cs="宋体"/>
                <w:b/>
                <w:bCs/>
                <w:color w:val="000000" w:themeColor="text1"/>
                <w:kern w:val="0"/>
                <w:highlight w:val="none"/>
                <w14:textFill>
                  <w14:solidFill>
                    <w14:schemeClr w14:val="tx1"/>
                  </w14:solidFill>
                </w14:textFill>
              </w:rPr>
              <w:t>10</w:t>
            </w:r>
            <w:r>
              <w:rPr>
                <w:rFonts w:hint="eastAsia" w:ascii="宋体" w:hAnsi="宋体" w:cs="宋体"/>
                <w:b/>
                <w:bCs/>
                <w:color w:val="000000" w:themeColor="text1"/>
                <w:kern w:val="0"/>
                <w:highlight w:val="none"/>
                <w14:textFill>
                  <w14:solidFill>
                    <w14:schemeClr w14:val="tx1"/>
                  </w14:solidFill>
                </w14:textFill>
              </w:rPr>
              <w:t>分）</w:t>
            </w:r>
          </w:p>
        </w:tc>
        <w:tc>
          <w:tcPr>
            <w:tcW w:w="5350" w:type="dxa"/>
            <w:vAlign w:val="center"/>
          </w:tcPr>
          <w:p w14:paraId="4AA07FC6">
            <w:pPr>
              <w:pStyle w:val="29"/>
              <w:spacing w:line="420" w:lineRule="exact"/>
              <w:jc w:val="left"/>
              <w:rPr>
                <w:rFonts w:hAnsi="宋体"/>
                <w:color w:val="000000" w:themeColor="text1"/>
                <w:sz w:val="21"/>
                <w:highlight w:val="none"/>
                <w14:textFill>
                  <w14:solidFill>
                    <w14:schemeClr w14:val="tx1"/>
                  </w14:solidFill>
                </w14:textFill>
              </w:rPr>
            </w:pPr>
            <w:r>
              <w:rPr>
                <w:rFonts w:hint="eastAsia" w:ascii="宋体" w:hAnsi="宋体" w:eastAsia="宋体" w:cs="宋体"/>
                <w:color w:val="000000" w:themeColor="text1"/>
                <w:kern w:val="0"/>
                <w:sz w:val="21"/>
                <w:szCs w:val="20"/>
                <w:highlight w:val="none"/>
                <w:lang w:val="en-US" w:eastAsia="zh-CN" w:bidi="ar-SA"/>
                <w14:textFill>
                  <w14:solidFill>
                    <w14:schemeClr w14:val="tx1"/>
                  </w14:solidFill>
                </w14:textFill>
              </w:rPr>
              <w:t>磋商小组各成员在打分前根据供应商提供的确保工程质量的技术组织措施自行确定各供应商所属档次及分值，达</w:t>
            </w:r>
            <w:r>
              <w:rPr>
                <w:rFonts w:hint="eastAsia" w:hAnsi="宋体"/>
                <w:color w:val="000000" w:themeColor="text1"/>
                <w:sz w:val="21"/>
                <w:highlight w:val="none"/>
                <w14:textFill>
                  <w14:solidFill>
                    <w14:schemeClr w14:val="tx1"/>
                  </w14:solidFill>
                </w14:textFill>
              </w:rPr>
              <w:t>不到</w:t>
            </w:r>
            <w:r>
              <w:rPr>
                <w:rFonts w:hint="eastAsia" w:hAnsi="宋体"/>
                <w:color w:val="000000" w:themeColor="text1"/>
                <w:highlight w:val="none"/>
                <w14:textFill>
                  <w14:solidFill>
                    <w14:schemeClr w14:val="tx1"/>
                  </w14:solidFill>
                </w14:textFill>
              </w:rPr>
              <w:t>三</w:t>
            </w:r>
            <w:r>
              <w:rPr>
                <w:rFonts w:hint="eastAsia" w:hAnsi="宋体"/>
                <w:color w:val="000000" w:themeColor="text1"/>
                <w:sz w:val="21"/>
                <w:highlight w:val="none"/>
                <w14:textFill>
                  <w14:solidFill>
                    <w14:schemeClr w14:val="tx1"/>
                  </w14:solidFill>
                </w14:textFill>
              </w:rPr>
              <w:t>档要求的不得分。</w:t>
            </w:r>
          </w:p>
          <w:p w14:paraId="3265CD2A">
            <w:pPr>
              <w:pStyle w:val="29"/>
              <w:spacing w:line="420" w:lineRule="exact"/>
              <w:jc w:val="left"/>
              <w:rPr>
                <w:rFonts w:hAnsi="宋体"/>
                <w:color w:val="000000" w:themeColor="text1"/>
                <w:sz w:val="21"/>
                <w:highlight w:val="none"/>
                <w14:textFill>
                  <w14:solidFill>
                    <w14:schemeClr w14:val="tx1"/>
                  </w14:solidFill>
                </w14:textFill>
              </w:rPr>
            </w:pPr>
            <w:r>
              <w:rPr>
                <w:rFonts w:hint="eastAsia" w:hAnsi="宋体"/>
                <w:color w:val="000000" w:themeColor="text1"/>
                <w:sz w:val="21"/>
                <w:highlight w:val="none"/>
                <w14:textFill>
                  <w14:solidFill>
                    <w14:schemeClr w14:val="tx1"/>
                  </w14:solidFill>
                </w14:textFill>
              </w:rPr>
              <w:t>一档（</w:t>
            </w:r>
            <w:r>
              <w:rPr>
                <w:rFonts w:hAnsi="宋体"/>
                <w:color w:val="000000" w:themeColor="text1"/>
                <w:sz w:val="21"/>
                <w:highlight w:val="none"/>
                <w14:textFill>
                  <w14:solidFill>
                    <w14:schemeClr w14:val="tx1"/>
                  </w14:solidFill>
                </w14:textFill>
              </w:rPr>
              <w:t>10</w:t>
            </w:r>
            <w:r>
              <w:rPr>
                <w:rFonts w:hint="eastAsia" w:hAnsi="宋体"/>
                <w:color w:val="000000" w:themeColor="text1"/>
                <w:sz w:val="21"/>
                <w:highlight w:val="none"/>
                <w14:textFill>
                  <w14:solidFill>
                    <w14:schemeClr w14:val="tx1"/>
                  </w14:solidFill>
                </w14:textFill>
              </w:rPr>
              <w:t>分）：有专门的质量技术管理班子和制度，且人员配备合理，制度健全。主要工程质量技术保证措施和手段详细科学合理，自控体系完整，能有效保证技术质量，有具体的质量承诺。</w:t>
            </w:r>
          </w:p>
          <w:p w14:paraId="6DD2EFA2">
            <w:pPr>
              <w:pStyle w:val="29"/>
              <w:spacing w:line="420" w:lineRule="exact"/>
              <w:jc w:val="left"/>
              <w:rPr>
                <w:rFonts w:hAnsi="宋体"/>
                <w:color w:val="000000" w:themeColor="text1"/>
                <w:sz w:val="21"/>
                <w:highlight w:val="none"/>
                <w14:textFill>
                  <w14:solidFill>
                    <w14:schemeClr w14:val="tx1"/>
                  </w14:solidFill>
                </w14:textFill>
              </w:rPr>
            </w:pPr>
            <w:r>
              <w:rPr>
                <w:rFonts w:hint="eastAsia" w:hAnsi="宋体"/>
                <w:color w:val="000000" w:themeColor="text1"/>
                <w:sz w:val="21"/>
                <w:highlight w:val="none"/>
                <w14:textFill>
                  <w14:solidFill>
                    <w14:schemeClr w14:val="tx1"/>
                  </w14:solidFill>
                </w14:textFill>
              </w:rPr>
              <w:t>二档（</w:t>
            </w:r>
            <w:r>
              <w:rPr>
                <w:rFonts w:hAnsi="宋体"/>
                <w:color w:val="000000" w:themeColor="text1"/>
                <w:sz w:val="21"/>
                <w:highlight w:val="none"/>
                <w14:textFill>
                  <w14:solidFill>
                    <w14:schemeClr w14:val="tx1"/>
                  </w14:solidFill>
                </w14:textFill>
              </w:rPr>
              <w:t>5</w:t>
            </w:r>
            <w:r>
              <w:rPr>
                <w:rFonts w:hint="eastAsia" w:hAnsi="宋体"/>
                <w:color w:val="000000" w:themeColor="text1"/>
                <w:sz w:val="21"/>
                <w:highlight w:val="none"/>
                <w14:textFill>
                  <w14:solidFill>
                    <w14:schemeClr w14:val="tx1"/>
                  </w14:solidFill>
                </w14:textFill>
              </w:rPr>
              <w:t>分）：质量技术管理班子人员配备基本合理，制度基本健全。有主要工序有质量技术保证措施和手段，保证技术质量，有质量承诺。</w:t>
            </w:r>
          </w:p>
          <w:p w14:paraId="53260E36">
            <w:pPr>
              <w:spacing w:line="360" w:lineRule="auto"/>
              <w:jc w:val="left"/>
              <w:rPr>
                <w:rFonts w:ascii="宋体" w:hAnsi="宋体"/>
                <w:bCs/>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三档（</w:t>
            </w:r>
            <w:r>
              <w:rPr>
                <w:rFonts w:hAnsi="宋体"/>
                <w:color w:val="000000" w:themeColor="text1"/>
                <w:highlight w:val="none"/>
                <w14:textFill>
                  <w14:solidFill>
                    <w14:schemeClr w14:val="tx1"/>
                  </w14:solidFill>
                </w14:textFill>
              </w:rPr>
              <w:t>2</w:t>
            </w:r>
            <w:r>
              <w:rPr>
                <w:rFonts w:hint="eastAsia" w:hAnsi="宋体"/>
                <w:color w:val="000000" w:themeColor="text1"/>
                <w:highlight w:val="none"/>
                <w14:textFill>
                  <w14:solidFill>
                    <w14:schemeClr w14:val="tx1"/>
                  </w14:solidFill>
                </w14:textFill>
              </w:rPr>
              <w:t>分）：质量技术管理班子人员配备不合理，制度不健全。质量技术保证措施和手段不可行，没有质量违约责任承诺。</w:t>
            </w:r>
          </w:p>
        </w:tc>
      </w:tr>
      <w:tr w14:paraId="46B60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562" w:type="dxa"/>
            <w:vMerge w:val="continue"/>
            <w:vAlign w:val="center"/>
          </w:tcPr>
          <w:p w14:paraId="57DBD81E">
            <w:pPr>
              <w:adjustRightInd w:val="0"/>
              <w:spacing w:line="360" w:lineRule="auto"/>
              <w:jc w:val="center"/>
              <w:textAlignment w:val="baseline"/>
              <w:rPr>
                <w:rFonts w:ascii="宋体" w:hAnsi="宋体"/>
                <w:b/>
                <w:color w:val="000000" w:themeColor="text1"/>
                <w:highlight w:val="none"/>
                <w14:textFill>
                  <w14:solidFill>
                    <w14:schemeClr w14:val="tx1"/>
                  </w14:solidFill>
                </w14:textFill>
              </w:rPr>
            </w:pPr>
          </w:p>
        </w:tc>
        <w:tc>
          <w:tcPr>
            <w:tcW w:w="709" w:type="dxa"/>
            <w:vMerge w:val="continue"/>
            <w:vAlign w:val="center"/>
          </w:tcPr>
          <w:p w14:paraId="2D8E016E">
            <w:pPr>
              <w:adjustRightInd w:val="0"/>
              <w:spacing w:line="360" w:lineRule="auto"/>
              <w:jc w:val="center"/>
              <w:textAlignment w:val="baseline"/>
              <w:rPr>
                <w:rFonts w:ascii="宋体" w:hAnsi="宋体"/>
                <w:b/>
                <w:color w:val="000000" w:themeColor="text1"/>
                <w:highlight w:val="none"/>
                <w14:textFill>
                  <w14:solidFill>
                    <w14:schemeClr w14:val="tx1"/>
                  </w14:solidFill>
                </w14:textFill>
              </w:rPr>
            </w:pPr>
          </w:p>
        </w:tc>
        <w:tc>
          <w:tcPr>
            <w:tcW w:w="709" w:type="dxa"/>
            <w:vMerge w:val="continue"/>
            <w:vAlign w:val="center"/>
          </w:tcPr>
          <w:p w14:paraId="4BC4CA2A">
            <w:pPr>
              <w:adjustRightInd w:val="0"/>
              <w:spacing w:line="360" w:lineRule="auto"/>
              <w:jc w:val="center"/>
              <w:textAlignment w:val="baseline"/>
              <w:rPr>
                <w:rFonts w:ascii="宋体" w:hAnsi="宋体"/>
                <w:b/>
                <w:color w:val="000000" w:themeColor="text1"/>
                <w:highlight w:val="none"/>
                <w14:textFill>
                  <w14:solidFill>
                    <w14:schemeClr w14:val="tx1"/>
                  </w14:solidFill>
                </w14:textFill>
              </w:rPr>
            </w:pPr>
          </w:p>
        </w:tc>
        <w:tc>
          <w:tcPr>
            <w:tcW w:w="2298" w:type="dxa"/>
            <w:vAlign w:val="center"/>
          </w:tcPr>
          <w:p w14:paraId="46F85048">
            <w:pPr>
              <w:spacing w:line="360" w:lineRule="auto"/>
              <w:jc w:val="center"/>
              <w:rPr>
                <w:rFonts w:hAnsi="宋体"/>
                <w:b/>
                <w:bCs/>
                <w:color w:val="000000" w:themeColor="text1"/>
                <w:highlight w:val="none"/>
                <w14:textFill>
                  <w14:solidFill>
                    <w14:schemeClr w14:val="tx1"/>
                  </w14:solidFill>
                </w14:textFill>
              </w:rPr>
            </w:pPr>
            <w:r>
              <w:rPr>
                <w:rFonts w:hint="eastAsia" w:ascii="宋体" w:hAnsi="宋体" w:cs="宋体"/>
                <w:b/>
                <w:bCs/>
                <w:color w:val="000000" w:themeColor="text1"/>
                <w:kern w:val="0"/>
                <w:highlight w:val="none"/>
                <w14:textFill>
                  <w14:solidFill>
                    <w14:schemeClr w14:val="tx1"/>
                  </w14:solidFill>
                </w14:textFill>
              </w:rPr>
              <w:t>确保安全生产的技术组织措施（满分</w:t>
            </w:r>
            <w:r>
              <w:rPr>
                <w:rFonts w:ascii="宋体" w:hAnsi="宋体" w:cs="宋体"/>
                <w:b/>
                <w:bCs/>
                <w:color w:val="000000" w:themeColor="text1"/>
                <w:kern w:val="0"/>
                <w:highlight w:val="none"/>
                <w14:textFill>
                  <w14:solidFill>
                    <w14:schemeClr w14:val="tx1"/>
                  </w14:solidFill>
                </w14:textFill>
              </w:rPr>
              <w:t>9</w:t>
            </w:r>
            <w:r>
              <w:rPr>
                <w:rFonts w:hint="eastAsia" w:ascii="宋体" w:hAnsi="宋体" w:cs="宋体"/>
                <w:b/>
                <w:bCs/>
                <w:color w:val="000000" w:themeColor="text1"/>
                <w:kern w:val="0"/>
                <w:highlight w:val="none"/>
                <w14:textFill>
                  <w14:solidFill>
                    <w14:schemeClr w14:val="tx1"/>
                  </w14:solidFill>
                </w14:textFill>
              </w:rPr>
              <w:t>分）</w:t>
            </w:r>
          </w:p>
        </w:tc>
        <w:tc>
          <w:tcPr>
            <w:tcW w:w="5350" w:type="dxa"/>
            <w:vAlign w:val="center"/>
          </w:tcPr>
          <w:p w14:paraId="4CB076BC">
            <w:pPr>
              <w:pStyle w:val="29"/>
              <w:spacing w:line="420" w:lineRule="exact"/>
              <w:jc w:val="left"/>
              <w:rPr>
                <w:rFonts w:hAnsi="宋体"/>
                <w:color w:val="000000" w:themeColor="text1"/>
                <w:sz w:val="21"/>
                <w:highlight w:val="none"/>
                <w14:textFill>
                  <w14:solidFill>
                    <w14:schemeClr w14:val="tx1"/>
                  </w14:solidFill>
                </w14:textFill>
              </w:rPr>
            </w:pPr>
            <w:r>
              <w:rPr>
                <w:rFonts w:hint="eastAsia" w:ascii="宋体" w:hAnsi="宋体" w:eastAsia="宋体" w:cs="宋体"/>
                <w:color w:val="000000" w:themeColor="text1"/>
                <w:kern w:val="0"/>
                <w:sz w:val="21"/>
                <w:szCs w:val="20"/>
                <w:highlight w:val="none"/>
                <w:lang w:val="en-US" w:eastAsia="zh-CN" w:bidi="ar-SA"/>
                <w14:textFill>
                  <w14:solidFill>
                    <w14:schemeClr w14:val="tx1"/>
                  </w14:solidFill>
                </w14:textFill>
              </w:rPr>
              <w:t>磋商小组各成员在打分前根据供应商提供的确保安全生产的技术组织措施自行确定各供应商所属档次及分值，达不</w:t>
            </w:r>
            <w:r>
              <w:rPr>
                <w:rFonts w:hint="eastAsia" w:hAnsi="宋体"/>
                <w:color w:val="000000" w:themeColor="text1"/>
                <w:sz w:val="21"/>
                <w:highlight w:val="none"/>
                <w14:textFill>
                  <w14:solidFill>
                    <w14:schemeClr w14:val="tx1"/>
                  </w14:solidFill>
                </w14:textFill>
              </w:rPr>
              <w:t>到</w:t>
            </w:r>
            <w:r>
              <w:rPr>
                <w:rFonts w:hint="eastAsia" w:hAnsi="宋体"/>
                <w:color w:val="000000" w:themeColor="text1"/>
                <w:highlight w:val="none"/>
                <w14:textFill>
                  <w14:solidFill>
                    <w14:schemeClr w14:val="tx1"/>
                  </w14:solidFill>
                </w14:textFill>
              </w:rPr>
              <w:t>三</w:t>
            </w:r>
            <w:r>
              <w:rPr>
                <w:rFonts w:hint="eastAsia" w:hAnsi="宋体"/>
                <w:color w:val="000000" w:themeColor="text1"/>
                <w:sz w:val="21"/>
                <w:highlight w:val="none"/>
                <w14:textFill>
                  <w14:solidFill>
                    <w14:schemeClr w14:val="tx1"/>
                  </w14:solidFill>
                </w14:textFill>
              </w:rPr>
              <w:t>档要求的不得分。</w:t>
            </w:r>
          </w:p>
          <w:p w14:paraId="29C08178">
            <w:pPr>
              <w:pStyle w:val="29"/>
              <w:spacing w:line="420" w:lineRule="exact"/>
              <w:jc w:val="left"/>
              <w:rPr>
                <w:rFonts w:hAnsi="宋体"/>
                <w:color w:val="000000" w:themeColor="text1"/>
                <w:sz w:val="21"/>
                <w:highlight w:val="none"/>
                <w14:textFill>
                  <w14:solidFill>
                    <w14:schemeClr w14:val="tx1"/>
                  </w14:solidFill>
                </w14:textFill>
              </w:rPr>
            </w:pPr>
            <w:r>
              <w:rPr>
                <w:rFonts w:hint="eastAsia" w:hAnsi="宋体"/>
                <w:color w:val="000000" w:themeColor="text1"/>
                <w:sz w:val="21"/>
                <w:highlight w:val="none"/>
                <w14:textFill>
                  <w14:solidFill>
                    <w14:schemeClr w14:val="tx1"/>
                  </w14:solidFill>
                </w14:textFill>
              </w:rPr>
              <w:t>一档（</w:t>
            </w:r>
            <w:r>
              <w:rPr>
                <w:rFonts w:hAnsi="宋体"/>
                <w:color w:val="000000" w:themeColor="text1"/>
                <w:sz w:val="21"/>
                <w:highlight w:val="none"/>
                <w14:textFill>
                  <w14:solidFill>
                    <w14:schemeClr w14:val="tx1"/>
                  </w14:solidFill>
                </w14:textFill>
              </w:rPr>
              <w:t>9</w:t>
            </w:r>
            <w:r>
              <w:rPr>
                <w:rFonts w:hint="eastAsia" w:hAnsi="宋体"/>
                <w:color w:val="000000" w:themeColor="text1"/>
                <w:sz w:val="21"/>
                <w:highlight w:val="none"/>
                <w14:textFill>
                  <w14:solidFill>
                    <w14:schemeClr w14:val="tx1"/>
                  </w14:solidFill>
                </w14:textFill>
              </w:rPr>
              <w:t>分）：有专门的安全管理人员和制度且人员配备合理，制度健全，各道工序安全技术措施针对性强，确保工程质量的技术组织措施符合实际且满足有关安全技术标准要求。现场防火、应急救援、社会治安安全措施得力。</w:t>
            </w:r>
          </w:p>
          <w:p w14:paraId="5E0FDC1F">
            <w:pPr>
              <w:pStyle w:val="29"/>
              <w:spacing w:line="420" w:lineRule="exact"/>
              <w:jc w:val="left"/>
              <w:rPr>
                <w:rFonts w:hAnsi="宋体"/>
                <w:color w:val="000000" w:themeColor="text1"/>
                <w:sz w:val="21"/>
                <w:highlight w:val="none"/>
                <w14:textFill>
                  <w14:solidFill>
                    <w14:schemeClr w14:val="tx1"/>
                  </w14:solidFill>
                </w14:textFill>
              </w:rPr>
            </w:pPr>
            <w:r>
              <w:rPr>
                <w:rFonts w:hint="eastAsia" w:hAnsi="宋体"/>
                <w:color w:val="000000" w:themeColor="text1"/>
                <w:sz w:val="21"/>
                <w:highlight w:val="none"/>
                <w14:textFill>
                  <w14:solidFill>
                    <w14:schemeClr w14:val="tx1"/>
                  </w14:solidFill>
                </w14:textFill>
              </w:rPr>
              <w:t>二档（</w:t>
            </w:r>
            <w:r>
              <w:rPr>
                <w:rFonts w:hAnsi="宋体"/>
                <w:color w:val="000000" w:themeColor="text1"/>
                <w:sz w:val="21"/>
                <w:highlight w:val="none"/>
                <w14:textFill>
                  <w14:solidFill>
                    <w14:schemeClr w14:val="tx1"/>
                  </w14:solidFill>
                </w14:textFill>
              </w:rPr>
              <w:t>5</w:t>
            </w:r>
            <w:r>
              <w:rPr>
                <w:rFonts w:hint="eastAsia" w:hAnsi="宋体"/>
                <w:color w:val="000000" w:themeColor="text1"/>
                <w:sz w:val="21"/>
                <w:highlight w:val="none"/>
                <w14:textFill>
                  <w14:solidFill>
                    <w14:schemeClr w14:val="tx1"/>
                  </w14:solidFill>
                </w14:textFill>
              </w:rPr>
              <w:t>分）：有专门的安全管理人员和制度，安全人员配备基本合理，制度基本健全，各道工序安全技术措施基本符合实际且基本满足有关安全技术标准要求。现场防火应急救援、社会治安安全措施简单。</w:t>
            </w:r>
          </w:p>
          <w:p w14:paraId="6C669697">
            <w:pPr>
              <w:spacing w:line="360" w:lineRule="auto"/>
              <w:jc w:val="left"/>
              <w:rPr>
                <w:rFonts w:ascii="宋体" w:hAnsi="宋体"/>
                <w:bCs/>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三档（</w:t>
            </w:r>
            <w:r>
              <w:rPr>
                <w:rFonts w:hAnsi="宋体"/>
                <w:color w:val="000000" w:themeColor="text1"/>
                <w:highlight w:val="none"/>
                <w14:textFill>
                  <w14:solidFill>
                    <w14:schemeClr w14:val="tx1"/>
                  </w14:solidFill>
                </w14:textFill>
              </w:rPr>
              <w:t>2</w:t>
            </w:r>
            <w:r>
              <w:rPr>
                <w:rFonts w:hint="eastAsia" w:hAnsi="宋体"/>
                <w:color w:val="000000" w:themeColor="text1"/>
                <w:highlight w:val="none"/>
                <w14:textFill>
                  <w14:solidFill>
                    <w14:schemeClr w14:val="tx1"/>
                  </w14:solidFill>
                </w14:textFill>
              </w:rPr>
              <w:t>分）：有专门的安全管理人员和制度，人员配备不合理，制度不健全，各道工序安全技术措施无针对性，不满足有关安全技术标准要求。现场防火、应急救援、社会治安安全措施不得力。</w:t>
            </w:r>
          </w:p>
        </w:tc>
      </w:tr>
      <w:tr w14:paraId="65728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562" w:type="dxa"/>
            <w:vMerge w:val="continue"/>
            <w:vAlign w:val="center"/>
          </w:tcPr>
          <w:p w14:paraId="1F115926">
            <w:pPr>
              <w:adjustRightInd w:val="0"/>
              <w:spacing w:line="360" w:lineRule="auto"/>
              <w:jc w:val="center"/>
              <w:textAlignment w:val="baseline"/>
              <w:rPr>
                <w:rFonts w:ascii="宋体" w:hAnsi="宋体"/>
                <w:b/>
                <w:color w:val="000000" w:themeColor="text1"/>
                <w:highlight w:val="none"/>
                <w14:textFill>
                  <w14:solidFill>
                    <w14:schemeClr w14:val="tx1"/>
                  </w14:solidFill>
                </w14:textFill>
              </w:rPr>
            </w:pPr>
          </w:p>
        </w:tc>
        <w:tc>
          <w:tcPr>
            <w:tcW w:w="709" w:type="dxa"/>
            <w:vMerge w:val="continue"/>
            <w:vAlign w:val="center"/>
          </w:tcPr>
          <w:p w14:paraId="6805856F">
            <w:pPr>
              <w:adjustRightInd w:val="0"/>
              <w:spacing w:line="360" w:lineRule="auto"/>
              <w:jc w:val="center"/>
              <w:textAlignment w:val="baseline"/>
              <w:rPr>
                <w:rFonts w:ascii="宋体" w:hAnsi="宋体"/>
                <w:b/>
                <w:color w:val="000000" w:themeColor="text1"/>
                <w:highlight w:val="none"/>
                <w14:textFill>
                  <w14:solidFill>
                    <w14:schemeClr w14:val="tx1"/>
                  </w14:solidFill>
                </w14:textFill>
              </w:rPr>
            </w:pPr>
          </w:p>
        </w:tc>
        <w:tc>
          <w:tcPr>
            <w:tcW w:w="709" w:type="dxa"/>
            <w:vMerge w:val="continue"/>
            <w:vAlign w:val="center"/>
          </w:tcPr>
          <w:p w14:paraId="4D472011">
            <w:pPr>
              <w:adjustRightInd w:val="0"/>
              <w:spacing w:line="360" w:lineRule="auto"/>
              <w:jc w:val="center"/>
              <w:textAlignment w:val="baseline"/>
              <w:rPr>
                <w:rFonts w:ascii="宋体" w:hAnsi="宋体"/>
                <w:b/>
                <w:color w:val="000000" w:themeColor="text1"/>
                <w:highlight w:val="none"/>
                <w14:textFill>
                  <w14:solidFill>
                    <w14:schemeClr w14:val="tx1"/>
                  </w14:solidFill>
                </w14:textFill>
              </w:rPr>
            </w:pPr>
          </w:p>
        </w:tc>
        <w:tc>
          <w:tcPr>
            <w:tcW w:w="2298" w:type="dxa"/>
            <w:vAlign w:val="center"/>
          </w:tcPr>
          <w:p w14:paraId="602206EF">
            <w:pPr>
              <w:spacing w:line="360" w:lineRule="auto"/>
              <w:jc w:val="center"/>
              <w:rPr>
                <w:rFonts w:hAnsi="宋体"/>
                <w:b/>
                <w:bCs/>
                <w:color w:val="000000" w:themeColor="text1"/>
                <w:highlight w:val="none"/>
                <w14:textFill>
                  <w14:solidFill>
                    <w14:schemeClr w14:val="tx1"/>
                  </w14:solidFill>
                </w14:textFill>
              </w:rPr>
            </w:pPr>
            <w:r>
              <w:rPr>
                <w:rFonts w:hint="eastAsia" w:ascii="宋体" w:hAnsi="宋体" w:cs="宋体"/>
                <w:b/>
                <w:bCs/>
                <w:color w:val="000000" w:themeColor="text1"/>
                <w:kern w:val="0"/>
                <w:highlight w:val="none"/>
                <w14:textFill>
                  <w14:solidFill>
                    <w14:schemeClr w14:val="tx1"/>
                  </w14:solidFill>
                </w14:textFill>
              </w:rPr>
              <w:t>确保工期的技术组织措施（满分</w:t>
            </w:r>
            <w:r>
              <w:rPr>
                <w:rFonts w:ascii="宋体" w:hAnsi="宋体" w:cs="宋体"/>
                <w:b/>
                <w:bCs/>
                <w:color w:val="000000" w:themeColor="text1"/>
                <w:kern w:val="0"/>
                <w:highlight w:val="none"/>
                <w14:textFill>
                  <w14:solidFill>
                    <w14:schemeClr w14:val="tx1"/>
                  </w14:solidFill>
                </w14:textFill>
              </w:rPr>
              <w:t>9</w:t>
            </w:r>
            <w:r>
              <w:rPr>
                <w:rFonts w:hint="eastAsia" w:ascii="宋体" w:hAnsi="宋体" w:cs="宋体"/>
                <w:b/>
                <w:bCs/>
                <w:color w:val="000000" w:themeColor="text1"/>
                <w:kern w:val="0"/>
                <w:highlight w:val="none"/>
                <w14:textFill>
                  <w14:solidFill>
                    <w14:schemeClr w14:val="tx1"/>
                  </w14:solidFill>
                </w14:textFill>
              </w:rPr>
              <w:t>分）</w:t>
            </w:r>
          </w:p>
        </w:tc>
        <w:tc>
          <w:tcPr>
            <w:tcW w:w="5350" w:type="dxa"/>
            <w:vAlign w:val="center"/>
          </w:tcPr>
          <w:p w14:paraId="23C8A94B">
            <w:pPr>
              <w:pStyle w:val="29"/>
              <w:spacing w:line="420" w:lineRule="exact"/>
              <w:jc w:val="left"/>
              <w:rPr>
                <w:rFonts w:hAnsi="宋体"/>
                <w:color w:val="000000" w:themeColor="text1"/>
                <w:sz w:val="21"/>
                <w:highlight w:val="none"/>
                <w14:textFill>
                  <w14:solidFill>
                    <w14:schemeClr w14:val="tx1"/>
                  </w14:solidFill>
                </w14:textFill>
              </w:rPr>
            </w:pPr>
            <w:r>
              <w:rPr>
                <w:rFonts w:hint="eastAsia" w:ascii="宋体" w:hAnsi="宋体" w:eastAsia="宋体" w:cs="宋体"/>
                <w:color w:val="000000" w:themeColor="text1"/>
                <w:kern w:val="0"/>
                <w:sz w:val="21"/>
                <w:szCs w:val="20"/>
                <w:highlight w:val="none"/>
                <w:lang w:val="en-US" w:eastAsia="zh-CN" w:bidi="ar-SA"/>
                <w14:textFill>
                  <w14:solidFill>
                    <w14:schemeClr w14:val="tx1"/>
                  </w14:solidFill>
                </w14:textFill>
              </w:rPr>
              <w:t>磋商小组各成员在打分前根据供应商提供的确保工期的技术组织措施自行确定各供应商所属档次及分值，达不</w:t>
            </w:r>
            <w:r>
              <w:rPr>
                <w:rFonts w:hint="eastAsia" w:hAnsi="宋体"/>
                <w:color w:val="000000" w:themeColor="text1"/>
                <w:sz w:val="21"/>
                <w:highlight w:val="none"/>
                <w14:textFill>
                  <w14:solidFill>
                    <w14:schemeClr w14:val="tx1"/>
                  </w14:solidFill>
                </w14:textFill>
              </w:rPr>
              <w:t>到</w:t>
            </w:r>
            <w:r>
              <w:rPr>
                <w:rFonts w:hint="eastAsia" w:hAnsi="宋体"/>
                <w:color w:val="000000" w:themeColor="text1"/>
                <w:highlight w:val="none"/>
                <w14:textFill>
                  <w14:solidFill>
                    <w14:schemeClr w14:val="tx1"/>
                  </w14:solidFill>
                </w14:textFill>
              </w:rPr>
              <w:t>三</w:t>
            </w:r>
            <w:r>
              <w:rPr>
                <w:rFonts w:hint="eastAsia" w:hAnsi="宋体"/>
                <w:color w:val="000000" w:themeColor="text1"/>
                <w:sz w:val="21"/>
                <w:highlight w:val="none"/>
                <w14:textFill>
                  <w14:solidFill>
                    <w14:schemeClr w14:val="tx1"/>
                  </w14:solidFill>
                </w14:textFill>
              </w:rPr>
              <w:t>档要求的不得分。</w:t>
            </w:r>
          </w:p>
          <w:p w14:paraId="6FA224E1">
            <w:pPr>
              <w:pStyle w:val="29"/>
              <w:spacing w:line="420" w:lineRule="exact"/>
              <w:jc w:val="left"/>
              <w:rPr>
                <w:rFonts w:hAnsi="宋体"/>
                <w:color w:val="000000" w:themeColor="text1"/>
                <w:sz w:val="21"/>
                <w:highlight w:val="none"/>
                <w14:textFill>
                  <w14:solidFill>
                    <w14:schemeClr w14:val="tx1"/>
                  </w14:solidFill>
                </w14:textFill>
              </w:rPr>
            </w:pPr>
            <w:r>
              <w:rPr>
                <w:rFonts w:hint="eastAsia" w:hAnsi="宋体"/>
                <w:color w:val="000000" w:themeColor="text1"/>
                <w:sz w:val="21"/>
                <w:highlight w:val="none"/>
                <w14:textFill>
                  <w14:solidFill>
                    <w14:schemeClr w14:val="tx1"/>
                  </w14:solidFill>
                </w14:textFill>
              </w:rPr>
              <w:t>一档（</w:t>
            </w:r>
            <w:r>
              <w:rPr>
                <w:rFonts w:hAnsi="宋体"/>
                <w:color w:val="000000" w:themeColor="text1"/>
                <w:sz w:val="21"/>
                <w:highlight w:val="none"/>
                <w14:textFill>
                  <w14:solidFill>
                    <w14:schemeClr w14:val="tx1"/>
                  </w14:solidFill>
                </w14:textFill>
              </w:rPr>
              <w:t>9</w:t>
            </w:r>
            <w:r>
              <w:rPr>
                <w:rFonts w:hint="eastAsia" w:hAnsi="宋体"/>
                <w:color w:val="000000" w:themeColor="text1"/>
                <w:sz w:val="21"/>
                <w:highlight w:val="none"/>
                <w14:textFill>
                  <w14:solidFill>
                    <w14:schemeClr w14:val="tx1"/>
                  </w14:solidFill>
                </w14:textFill>
              </w:rPr>
              <w:t>分）：在施工工艺、施工方法、材料选用、劳动力安排、技术等方面有保证工期的具体措施且措施得当。有控制工期的施工进度计划。有施工总进度表或施工网络图，各项计划图表编制完善，安排科学合理，符合本项目施工实际要求。</w:t>
            </w:r>
          </w:p>
          <w:p w14:paraId="75D91B0A">
            <w:pPr>
              <w:pStyle w:val="29"/>
              <w:spacing w:line="420" w:lineRule="exact"/>
              <w:jc w:val="left"/>
              <w:rPr>
                <w:rFonts w:hAnsi="宋体"/>
                <w:color w:val="000000" w:themeColor="text1"/>
                <w:sz w:val="21"/>
                <w:highlight w:val="none"/>
                <w14:textFill>
                  <w14:solidFill>
                    <w14:schemeClr w14:val="tx1"/>
                  </w14:solidFill>
                </w14:textFill>
              </w:rPr>
            </w:pPr>
            <w:r>
              <w:rPr>
                <w:rFonts w:hint="eastAsia" w:hAnsi="宋体"/>
                <w:color w:val="000000" w:themeColor="text1"/>
                <w:sz w:val="21"/>
                <w:highlight w:val="none"/>
                <w14:textFill>
                  <w14:solidFill>
                    <w14:schemeClr w14:val="tx1"/>
                  </w14:solidFill>
                </w14:textFill>
              </w:rPr>
              <w:t>二档（</w:t>
            </w:r>
            <w:r>
              <w:rPr>
                <w:rFonts w:hAnsi="宋体"/>
                <w:color w:val="000000" w:themeColor="text1"/>
                <w:sz w:val="21"/>
                <w:highlight w:val="none"/>
                <w14:textFill>
                  <w14:solidFill>
                    <w14:schemeClr w14:val="tx1"/>
                  </w14:solidFill>
                </w14:textFill>
              </w:rPr>
              <w:t>5</w:t>
            </w:r>
            <w:r>
              <w:rPr>
                <w:rFonts w:hint="eastAsia" w:hAnsi="宋体"/>
                <w:color w:val="000000" w:themeColor="text1"/>
                <w:sz w:val="21"/>
                <w:highlight w:val="none"/>
                <w14:textFill>
                  <w14:solidFill>
                    <w14:schemeClr w14:val="tx1"/>
                  </w14:solidFill>
                </w14:textFill>
              </w:rPr>
              <w:t>分）：在施工工艺、施工方法、材料选用、劳动力安排技术等方面有保证工期的措施。有施工总进度表或施工网络图，各项计划图表编制简单，基本符合本项目施工实际要求。</w:t>
            </w:r>
          </w:p>
          <w:p w14:paraId="4FB30108">
            <w:pPr>
              <w:spacing w:line="360" w:lineRule="auto"/>
              <w:jc w:val="left"/>
              <w:rPr>
                <w:rFonts w:ascii="宋体" w:hAnsi="宋体"/>
                <w:bCs/>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三档（</w:t>
            </w:r>
            <w:r>
              <w:rPr>
                <w:rFonts w:hAnsi="宋体"/>
                <w:color w:val="000000" w:themeColor="text1"/>
                <w:highlight w:val="none"/>
                <w14:textFill>
                  <w14:solidFill>
                    <w14:schemeClr w14:val="tx1"/>
                  </w14:solidFill>
                </w14:textFill>
              </w:rPr>
              <w:t>2</w:t>
            </w:r>
            <w:r>
              <w:rPr>
                <w:rFonts w:hint="eastAsia" w:hAnsi="宋体"/>
                <w:color w:val="000000" w:themeColor="text1"/>
                <w:highlight w:val="none"/>
                <w14:textFill>
                  <w14:solidFill>
                    <w14:schemeClr w14:val="tx1"/>
                  </w14:solidFill>
                </w14:textFill>
              </w:rPr>
              <w:t>分）：在施工工艺、施工方法、材料选用劳动力安排、技术等方面有保证工期的措施但描述简单。无控制工期的施工进度计划。无施工总进度表或施工网络图，不符合本项目施工实际要求。</w:t>
            </w:r>
          </w:p>
        </w:tc>
      </w:tr>
      <w:tr w14:paraId="4EB6F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562" w:type="dxa"/>
            <w:vMerge w:val="continue"/>
            <w:vAlign w:val="center"/>
          </w:tcPr>
          <w:p w14:paraId="69A4FE19">
            <w:pPr>
              <w:adjustRightInd w:val="0"/>
              <w:spacing w:line="360" w:lineRule="auto"/>
              <w:jc w:val="center"/>
              <w:textAlignment w:val="baseline"/>
              <w:rPr>
                <w:rFonts w:ascii="宋体" w:hAnsi="宋体"/>
                <w:b/>
                <w:color w:val="000000" w:themeColor="text1"/>
                <w:highlight w:val="none"/>
                <w14:textFill>
                  <w14:solidFill>
                    <w14:schemeClr w14:val="tx1"/>
                  </w14:solidFill>
                </w14:textFill>
              </w:rPr>
            </w:pPr>
          </w:p>
        </w:tc>
        <w:tc>
          <w:tcPr>
            <w:tcW w:w="709" w:type="dxa"/>
            <w:vMerge w:val="continue"/>
            <w:vAlign w:val="center"/>
          </w:tcPr>
          <w:p w14:paraId="4227CBE2">
            <w:pPr>
              <w:adjustRightInd w:val="0"/>
              <w:spacing w:line="360" w:lineRule="auto"/>
              <w:jc w:val="center"/>
              <w:textAlignment w:val="baseline"/>
              <w:rPr>
                <w:rFonts w:ascii="宋体" w:hAnsi="宋体"/>
                <w:b/>
                <w:color w:val="000000" w:themeColor="text1"/>
                <w:highlight w:val="none"/>
                <w14:textFill>
                  <w14:solidFill>
                    <w14:schemeClr w14:val="tx1"/>
                  </w14:solidFill>
                </w14:textFill>
              </w:rPr>
            </w:pPr>
          </w:p>
        </w:tc>
        <w:tc>
          <w:tcPr>
            <w:tcW w:w="709" w:type="dxa"/>
            <w:vMerge w:val="continue"/>
            <w:vAlign w:val="center"/>
          </w:tcPr>
          <w:p w14:paraId="63976031">
            <w:pPr>
              <w:adjustRightInd w:val="0"/>
              <w:spacing w:line="360" w:lineRule="auto"/>
              <w:jc w:val="center"/>
              <w:textAlignment w:val="baseline"/>
              <w:rPr>
                <w:rFonts w:ascii="宋体" w:hAnsi="宋体"/>
                <w:b/>
                <w:color w:val="000000" w:themeColor="text1"/>
                <w:highlight w:val="none"/>
                <w14:textFill>
                  <w14:solidFill>
                    <w14:schemeClr w14:val="tx1"/>
                  </w14:solidFill>
                </w14:textFill>
              </w:rPr>
            </w:pPr>
          </w:p>
        </w:tc>
        <w:tc>
          <w:tcPr>
            <w:tcW w:w="2298" w:type="dxa"/>
            <w:vAlign w:val="center"/>
          </w:tcPr>
          <w:p w14:paraId="74BDB127">
            <w:pPr>
              <w:spacing w:line="360" w:lineRule="auto"/>
              <w:jc w:val="center"/>
              <w:rPr>
                <w:rFonts w:hAnsi="宋体"/>
                <w:b/>
                <w:bCs/>
                <w:color w:val="000000" w:themeColor="text1"/>
                <w:highlight w:val="none"/>
                <w14:textFill>
                  <w14:solidFill>
                    <w14:schemeClr w14:val="tx1"/>
                  </w14:solidFill>
                </w14:textFill>
              </w:rPr>
            </w:pPr>
            <w:r>
              <w:rPr>
                <w:rFonts w:hint="eastAsia" w:ascii="宋体" w:hAnsi="宋体" w:cs="宋体"/>
                <w:b/>
                <w:bCs/>
                <w:color w:val="000000" w:themeColor="text1"/>
                <w:kern w:val="0"/>
                <w:highlight w:val="none"/>
                <w14:textFill>
                  <w14:solidFill>
                    <w14:schemeClr w14:val="tx1"/>
                  </w14:solidFill>
                </w14:textFill>
              </w:rPr>
              <w:t>工程施工的重点和难点及保证措施（满分</w:t>
            </w:r>
            <w:r>
              <w:rPr>
                <w:rFonts w:ascii="宋体" w:hAnsi="宋体" w:cs="宋体"/>
                <w:b/>
                <w:bCs/>
                <w:color w:val="000000" w:themeColor="text1"/>
                <w:kern w:val="0"/>
                <w:highlight w:val="none"/>
                <w14:textFill>
                  <w14:solidFill>
                    <w14:schemeClr w14:val="tx1"/>
                  </w14:solidFill>
                </w14:textFill>
              </w:rPr>
              <w:t>9</w:t>
            </w:r>
            <w:r>
              <w:rPr>
                <w:rFonts w:hint="eastAsia" w:ascii="宋体" w:hAnsi="宋体" w:cs="宋体"/>
                <w:b/>
                <w:bCs/>
                <w:color w:val="000000" w:themeColor="text1"/>
                <w:kern w:val="0"/>
                <w:highlight w:val="none"/>
                <w14:textFill>
                  <w14:solidFill>
                    <w14:schemeClr w14:val="tx1"/>
                  </w14:solidFill>
                </w14:textFill>
              </w:rPr>
              <w:t>分）</w:t>
            </w:r>
          </w:p>
        </w:tc>
        <w:tc>
          <w:tcPr>
            <w:tcW w:w="5350" w:type="dxa"/>
            <w:vAlign w:val="center"/>
          </w:tcPr>
          <w:p w14:paraId="780D4AF0">
            <w:pPr>
              <w:pStyle w:val="29"/>
              <w:spacing w:line="420" w:lineRule="exact"/>
              <w:jc w:val="left"/>
              <w:rPr>
                <w:rFonts w:hint="eastAsia" w:ascii="宋体" w:hAnsi="宋体" w:eastAsia="宋体" w:cs="宋体"/>
                <w:color w:val="000000" w:themeColor="text1"/>
                <w:kern w:val="0"/>
                <w:sz w:val="21"/>
                <w:szCs w:val="20"/>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0"/>
                <w:highlight w:val="none"/>
                <w:lang w:val="en-US" w:eastAsia="zh-CN" w:bidi="ar-SA"/>
                <w14:textFill>
                  <w14:solidFill>
                    <w14:schemeClr w14:val="tx1"/>
                  </w14:solidFill>
                </w14:textFill>
              </w:rPr>
              <w:t>磋商小组各成员在打分前根据供应商提供的工程施工的重点和难点及保证措施自行确定各供应商所属档次及分值，达不到三档要求的不得分。</w:t>
            </w:r>
          </w:p>
          <w:p w14:paraId="78278DCC">
            <w:pPr>
              <w:pStyle w:val="29"/>
              <w:spacing w:line="420" w:lineRule="exact"/>
              <w:jc w:val="left"/>
              <w:rPr>
                <w:rFonts w:hAnsi="宋体"/>
                <w:color w:val="000000" w:themeColor="text1"/>
                <w:sz w:val="21"/>
                <w:highlight w:val="none"/>
                <w14:textFill>
                  <w14:solidFill>
                    <w14:schemeClr w14:val="tx1"/>
                  </w14:solidFill>
                </w14:textFill>
              </w:rPr>
            </w:pPr>
            <w:r>
              <w:rPr>
                <w:rFonts w:hint="eastAsia" w:hAnsi="宋体"/>
                <w:color w:val="000000" w:themeColor="text1"/>
                <w:sz w:val="21"/>
                <w:highlight w:val="none"/>
                <w14:textFill>
                  <w14:solidFill>
                    <w14:schemeClr w14:val="tx1"/>
                  </w14:solidFill>
                </w14:textFill>
              </w:rPr>
              <w:t>一档（</w:t>
            </w:r>
            <w:r>
              <w:rPr>
                <w:rFonts w:hAnsi="宋体"/>
                <w:color w:val="000000" w:themeColor="text1"/>
                <w:sz w:val="21"/>
                <w:highlight w:val="none"/>
                <w14:textFill>
                  <w14:solidFill>
                    <w14:schemeClr w14:val="tx1"/>
                  </w14:solidFill>
                </w14:textFill>
              </w:rPr>
              <w:t>9</w:t>
            </w:r>
            <w:r>
              <w:rPr>
                <w:rFonts w:hint="eastAsia" w:hAnsi="宋体"/>
                <w:color w:val="000000" w:themeColor="text1"/>
                <w:sz w:val="21"/>
                <w:highlight w:val="none"/>
                <w14:textFill>
                  <w14:solidFill>
                    <w14:schemeClr w14:val="tx1"/>
                  </w14:solidFill>
                </w14:textFill>
              </w:rPr>
              <w:t>分）：对项目</w:t>
            </w:r>
            <w:r>
              <w:rPr>
                <w:rFonts w:hint="eastAsia" w:ascii="宋体" w:hAnsi="宋体" w:eastAsia="宋体" w:cs="宋体"/>
                <w:color w:val="000000" w:themeColor="text1"/>
                <w:kern w:val="0"/>
                <w:sz w:val="21"/>
                <w:szCs w:val="20"/>
                <w:highlight w:val="none"/>
                <w:lang w:val="en-US" w:eastAsia="zh-CN" w:bidi="ar-SA"/>
                <w14:textFill>
                  <w14:solidFill>
                    <w14:schemeClr w14:val="tx1"/>
                  </w14:solidFill>
                </w14:textFill>
              </w:rPr>
              <w:t>关键</w:t>
            </w:r>
            <w:r>
              <w:rPr>
                <w:rFonts w:hint="eastAsia" w:hAnsi="宋体"/>
                <w:color w:val="000000" w:themeColor="text1"/>
                <w:sz w:val="21"/>
                <w:highlight w:val="none"/>
                <w14:textFill>
                  <w14:solidFill>
                    <w14:schemeClr w14:val="tx1"/>
                  </w14:solidFill>
                </w14:textFill>
              </w:rPr>
              <w:t>技术、工艺有深入的表述。对重点、难点有先进合理的施工措施并有可行的安全措施，解决方案完整、经济安全、切实可行，措施得力。</w:t>
            </w:r>
          </w:p>
          <w:p w14:paraId="4615233A">
            <w:pPr>
              <w:pStyle w:val="29"/>
              <w:spacing w:line="420" w:lineRule="exact"/>
              <w:jc w:val="left"/>
              <w:rPr>
                <w:rFonts w:hAnsi="宋体"/>
                <w:color w:val="000000" w:themeColor="text1"/>
                <w:sz w:val="21"/>
                <w:highlight w:val="none"/>
                <w14:textFill>
                  <w14:solidFill>
                    <w14:schemeClr w14:val="tx1"/>
                  </w14:solidFill>
                </w14:textFill>
              </w:rPr>
            </w:pPr>
            <w:r>
              <w:rPr>
                <w:rFonts w:hint="eastAsia" w:hAnsi="宋体"/>
                <w:color w:val="000000" w:themeColor="text1"/>
                <w:sz w:val="21"/>
                <w:highlight w:val="none"/>
                <w14:textFill>
                  <w14:solidFill>
                    <w14:schemeClr w14:val="tx1"/>
                  </w14:solidFill>
                </w14:textFill>
              </w:rPr>
              <w:t>二档（</w:t>
            </w:r>
            <w:r>
              <w:rPr>
                <w:rFonts w:hAnsi="宋体"/>
                <w:color w:val="000000" w:themeColor="text1"/>
                <w:sz w:val="21"/>
                <w:highlight w:val="none"/>
                <w14:textFill>
                  <w14:solidFill>
                    <w14:schemeClr w14:val="tx1"/>
                  </w14:solidFill>
                </w14:textFill>
              </w:rPr>
              <w:t>5</w:t>
            </w:r>
            <w:r>
              <w:rPr>
                <w:rFonts w:hint="eastAsia" w:hAnsi="宋体"/>
                <w:color w:val="000000" w:themeColor="text1"/>
                <w:sz w:val="21"/>
                <w:highlight w:val="none"/>
                <w14:textFill>
                  <w14:solidFill>
                    <w14:schemeClr w14:val="tx1"/>
                  </w14:solidFill>
                </w14:textFill>
              </w:rPr>
              <w:t>分）：对项目关键技术有一定了解，对重点、难点有建议，解决方案基本可行。</w:t>
            </w:r>
          </w:p>
          <w:p w14:paraId="5D3BC6BD">
            <w:pPr>
              <w:spacing w:line="360" w:lineRule="auto"/>
              <w:jc w:val="left"/>
              <w:rPr>
                <w:rFonts w:ascii="宋体" w:hAnsi="宋体"/>
                <w:bCs/>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三档（</w:t>
            </w:r>
            <w:r>
              <w:rPr>
                <w:rFonts w:hAnsi="宋体"/>
                <w:color w:val="000000" w:themeColor="text1"/>
                <w:highlight w:val="none"/>
                <w14:textFill>
                  <w14:solidFill>
                    <w14:schemeClr w14:val="tx1"/>
                  </w14:solidFill>
                </w14:textFill>
              </w:rPr>
              <w:t>2</w:t>
            </w:r>
            <w:r>
              <w:rPr>
                <w:rFonts w:hint="eastAsia" w:hAnsi="宋体"/>
                <w:color w:val="000000" w:themeColor="text1"/>
                <w:highlight w:val="none"/>
                <w14:textFill>
                  <w14:solidFill>
                    <w14:schemeClr w14:val="tx1"/>
                  </w14:solidFill>
                </w14:textFill>
              </w:rPr>
              <w:t>分）：对项目关键技术有表述，对重点、难点有建议，解决方案不可行。</w:t>
            </w:r>
          </w:p>
        </w:tc>
      </w:tr>
      <w:tr w14:paraId="4FDE0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562" w:type="dxa"/>
            <w:vAlign w:val="center"/>
          </w:tcPr>
          <w:p w14:paraId="628E9634">
            <w:pPr>
              <w:adjustRightInd w:val="0"/>
              <w:spacing w:line="360" w:lineRule="auto"/>
              <w:jc w:val="center"/>
              <w:textAlignment w:val="baseline"/>
              <w:rPr>
                <w:rFonts w:ascii="宋体" w:hAnsi="宋体"/>
                <w:b/>
                <w:color w:val="000000" w:themeColor="text1"/>
                <w:highlight w:val="none"/>
                <w14:textFill>
                  <w14:solidFill>
                    <w14:schemeClr w14:val="tx1"/>
                  </w14:solidFill>
                </w14:textFill>
              </w:rPr>
            </w:pPr>
            <w:r>
              <w:rPr>
                <w:rFonts w:ascii="宋体" w:hAnsi="宋体" w:cs="宋体"/>
                <w:b/>
                <w:bCs/>
                <w:color w:val="000000" w:themeColor="text1"/>
                <w:highlight w:val="none"/>
                <w14:textFill>
                  <w14:solidFill>
                    <w14:schemeClr w14:val="tx1"/>
                  </w14:solidFill>
                </w14:textFill>
              </w:rPr>
              <w:t>3</w:t>
            </w:r>
          </w:p>
        </w:tc>
        <w:tc>
          <w:tcPr>
            <w:tcW w:w="709" w:type="dxa"/>
            <w:vAlign w:val="center"/>
          </w:tcPr>
          <w:p w14:paraId="58553152">
            <w:pPr>
              <w:adjustRightInd w:val="0"/>
              <w:spacing w:line="360" w:lineRule="auto"/>
              <w:jc w:val="center"/>
              <w:textAlignment w:val="baseline"/>
              <w:rPr>
                <w:rFonts w:ascii="宋体" w:hAnsi="宋体"/>
                <w:b/>
                <w:color w:val="000000" w:themeColor="text1"/>
                <w:highlight w:val="none"/>
                <w14:textFill>
                  <w14:solidFill>
                    <w14:schemeClr w14:val="tx1"/>
                  </w14:solidFill>
                </w14:textFill>
              </w:rPr>
            </w:pPr>
            <w:r>
              <w:rPr>
                <w:rFonts w:hint="eastAsia" w:ascii="宋体" w:hAnsi="宋体" w:cs="宋体"/>
                <w:b/>
                <w:bCs/>
                <w:color w:val="000000" w:themeColor="text1"/>
                <w:highlight w:val="none"/>
                <w14:textFill>
                  <w14:solidFill>
                    <w14:schemeClr w14:val="tx1"/>
                  </w14:solidFill>
                </w14:textFill>
              </w:rPr>
              <w:t>商务分</w:t>
            </w:r>
          </w:p>
        </w:tc>
        <w:tc>
          <w:tcPr>
            <w:tcW w:w="709" w:type="dxa"/>
            <w:vAlign w:val="center"/>
          </w:tcPr>
          <w:p w14:paraId="0BE27354">
            <w:pPr>
              <w:adjustRightInd w:val="0"/>
              <w:spacing w:line="360" w:lineRule="auto"/>
              <w:jc w:val="center"/>
              <w:textAlignment w:val="baseline"/>
              <w:rPr>
                <w:rFonts w:ascii="宋体" w:hAnsi="宋体"/>
                <w:b/>
                <w:color w:val="000000" w:themeColor="text1"/>
                <w:highlight w:val="none"/>
                <w14:textFill>
                  <w14:solidFill>
                    <w14:schemeClr w14:val="tx1"/>
                  </w14:solidFill>
                </w14:textFill>
              </w:rPr>
            </w:pPr>
            <w:r>
              <w:rPr>
                <w:rFonts w:ascii="宋体" w:hAnsi="宋体" w:cs="宋体"/>
                <w:b/>
                <w:bCs/>
                <w:color w:val="000000" w:themeColor="text1"/>
                <w:highlight w:val="none"/>
                <w14:textFill>
                  <w14:solidFill>
                    <w14:schemeClr w14:val="tx1"/>
                  </w14:solidFill>
                </w14:textFill>
              </w:rPr>
              <w:t>3</w:t>
            </w:r>
            <w:r>
              <w:rPr>
                <w:rFonts w:hint="eastAsia" w:ascii="宋体" w:hAnsi="宋体" w:cs="宋体"/>
                <w:b/>
                <w:bCs/>
                <w:color w:val="000000" w:themeColor="text1"/>
                <w:highlight w:val="none"/>
                <w14:textFill>
                  <w14:solidFill>
                    <w14:schemeClr w14:val="tx1"/>
                  </w14:solidFill>
                </w14:textFill>
              </w:rPr>
              <w:t>分</w:t>
            </w:r>
          </w:p>
        </w:tc>
        <w:tc>
          <w:tcPr>
            <w:tcW w:w="2298" w:type="dxa"/>
            <w:vAlign w:val="center"/>
          </w:tcPr>
          <w:p w14:paraId="4F584F6C">
            <w:pPr>
              <w:spacing w:line="360" w:lineRule="auto"/>
              <w:jc w:val="center"/>
              <w:rPr>
                <w:rFonts w:ascii="宋体" w:hAnsi="宋体" w:cs="宋体"/>
                <w:b/>
                <w:bCs/>
                <w:color w:val="000000" w:themeColor="text1"/>
                <w:kern w:val="0"/>
                <w:highlight w:val="none"/>
                <w14:textFill>
                  <w14:solidFill>
                    <w14:schemeClr w14:val="tx1"/>
                  </w14:solidFill>
                </w14:textFill>
              </w:rPr>
            </w:pPr>
            <w:r>
              <w:rPr>
                <w:rFonts w:hint="eastAsia" w:ascii="宋体" w:hAnsi="宋体" w:cs="宋体"/>
                <w:b/>
                <w:bCs/>
                <w:color w:val="000000" w:themeColor="text1"/>
                <w:kern w:val="0"/>
                <w:highlight w:val="none"/>
                <w14:textFill>
                  <w14:solidFill>
                    <w14:schemeClr w14:val="tx1"/>
                  </w14:solidFill>
                </w14:textFill>
              </w:rPr>
              <w:t>业绩分（满分</w:t>
            </w:r>
            <w:r>
              <w:rPr>
                <w:rFonts w:ascii="宋体" w:hAnsi="宋体" w:cs="宋体"/>
                <w:b/>
                <w:bCs/>
                <w:color w:val="000000" w:themeColor="text1"/>
                <w:kern w:val="0"/>
                <w:highlight w:val="none"/>
                <w14:textFill>
                  <w14:solidFill>
                    <w14:schemeClr w14:val="tx1"/>
                  </w14:solidFill>
                </w14:textFill>
              </w:rPr>
              <w:t>3</w:t>
            </w:r>
            <w:r>
              <w:rPr>
                <w:rFonts w:hint="eastAsia" w:ascii="宋体" w:hAnsi="宋体" w:cs="宋体"/>
                <w:b/>
                <w:bCs/>
                <w:color w:val="000000" w:themeColor="text1"/>
                <w:kern w:val="0"/>
                <w:highlight w:val="none"/>
                <w14:textFill>
                  <w14:solidFill>
                    <w14:schemeClr w14:val="tx1"/>
                  </w14:solidFill>
                </w14:textFill>
              </w:rPr>
              <w:t>分）</w:t>
            </w:r>
          </w:p>
        </w:tc>
        <w:tc>
          <w:tcPr>
            <w:tcW w:w="5350" w:type="dxa"/>
            <w:vAlign w:val="center"/>
          </w:tcPr>
          <w:p w14:paraId="42F05CA9">
            <w:pPr>
              <w:pStyle w:val="29"/>
              <w:spacing w:line="420" w:lineRule="exact"/>
              <w:jc w:val="left"/>
              <w:rPr>
                <w:rFonts w:hAnsi="宋体"/>
                <w:color w:val="000000" w:themeColor="text1"/>
                <w:sz w:val="21"/>
                <w:highlight w:val="none"/>
                <w14:textFill>
                  <w14:solidFill>
                    <w14:schemeClr w14:val="tx1"/>
                  </w14:solidFill>
                </w14:textFill>
              </w:rPr>
            </w:pPr>
            <w:r>
              <w:rPr>
                <w:rFonts w:hint="eastAsia" w:hAnsi="宋体"/>
                <w:color w:val="000000" w:themeColor="text1"/>
                <w:sz w:val="21"/>
                <w:highlight w:val="none"/>
                <w14:textFill>
                  <w14:solidFill>
                    <w14:schemeClr w14:val="tx1"/>
                  </w14:solidFill>
                </w14:textFill>
              </w:rPr>
              <w:t>供应商所完成项目的交竣工日期在</w:t>
            </w:r>
            <w:r>
              <w:rPr>
                <w:rFonts w:hAnsi="宋体"/>
                <w:color w:val="000000" w:themeColor="text1"/>
                <w:sz w:val="21"/>
                <w:highlight w:val="none"/>
                <w14:textFill>
                  <w14:solidFill>
                    <w14:schemeClr w14:val="tx1"/>
                  </w14:solidFill>
                </w14:textFill>
              </w:rPr>
              <w:t>20</w:t>
            </w:r>
            <w:r>
              <w:rPr>
                <w:rFonts w:hint="eastAsia" w:hAnsi="宋体"/>
                <w:color w:val="000000" w:themeColor="text1"/>
                <w:sz w:val="21"/>
                <w:highlight w:val="none"/>
                <w14:textFill>
                  <w14:solidFill>
                    <w14:schemeClr w14:val="tx1"/>
                  </w14:solidFill>
                </w14:textFill>
              </w:rPr>
              <w:t>22年1月</w:t>
            </w:r>
            <w:r>
              <w:rPr>
                <w:rFonts w:hAnsi="宋体"/>
                <w:color w:val="000000" w:themeColor="text1"/>
                <w:sz w:val="21"/>
                <w:highlight w:val="none"/>
                <w14:textFill>
                  <w14:solidFill>
                    <w14:schemeClr w14:val="tx1"/>
                  </w14:solidFill>
                </w14:textFill>
              </w:rPr>
              <w:t>1</w:t>
            </w:r>
            <w:r>
              <w:rPr>
                <w:rFonts w:hint="eastAsia" w:hAnsi="宋体"/>
                <w:color w:val="000000" w:themeColor="text1"/>
                <w:sz w:val="21"/>
                <w:highlight w:val="none"/>
                <w14:textFill>
                  <w14:solidFill>
                    <w14:schemeClr w14:val="tx1"/>
                  </w14:solidFill>
                </w14:textFill>
              </w:rPr>
              <w:t>日之后的类似工程施工业绩，每个工程得</w:t>
            </w:r>
            <w:r>
              <w:rPr>
                <w:rFonts w:hAnsi="宋体"/>
                <w:color w:val="000000" w:themeColor="text1"/>
                <w:sz w:val="21"/>
                <w:highlight w:val="none"/>
                <w14:textFill>
                  <w14:solidFill>
                    <w14:schemeClr w14:val="tx1"/>
                  </w14:solidFill>
                </w14:textFill>
              </w:rPr>
              <w:t>1</w:t>
            </w:r>
            <w:r>
              <w:rPr>
                <w:rFonts w:hint="eastAsia" w:hAnsi="宋体"/>
                <w:color w:val="000000" w:themeColor="text1"/>
                <w:sz w:val="21"/>
                <w:highlight w:val="none"/>
                <w14:textFill>
                  <w14:solidFill>
                    <w14:schemeClr w14:val="tx1"/>
                  </w14:solidFill>
                </w14:textFill>
              </w:rPr>
              <w:t>分，满分得</w:t>
            </w:r>
            <w:r>
              <w:rPr>
                <w:rFonts w:hAnsi="宋体"/>
                <w:color w:val="000000" w:themeColor="text1"/>
                <w:sz w:val="21"/>
                <w:highlight w:val="none"/>
                <w14:textFill>
                  <w14:solidFill>
                    <w14:schemeClr w14:val="tx1"/>
                  </w14:solidFill>
                </w14:textFill>
              </w:rPr>
              <w:t>3</w:t>
            </w:r>
            <w:r>
              <w:rPr>
                <w:rFonts w:hint="eastAsia" w:hAnsi="宋体"/>
                <w:color w:val="000000" w:themeColor="text1"/>
                <w:sz w:val="21"/>
                <w:highlight w:val="none"/>
                <w14:textFill>
                  <w14:solidFill>
                    <w14:schemeClr w14:val="tx1"/>
                  </w14:solidFill>
                </w14:textFill>
              </w:rPr>
              <w:t>分（响应文件中提供施工合同及交竣工验收等证明文件的复印件并加盖供应商单位公章，否则不得分</w:t>
            </w:r>
            <w:r>
              <w:rPr>
                <w:rFonts w:hAnsi="宋体"/>
                <w:color w:val="000000" w:themeColor="text1"/>
                <w:sz w:val="21"/>
                <w:highlight w:val="none"/>
                <w14:textFill>
                  <w14:solidFill>
                    <w14:schemeClr w14:val="tx1"/>
                  </w14:solidFill>
                </w14:textFill>
              </w:rPr>
              <w:t>)</w:t>
            </w:r>
            <w:r>
              <w:rPr>
                <w:rFonts w:hint="eastAsia" w:hAnsi="宋体"/>
                <w:color w:val="000000" w:themeColor="text1"/>
                <w:sz w:val="21"/>
                <w:highlight w:val="none"/>
                <w14:textFill>
                  <w14:solidFill>
                    <w14:schemeClr w14:val="tx1"/>
                  </w14:solidFill>
                </w14:textFill>
              </w:rPr>
              <w:t>。施工业绩是指工程按交通部令</w:t>
            </w:r>
            <w:r>
              <w:rPr>
                <w:rFonts w:hAnsi="宋体"/>
                <w:color w:val="000000" w:themeColor="text1"/>
                <w:sz w:val="21"/>
                <w:highlight w:val="none"/>
                <w14:textFill>
                  <w14:solidFill>
                    <w14:schemeClr w14:val="tx1"/>
                  </w14:solidFill>
                </w14:textFill>
              </w:rPr>
              <w:t>2004</w:t>
            </w:r>
            <w:r>
              <w:rPr>
                <w:rFonts w:hint="eastAsia" w:hAnsi="宋体"/>
                <w:color w:val="000000" w:themeColor="text1"/>
                <w:sz w:val="21"/>
                <w:highlight w:val="none"/>
                <w14:textFill>
                  <w14:solidFill>
                    <w14:schemeClr w14:val="tx1"/>
                  </w14:solidFill>
                </w14:textFill>
              </w:rPr>
              <w:t>年第</w:t>
            </w:r>
            <w:r>
              <w:rPr>
                <w:rFonts w:hAnsi="宋体"/>
                <w:color w:val="000000" w:themeColor="text1"/>
                <w:sz w:val="21"/>
                <w:highlight w:val="none"/>
                <w14:textFill>
                  <w14:solidFill>
                    <w14:schemeClr w14:val="tx1"/>
                  </w14:solidFill>
                </w14:textFill>
              </w:rPr>
              <w:t>3</w:t>
            </w:r>
            <w:r>
              <w:rPr>
                <w:rFonts w:hint="eastAsia" w:hAnsi="宋体"/>
                <w:color w:val="000000" w:themeColor="text1"/>
                <w:sz w:val="21"/>
                <w:highlight w:val="none"/>
                <w14:textFill>
                  <w14:solidFill>
                    <w14:schemeClr w14:val="tx1"/>
                  </w14:solidFill>
                </w14:textFill>
              </w:rPr>
              <w:t>号《公路工程竣（交）工验收办法》交工验收或竣工验收通过。施工业绩包括公路新建、公路改扩建、公路养护工程等业绩。</w:t>
            </w:r>
          </w:p>
        </w:tc>
      </w:tr>
      <w:tr w14:paraId="72183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9628" w:type="dxa"/>
            <w:gridSpan w:val="5"/>
            <w:vAlign w:val="center"/>
          </w:tcPr>
          <w:p w14:paraId="737FF431">
            <w:pPr>
              <w:pStyle w:val="29"/>
              <w:spacing w:line="360" w:lineRule="auto"/>
              <w:rPr>
                <w:rFonts w:hAnsi="宋体" w:cs="Courier New"/>
                <w:bCs/>
                <w:color w:val="000000" w:themeColor="text1"/>
                <w:kern w:val="2"/>
                <w:sz w:val="21"/>
                <w:highlight w:val="none"/>
                <w14:textFill>
                  <w14:solidFill>
                    <w14:schemeClr w14:val="tx1"/>
                  </w14:solidFill>
                </w14:textFill>
              </w:rPr>
            </w:pPr>
            <w:r>
              <w:rPr>
                <w:rFonts w:hint="eastAsia" w:hAnsi="宋体" w:cs="Courier New"/>
                <w:b/>
                <w:bCs/>
                <w:color w:val="000000" w:themeColor="text1"/>
                <w:kern w:val="2"/>
                <w:sz w:val="21"/>
                <w:highlight w:val="none"/>
                <w14:textFill>
                  <w14:solidFill>
                    <w14:schemeClr w14:val="tx1"/>
                  </w14:solidFill>
                </w14:textFill>
              </w:rPr>
              <w:t>总得分=1+2+3。</w:t>
            </w:r>
          </w:p>
        </w:tc>
      </w:tr>
    </w:tbl>
    <w:p w14:paraId="2FAC32F5">
      <w:pPr>
        <w:spacing w:line="360" w:lineRule="auto"/>
        <w:rPr>
          <w:rFonts w:ascii="宋体" w:hAnsi="宋体" w:cs="宋体"/>
          <w:color w:val="000000" w:themeColor="text1"/>
          <w:highlight w:val="none"/>
          <w14:textFill>
            <w14:solidFill>
              <w14:schemeClr w14:val="tx1"/>
            </w14:solidFill>
          </w14:textFill>
        </w:rPr>
      </w:pPr>
    </w:p>
    <w:p w14:paraId="354FD677">
      <w:pPr>
        <w:pStyle w:val="21"/>
        <w:spacing w:line="360" w:lineRule="auto"/>
        <w:ind w:firstLine="452" w:firstLineChars="200"/>
        <w:rPr>
          <w:rFonts w:ascii="宋体"/>
          <w:color w:val="000000" w:themeColor="text1"/>
          <w:highlight w:val="none"/>
          <w14:textFill>
            <w14:solidFill>
              <w14:schemeClr w14:val="tx1"/>
            </w14:solidFill>
          </w14:textFill>
        </w:rPr>
      </w:pPr>
      <w:r>
        <w:rPr>
          <w:color w:val="000000" w:themeColor="text1"/>
          <w:spacing w:val="8"/>
          <w:highlight w:val="none"/>
          <w14:textFill>
            <w14:solidFill>
              <w14:schemeClr w14:val="tx1"/>
            </w14:solidFill>
          </w14:textFill>
        </w:rPr>
        <w:t>7.由磋商小组根据综合评分情况，按照评审得分由高到低顺序推荐</w:t>
      </w:r>
      <w:r>
        <w:rPr>
          <w:color w:val="000000" w:themeColor="text1"/>
          <w:spacing w:val="-18"/>
          <w:highlight w:val="none"/>
          <w14:textFill>
            <w14:solidFill>
              <w14:schemeClr w14:val="tx1"/>
            </w14:solidFill>
          </w14:textFill>
        </w:rPr>
        <w:t xml:space="preserve"> </w:t>
      </w:r>
      <w:r>
        <w:rPr>
          <w:color w:val="000000" w:themeColor="text1"/>
          <w:spacing w:val="8"/>
          <w:highlight w:val="none"/>
          <w14:textFill>
            <w14:solidFill>
              <w14:schemeClr w14:val="tx1"/>
            </w14:solidFill>
          </w14:textFill>
        </w:rPr>
        <w:t>3</w:t>
      </w:r>
      <w:r>
        <w:rPr>
          <w:color w:val="000000" w:themeColor="text1"/>
          <w:spacing w:val="-36"/>
          <w:highlight w:val="none"/>
          <w14:textFill>
            <w14:solidFill>
              <w14:schemeClr w14:val="tx1"/>
            </w14:solidFill>
          </w14:textFill>
        </w:rPr>
        <w:t xml:space="preserve"> </w:t>
      </w:r>
      <w:r>
        <w:rPr>
          <w:color w:val="000000" w:themeColor="text1"/>
          <w:spacing w:val="8"/>
          <w:highlight w:val="none"/>
          <w14:textFill>
            <w14:solidFill>
              <w14:schemeClr w14:val="tx1"/>
            </w14:solidFill>
          </w14:textFill>
        </w:rPr>
        <w:t>名以上成交候选供应商，并编写评审报告。符合本章第</w:t>
      </w:r>
      <w:r>
        <w:rPr>
          <w:color w:val="000000" w:themeColor="text1"/>
          <w:spacing w:val="-37"/>
          <w:highlight w:val="none"/>
          <w14:textFill>
            <w14:solidFill>
              <w14:schemeClr w14:val="tx1"/>
            </w14:solidFill>
          </w14:textFill>
        </w:rPr>
        <w:t xml:space="preserve"> </w:t>
      </w:r>
      <w:r>
        <w:rPr>
          <w:color w:val="000000" w:themeColor="text1"/>
          <w:spacing w:val="8"/>
          <w:highlight w:val="none"/>
          <w14:textFill>
            <w14:solidFill>
              <w14:schemeClr w14:val="tx1"/>
            </w14:solidFill>
          </w14:textFill>
        </w:rPr>
        <w:t>2.7、3.7、4.3</w:t>
      </w:r>
      <w:r>
        <w:rPr>
          <w:color w:val="000000" w:themeColor="text1"/>
          <w:spacing w:val="-38"/>
          <w:highlight w:val="none"/>
          <w14:textFill>
            <w14:solidFill>
              <w14:schemeClr w14:val="tx1"/>
            </w14:solidFill>
          </w14:textFill>
        </w:rPr>
        <w:t xml:space="preserve"> </w:t>
      </w:r>
      <w:r>
        <w:rPr>
          <w:color w:val="000000" w:themeColor="text1"/>
          <w:spacing w:val="8"/>
          <w:highlight w:val="none"/>
          <w14:textFill>
            <w14:solidFill>
              <w14:schemeClr w14:val="tx1"/>
            </w14:solidFill>
          </w14:textFill>
        </w:rPr>
        <w:t>条情形的，可以</w:t>
      </w:r>
      <w:r>
        <w:rPr>
          <w:color w:val="000000" w:themeColor="text1"/>
          <w:spacing w:val="7"/>
          <w:highlight w:val="none"/>
          <w14:textFill>
            <w14:solidFill>
              <w14:schemeClr w14:val="tx1"/>
            </w14:solidFill>
          </w14:textFill>
        </w:rPr>
        <w:t>推荐</w:t>
      </w:r>
      <w:r>
        <w:rPr>
          <w:color w:val="000000" w:themeColor="text1"/>
          <w:spacing w:val="-35"/>
          <w:highlight w:val="none"/>
          <w14:textFill>
            <w14:solidFill>
              <w14:schemeClr w14:val="tx1"/>
            </w14:solidFill>
          </w14:textFill>
        </w:rPr>
        <w:t xml:space="preserve"> </w:t>
      </w:r>
      <w:r>
        <w:rPr>
          <w:color w:val="000000" w:themeColor="text1"/>
          <w:spacing w:val="7"/>
          <w:highlight w:val="none"/>
          <w14:textFill>
            <w14:solidFill>
              <w14:schemeClr w14:val="tx1"/>
            </w14:solidFill>
          </w14:textFill>
        </w:rPr>
        <w:t>2</w:t>
      </w:r>
      <w:r>
        <w:rPr>
          <w:color w:val="000000" w:themeColor="text1"/>
          <w:spacing w:val="-36"/>
          <w:highlight w:val="none"/>
          <w14:textFill>
            <w14:solidFill>
              <w14:schemeClr w14:val="tx1"/>
            </w14:solidFill>
          </w14:textFill>
        </w:rPr>
        <w:t xml:space="preserve"> </w:t>
      </w:r>
      <w:r>
        <w:rPr>
          <w:color w:val="000000" w:themeColor="text1"/>
          <w:spacing w:val="7"/>
          <w:highlight w:val="none"/>
          <w14:textFill>
            <w14:solidFill>
              <w14:schemeClr w14:val="tx1"/>
            </w14:solidFill>
          </w14:textFill>
        </w:rPr>
        <w:t>家成交候选供应商。评审得分相同的，按照</w:t>
      </w:r>
      <w:r>
        <w:rPr>
          <w:color w:val="000000" w:themeColor="text1"/>
          <w:spacing w:val="9"/>
          <w:highlight w:val="none"/>
          <w14:textFill>
            <w14:solidFill>
              <w14:schemeClr w14:val="tx1"/>
            </w14:solidFill>
          </w14:textFill>
        </w:rPr>
        <w:t>最后报价（不计算价格折扣）由低到高的顺序推荐。评审得分且最后报价（不计算价格折扣）相同的，按</w:t>
      </w:r>
      <w:r>
        <w:rPr>
          <w:color w:val="000000" w:themeColor="text1"/>
          <w:spacing w:val="8"/>
          <w:highlight w:val="none"/>
          <w14:textFill>
            <w14:solidFill>
              <w14:schemeClr w14:val="tx1"/>
            </w14:solidFill>
          </w14:textFill>
        </w:rPr>
        <w:t>照技术指标优劣顺序推荐（按综合评分中</w:t>
      </w:r>
      <w:r>
        <w:rPr>
          <w:b/>
          <w:bCs/>
          <w:color w:val="000000" w:themeColor="text1"/>
          <w:spacing w:val="8"/>
          <w:highlight w:val="none"/>
          <w14:textFill>
            <w14:solidFill>
              <w14:schemeClr w14:val="tx1"/>
            </w14:solidFill>
          </w14:textFill>
        </w:rPr>
        <w:t>主要施工方法，拟投入的主要施工机械、设备计划，劳动力安排</w:t>
      </w:r>
      <w:r>
        <w:rPr>
          <w:b/>
          <w:bCs/>
          <w:color w:val="000000" w:themeColor="text1"/>
          <w:spacing w:val="7"/>
          <w:highlight w:val="none"/>
          <w14:textFill>
            <w14:solidFill>
              <w14:schemeClr w14:val="tx1"/>
            </w14:solidFill>
          </w14:textFill>
        </w:rPr>
        <w:t>计划，确保工程质量的技术组织措施，确保安全生产的技术组织措施，确保工期的技术组织措施，确保文</w:t>
      </w:r>
      <w:r>
        <w:rPr>
          <w:b/>
          <w:bCs/>
          <w:color w:val="000000" w:themeColor="text1"/>
          <w:spacing w:val="8"/>
          <w:highlight w:val="none"/>
          <w14:textFill>
            <w14:solidFill>
              <w14:schemeClr w14:val="tx1"/>
            </w14:solidFill>
          </w14:textFill>
        </w:rPr>
        <w:t>明施工的技术组织措施，工程施工的重点和难点及保证措施</w:t>
      </w:r>
      <w:r>
        <w:rPr>
          <w:color w:val="000000" w:themeColor="text1"/>
          <w:spacing w:val="8"/>
          <w:highlight w:val="none"/>
          <w14:textFill>
            <w14:solidFill>
              <w14:schemeClr w14:val="tx1"/>
            </w14:solidFill>
          </w14:textFill>
        </w:rPr>
        <w:t>得分高低依次确定）。</w:t>
      </w:r>
    </w:p>
    <w:p w14:paraId="1B101392">
      <w:pPr>
        <w:rPr>
          <w:rFonts w:ascii="宋体"/>
          <w:color w:val="000000" w:themeColor="text1"/>
          <w:highlight w:val="none"/>
          <w14:textFill>
            <w14:solidFill>
              <w14:schemeClr w14:val="tx1"/>
            </w14:solidFill>
          </w14:textFill>
        </w:rPr>
      </w:pPr>
    </w:p>
    <w:p w14:paraId="0F42A330">
      <w:pPr>
        <w:pStyle w:val="21"/>
        <w:ind w:firstLine="420"/>
        <w:rPr>
          <w:rFonts w:ascii="宋体"/>
          <w:color w:val="000000" w:themeColor="text1"/>
          <w:highlight w:val="none"/>
          <w14:textFill>
            <w14:solidFill>
              <w14:schemeClr w14:val="tx1"/>
            </w14:solidFill>
          </w14:textFill>
        </w:rPr>
      </w:pPr>
    </w:p>
    <w:p w14:paraId="1A78AB35">
      <w:pPr>
        <w:rPr>
          <w:rFonts w:ascii="宋体"/>
          <w:color w:val="000000" w:themeColor="text1"/>
          <w:highlight w:val="none"/>
          <w14:textFill>
            <w14:solidFill>
              <w14:schemeClr w14:val="tx1"/>
            </w14:solidFill>
          </w14:textFill>
        </w:rPr>
      </w:pPr>
    </w:p>
    <w:p w14:paraId="3A2B006D">
      <w:pPr>
        <w:pStyle w:val="21"/>
        <w:rPr>
          <w:rFonts w:ascii="宋体"/>
          <w:color w:val="000000" w:themeColor="text1"/>
          <w:highlight w:val="none"/>
          <w14:textFill>
            <w14:solidFill>
              <w14:schemeClr w14:val="tx1"/>
            </w14:solidFill>
          </w14:textFill>
        </w:rPr>
      </w:pPr>
    </w:p>
    <w:p w14:paraId="282F2677">
      <w:pPr>
        <w:rPr>
          <w:rFonts w:ascii="宋体"/>
          <w:color w:val="000000" w:themeColor="text1"/>
          <w:highlight w:val="none"/>
          <w14:textFill>
            <w14:solidFill>
              <w14:schemeClr w14:val="tx1"/>
            </w14:solidFill>
          </w14:textFill>
        </w:rPr>
      </w:pPr>
    </w:p>
    <w:p w14:paraId="3DFEFF80">
      <w:pPr>
        <w:pStyle w:val="21"/>
        <w:rPr>
          <w:rFonts w:ascii="宋体"/>
          <w:color w:val="000000" w:themeColor="text1"/>
          <w:highlight w:val="none"/>
          <w14:textFill>
            <w14:solidFill>
              <w14:schemeClr w14:val="tx1"/>
            </w14:solidFill>
          </w14:textFill>
        </w:rPr>
      </w:pPr>
    </w:p>
    <w:p w14:paraId="08773E43">
      <w:pPr>
        <w:rPr>
          <w:rFonts w:ascii="宋体"/>
          <w:color w:val="000000" w:themeColor="text1"/>
          <w:highlight w:val="none"/>
          <w14:textFill>
            <w14:solidFill>
              <w14:schemeClr w14:val="tx1"/>
            </w14:solidFill>
          </w14:textFill>
        </w:rPr>
      </w:pPr>
    </w:p>
    <w:p w14:paraId="3F5319AC">
      <w:pPr>
        <w:pStyle w:val="21"/>
        <w:rPr>
          <w:rFonts w:ascii="宋体"/>
          <w:color w:val="000000" w:themeColor="text1"/>
          <w:highlight w:val="none"/>
          <w14:textFill>
            <w14:solidFill>
              <w14:schemeClr w14:val="tx1"/>
            </w14:solidFill>
          </w14:textFill>
        </w:rPr>
      </w:pPr>
    </w:p>
    <w:p w14:paraId="596E42FA">
      <w:pPr>
        <w:rPr>
          <w:rFonts w:ascii="宋体"/>
          <w:color w:val="000000" w:themeColor="text1"/>
          <w:highlight w:val="none"/>
          <w14:textFill>
            <w14:solidFill>
              <w14:schemeClr w14:val="tx1"/>
            </w14:solidFill>
          </w14:textFill>
        </w:rPr>
      </w:pPr>
    </w:p>
    <w:p w14:paraId="663EBB62">
      <w:pPr>
        <w:pStyle w:val="21"/>
        <w:rPr>
          <w:rFonts w:ascii="宋体"/>
          <w:color w:val="000000" w:themeColor="text1"/>
          <w:highlight w:val="none"/>
          <w14:textFill>
            <w14:solidFill>
              <w14:schemeClr w14:val="tx1"/>
            </w14:solidFill>
          </w14:textFill>
        </w:rPr>
      </w:pPr>
    </w:p>
    <w:p w14:paraId="35F5D031">
      <w:pPr>
        <w:rPr>
          <w:rFonts w:ascii="宋体"/>
          <w:color w:val="000000" w:themeColor="text1"/>
          <w:highlight w:val="none"/>
          <w14:textFill>
            <w14:solidFill>
              <w14:schemeClr w14:val="tx1"/>
            </w14:solidFill>
          </w14:textFill>
        </w:rPr>
      </w:pPr>
    </w:p>
    <w:p w14:paraId="1263BE82">
      <w:pPr>
        <w:pStyle w:val="21"/>
        <w:rPr>
          <w:rFonts w:ascii="宋体"/>
          <w:color w:val="000000" w:themeColor="text1"/>
          <w:highlight w:val="none"/>
          <w14:textFill>
            <w14:solidFill>
              <w14:schemeClr w14:val="tx1"/>
            </w14:solidFill>
          </w14:textFill>
        </w:rPr>
      </w:pPr>
    </w:p>
    <w:p w14:paraId="765B60AB">
      <w:pPr>
        <w:rPr>
          <w:rFonts w:ascii="宋体"/>
          <w:color w:val="000000" w:themeColor="text1"/>
          <w:highlight w:val="none"/>
          <w14:textFill>
            <w14:solidFill>
              <w14:schemeClr w14:val="tx1"/>
            </w14:solidFill>
          </w14:textFill>
        </w:rPr>
      </w:pPr>
    </w:p>
    <w:p w14:paraId="0D025B53">
      <w:pPr>
        <w:pStyle w:val="21"/>
        <w:rPr>
          <w:rFonts w:ascii="宋体"/>
          <w:color w:val="000000" w:themeColor="text1"/>
          <w:highlight w:val="none"/>
          <w14:textFill>
            <w14:solidFill>
              <w14:schemeClr w14:val="tx1"/>
            </w14:solidFill>
          </w14:textFill>
        </w:rPr>
      </w:pPr>
    </w:p>
    <w:p w14:paraId="2CA8CB68">
      <w:pPr>
        <w:rPr>
          <w:rFonts w:ascii="宋体"/>
          <w:color w:val="000000" w:themeColor="text1"/>
          <w:highlight w:val="none"/>
          <w14:textFill>
            <w14:solidFill>
              <w14:schemeClr w14:val="tx1"/>
            </w14:solidFill>
          </w14:textFill>
        </w:rPr>
      </w:pPr>
    </w:p>
    <w:p w14:paraId="314188C9">
      <w:pPr>
        <w:rPr>
          <w:rFonts w:ascii="宋体"/>
          <w:color w:val="000000" w:themeColor="text1"/>
          <w:highlight w:val="none"/>
          <w14:textFill>
            <w14:solidFill>
              <w14:schemeClr w14:val="tx1"/>
            </w14:solidFill>
          </w14:textFill>
        </w:rPr>
      </w:pPr>
    </w:p>
    <w:p w14:paraId="5AB30332">
      <w:pPr>
        <w:rPr>
          <w:rFonts w:ascii="宋体"/>
          <w:color w:val="000000" w:themeColor="text1"/>
          <w:highlight w:val="none"/>
          <w14:textFill>
            <w14:solidFill>
              <w14:schemeClr w14:val="tx1"/>
            </w14:solidFill>
          </w14:textFill>
        </w:rPr>
      </w:pPr>
    </w:p>
    <w:p w14:paraId="6E6A3491">
      <w:pPr>
        <w:rPr>
          <w:rFonts w:ascii="宋体"/>
          <w:color w:val="000000" w:themeColor="text1"/>
          <w:highlight w:val="none"/>
          <w14:textFill>
            <w14:solidFill>
              <w14:schemeClr w14:val="tx1"/>
            </w14:solidFill>
          </w14:textFill>
        </w:rPr>
      </w:pPr>
    </w:p>
    <w:p w14:paraId="46E3AE7D">
      <w:pPr>
        <w:rPr>
          <w:rFonts w:ascii="宋体"/>
          <w:color w:val="000000" w:themeColor="text1"/>
          <w:highlight w:val="none"/>
          <w14:textFill>
            <w14:solidFill>
              <w14:schemeClr w14:val="tx1"/>
            </w14:solidFill>
          </w14:textFill>
        </w:rPr>
      </w:pPr>
    </w:p>
    <w:p w14:paraId="4927CF3C">
      <w:pPr>
        <w:rPr>
          <w:rFonts w:ascii="宋体"/>
          <w:color w:val="000000" w:themeColor="text1"/>
          <w:highlight w:val="none"/>
          <w14:textFill>
            <w14:solidFill>
              <w14:schemeClr w14:val="tx1"/>
            </w14:solidFill>
          </w14:textFill>
        </w:rPr>
      </w:pPr>
    </w:p>
    <w:p w14:paraId="60714D91">
      <w:pPr>
        <w:rPr>
          <w:rFonts w:ascii="宋体"/>
          <w:color w:val="000000" w:themeColor="text1"/>
          <w:highlight w:val="none"/>
          <w14:textFill>
            <w14:solidFill>
              <w14:schemeClr w14:val="tx1"/>
            </w14:solidFill>
          </w14:textFill>
        </w:rPr>
      </w:pPr>
    </w:p>
    <w:p w14:paraId="11A23310">
      <w:pPr>
        <w:rPr>
          <w:rFonts w:ascii="宋体"/>
          <w:color w:val="000000" w:themeColor="text1"/>
          <w:highlight w:val="none"/>
          <w14:textFill>
            <w14:solidFill>
              <w14:schemeClr w14:val="tx1"/>
            </w14:solidFill>
          </w14:textFill>
        </w:rPr>
      </w:pPr>
    </w:p>
    <w:p w14:paraId="776580A9">
      <w:pPr>
        <w:snapToGrid w:val="0"/>
        <w:spacing w:beforeLines="50" w:after="50"/>
        <w:rPr>
          <w:rFonts w:ascii="宋体" w:hAnsi="宋体" w:cs="宋体"/>
          <w:color w:val="000000" w:themeColor="text1"/>
          <w:sz w:val="24"/>
          <w:szCs w:val="24"/>
          <w:highlight w:val="none"/>
          <w14:textFill>
            <w14:solidFill>
              <w14:schemeClr w14:val="tx1"/>
            </w14:solidFill>
          </w14:textFill>
        </w:rPr>
      </w:pPr>
    </w:p>
    <w:p w14:paraId="620D8624">
      <w:pPr>
        <w:pStyle w:val="2"/>
        <w:spacing w:before="300" w:after="310" w:line="240" w:lineRule="auto"/>
        <w:jc w:val="center"/>
        <w:rPr>
          <w:rFonts w:ascii="宋体"/>
          <w:color w:val="000000" w:themeColor="text1"/>
          <w:highlight w:val="none"/>
          <w14:textFill>
            <w14:solidFill>
              <w14:schemeClr w14:val="tx1"/>
            </w14:solidFill>
          </w14:textFill>
        </w:rPr>
      </w:pPr>
      <w:bookmarkStart w:id="91" w:name="_Toc32703"/>
      <w:r>
        <w:rPr>
          <w:rFonts w:hint="eastAsia" w:ascii="宋体" w:hAnsi="宋体" w:cs="宋体"/>
          <w:color w:val="000000" w:themeColor="text1"/>
          <w:highlight w:val="none"/>
          <w14:textFill>
            <w14:solidFill>
              <w14:schemeClr w14:val="tx1"/>
            </w14:solidFill>
          </w14:textFill>
        </w:rPr>
        <w:t>第五章</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响应文件格式</w:t>
      </w:r>
      <w:bookmarkEnd w:id="91"/>
    </w:p>
    <w:p w14:paraId="74C633FD">
      <w:pPr>
        <w:rPr>
          <w:rFonts w:ascii="宋体"/>
          <w:b/>
          <w:bCs/>
          <w:color w:val="000000" w:themeColor="text1"/>
          <w:sz w:val="32"/>
          <w:szCs w:val="32"/>
          <w:highlight w:val="none"/>
          <w14:textFill>
            <w14:solidFill>
              <w14:schemeClr w14:val="tx1"/>
            </w14:solidFill>
          </w14:textFill>
        </w:rPr>
      </w:pPr>
      <w:bookmarkStart w:id="92" w:name="_Toc31728084"/>
      <w:bookmarkStart w:id="93" w:name="_Toc35611516"/>
      <w:bookmarkStart w:id="94" w:name="_Toc31723070"/>
      <w:bookmarkStart w:id="95" w:name="_Toc71365925"/>
      <w:bookmarkStart w:id="96" w:name="_Toc35611438"/>
      <w:bookmarkStart w:id="97" w:name="_Toc44229899"/>
      <w:r>
        <w:rPr>
          <w:rFonts w:hint="eastAsia" w:ascii="宋体" w:hAnsi="宋体" w:cs="宋体"/>
          <w:b/>
          <w:bCs/>
          <w:color w:val="000000" w:themeColor="text1"/>
          <w:sz w:val="32"/>
          <w:szCs w:val="32"/>
          <w:highlight w:val="none"/>
          <w14:textFill>
            <w14:solidFill>
              <w14:schemeClr w14:val="tx1"/>
            </w14:solidFill>
          </w14:textFill>
        </w:rPr>
        <w:t>一、资格证明文件格式</w:t>
      </w:r>
      <w:bookmarkEnd w:id="92"/>
      <w:bookmarkEnd w:id="93"/>
      <w:bookmarkEnd w:id="94"/>
      <w:bookmarkEnd w:id="95"/>
      <w:bookmarkEnd w:id="96"/>
      <w:bookmarkEnd w:id="97"/>
    </w:p>
    <w:p w14:paraId="115DE35E">
      <w:pPr>
        <w:snapToGrid w:val="0"/>
        <w:spacing w:beforeLines="50" w:after="50" w:line="360" w:lineRule="auto"/>
        <w:jc w:val="left"/>
        <w:rPr>
          <w:rFonts w:ascii="宋体"/>
          <w:b/>
          <w:bCs/>
          <w:color w:val="000000" w:themeColor="text1"/>
          <w:sz w:val="24"/>
          <w:szCs w:val="24"/>
          <w:highlight w:val="none"/>
          <w14:textFill>
            <w14:solidFill>
              <w14:schemeClr w14:val="tx1"/>
            </w14:solidFill>
          </w14:textFill>
        </w:rPr>
      </w:pPr>
      <w:r>
        <w:rPr>
          <w:rFonts w:ascii="宋体" w:hAnsi="宋体" w:cs="宋体"/>
          <w:b/>
          <w:bCs/>
          <w:color w:val="000000" w:themeColor="text1"/>
          <w:sz w:val="32"/>
          <w:szCs w:val="32"/>
          <w:highlight w:val="none"/>
          <w14:textFill>
            <w14:solidFill>
              <w14:schemeClr w14:val="tx1"/>
            </w14:solidFill>
          </w14:textFill>
        </w:rPr>
        <w:t>1.</w:t>
      </w:r>
      <w:r>
        <w:rPr>
          <w:rFonts w:hint="eastAsia" w:ascii="宋体" w:hAnsi="宋体" w:cs="宋体"/>
          <w:b/>
          <w:bCs/>
          <w:color w:val="000000" w:themeColor="text1"/>
          <w:sz w:val="32"/>
          <w:szCs w:val="32"/>
          <w:highlight w:val="none"/>
          <w14:textFill>
            <w14:solidFill>
              <w14:schemeClr w14:val="tx1"/>
            </w14:solidFill>
          </w14:textFill>
        </w:rPr>
        <w:t>资格证明文件封面格式：</w:t>
      </w:r>
      <w:r>
        <w:rPr>
          <w:rFonts w:ascii="宋体" w:hAnsi="宋体" w:cs="宋体"/>
          <w:b/>
          <w:bCs/>
          <w:color w:val="000000" w:themeColor="text1"/>
          <w:sz w:val="24"/>
          <w:szCs w:val="24"/>
          <w:highlight w:val="none"/>
          <w14:textFill>
            <w14:solidFill>
              <w14:schemeClr w14:val="tx1"/>
            </w14:solidFill>
          </w14:textFill>
        </w:rPr>
        <w:t xml:space="preserve"> </w:t>
      </w:r>
    </w:p>
    <w:p w14:paraId="4704C3ED">
      <w:pPr>
        <w:snapToGrid w:val="0"/>
        <w:spacing w:beforeLines="50" w:after="50"/>
        <w:rPr>
          <w:rFonts w:ascii="宋体"/>
          <w:color w:val="000000" w:themeColor="text1"/>
          <w:sz w:val="32"/>
          <w:szCs w:val="32"/>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 xml:space="preserve">                                                    </w:t>
      </w:r>
    </w:p>
    <w:p w14:paraId="77CD9666">
      <w:pPr>
        <w:snapToGrid w:val="0"/>
        <w:spacing w:beforeLines="50" w:after="50"/>
        <w:rPr>
          <w:rFonts w:ascii="宋体"/>
          <w:color w:val="000000" w:themeColor="text1"/>
          <w:sz w:val="24"/>
          <w:szCs w:val="24"/>
          <w:highlight w:val="none"/>
          <w14:textFill>
            <w14:solidFill>
              <w14:schemeClr w14:val="tx1"/>
            </w14:solidFill>
          </w14:textFill>
        </w:rPr>
      </w:pPr>
    </w:p>
    <w:p w14:paraId="76B7F138">
      <w:pPr>
        <w:snapToGrid w:val="0"/>
        <w:spacing w:beforeLines="50" w:after="50"/>
        <w:jc w:val="center"/>
        <w:rPr>
          <w:rFonts w:ascii="宋体"/>
          <w:color w:val="000000" w:themeColor="text1"/>
          <w:sz w:val="84"/>
          <w:szCs w:val="84"/>
          <w:highlight w:val="none"/>
          <w14:textFill>
            <w14:solidFill>
              <w14:schemeClr w14:val="tx1"/>
            </w14:solidFill>
          </w14:textFill>
        </w:rPr>
      </w:pPr>
      <w:r>
        <w:rPr>
          <w:rFonts w:hint="eastAsia" w:ascii="宋体" w:hAnsi="宋体" w:cs="宋体"/>
          <w:color w:val="000000" w:themeColor="text1"/>
          <w:sz w:val="84"/>
          <w:szCs w:val="84"/>
          <w:highlight w:val="none"/>
          <w14:textFill>
            <w14:solidFill>
              <w14:schemeClr w14:val="tx1"/>
            </w14:solidFill>
          </w14:textFill>
        </w:rPr>
        <w:t>响</w:t>
      </w:r>
      <w:r>
        <w:rPr>
          <w:rFonts w:ascii="宋体" w:hAnsi="宋体" w:cs="宋体"/>
          <w:color w:val="000000" w:themeColor="text1"/>
          <w:sz w:val="84"/>
          <w:szCs w:val="84"/>
          <w:highlight w:val="none"/>
          <w14:textFill>
            <w14:solidFill>
              <w14:schemeClr w14:val="tx1"/>
            </w14:solidFill>
          </w14:textFill>
        </w:rPr>
        <w:t xml:space="preserve">  </w:t>
      </w:r>
      <w:r>
        <w:rPr>
          <w:rFonts w:hint="eastAsia" w:ascii="宋体" w:hAnsi="宋体" w:cs="宋体"/>
          <w:color w:val="000000" w:themeColor="text1"/>
          <w:sz w:val="84"/>
          <w:szCs w:val="84"/>
          <w:highlight w:val="none"/>
          <w14:textFill>
            <w14:solidFill>
              <w14:schemeClr w14:val="tx1"/>
            </w14:solidFill>
          </w14:textFill>
        </w:rPr>
        <w:t>应</w:t>
      </w:r>
      <w:r>
        <w:rPr>
          <w:rFonts w:ascii="宋体" w:hAnsi="宋体" w:cs="宋体"/>
          <w:color w:val="000000" w:themeColor="text1"/>
          <w:sz w:val="84"/>
          <w:szCs w:val="84"/>
          <w:highlight w:val="none"/>
          <w14:textFill>
            <w14:solidFill>
              <w14:schemeClr w14:val="tx1"/>
            </w14:solidFill>
          </w14:textFill>
        </w:rPr>
        <w:t xml:space="preserve">  </w:t>
      </w:r>
      <w:r>
        <w:rPr>
          <w:rFonts w:hint="eastAsia" w:ascii="宋体" w:hAnsi="宋体" w:cs="宋体"/>
          <w:color w:val="000000" w:themeColor="text1"/>
          <w:sz w:val="84"/>
          <w:szCs w:val="84"/>
          <w:highlight w:val="none"/>
          <w14:textFill>
            <w14:solidFill>
              <w14:schemeClr w14:val="tx1"/>
            </w14:solidFill>
          </w14:textFill>
        </w:rPr>
        <w:t>文</w:t>
      </w:r>
      <w:r>
        <w:rPr>
          <w:rFonts w:ascii="宋体" w:hAnsi="宋体" w:cs="宋体"/>
          <w:color w:val="000000" w:themeColor="text1"/>
          <w:sz w:val="84"/>
          <w:szCs w:val="84"/>
          <w:highlight w:val="none"/>
          <w14:textFill>
            <w14:solidFill>
              <w14:schemeClr w14:val="tx1"/>
            </w14:solidFill>
          </w14:textFill>
        </w:rPr>
        <w:t xml:space="preserve">  </w:t>
      </w:r>
      <w:r>
        <w:rPr>
          <w:rFonts w:hint="eastAsia" w:ascii="宋体" w:hAnsi="宋体" w:cs="宋体"/>
          <w:color w:val="000000" w:themeColor="text1"/>
          <w:sz w:val="84"/>
          <w:szCs w:val="84"/>
          <w:highlight w:val="none"/>
          <w14:textFill>
            <w14:solidFill>
              <w14:schemeClr w14:val="tx1"/>
            </w14:solidFill>
          </w14:textFill>
        </w:rPr>
        <w:t>件</w:t>
      </w:r>
    </w:p>
    <w:p w14:paraId="58E76706">
      <w:pPr>
        <w:snapToGrid w:val="0"/>
        <w:spacing w:beforeLines="50" w:after="50"/>
        <w:jc w:val="center"/>
        <w:rPr>
          <w:rFonts w:ascii="宋体"/>
          <w:color w:val="000000" w:themeColor="text1"/>
          <w:sz w:val="44"/>
          <w:szCs w:val="44"/>
          <w:highlight w:val="none"/>
          <w14:textFill>
            <w14:solidFill>
              <w14:schemeClr w14:val="tx1"/>
            </w14:solidFill>
          </w14:textFill>
        </w:rPr>
      </w:pPr>
    </w:p>
    <w:p w14:paraId="666A22C1">
      <w:pPr>
        <w:snapToGrid w:val="0"/>
        <w:spacing w:beforeLines="50" w:after="50"/>
        <w:jc w:val="center"/>
        <w:rPr>
          <w:rFonts w:ascii="宋体"/>
          <w:color w:val="000000" w:themeColor="text1"/>
          <w:sz w:val="32"/>
          <w:szCs w:val="32"/>
          <w:highlight w:val="none"/>
          <w14:textFill>
            <w14:solidFill>
              <w14:schemeClr w14:val="tx1"/>
            </w14:solidFill>
          </w14:textFill>
        </w:rPr>
      </w:pPr>
      <w:r>
        <w:rPr>
          <w:rFonts w:hint="eastAsia" w:ascii="宋体" w:hAnsi="宋体" w:cs="宋体"/>
          <w:color w:val="000000" w:themeColor="text1"/>
          <w:sz w:val="32"/>
          <w:szCs w:val="32"/>
          <w:highlight w:val="none"/>
          <w14:textFill>
            <w14:solidFill>
              <w14:schemeClr w14:val="tx1"/>
            </w14:solidFill>
          </w14:textFill>
        </w:rPr>
        <w:t>资</w:t>
      </w:r>
      <w:r>
        <w:rPr>
          <w:rFonts w:ascii="宋体" w:hAnsi="宋体" w:cs="宋体"/>
          <w:color w:val="000000" w:themeColor="text1"/>
          <w:sz w:val="32"/>
          <w:szCs w:val="32"/>
          <w:highlight w:val="none"/>
          <w14:textFill>
            <w14:solidFill>
              <w14:schemeClr w14:val="tx1"/>
            </w14:solidFill>
          </w14:textFill>
        </w:rPr>
        <w:t xml:space="preserve">  </w:t>
      </w:r>
      <w:r>
        <w:rPr>
          <w:rFonts w:hint="eastAsia" w:ascii="宋体" w:hAnsi="宋体" w:cs="宋体"/>
          <w:color w:val="000000" w:themeColor="text1"/>
          <w:sz w:val="32"/>
          <w:szCs w:val="32"/>
          <w:highlight w:val="none"/>
          <w14:textFill>
            <w14:solidFill>
              <w14:schemeClr w14:val="tx1"/>
            </w14:solidFill>
          </w14:textFill>
        </w:rPr>
        <w:t>格</w:t>
      </w:r>
      <w:r>
        <w:rPr>
          <w:rFonts w:ascii="宋体" w:hAnsi="宋体" w:cs="宋体"/>
          <w:color w:val="000000" w:themeColor="text1"/>
          <w:sz w:val="32"/>
          <w:szCs w:val="32"/>
          <w:highlight w:val="none"/>
          <w14:textFill>
            <w14:solidFill>
              <w14:schemeClr w14:val="tx1"/>
            </w14:solidFill>
          </w14:textFill>
        </w:rPr>
        <w:t xml:space="preserve">  </w:t>
      </w:r>
      <w:r>
        <w:rPr>
          <w:rFonts w:hint="eastAsia" w:ascii="宋体" w:hAnsi="宋体" w:cs="宋体"/>
          <w:color w:val="000000" w:themeColor="text1"/>
          <w:sz w:val="32"/>
          <w:szCs w:val="32"/>
          <w:highlight w:val="none"/>
          <w14:textFill>
            <w14:solidFill>
              <w14:schemeClr w14:val="tx1"/>
            </w14:solidFill>
          </w14:textFill>
        </w:rPr>
        <w:t>证</w:t>
      </w:r>
      <w:r>
        <w:rPr>
          <w:rFonts w:ascii="宋体" w:hAnsi="宋体" w:cs="宋体"/>
          <w:color w:val="000000" w:themeColor="text1"/>
          <w:sz w:val="32"/>
          <w:szCs w:val="32"/>
          <w:highlight w:val="none"/>
          <w14:textFill>
            <w14:solidFill>
              <w14:schemeClr w14:val="tx1"/>
            </w14:solidFill>
          </w14:textFill>
        </w:rPr>
        <w:t xml:space="preserve">  </w:t>
      </w:r>
      <w:r>
        <w:rPr>
          <w:rFonts w:hint="eastAsia" w:ascii="宋体" w:hAnsi="宋体" w:cs="宋体"/>
          <w:color w:val="000000" w:themeColor="text1"/>
          <w:sz w:val="32"/>
          <w:szCs w:val="32"/>
          <w:highlight w:val="none"/>
          <w14:textFill>
            <w14:solidFill>
              <w14:schemeClr w14:val="tx1"/>
            </w14:solidFill>
          </w14:textFill>
        </w:rPr>
        <w:t>明</w:t>
      </w:r>
      <w:r>
        <w:rPr>
          <w:rFonts w:ascii="宋体" w:hAnsi="宋体" w:cs="宋体"/>
          <w:color w:val="000000" w:themeColor="text1"/>
          <w:sz w:val="32"/>
          <w:szCs w:val="32"/>
          <w:highlight w:val="none"/>
          <w14:textFill>
            <w14:solidFill>
              <w14:schemeClr w14:val="tx1"/>
            </w14:solidFill>
          </w14:textFill>
        </w:rPr>
        <w:t xml:space="preserve">  </w:t>
      </w:r>
      <w:r>
        <w:rPr>
          <w:rFonts w:hint="eastAsia" w:ascii="宋体" w:hAnsi="宋体" w:cs="宋体"/>
          <w:color w:val="000000" w:themeColor="text1"/>
          <w:sz w:val="32"/>
          <w:szCs w:val="32"/>
          <w:highlight w:val="none"/>
          <w14:textFill>
            <w14:solidFill>
              <w14:schemeClr w14:val="tx1"/>
            </w14:solidFill>
          </w14:textFill>
        </w:rPr>
        <w:t>文</w:t>
      </w:r>
      <w:r>
        <w:rPr>
          <w:rFonts w:ascii="宋体" w:hAnsi="宋体" w:cs="宋体"/>
          <w:color w:val="000000" w:themeColor="text1"/>
          <w:sz w:val="32"/>
          <w:szCs w:val="32"/>
          <w:highlight w:val="none"/>
          <w14:textFill>
            <w14:solidFill>
              <w14:schemeClr w14:val="tx1"/>
            </w14:solidFill>
          </w14:textFill>
        </w:rPr>
        <w:t xml:space="preserve">  </w:t>
      </w:r>
      <w:r>
        <w:rPr>
          <w:rFonts w:hint="eastAsia" w:ascii="宋体" w:hAnsi="宋体" w:cs="宋体"/>
          <w:color w:val="000000" w:themeColor="text1"/>
          <w:sz w:val="32"/>
          <w:szCs w:val="32"/>
          <w:highlight w:val="none"/>
          <w14:textFill>
            <w14:solidFill>
              <w14:schemeClr w14:val="tx1"/>
            </w14:solidFill>
          </w14:textFill>
        </w:rPr>
        <w:t>件</w:t>
      </w:r>
    </w:p>
    <w:p w14:paraId="1E0790A9">
      <w:pPr>
        <w:snapToGrid w:val="0"/>
        <w:spacing w:beforeLines="50" w:after="50"/>
        <w:rPr>
          <w:rFonts w:ascii="宋体"/>
          <w:color w:val="000000" w:themeColor="text1"/>
          <w:sz w:val="24"/>
          <w:szCs w:val="24"/>
          <w:highlight w:val="none"/>
          <w14:textFill>
            <w14:solidFill>
              <w14:schemeClr w14:val="tx1"/>
            </w14:solidFill>
          </w14:textFill>
        </w:rPr>
      </w:pPr>
    </w:p>
    <w:p w14:paraId="215D8ABB">
      <w:pPr>
        <w:snapToGrid w:val="0"/>
        <w:spacing w:beforeLines="50" w:after="50"/>
        <w:rPr>
          <w:rFonts w:ascii="宋体"/>
          <w:color w:val="000000" w:themeColor="text1"/>
          <w:sz w:val="24"/>
          <w:szCs w:val="24"/>
          <w:highlight w:val="none"/>
          <w14:textFill>
            <w14:solidFill>
              <w14:schemeClr w14:val="tx1"/>
            </w14:solidFill>
          </w14:textFill>
        </w:rPr>
      </w:pPr>
    </w:p>
    <w:p w14:paraId="1D9230CF">
      <w:pPr>
        <w:snapToGrid w:val="0"/>
        <w:spacing w:beforeLines="50" w:after="50"/>
        <w:rPr>
          <w:rFonts w:ascii="宋体"/>
          <w:color w:val="000000" w:themeColor="text1"/>
          <w:sz w:val="24"/>
          <w:szCs w:val="24"/>
          <w:highlight w:val="none"/>
          <w14:textFill>
            <w14:solidFill>
              <w14:schemeClr w14:val="tx1"/>
            </w14:solidFill>
          </w14:textFill>
        </w:rPr>
      </w:pPr>
    </w:p>
    <w:p w14:paraId="1360302F">
      <w:pPr>
        <w:snapToGrid w:val="0"/>
        <w:spacing w:beforeLines="50" w:after="50"/>
        <w:ind w:firstLine="640" w:firstLineChars="200"/>
        <w:rPr>
          <w:rFonts w:ascii="宋体"/>
          <w:color w:val="000000" w:themeColor="text1"/>
          <w:sz w:val="32"/>
          <w:szCs w:val="32"/>
          <w:highlight w:val="none"/>
          <w14:textFill>
            <w14:solidFill>
              <w14:schemeClr w14:val="tx1"/>
            </w14:solidFill>
          </w14:textFill>
        </w:rPr>
      </w:pPr>
      <w:r>
        <w:rPr>
          <w:rFonts w:hint="eastAsia" w:ascii="宋体" w:hAnsi="宋体" w:cs="宋体"/>
          <w:color w:val="000000" w:themeColor="text1"/>
          <w:sz w:val="32"/>
          <w:szCs w:val="32"/>
          <w:highlight w:val="none"/>
          <w14:textFill>
            <w14:solidFill>
              <w14:schemeClr w14:val="tx1"/>
            </w14:solidFill>
          </w14:textFill>
        </w:rPr>
        <w:t>项目名称：</w:t>
      </w:r>
    </w:p>
    <w:p w14:paraId="07F85384">
      <w:pPr>
        <w:snapToGrid w:val="0"/>
        <w:spacing w:beforeLines="50" w:after="50"/>
        <w:ind w:firstLine="720" w:firstLineChars="225"/>
        <w:rPr>
          <w:rFonts w:ascii="宋体"/>
          <w:color w:val="000000" w:themeColor="text1"/>
          <w:sz w:val="32"/>
          <w:szCs w:val="32"/>
          <w:highlight w:val="none"/>
          <w14:textFill>
            <w14:solidFill>
              <w14:schemeClr w14:val="tx1"/>
            </w14:solidFill>
          </w14:textFill>
        </w:rPr>
      </w:pPr>
    </w:p>
    <w:p w14:paraId="15D738C4">
      <w:pPr>
        <w:snapToGrid w:val="0"/>
        <w:spacing w:beforeLines="50" w:after="50"/>
        <w:ind w:firstLine="720" w:firstLineChars="225"/>
        <w:rPr>
          <w:rFonts w:ascii="宋体"/>
          <w:color w:val="000000" w:themeColor="text1"/>
          <w:sz w:val="32"/>
          <w:szCs w:val="32"/>
          <w:highlight w:val="none"/>
          <w14:textFill>
            <w14:solidFill>
              <w14:schemeClr w14:val="tx1"/>
            </w14:solidFill>
          </w14:textFill>
        </w:rPr>
      </w:pPr>
      <w:r>
        <w:rPr>
          <w:rFonts w:hint="eastAsia" w:ascii="宋体" w:hAnsi="宋体" w:cs="宋体"/>
          <w:color w:val="000000" w:themeColor="text1"/>
          <w:sz w:val="32"/>
          <w:szCs w:val="32"/>
          <w:highlight w:val="none"/>
          <w14:textFill>
            <w14:solidFill>
              <w14:schemeClr w14:val="tx1"/>
            </w14:solidFill>
          </w14:textFill>
        </w:rPr>
        <w:t>项目编号：</w:t>
      </w:r>
    </w:p>
    <w:p w14:paraId="78D3FBC5">
      <w:pPr>
        <w:snapToGrid w:val="0"/>
        <w:spacing w:beforeLines="50" w:after="50"/>
        <w:ind w:firstLine="720" w:firstLineChars="225"/>
        <w:rPr>
          <w:rFonts w:ascii="宋体"/>
          <w:color w:val="000000" w:themeColor="text1"/>
          <w:sz w:val="32"/>
          <w:szCs w:val="32"/>
          <w:highlight w:val="none"/>
          <w14:textFill>
            <w14:solidFill>
              <w14:schemeClr w14:val="tx1"/>
            </w14:solidFill>
          </w14:textFill>
        </w:rPr>
      </w:pPr>
      <w:r>
        <w:rPr>
          <w:rFonts w:ascii="宋体" w:hAnsi="宋体" w:cs="宋体"/>
          <w:color w:val="000000" w:themeColor="text1"/>
          <w:sz w:val="32"/>
          <w:szCs w:val="32"/>
          <w:highlight w:val="none"/>
          <w14:textFill>
            <w14:solidFill>
              <w14:schemeClr w14:val="tx1"/>
            </w14:solidFill>
          </w14:textFill>
        </w:rPr>
        <w:t xml:space="preserve"> </w:t>
      </w:r>
    </w:p>
    <w:p w14:paraId="45241D1A">
      <w:pPr>
        <w:pStyle w:val="8"/>
        <w:snapToGrid w:val="0"/>
        <w:spacing w:before="50" w:after="50"/>
        <w:ind w:firstLine="720" w:firstLineChars="225"/>
        <w:rPr>
          <w:rFonts w:ascii="宋体"/>
          <w:color w:val="000000" w:themeColor="text1"/>
          <w:sz w:val="32"/>
          <w:szCs w:val="32"/>
          <w:highlight w:val="none"/>
          <w14:textFill>
            <w14:solidFill>
              <w14:schemeClr w14:val="tx1"/>
            </w14:solidFill>
          </w14:textFill>
        </w:rPr>
      </w:pPr>
      <w:r>
        <w:rPr>
          <w:rFonts w:hint="eastAsia" w:ascii="宋体" w:hAnsi="宋体" w:cs="宋体"/>
          <w:color w:val="000000" w:themeColor="text1"/>
          <w:sz w:val="32"/>
          <w:szCs w:val="32"/>
          <w:highlight w:val="none"/>
          <w14:textFill>
            <w14:solidFill>
              <w14:schemeClr w14:val="tx1"/>
            </w14:solidFill>
          </w14:textFill>
        </w:rPr>
        <w:t>供应商名称：</w:t>
      </w:r>
    </w:p>
    <w:p w14:paraId="605C510E">
      <w:pPr>
        <w:pStyle w:val="8"/>
        <w:snapToGrid w:val="0"/>
        <w:spacing w:before="50" w:after="50"/>
        <w:ind w:firstLine="720" w:firstLineChars="225"/>
        <w:rPr>
          <w:rFonts w:ascii="宋体"/>
          <w:color w:val="000000" w:themeColor="text1"/>
          <w:sz w:val="32"/>
          <w:szCs w:val="32"/>
          <w:highlight w:val="none"/>
          <w14:textFill>
            <w14:solidFill>
              <w14:schemeClr w14:val="tx1"/>
            </w14:solidFill>
          </w14:textFill>
        </w:rPr>
      </w:pPr>
    </w:p>
    <w:p w14:paraId="755C6D21">
      <w:pPr>
        <w:pStyle w:val="8"/>
        <w:snapToGrid w:val="0"/>
        <w:spacing w:before="50" w:after="50"/>
        <w:ind w:firstLine="720" w:firstLineChars="225"/>
        <w:rPr>
          <w:rFonts w:ascii="宋体"/>
          <w:color w:val="000000" w:themeColor="text1"/>
          <w:sz w:val="32"/>
          <w:szCs w:val="32"/>
          <w:highlight w:val="none"/>
          <w14:textFill>
            <w14:solidFill>
              <w14:schemeClr w14:val="tx1"/>
            </w14:solidFill>
          </w14:textFill>
        </w:rPr>
      </w:pPr>
    </w:p>
    <w:p w14:paraId="4268DA7B">
      <w:pPr>
        <w:pStyle w:val="8"/>
        <w:snapToGrid w:val="0"/>
        <w:spacing w:before="50" w:after="50"/>
        <w:ind w:firstLine="1280" w:firstLineChars="400"/>
        <w:rPr>
          <w:rFonts w:ascii="宋体"/>
          <w:color w:val="000000" w:themeColor="text1"/>
          <w:sz w:val="32"/>
          <w:szCs w:val="32"/>
          <w:highlight w:val="none"/>
          <w14:textFill>
            <w14:solidFill>
              <w14:schemeClr w14:val="tx1"/>
            </w14:solidFill>
          </w14:textFill>
        </w:rPr>
      </w:pPr>
    </w:p>
    <w:p w14:paraId="16C389E8">
      <w:pPr>
        <w:snapToGrid w:val="0"/>
        <w:spacing w:beforeLines="50" w:after="50"/>
        <w:jc w:val="center"/>
        <w:rPr>
          <w:rFonts w:ascii="宋体"/>
          <w:color w:val="000000" w:themeColor="text1"/>
          <w:sz w:val="32"/>
          <w:szCs w:val="32"/>
          <w:highlight w:val="none"/>
          <w14:textFill>
            <w14:solidFill>
              <w14:schemeClr w14:val="tx1"/>
            </w14:solidFill>
          </w14:textFill>
        </w:rPr>
      </w:pPr>
      <w:r>
        <w:rPr>
          <w:rFonts w:hint="eastAsia" w:ascii="宋体" w:hAnsi="宋体" w:cs="宋体"/>
          <w:color w:val="000000" w:themeColor="text1"/>
          <w:sz w:val="32"/>
          <w:szCs w:val="32"/>
          <w:highlight w:val="none"/>
          <w14:textFill>
            <w14:solidFill>
              <w14:schemeClr w14:val="tx1"/>
            </w14:solidFill>
          </w14:textFill>
        </w:rPr>
        <w:t>年</w:t>
      </w:r>
      <w:r>
        <w:rPr>
          <w:rFonts w:ascii="宋体" w:hAnsi="宋体" w:cs="宋体"/>
          <w:color w:val="000000" w:themeColor="text1"/>
          <w:sz w:val="32"/>
          <w:szCs w:val="32"/>
          <w:highlight w:val="none"/>
          <w14:textFill>
            <w14:solidFill>
              <w14:schemeClr w14:val="tx1"/>
            </w14:solidFill>
          </w14:textFill>
        </w:rPr>
        <w:t xml:space="preserve">    </w:t>
      </w:r>
      <w:r>
        <w:rPr>
          <w:rFonts w:hint="eastAsia" w:ascii="宋体" w:hAnsi="宋体" w:cs="宋体"/>
          <w:color w:val="000000" w:themeColor="text1"/>
          <w:sz w:val="32"/>
          <w:szCs w:val="32"/>
          <w:highlight w:val="none"/>
          <w14:textFill>
            <w14:solidFill>
              <w14:schemeClr w14:val="tx1"/>
            </w14:solidFill>
          </w14:textFill>
        </w:rPr>
        <w:t>月</w:t>
      </w:r>
      <w:r>
        <w:rPr>
          <w:rFonts w:ascii="宋体" w:hAnsi="宋体" w:cs="宋体"/>
          <w:color w:val="000000" w:themeColor="text1"/>
          <w:sz w:val="32"/>
          <w:szCs w:val="32"/>
          <w:highlight w:val="none"/>
          <w14:textFill>
            <w14:solidFill>
              <w14:schemeClr w14:val="tx1"/>
            </w14:solidFill>
          </w14:textFill>
        </w:rPr>
        <w:t xml:space="preserve">    </w:t>
      </w:r>
      <w:r>
        <w:rPr>
          <w:rFonts w:hint="eastAsia" w:ascii="宋体" w:hAnsi="宋体" w:cs="宋体"/>
          <w:color w:val="000000" w:themeColor="text1"/>
          <w:sz w:val="32"/>
          <w:szCs w:val="32"/>
          <w:highlight w:val="none"/>
          <w14:textFill>
            <w14:solidFill>
              <w14:schemeClr w14:val="tx1"/>
            </w14:solidFill>
          </w14:textFill>
        </w:rPr>
        <w:t>日</w:t>
      </w:r>
    </w:p>
    <w:p w14:paraId="34C9EA15">
      <w:pPr>
        <w:snapToGrid w:val="0"/>
        <w:spacing w:beforeLines="50" w:after="50" w:line="360" w:lineRule="auto"/>
        <w:ind w:left="142"/>
        <w:jc w:val="left"/>
        <w:rPr>
          <w:rFonts w:ascii="宋体"/>
          <w:b/>
          <w:bCs/>
          <w:color w:val="000000" w:themeColor="text1"/>
          <w:sz w:val="32"/>
          <w:szCs w:val="32"/>
          <w:highlight w:val="none"/>
          <w14:textFill>
            <w14:solidFill>
              <w14:schemeClr w14:val="tx1"/>
            </w14:solidFill>
          </w14:textFill>
        </w:rPr>
      </w:pPr>
      <w:r>
        <w:rPr>
          <w:rFonts w:ascii="宋体"/>
          <w:color w:val="000000" w:themeColor="text1"/>
          <w:sz w:val="24"/>
          <w:szCs w:val="24"/>
          <w:highlight w:val="none"/>
          <w14:textFill>
            <w14:solidFill>
              <w14:schemeClr w14:val="tx1"/>
            </w14:solidFill>
          </w14:textFill>
        </w:rPr>
        <w:br w:type="page"/>
      </w:r>
      <w:r>
        <w:rPr>
          <w:rFonts w:ascii="宋体" w:hAnsi="宋体" w:cs="宋体"/>
          <w:b/>
          <w:bCs/>
          <w:color w:val="000000" w:themeColor="text1"/>
          <w:sz w:val="32"/>
          <w:szCs w:val="32"/>
          <w:highlight w:val="none"/>
          <w14:textFill>
            <w14:solidFill>
              <w14:schemeClr w14:val="tx1"/>
            </w14:solidFill>
          </w14:textFill>
        </w:rPr>
        <w:t>2.</w:t>
      </w:r>
      <w:r>
        <w:rPr>
          <w:rFonts w:hint="eastAsia" w:ascii="宋体" w:hAnsi="宋体" w:cs="宋体"/>
          <w:b/>
          <w:bCs/>
          <w:color w:val="000000" w:themeColor="text1"/>
          <w:sz w:val="32"/>
          <w:szCs w:val="32"/>
          <w:highlight w:val="none"/>
          <w14:textFill>
            <w14:solidFill>
              <w14:schemeClr w14:val="tx1"/>
            </w14:solidFill>
          </w14:textFill>
        </w:rPr>
        <w:t>资格证明文件目录</w:t>
      </w:r>
    </w:p>
    <w:p w14:paraId="4EDE95E7">
      <w:pPr>
        <w:snapToGrid w:val="0"/>
        <w:spacing w:beforeLines="50" w:after="50" w:line="360" w:lineRule="auto"/>
        <w:ind w:firstLine="645"/>
        <w:rPr>
          <w:rFonts w:ascii="宋体"/>
          <w:color w:val="000000" w:themeColor="text1"/>
          <w:sz w:val="32"/>
          <w:szCs w:val="32"/>
          <w:highlight w:val="none"/>
          <w14:textFill>
            <w14:solidFill>
              <w14:schemeClr w14:val="tx1"/>
            </w14:solidFill>
          </w14:textFill>
        </w:rPr>
      </w:pPr>
      <w:r>
        <w:rPr>
          <w:rFonts w:hint="eastAsia" w:ascii="宋体" w:hAnsi="宋体" w:cs="宋体"/>
          <w:color w:val="000000" w:themeColor="text1"/>
          <w:sz w:val="32"/>
          <w:szCs w:val="32"/>
          <w:highlight w:val="none"/>
          <w14:textFill>
            <w14:solidFill>
              <w14:schemeClr w14:val="tx1"/>
            </w14:solidFill>
          </w14:textFill>
        </w:rPr>
        <w:t>根据磋商文件规定及供应商提供的材料自行编写目录（部分格式后附）。</w:t>
      </w:r>
    </w:p>
    <w:p w14:paraId="1A4CBADF">
      <w:pPr>
        <w:snapToGrid w:val="0"/>
        <w:spacing w:beforeLines="50" w:after="50"/>
        <w:rPr>
          <w:rFonts w:ascii="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 xml:space="preserve"> </w:t>
      </w:r>
    </w:p>
    <w:p w14:paraId="0E6E5802">
      <w:pPr>
        <w:spacing w:line="300" w:lineRule="auto"/>
        <w:rPr>
          <w:rFonts w:ascii="宋体"/>
          <w:color w:val="000000" w:themeColor="text1"/>
          <w:highlight w:val="none"/>
          <w14:textFill>
            <w14:solidFill>
              <w14:schemeClr w14:val="tx1"/>
            </w14:solidFill>
          </w14:textFill>
        </w:rPr>
      </w:pPr>
    </w:p>
    <w:p w14:paraId="38E4BFEF">
      <w:pPr>
        <w:spacing w:line="300" w:lineRule="auto"/>
        <w:rPr>
          <w:rFonts w:ascii="宋体"/>
          <w:color w:val="000000" w:themeColor="text1"/>
          <w:highlight w:val="none"/>
          <w14:textFill>
            <w14:solidFill>
              <w14:schemeClr w14:val="tx1"/>
            </w14:solidFill>
          </w14:textFill>
        </w:rPr>
      </w:pPr>
    </w:p>
    <w:p w14:paraId="6A3AD5B4">
      <w:pPr>
        <w:spacing w:line="300" w:lineRule="auto"/>
        <w:rPr>
          <w:rFonts w:ascii="宋体"/>
          <w:color w:val="000000" w:themeColor="text1"/>
          <w:highlight w:val="none"/>
          <w14:textFill>
            <w14:solidFill>
              <w14:schemeClr w14:val="tx1"/>
            </w14:solidFill>
          </w14:textFill>
        </w:rPr>
      </w:pPr>
    </w:p>
    <w:p w14:paraId="2CA73B8A">
      <w:pPr>
        <w:spacing w:line="300" w:lineRule="auto"/>
        <w:rPr>
          <w:rFonts w:ascii="宋体"/>
          <w:color w:val="000000" w:themeColor="text1"/>
          <w:highlight w:val="none"/>
          <w14:textFill>
            <w14:solidFill>
              <w14:schemeClr w14:val="tx1"/>
            </w14:solidFill>
          </w14:textFill>
        </w:rPr>
      </w:pPr>
    </w:p>
    <w:p w14:paraId="6DB2DC9A">
      <w:pPr>
        <w:spacing w:line="300" w:lineRule="auto"/>
        <w:rPr>
          <w:rFonts w:ascii="宋体"/>
          <w:color w:val="000000" w:themeColor="text1"/>
          <w:highlight w:val="none"/>
          <w14:textFill>
            <w14:solidFill>
              <w14:schemeClr w14:val="tx1"/>
            </w14:solidFill>
          </w14:textFill>
        </w:rPr>
      </w:pPr>
    </w:p>
    <w:p w14:paraId="3762647B">
      <w:pPr>
        <w:spacing w:line="300" w:lineRule="auto"/>
        <w:rPr>
          <w:rFonts w:ascii="宋体"/>
          <w:color w:val="000000" w:themeColor="text1"/>
          <w:highlight w:val="none"/>
          <w14:textFill>
            <w14:solidFill>
              <w14:schemeClr w14:val="tx1"/>
            </w14:solidFill>
          </w14:textFill>
        </w:rPr>
      </w:pPr>
    </w:p>
    <w:p w14:paraId="588B35AA">
      <w:pPr>
        <w:spacing w:line="300" w:lineRule="auto"/>
        <w:rPr>
          <w:rFonts w:ascii="宋体"/>
          <w:color w:val="000000" w:themeColor="text1"/>
          <w:highlight w:val="none"/>
          <w14:textFill>
            <w14:solidFill>
              <w14:schemeClr w14:val="tx1"/>
            </w14:solidFill>
          </w14:textFill>
        </w:rPr>
      </w:pPr>
    </w:p>
    <w:p w14:paraId="254B5C8E">
      <w:pPr>
        <w:spacing w:line="300" w:lineRule="auto"/>
        <w:rPr>
          <w:rFonts w:ascii="宋体"/>
          <w:color w:val="000000" w:themeColor="text1"/>
          <w:highlight w:val="none"/>
          <w14:textFill>
            <w14:solidFill>
              <w14:schemeClr w14:val="tx1"/>
            </w14:solidFill>
          </w14:textFill>
        </w:rPr>
      </w:pPr>
    </w:p>
    <w:p w14:paraId="102A3F94">
      <w:pPr>
        <w:spacing w:line="300" w:lineRule="auto"/>
        <w:rPr>
          <w:rFonts w:ascii="宋体"/>
          <w:color w:val="000000" w:themeColor="text1"/>
          <w:highlight w:val="none"/>
          <w14:textFill>
            <w14:solidFill>
              <w14:schemeClr w14:val="tx1"/>
            </w14:solidFill>
          </w14:textFill>
        </w:rPr>
      </w:pPr>
    </w:p>
    <w:p w14:paraId="7066DE72">
      <w:pPr>
        <w:spacing w:line="300" w:lineRule="auto"/>
        <w:rPr>
          <w:rFonts w:ascii="宋体"/>
          <w:color w:val="000000" w:themeColor="text1"/>
          <w:highlight w:val="none"/>
          <w14:textFill>
            <w14:solidFill>
              <w14:schemeClr w14:val="tx1"/>
            </w14:solidFill>
          </w14:textFill>
        </w:rPr>
      </w:pPr>
    </w:p>
    <w:p w14:paraId="6929A941">
      <w:pPr>
        <w:spacing w:line="300" w:lineRule="auto"/>
        <w:rPr>
          <w:rFonts w:ascii="宋体"/>
          <w:color w:val="000000" w:themeColor="text1"/>
          <w:highlight w:val="none"/>
          <w14:textFill>
            <w14:solidFill>
              <w14:schemeClr w14:val="tx1"/>
            </w14:solidFill>
          </w14:textFill>
        </w:rPr>
      </w:pPr>
    </w:p>
    <w:p w14:paraId="41DA46B5">
      <w:pPr>
        <w:spacing w:line="300" w:lineRule="auto"/>
        <w:rPr>
          <w:rFonts w:ascii="宋体"/>
          <w:color w:val="000000" w:themeColor="text1"/>
          <w:highlight w:val="none"/>
          <w14:textFill>
            <w14:solidFill>
              <w14:schemeClr w14:val="tx1"/>
            </w14:solidFill>
          </w14:textFill>
        </w:rPr>
      </w:pPr>
    </w:p>
    <w:p w14:paraId="7E176D6F">
      <w:pPr>
        <w:spacing w:line="300" w:lineRule="auto"/>
        <w:rPr>
          <w:rFonts w:ascii="宋体"/>
          <w:color w:val="000000" w:themeColor="text1"/>
          <w:highlight w:val="none"/>
          <w14:textFill>
            <w14:solidFill>
              <w14:schemeClr w14:val="tx1"/>
            </w14:solidFill>
          </w14:textFill>
        </w:rPr>
      </w:pPr>
    </w:p>
    <w:p w14:paraId="415C08E8">
      <w:pPr>
        <w:spacing w:line="300" w:lineRule="auto"/>
        <w:rPr>
          <w:rFonts w:ascii="宋体"/>
          <w:color w:val="000000" w:themeColor="text1"/>
          <w:highlight w:val="none"/>
          <w14:textFill>
            <w14:solidFill>
              <w14:schemeClr w14:val="tx1"/>
            </w14:solidFill>
          </w14:textFill>
        </w:rPr>
      </w:pPr>
    </w:p>
    <w:p w14:paraId="2C5A14A0">
      <w:pPr>
        <w:spacing w:line="300" w:lineRule="auto"/>
        <w:rPr>
          <w:rFonts w:ascii="宋体"/>
          <w:color w:val="000000" w:themeColor="text1"/>
          <w:highlight w:val="none"/>
          <w14:textFill>
            <w14:solidFill>
              <w14:schemeClr w14:val="tx1"/>
            </w14:solidFill>
          </w14:textFill>
        </w:rPr>
      </w:pPr>
    </w:p>
    <w:p w14:paraId="42D6A9DE">
      <w:pPr>
        <w:spacing w:line="320" w:lineRule="exact"/>
        <w:jc w:val="left"/>
        <w:rPr>
          <w:rFonts w:ascii="宋体"/>
          <w:color w:val="000000" w:themeColor="text1"/>
          <w:highlight w:val="none"/>
          <w14:textFill>
            <w14:solidFill>
              <w14:schemeClr w14:val="tx1"/>
            </w14:solidFill>
          </w14:textFill>
        </w:rPr>
      </w:pPr>
    </w:p>
    <w:p w14:paraId="0E3DAD6B">
      <w:pPr>
        <w:wordWrap w:val="0"/>
        <w:spacing w:beforeLines="50" w:after="50" w:line="320" w:lineRule="exact"/>
        <w:ind w:right="482" w:firstLine="210" w:firstLineChars="100"/>
        <w:jc w:val="center"/>
        <w:rPr>
          <w:rFonts w:ascii="宋体"/>
          <w:color w:val="000000" w:themeColor="text1"/>
          <w:highlight w:val="none"/>
          <w14:textFill>
            <w14:solidFill>
              <w14:schemeClr w14:val="tx1"/>
            </w14:solidFill>
          </w14:textFill>
        </w:rPr>
      </w:pPr>
    </w:p>
    <w:p w14:paraId="47A70C68">
      <w:pPr>
        <w:spacing w:line="320" w:lineRule="exact"/>
        <w:jc w:val="center"/>
        <w:rPr>
          <w:rFonts w:ascii="宋体"/>
          <w:b/>
          <w:bCs/>
          <w:color w:val="000000" w:themeColor="text1"/>
          <w:sz w:val="32"/>
          <w:szCs w:val="32"/>
          <w:highlight w:val="none"/>
          <w14:textFill>
            <w14:solidFill>
              <w14:schemeClr w14:val="tx1"/>
            </w14:solidFill>
          </w14:textFill>
        </w:rPr>
      </w:pPr>
    </w:p>
    <w:p w14:paraId="5634F59E">
      <w:pPr>
        <w:spacing w:line="320" w:lineRule="exact"/>
        <w:jc w:val="center"/>
        <w:rPr>
          <w:rFonts w:ascii="宋体"/>
          <w:b/>
          <w:bCs/>
          <w:color w:val="000000" w:themeColor="text1"/>
          <w:sz w:val="32"/>
          <w:szCs w:val="32"/>
          <w:highlight w:val="none"/>
          <w14:textFill>
            <w14:solidFill>
              <w14:schemeClr w14:val="tx1"/>
            </w14:solidFill>
          </w14:textFill>
        </w:rPr>
      </w:pPr>
    </w:p>
    <w:p w14:paraId="434A37BD">
      <w:pPr>
        <w:spacing w:line="320" w:lineRule="exact"/>
        <w:jc w:val="center"/>
        <w:rPr>
          <w:rFonts w:ascii="宋体"/>
          <w:b/>
          <w:bCs/>
          <w:color w:val="000000" w:themeColor="text1"/>
          <w:sz w:val="32"/>
          <w:szCs w:val="32"/>
          <w:highlight w:val="none"/>
          <w14:textFill>
            <w14:solidFill>
              <w14:schemeClr w14:val="tx1"/>
            </w14:solidFill>
          </w14:textFill>
        </w:rPr>
      </w:pPr>
    </w:p>
    <w:p w14:paraId="2D1DCBAB">
      <w:pPr>
        <w:spacing w:line="320" w:lineRule="exact"/>
        <w:jc w:val="center"/>
        <w:rPr>
          <w:rFonts w:ascii="宋体"/>
          <w:b/>
          <w:bCs/>
          <w:color w:val="000000" w:themeColor="text1"/>
          <w:sz w:val="32"/>
          <w:szCs w:val="32"/>
          <w:highlight w:val="none"/>
          <w14:textFill>
            <w14:solidFill>
              <w14:schemeClr w14:val="tx1"/>
            </w14:solidFill>
          </w14:textFill>
        </w:rPr>
      </w:pPr>
    </w:p>
    <w:p w14:paraId="5F4A187A">
      <w:pPr>
        <w:spacing w:line="320" w:lineRule="exact"/>
        <w:jc w:val="center"/>
        <w:rPr>
          <w:rFonts w:ascii="宋体"/>
          <w:b/>
          <w:bCs/>
          <w:color w:val="000000" w:themeColor="text1"/>
          <w:sz w:val="32"/>
          <w:szCs w:val="32"/>
          <w:highlight w:val="none"/>
          <w14:textFill>
            <w14:solidFill>
              <w14:schemeClr w14:val="tx1"/>
            </w14:solidFill>
          </w14:textFill>
        </w:rPr>
      </w:pPr>
    </w:p>
    <w:p w14:paraId="04476A35">
      <w:pPr>
        <w:spacing w:line="320" w:lineRule="exact"/>
        <w:jc w:val="center"/>
        <w:rPr>
          <w:rFonts w:ascii="宋体"/>
          <w:b/>
          <w:bCs/>
          <w:color w:val="000000" w:themeColor="text1"/>
          <w:sz w:val="32"/>
          <w:szCs w:val="32"/>
          <w:highlight w:val="none"/>
          <w14:textFill>
            <w14:solidFill>
              <w14:schemeClr w14:val="tx1"/>
            </w14:solidFill>
          </w14:textFill>
        </w:rPr>
      </w:pPr>
    </w:p>
    <w:p w14:paraId="477E7F2C">
      <w:pPr>
        <w:spacing w:line="320" w:lineRule="exact"/>
        <w:jc w:val="center"/>
        <w:rPr>
          <w:rFonts w:ascii="宋体"/>
          <w:b/>
          <w:bCs/>
          <w:color w:val="000000" w:themeColor="text1"/>
          <w:sz w:val="32"/>
          <w:szCs w:val="32"/>
          <w:highlight w:val="none"/>
          <w14:textFill>
            <w14:solidFill>
              <w14:schemeClr w14:val="tx1"/>
            </w14:solidFill>
          </w14:textFill>
        </w:rPr>
      </w:pPr>
    </w:p>
    <w:p w14:paraId="3283B932">
      <w:pPr>
        <w:spacing w:line="320" w:lineRule="exact"/>
        <w:jc w:val="center"/>
        <w:rPr>
          <w:rFonts w:ascii="宋体"/>
          <w:b/>
          <w:bCs/>
          <w:color w:val="000000" w:themeColor="text1"/>
          <w:sz w:val="32"/>
          <w:szCs w:val="32"/>
          <w:highlight w:val="none"/>
          <w14:textFill>
            <w14:solidFill>
              <w14:schemeClr w14:val="tx1"/>
            </w14:solidFill>
          </w14:textFill>
        </w:rPr>
      </w:pPr>
    </w:p>
    <w:p w14:paraId="5F2DE16B">
      <w:pPr>
        <w:spacing w:line="320" w:lineRule="exact"/>
        <w:jc w:val="center"/>
        <w:rPr>
          <w:rFonts w:ascii="宋体"/>
          <w:b/>
          <w:bCs/>
          <w:color w:val="000000" w:themeColor="text1"/>
          <w:sz w:val="32"/>
          <w:szCs w:val="32"/>
          <w:highlight w:val="none"/>
          <w14:textFill>
            <w14:solidFill>
              <w14:schemeClr w14:val="tx1"/>
            </w14:solidFill>
          </w14:textFill>
        </w:rPr>
      </w:pPr>
    </w:p>
    <w:p w14:paraId="7129400F">
      <w:pPr>
        <w:spacing w:line="320" w:lineRule="exact"/>
        <w:jc w:val="center"/>
        <w:rPr>
          <w:rFonts w:ascii="宋体"/>
          <w:b/>
          <w:bCs/>
          <w:color w:val="000000" w:themeColor="text1"/>
          <w:sz w:val="32"/>
          <w:szCs w:val="32"/>
          <w:highlight w:val="none"/>
          <w14:textFill>
            <w14:solidFill>
              <w14:schemeClr w14:val="tx1"/>
            </w14:solidFill>
          </w14:textFill>
        </w:rPr>
      </w:pPr>
    </w:p>
    <w:p w14:paraId="38793812">
      <w:pPr>
        <w:spacing w:line="320" w:lineRule="exact"/>
        <w:jc w:val="center"/>
        <w:rPr>
          <w:rFonts w:ascii="宋体"/>
          <w:b/>
          <w:bCs/>
          <w:color w:val="000000" w:themeColor="text1"/>
          <w:sz w:val="32"/>
          <w:szCs w:val="32"/>
          <w:highlight w:val="none"/>
          <w14:textFill>
            <w14:solidFill>
              <w14:schemeClr w14:val="tx1"/>
            </w14:solidFill>
          </w14:textFill>
        </w:rPr>
      </w:pPr>
    </w:p>
    <w:p w14:paraId="5D332B88">
      <w:pPr>
        <w:spacing w:line="320" w:lineRule="exact"/>
        <w:jc w:val="center"/>
        <w:rPr>
          <w:rFonts w:ascii="宋体"/>
          <w:b/>
          <w:bCs/>
          <w:color w:val="000000" w:themeColor="text1"/>
          <w:sz w:val="32"/>
          <w:szCs w:val="32"/>
          <w:highlight w:val="none"/>
          <w14:textFill>
            <w14:solidFill>
              <w14:schemeClr w14:val="tx1"/>
            </w14:solidFill>
          </w14:textFill>
        </w:rPr>
      </w:pPr>
    </w:p>
    <w:p w14:paraId="434EE01C">
      <w:pPr>
        <w:pStyle w:val="122"/>
        <w:ind w:firstLine="643"/>
        <w:rPr>
          <w:rFonts w:ascii="宋体"/>
          <w:b/>
          <w:bCs/>
          <w:color w:val="000000" w:themeColor="text1"/>
          <w:sz w:val="32"/>
          <w:szCs w:val="32"/>
          <w:highlight w:val="none"/>
          <w14:textFill>
            <w14:solidFill>
              <w14:schemeClr w14:val="tx1"/>
            </w14:solidFill>
          </w14:textFill>
        </w:rPr>
      </w:pPr>
    </w:p>
    <w:p w14:paraId="0C333A00">
      <w:pPr>
        <w:pStyle w:val="122"/>
        <w:ind w:firstLine="643"/>
        <w:rPr>
          <w:rFonts w:ascii="宋体"/>
          <w:b/>
          <w:bCs/>
          <w:color w:val="000000" w:themeColor="text1"/>
          <w:sz w:val="32"/>
          <w:szCs w:val="32"/>
          <w:highlight w:val="none"/>
          <w14:textFill>
            <w14:solidFill>
              <w14:schemeClr w14:val="tx1"/>
            </w14:solidFill>
          </w14:textFill>
        </w:rPr>
      </w:pPr>
    </w:p>
    <w:p w14:paraId="70184BAA">
      <w:pPr>
        <w:spacing w:line="320" w:lineRule="exact"/>
        <w:jc w:val="center"/>
        <w:rPr>
          <w:rFonts w:ascii="宋体"/>
          <w:b/>
          <w:bCs/>
          <w:color w:val="000000" w:themeColor="text1"/>
          <w:sz w:val="32"/>
          <w:szCs w:val="32"/>
          <w:highlight w:val="none"/>
          <w14:textFill>
            <w14:solidFill>
              <w14:schemeClr w14:val="tx1"/>
            </w14:solidFill>
          </w14:textFill>
        </w:rPr>
      </w:pPr>
    </w:p>
    <w:p w14:paraId="6DF4ACF7">
      <w:pPr>
        <w:spacing w:line="320" w:lineRule="exact"/>
        <w:jc w:val="center"/>
        <w:rPr>
          <w:rFonts w:ascii="宋体"/>
          <w:b/>
          <w:bCs/>
          <w:color w:val="000000" w:themeColor="text1"/>
          <w:sz w:val="32"/>
          <w:szCs w:val="32"/>
          <w:highlight w:val="none"/>
          <w14:textFill>
            <w14:solidFill>
              <w14:schemeClr w14:val="tx1"/>
            </w14:solidFill>
          </w14:textFill>
        </w:rPr>
      </w:pPr>
    </w:p>
    <w:p w14:paraId="01092268">
      <w:pPr>
        <w:autoSpaceDE w:val="0"/>
        <w:autoSpaceDN w:val="0"/>
        <w:adjustRightInd w:val="0"/>
        <w:jc w:val="center"/>
        <w:rPr>
          <w:rFonts w:ascii="宋体"/>
          <w:b/>
          <w:bCs/>
          <w:color w:val="000000" w:themeColor="text1"/>
          <w:sz w:val="36"/>
          <w:szCs w:val="36"/>
          <w:highlight w:val="none"/>
          <w14:textFill>
            <w14:solidFill>
              <w14:schemeClr w14:val="tx1"/>
            </w14:solidFill>
          </w14:textFill>
        </w:rPr>
      </w:pPr>
      <w:r>
        <w:rPr>
          <w:rFonts w:hint="eastAsia" w:ascii="宋体" w:hAnsi="宋体" w:cs="宋体"/>
          <w:b/>
          <w:bCs/>
          <w:color w:val="000000" w:themeColor="text1"/>
          <w:sz w:val="36"/>
          <w:szCs w:val="36"/>
          <w:highlight w:val="none"/>
          <w14:textFill>
            <w14:solidFill>
              <w14:schemeClr w14:val="tx1"/>
            </w14:solidFill>
          </w14:textFill>
        </w:rPr>
        <w:t>政府采购供应商资格信用承诺函</w:t>
      </w:r>
    </w:p>
    <w:p w14:paraId="20BFFCBE">
      <w:pPr>
        <w:pStyle w:val="47"/>
        <w:rPr>
          <w:rFonts w:ascii="宋体"/>
          <w:color w:val="000000" w:themeColor="text1"/>
          <w:highlight w:val="none"/>
          <w14:textFill>
            <w14:solidFill>
              <w14:schemeClr w14:val="tx1"/>
            </w14:solidFill>
          </w14:textFill>
        </w:rPr>
      </w:pPr>
    </w:p>
    <w:p w14:paraId="4E6B6623">
      <w:pPr>
        <w:autoSpaceDE w:val="0"/>
        <w:autoSpaceDN w:val="0"/>
        <w:adjustRightInd w:val="0"/>
        <w:spacing w:line="400" w:lineRule="exact"/>
        <w:rPr>
          <w:rFonts w:ascii="宋体"/>
          <w:color w:val="000000" w:themeColor="text1"/>
          <w:spacing w:val="6"/>
          <w:highlight w:val="none"/>
          <w14:textFill>
            <w14:solidFill>
              <w14:schemeClr w14:val="tx1"/>
            </w14:solidFill>
          </w14:textFill>
        </w:rPr>
      </w:pPr>
      <w:r>
        <w:rPr>
          <w:rFonts w:hint="eastAsia" w:ascii="宋体" w:hAnsi="宋体" w:cs="宋体"/>
          <w:color w:val="000000" w:themeColor="text1"/>
          <w:spacing w:val="6"/>
          <w:highlight w:val="none"/>
          <w14:textFill>
            <w14:solidFill>
              <w14:schemeClr w14:val="tx1"/>
            </w14:solidFill>
          </w14:textFill>
        </w:rPr>
        <w:t>致：</w:t>
      </w:r>
      <w:r>
        <w:rPr>
          <w:rFonts w:hint="eastAsia" w:ascii="宋体" w:hAnsi="宋体" w:cs="宋体"/>
          <w:color w:val="000000" w:themeColor="text1"/>
          <w:spacing w:val="6"/>
          <w:highlight w:val="none"/>
          <w:u w:val="single"/>
          <w14:textFill>
            <w14:solidFill>
              <w14:schemeClr w14:val="tx1"/>
            </w14:solidFill>
          </w14:textFill>
        </w:rPr>
        <w:t>（采购人名称）、（代理机构名称）</w:t>
      </w:r>
      <w:r>
        <w:rPr>
          <w:rFonts w:hint="eastAsia" w:ascii="宋体" w:hAnsi="宋体" w:cs="宋体"/>
          <w:color w:val="000000" w:themeColor="text1"/>
          <w:spacing w:val="6"/>
          <w:highlight w:val="none"/>
          <w14:textFill>
            <w14:solidFill>
              <w14:schemeClr w14:val="tx1"/>
            </w14:solidFill>
          </w14:textFill>
        </w:rPr>
        <w:t>：</w:t>
      </w:r>
    </w:p>
    <w:p w14:paraId="51DB027F">
      <w:pPr>
        <w:autoSpaceDE w:val="0"/>
        <w:autoSpaceDN w:val="0"/>
        <w:adjustRightInd w:val="0"/>
        <w:spacing w:line="400" w:lineRule="exact"/>
        <w:ind w:firstLine="640"/>
        <w:rPr>
          <w:rFonts w:ascii="宋体"/>
          <w:color w:val="000000" w:themeColor="text1"/>
          <w:spacing w:val="6"/>
          <w:highlight w:val="none"/>
          <w14:textFill>
            <w14:solidFill>
              <w14:schemeClr w14:val="tx1"/>
            </w14:solidFill>
          </w14:textFill>
        </w:rPr>
      </w:pPr>
      <w:r>
        <w:rPr>
          <w:rFonts w:hint="eastAsia" w:ascii="宋体" w:hAnsi="宋体" w:cs="宋体"/>
          <w:color w:val="000000" w:themeColor="text1"/>
          <w:spacing w:val="6"/>
          <w:highlight w:val="none"/>
          <w14:textFill>
            <w14:solidFill>
              <w14:schemeClr w14:val="tx1"/>
            </w14:solidFill>
          </w14:textFill>
        </w:rPr>
        <w:t>我方自愿参加</w:t>
      </w:r>
      <w:r>
        <w:rPr>
          <w:rFonts w:ascii="宋体" w:hAnsi="宋体" w:cs="宋体"/>
          <w:color w:val="000000" w:themeColor="text1"/>
          <w:spacing w:val="6"/>
          <w:highlight w:val="none"/>
          <w:u w:val="single"/>
          <w14:textFill>
            <w14:solidFill>
              <w14:schemeClr w14:val="tx1"/>
            </w14:solidFill>
          </w14:textFill>
        </w:rPr>
        <w:t xml:space="preserve">              </w:t>
      </w:r>
      <w:r>
        <w:rPr>
          <w:rFonts w:hint="eastAsia" w:ascii="宋体" w:hAnsi="宋体" w:cs="宋体"/>
          <w:color w:val="000000" w:themeColor="text1"/>
          <w:spacing w:val="6"/>
          <w:highlight w:val="none"/>
          <w14:textFill>
            <w14:solidFill>
              <w14:schemeClr w14:val="tx1"/>
            </w14:solidFill>
          </w14:textFill>
        </w:rPr>
        <w:t>项目（项目编号：</w:t>
      </w:r>
      <w:r>
        <w:rPr>
          <w:rFonts w:ascii="宋体" w:hAnsi="宋体" w:cs="宋体"/>
          <w:color w:val="000000" w:themeColor="text1"/>
          <w:spacing w:val="6"/>
          <w:highlight w:val="none"/>
          <w:u w:val="single"/>
          <w14:textFill>
            <w14:solidFill>
              <w14:schemeClr w14:val="tx1"/>
            </w14:solidFill>
          </w14:textFill>
        </w:rPr>
        <w:t xml:space="preserve">              </w:t>
      </w:r>
      <w:r>
        <w:rPr>
          <w:rFonts w:hint="eastAsia" w:ascii="宋体" w:hAnsi="宋体" w:cs="宋体"/>
          <w:color w:val="000000" w:themeColor="text1"/>
          <w:spacing w:val="6"/>
          <w:highlight w:val="none"/>
          <w14:textFill>
            <w14:solidFill>
              <w14:schemeClr w14:val="tx1"/>
            </w14:solidFill>
          </w14:textFill>
        </w:rPr>
        <w:t>）的政府采购活动，并郑重承诺我方符合《中华人民共和国政府采购法》第二十二条规定的条件：</w:t>
      </w:r>
      <w:r>
        <w:rPr>
          <w:rFonts w:ascii="宋体" w:hAnsi="宋体" w:cs="宋体"/>
          <w:color w:val="000000" w:themeColor="text1"/>
          <w:spacing w:val="6"/>
          <w:highlight w:val="none"/>
          <w14:textFill>
            <w14:solidFill>
              <w14:schemeClr w14:val="tx1"/>
            </w14:solidFill>
          </w14:textFill>
        </w:rPr>
        <w:t xml:space="preserve"> </w:t>
      </w:r>
    </w:p>
    <w:p w14:paraId="5621BDE1">
      <w:pPr>
        <w:autoSpaceDE w:val="0"/>
        <w:autoSpaceDN w:val="0"/>
        <w:adjustRightInd w:val="0"/>
        <w:spacing w:line="400" w:lineRule="exact"/>
        <w:ind w:firstLine="640"/>
        <w:rPr>
          <w:rFonts w:ascii="宋体"/>
          <w:color w:val="000000" w:themeColor="text1"/>
          <w:spacing w:val="6"/>
          <w:highlight w:val="none"/>
          <w14:textFill>
            <w14:solidFill>
              <w14:schemeClr w14:val="tx1"/>
            </w14:solidFill>
          </w14:textFill>
        </w:rPr>
      </w:pPr>
      <w:r>
        <w:rPr>
          <w:rFonts w:hint="eastAsia" w:ascii="宋体" w:hAnsi="宋体" w:cs="宋体"/>
          <w:color w:val="000000" w:themeColor="text1"/>
          <w:spacing w:val="6"/>
          <w:highlight w:val="none"/>
          <w14:textFill>
            <w14:solidFill>
              <w14:schemeClr w14:val="tx1"/>
            </w14:solidFill>
          </w14:textFill>
        </w:rPr>
        <w:t>（一）具有独立承担民事责任的能力；</w:t>
      </w:r>
      <w:r>
        <w:rPr>
          <w:rFonts w:ascii="宋体" w:hAnsi="宋体" w:cs="宋体"/>
          <w:color w:val="000000" w:themeColor="text1"/>
          <w:spacing w:val="6"/>
          <w:highlight w:val="none"/>
          <w14:textFill>
            <w14:solidFill>
              <w14:schemeClr w14:val="tx1"/>
            </w14:solidFill>
          </w14:textFill>
        </w:rPr>
        <w:t xml:space="preserve"> </w:t>
      </w:r>
    </w:p>
    <w:p w14:paraId="7C5D527A">
      <w:pPr>
        <w:autoSpaceDE w:val="0"/>
        <w:autoSpaceDN w:val="0"/>
        <w:adjustRightInd w:val="0"/>
        <w:spacing w:line="400" w:lineRule="exact"/>
        <w:ind w:firstLine="640"/>
        <w:rPr>
          <w:rFonts w:ascii="宋体"/>
          <w:color w:val="000000" w:themeColor="text1"/>
          <w:spacing w:val="6"/>
          <w:highlight w:val="none"/>
          <w14:textFill>
            <w14:solidFill>
              <w14:schemeClr w14:val="tx1"/>
            </w14:solidFill>
          </w14:textFill>
        </w:rPr>
      </w:pPr>
      <w:r>
        <w:rPr>
          <w:rFonts w:hint="eastAsia" w:ascii="宋体" w:hAnsi="宋体" w:cs="宋体"/>
          <w:color w:val="000000" w:themeColor="text1"/>
          <w:spacing w:val="6"/>
          <w:highlight w:val="none"/>
          <w14:textFill>
            <w14:solidFill>
              <w14:schemeClr w14:val="tx1"/>
            </w14:solidFill>
          </w14:textFill>
        </w:rPr>
        <w:t>（二）具有良好的商业信誉和健全的财务会计制度；</w:t>
      </w:r>
      <w:r>
        <w:rPr>
          <w:rFonts w:ascii="宋体" w:hAnsi="宋体" w:cs="宋体"/>
          <w:color w:val="000000" w:themeColor="text1"/>
          <w:spacing w:val="6"/>
          <w:highlight w:val="none"/>
          <w14:textFill>
            <w14:solidFill>
              <w14:schemeClr w14:val="tx1"/>
            </w14:solidFill>
          </w14:textFill>
        </w:rPr>
        <w:t xml:space="preserve"> </w:t>
      </w:r>
    </w:p>
    <w:p w14:paraId="3128403B">
      <w:pPr>
        <w:autoSpaceDE w:val="0"/>
        <w:autoSpaceDN w:val="0"/>
        <w:adjustRightInd w:val="0"/>
        <w:spacing w:line="400" w:lineRule="exact"/>
        <w:ind w:firstLine="640"/>
        <w:rPr>
          <w:rFonts w:ascii="宋体"/>
          <w:color w:val="000000" w:themeColor="text1"/>
          <w:spacing w:val="6"/>
          <w:highlight w:val="none"/>
          <w14:textFill>
            <w14:solidFill>
              <w14:schemeClr w14:val="tx1"/>
            </w14:solidFill>
          </w14:textFill>
        </w:rPr>
      </w:pPr>
      <w:r>
        <w:rPr>
          <w:rFonts w:hint="eastAsia" w:ascii="宋体" w:hAnsi="宋体" w:cs="宋体"/>
          <w:color w:val="000000" w:themeColor="text1"/>
          <w:spacing w:val="6"/>
          <w:highlight w:val="none"/>
          <w14:textFill>
            <w14:solidFill>
              <w14:schemeClr w14:val="tx1"/>
            </w14:solidFill>
          </w14:textFill>
        </w:rPr>
        <w:t>（三）具有履行合同所必需的设备和专业技术能力；</w:t>
      </w:r>
      <w:r>
        <w:rPr>
          <w:rFonts w:ascii="宋体" w:hAnsi="宋体" w:cs="宋体"/>
          <w:color w:val="000000" w:themeColor="text1"/>
          <w:spacing w:val="6"/>
          <w:highlight w:val="none"/>
          <w14:textFill>
            <w14:solidFill>
              <w14:schemeClr w14:val="tx1"/>
            </w14:solidFill>
          </w14:textFill>
        </w:rPr>
        <w:t xml:space="preserve"> </w:t>
      </w:r>
    </w:p>
    <w:p w14:paraId="715F5757">
      <w:pPr>
        <w:autoSpaceDE w:val="0"/>
        <w:autoSpaceDN w:val="0"/>
        <w:adjustRightInd w:val="0"/>
        <w:spacing w:line="400" w:lineRule="exact"/>
        <w:ind w:firstLine="640"/>
        <w:rPr>
          <w:rFonts w:ascii="宋体"/>
          <w:color w:val="000000" w:themeColor="text1"/>
          <w:spacing w:val="6"/>
          <w:highlight w:val="none"/>
          <w14:textFill>
            <w14:solidFill>
              <w14:schemeClr w14:val="tx1"/>
            </w14:solidFill>
          </w14:textFill>
        </w:rPr>
      </w:pPr>
      <w:r>
        <w:rPr>
          <w:rFonts w:hint="eastAsia" w:ascii="宋体" w:hAnsi="宋体" w:cs="宋体"/>
          <w:color w:val="000000" w:themeColor="text1"/>
          <w:spacing w:val="6"/>
          <w:highlight w:val="none"/>
          <w14:textFill>
            <w14:solidFill>
              <w14:schemeClr w14:val="tx1"/>
            </w14:solidFill>
          </w14:textFill>
        </w:rPr>
        <w:t>（四）有依法缴纳税收和社会保障资金的良好记录；</w:t>
      </w:r>
      <w:r>
        <w:rPr>
          <w:rFonts w:ascii="宋体" w:hAnsi="宋体" w:cs="宋体"/>
          <w:color w:val="000000" w:themeColor="text1"/>
          <w:spacing w:val="6"/>
          <w:highlight w:val="none"/>
          <w14:textFill>
            <w14:solidFill>
              <w14:schemeClr w14:val="tx1"/>
            </w14:solidFill>
          </w14:textFill>
        </w:rPr>
        <w:t xml:space="preserve"> </w:t>
      </w:r>
    </w:p>
    <w:p w14:paraId="0B6015A7">
      <w:pPr>
        <w:autoSpaceDE w:val="0"/>
        <w:autoSpaceDN w:val="0"/>
        <w:adjustRightInd w:val="0"/>
        <w:spacing w:line="400" w:lineRule="exact"/>
        <w:ind w:firstLine="640"/>
        <w:rPr>
          <w:rFonts w:ascii="宋体"/>
          <w:color w:val="000000" w:themeColor="text1"/>
          <w:spacing w:val="6"/>
          <w:highlight w:val="none"/>
          <w14:textFill>
            <w14:solidFill>
              <w14:schemeClr w14:val="tx1"/>
            </w14:solidFill>
          </w14:textFill>
        </w:rPr>
      </w:pPr>
      <w:r>
        <w:rPr>
          <w:rFonts w:hint="eastAsia" w:ascii="宋体" w:hAnsi="宋体" w:cs="宋体"/>
          <w:color w:val="000000" w:themeColor="text1"/>
          <w:spacing w:val="6"/>
          <w:highlight w:val="none"/>
          <w14:textFill>
            <w14:solidFill>
              <w14:schemeClr w14:val="tx1"/>
            </w14:solidFill>
          </w14:textFill>
        </w:rPr>
        <w:t>（五）参加政府采购活动前三年内，在经营活动中没有重大违法记录；</w:t>
      </w:r>
      <w:r>
        <w:rPr>
          <w:rFonts w:ascii="宋体" w:hAnsi="宋体" w:cs="宋体"/>
          <w:color w:val="000000" w:themeColor="text1"/>
          <w:spacing w:val="6"/>
          <w:highlight w:val="none"/>
          <w14:textFill>
            <w14:solidFill>
              <w14:schemeClr w14:val="tx1"/>
            </w14:solidFill>
          </w14:textFill>
        </w:rPr>
        <w:t xml:space="preserve"> </w:t>
      </w:r>
    </w:p>
    <w:p w14:paraId="4D721FCA">
      <w:pPr>
        <w:autoSpaceDE w:val="0"/>
        <w:autoSpaceDN w:val="0"/>
        <w:adjustRightInd w:val="0"/>
        <w:spacing w:line="400" w:lineRule="exact"/>
        <w:ind w:firstLine="640"/>
        <w:rPr>
          <w:rFonts w:ascii="宋体"/>
          <w:color w:val="000000" w:themeColor="text1"/>
          <w:spacing w:val="6"/>
          <w:highlight w:val="none"/>
          <w14:textFill>
            <w14:solidFill>
              <w14:schemeClr w14:val="tx1"/>
            </w14:solidFill>
          </w14:textFill>
        </w:rPr>
      </w:pPr>
      <w:r>
        <w:rPr>
          <w:rFonts w:hint="eastAsia" w:ascii="宋体" w:hAnsi="宋体" w:cs="宋体"/>
          <w:color w:val="000000" w:themeColor="text1"/>
          <w:spacing w:val="6"/>
          <w:highlight w:val="none"/>
          <w14:textFill>
            <w14:solidFill>
              <w14:schemeClr w14:val="tx1"/>
            </w14:solidFill>
          </w14:textFill>
        </w:rPr>
        <w:t>（六）法律、行政法规规定的其他条件。</w:t>
      </w:r>
      <w:r>
        <w:rPr>
          <w:rFonts w:ascii="宋体" w:hAnsi="宋体" w:cs="宋体"/>
          <w:color w:val="000000" w:themeColor="text1"/>
          <w:spacing w:val="6"/>
          <w:highlight w:val="none"/>
          <w14:textFill>
            <w14:solidFill>
              <w14:schemeClr w14:val="tx1"/>
            </w14:solidFill>
          </w14:textFill>
        </w:rPr>
        <w:t xml:space="preserve"> </w:t>
      </w:r>
    </w:p>
    <w:p w14:paraId="0BDCD109">
      <w:pPr>
        <w:autoSpaceDE w:val="0"/>
        <w:autoSpaceDN w:val="0"/>
        <w:adjustRightInd w:val="0"/>
        <w:spacing w:line="400" w:lineRule="exact"/>
        <w:ind w:firstLine="640"/>
        <w:rPr>
          <w:rFonts w:ascii="宋体"/>
          <w:color w:val="000000" w:themeColor="text1"/>
          <w:spacing w:val="6"/>
          <w:highlight w:val="none"/>
          <w14:textFill>
            <w14:solidFill>
              <w14:schemeClr w14:val="tx1"/>
            </w14:solidFill>
          </w14:textFill>
        </w:rPr>
      </w:pPr>
      <w:r>
        <w:rPr>
          <w:rFonts w:hint="eastAsia" w:ascii="宋体" w:hAnsi="宋体" w:cs="宋体"/>
          <w:color w:val="000000" w:themeColor="text1"/>
          <w:spacing w:val="6"/>
          <w:highlight w:val="none"/>
          <w14:textFill>
            <w14:solidFill>
              <w14:schemeClr w14:val="tx1"/>
            </w14:solidFill>
          </w14:textFill>
        </w:rPr>
        <w:t>我方保证上述承诺事项的真实性，如有弄虚作假或其他违法违规行为，愿意承担一切法律责任，并承担因此所造成的一切损失。</w:t>
      </w:r>
      <w:r>
        <w:rPr>
          <w:rFonts w:ascii="宋体" w:hAnsi="宋体" w:cs="宋体"/>
          <w:color w:val="000000" w:themeColor="text1"/>
          <w:spacing w:val="6"/>
          <w:highlight w:val="none"/>
          <w14:textFill>
            <w14:solidFill>
              <w14:schemeClr w14:val="tx1"/>
            </w14:solidFill>
          </w14:textFill>
        </w:rPr>
        <w:t xml:space="preserve"> </w:t>
      </w:r>
    </w:p>
    <w:p w14:paraId="3CCFECC5">
      <w:pPr>
        <w:autoSpaceDE w:val="0"/>
        <w:autoSpaceDN w:val="0"/>
        <w:adjustRightInd w:val="0"/>
        <w:spacing w:line="400" w:lineRule="exact"/>
        <w:ind w:firstLine="640"/>
        <w:rPr>
          <w:rFonts w:ascii="宋体"/>
          <w:color w:val="000000" w:themeColor="text1"/>
          <w:spacing w:val="6"/>
          <w:highlight w:val="none"/>
          <w14:textFill>
            <w14:solidFill>
              <w14:schemeClr w14:val="tx1"/>
            </w14:solidFill>
          </w14:textFill>
        </w:rPr>
      </w:pPr>
      <w:r>
        <w:rPr>
          <w:rFonts w:hint="eastAsia" w:ascii="宋体" w:hAnsi="宋体" w:cs="宋体"/>
          <w:b/>
          <w:bCs/>
          <w:color w:val="000000" w:themeColor="text1"/>
          <w:spacing w:val="6"/>
          <w:highlight w:val="none"/>
          <w14:textFill>
            <w14:solidFill>
              <w14:schemeClr w14:val="tx1"/>
            </w14:solidFill>
          </w14:textFill>
        </w:rPr>
        <w:t>特此声明！</w:t>
      </w:r>
      <w:r>
        <w:rPr>
          <w:rFonts w:ascii="宋体" w:hAnsi="宋体" w:cs="宋体"/>
          <w:color w:val="000000" w:themeColor="text1"/>
          <w:spacing w:val="6"/>
          <w:highlight w:val="none"/>
          <w14:textFill>
            <w14:solidFill>
              <w14:schemeClr w14:val="tx1"/>
            </w14:solidFill>
          </w14:textFill>
        </w:rPr>
        <w:t xml:space="preserve"> </w:t>
      </w:r>
    </w:p>
    <w:p w14:paraId="04497AC3">
      <w:pPr>
        <w:pStyle w:val="58"/>
        <w:spacing w:line="400" w:lineRule="exact"/>
        <w:ind w:firstLine="444"/>
        <w:rPr>
          <w:rFonts w:ascii="宋体" w:hAnsi="宋体" w:eastAsia="宋体" w:cs="Times New Roman"/>
          <w:color w:val="000000" w:themeColor="text1"/>
          <w:spacing w:val="6"/>
          <w:highlight w:val="none"/>
          <w14:textFill>
            <w14:solidFill>
              <w14:schemeClr w14:val="tx1"/>
            </w14:solidFill>
          </w14:textFill>
        </w:rPr>
      </w:pPr>
    </w:p>
    <w:p w14:paraId="19CBC346">
      <w:pPr>
        <w:spacing w:line="400" w:lineRule="exact"/>
        <w:rPr>
          <w:rFonts w:ascii="宋体"/>
          <w:color w:val="000000" w:themeColor="text1"/>
          <w:highlight w:val="none"/>
          <w14:textFill>
            <w14:solidFill>
              <w14:schemeClr w14:val="tx1"/>
            </w14:solidFill>
          </w14:textFill>
        </w:rPr>
      </w:pPr>
    </w:p>
    <w:p w14:paraId="3D077C75">
      <w:pPr>
        <w:spacing w:line="360" w:lineRule="auto"/>
        <w:ind w:right="480" w:firstLine="2940" w:firstLineChars="1400"/>
        <w:rPr>
          <w:rFonts w:ascii="宋体"/>
          <w:color w:val="000000" w:themeColor="text1"/>
          <w:highlight w:val="none"/>
          <w:u w:val="singl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法定代表人或者委托代理人签字：</w:t>
      </w:r>
      <w:r>
        <w:rPr>
          <w:rFonts w:ascii="宋体" w:hAnsi="宋体" w:cs="宋体"/>
          <w:color w:val="000000" w:themeColor="text1"/>
          <w:highlight w:val="none"/>
          <w:u w:val="single"/>
          <w14:textFill>
            <w14:solidFill>
              <w14:schemeClr w14:val="tx1"/>
            </w14:solidFill>
          </w14:textFill>
        </w:rPr>
        <w:t xml:space="preserve">               </w:t>
      </w:r>
    </w:p>
    <w:p w14:paraId="04E0D693">
      <w:pPr>
        <w:spacing w:line="360" w:lineRule="auto"/>
        <w:ind w:right="480" w:firstLine="2940" w:firstLineChars="1400"/>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供应商（盖公章）：</w:t>
      </w:r>
      <w:r>
        <w:rPr>
          <w:rFonts w:ascii="宋体" w:hAnsi="宋体" w:cs="宋体"/>
          <w:color w:val="000000" w:themeColor="text1"/>
          <w:highlight w:val="none"/>
          <w:u w:val="single"/>
          <w14:textFill>
            <w14:solidFill>
              <w14:schemeClr w14:val="tx1"/>
            </w14:solidFill>
          </w14:textFill>
        </w:rPr>
        <w:t xml:space="preserve">                           </w:t>
      </w:r>
    </w:p>
    <w:p w14:paraId="40B68510">
      <w:pPr>
        <w:spacing w:line="360" w:lineRule="auto"/>
        <w:ind w:right="480" w:firstLine="210" w:firstLineChars="100"/>
        <w:jc w:val="center"/>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年</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月</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日</w:t>
      </w:r>
    </w:p>
    <w:p w14:paraId="37DC579B">
      <w:pPr>
        <w:spacing w:line="320" w:lineRule="exact"/>
        <w:jc w:val="center"/>
        <w:rPr>
          <w:rFonts w:ascii="宋体"/>
          <w:b/>
          <w:bCs/>
          <w:color w:val="000000" w:themeColor="text1"/>
          <w:highlight w:val="none"/>
          <w14:textFill>
            <w14:solidFill>
              <w14:schemeClr w14:val="tx1"/>
            </w14:solidFill>
          </w14:textFill>
        </w:rPr>
      </w:pPr>
    </w:p>
    <w:p w14:paraId="775CD8DE">
      <w:pPr>
        <w:spacing w:line="320" w:lineRule="exact"/>
        <w:jc w:val="center"/>
        <w:rPr>
          <w:rFonts w:ascii="宋体"/>
          <w:b/>
          <w:bCs/>
          <w:color w:val="000000" w:themeColor="text1"/>
          <w:highlight w:val="none"/>
          <w14:textFill>
            <w14:solidFill>
              <w14:schemeClr w14:val="tx1"/>
            </w14:solidFill>
          </w14:textFill>
        </w:rPr>
      </w:pPr>
    </w:p>
    <w:p w14:paraId="5FF07C83">
      <w:pPr>
        <w:spacing w:line="320" w:lineRule="exact"/>
        <w:jc w:val="center"/>
        <w:rPr>
          <w:rFonts w:ascii="宋体"/>
          <w:b/>
          <w:bCs/>
          <w:color w:val="000000" w:themeColor="text1"/>
          <w:highlight w:val="none"/>
          <w14:textFill>
            <w14:solidFill>
              <w14:schemeClr w14:val="tx1"/>
            </w14:solidFill>
          </w14:textFill>
        </w:rPr>
      </w:pPr>
    </w:p>
    <w:p w14:paraId="3B929C8F">
      <w:pPr>
        <w:spacing w:line="320" w:lineRule="exact"/>
        <w:jc w:val="center"/>
        <w:rPr>
          <w:rFonts w:ascii="宋体"/>
          <w:b/>
          <w:bCs/>
          <w:color w:val="000000" w:themeColor="text1"/>
          <w:highlight w:val="none"/>
          <w14:textFill>
            <w14:solidFill>
              <w14:schemeClr w14:val="tx1"/>
            </w14:solidFill>
          </w14:textFill>
        </w:rPr>
      </w:pPr>
    </w:p>
    <w:p w14:paraId="259C672C">
      <w:pPr>
        <w:spacing w:line="320" w:lineRule="exact"/>
        <w:jc w:val="center"/>
        <w:rPr>
          <w:rFonts w:ascii="宋体"/>
          <w:b/>
          <w:bCs/>
          <w:color w:val="000000" w:themeColor="text1"/>
          <w:highlight w:val="none"/>
          <w14:textFill>
            <w14:solidFill>
              <w14:schemeClr w14:val="tx1"/>
            </w14:solidFill>
          </w14:textFill>
        </w:rPr>
      </w:pPr>
    </w:p>
    <w:p w14:paraId="3A38EEBA">
      <w:pPr>
        <w:spacing w:line="320" w:lineRule="exact"/>
        <w:jc w:val="center"/>
        <w:rPr>
          <w:rFonts w:ascii="宋体"/>
          <w:b/>
          <w:bCs/>
          <w:color w:val="000000" w:themeColor="text1"/>
          <w:highlight w:val="none"/>
          <w14:textFill>
            <w14:solidFill>
              <w14:schemeClr w14:val="tx1"/>
            </w14:solidFill>
          </w14:textFill>
        </w:rPr>
      </w:pPr>
    </w:p>
    <w:p w14:paraId="22894984">
      <w:pPr>
        <w:spacing w:line="320" w:lineRule="exact"/>
        <w:jc w:val="center"/>
        <w:rPr>
          <w:rFonts w:ascii="宋体"/>
          <w:b/>
          <w:bCs/>
          <w:color w:val="000000" w:themeColor="text1"/>
          <w:highlight w:val="none"/>
          <w14:textFill>
            <w14:solidFill>
              <w14:schemeClr w14:val="tx1"/>
            </w14:solidFill>
          </w14:textFill>
        </w:rPr>
      </w:pPr>
    </w:p>
    <w:p w14:paraId="55D178BE">
      <w:pPr>
        <w:spacing w:line="320" w:lineRule="exact"/>
        <w:jc w:val="center"/>
        <w:rPr>
          <w:rFonts w:ascii="宋体"/>
          <w:b/>
          <w:bCs/>
          <w:color w:val="000000" w:themeColor="text1"/>
          <w:highlight w:val="none"/>
          <w14:textFill>
            <w14:solidFill>
              <w14:schemeClr w14:val="tx1"/>
            </w14:solidFill>
          </w14:textFill>
        </w:rPr>
      </w:pPr>
    </w:p>
    <w:p w14:paraId="6144B46E">
      <w:pPr>
        <w:spacing w:line="320" w:lineRule="exact"/>
        <w:jc w:val="center"/>
        <w:rPr>
          <w:rFonts w:ascii="宋体"/>
          <w:b/>
          <w:bCs/>
          <w:color w:val="000000" w:themeColor="text1"/>
          <w:highlight w:val="none"/>
          <w14:textFill>
            <w14:solidFill>
              <w14:schemeClr w14:val="tx1"/>
            </w14:solidFill>
          </w14:textFill>
        </w:rPr>
      </w:pPr>
    </w:p>
    <w:p w14:paraId="5B982E23">
      <w:pPr>
        <w:spacing w:line="320" w:lineRule="exact"/>
        <w:jc w:val="center"/>
        <w:rPr>
          <w:rFonts w:ascii="宋体"/>
          <w:b/>
          <w:bCs/>
          <w:color w:val="000000" w:themeColor="text1"/>
          <w:highlight w:val="none"/>
          <w14:textFill>
            <w14:solidFill>
              <w14:schemeClr w14:val="tx1"/>
            </w14:solidFill>
          </w14:textFill>
        </w:rPr>
      </w:pPr>
    </w:p>
    <w:p w14:paraId="17FA2737">
      <w:pPr>
        <w:spacing w:line="320" w:lineRule="exact"/>
        <w:jc w:val="center"/>
        <w:rPr>
          <w:rFonts w:ascii="宋体"/>
          <w:b/>
          <w:bCs/>
          <w:color w:val="000000" w:themeColor="text1"/>
          <w:highlight w:val="none"/>
          <w14:textFill>
            <w14:solidFill>
              <w14:schemeClr w14:val="tx1"/>
            </w14:solidFill>
          </w14:textFill>
        </w:rPr>
      </w:pPr>
    </w:p>
    <w:p w14:paraId="6B3B9AE1">
      <w:pPr>
        <w:spacing w:line="320" w:lineRule="exact"/>
        <w:jc w:val="center"/>
        <w:rPr>
          <w:rFonts w:ascii="宋体"/>
          <w:b/>
          <w:bCs/>
          <w:color w:val="000000" w:themeColor="text1"/>
          <w:highlight w:val="none"/>
          <w14:textFill>
            <w14:solidFill>
              <w14:schemeClr w14:val="tx1"/>
            </w14:solidFill>
          </w14:textFill>
        </w:rPr>
      </w:pPr>
    </w:p>
    <w:p w14:paraId="18AC5706">
      <w:pPr>
        <w:spacing w:line="320" w:lineRule="exact"/>
        <w:jc w:val="center"/>
        <w:rPr>
          <w:rFonts w:ascii="宋体"/>
          <w:b/>
          <w:bCs/>
          <w:color w:val="000000" w:themeColor="text1"/>
          <w:highlight w:val="none"/>
          <w14:textFill>
            <w14:solidFill>
              <w14:schemeClr w14:val="tx1"/>
            </w14:solidFill>
          </w14:textFill>
        </w:rPr>
      </w:pPr>
    </w:p>
    <w:p w14:paraId="24B6847D">
      <w:pPr>
        <w:spacing w:line="320" w:lineRule="exact"/>
        <w:jc w:val="center"/>
        <w:rPr>
          <w:rFonts w:ascii="宋体"/>
          <w:b/>
          <w:bCs/>
          <w:color w:val="000000" w:themeColor="text1"/>
          <w:highlight w:val="none"/>
          <w14:textFill>
            <w14:solidFill>
              <w14:schemeClr w14:val="tx1"/>
            </w14:solidFill>
          </w14:textFill>
        </w:rPr>
      </w:pPr>
    </w:p>
    <w:p w14:paraId="16862AED">
      <w:pPr>
        <w:spacing w:line="320" w:lineRule="exact"/>
        <w:jc w:val="center"/>
        <w:rPr>
          <w:rFonts w:ascii="宋体"/>
          <w:b/>
          <w:bCs/>
          <w:color w:val="000000" w:themeColor="text1"/>
          <w:sz w:val="32"/>
          <w:szCs w:val="32"/>
          <w:highlight w:val="none"/>
          <w14:textFill>
            <w14:solidFill>
              <w14:schemeClr w14:val="tx1"/>
            </w14:solidFill>
          </w14:textFill>
        </w:rPr>
      </w:pPr>
    </w:p>
    <w:p w14:paraId="08B26635">
      <w:pPr>
        <w:spacing w:line="320" w:lineRule="exact"/>
        <w:jc w:val="center"/>
        <w:rPr>
          <w:rFonts w:ascii="宋体"/>
          <w:b/>
          <w:bCs/>
          <w:color w:val="000000" w:themeColor="text1"/>
          <w:sz w:val="32"/>
          <w:szCs w:val="32"/>
          <w:highlight w:val="none"/>
          <w14:textFill>
            <w14:solidFill>
              <w14:schemeClr w14:val="tx1"/>
            </w14:solidFill>
          </w14:textFill>
        </w:rPr>
      </w:pPr>
    </w:p>
    <w:p w14:paraId="68406839">
      <w:pPr>
        <w:spacing w:line="320" w:lineRule="exact"/>
        <w:jc w:val="center"/>
        <w:rPr>
          <w:rFonts w:ascii="宋体"/>
          <w:b/>
          <w:bCs/>
          <w:color w:val="000000" w:themeColor="text1"/>
          <w:sz w:val="32"/>
          <w:szCs w:val="32"/>
          <w:highlight w:val="none"/>
          <w14:textFill>
            <w14:solidFill>
              <w14:schemeClr w14:val="tx1"/>
            </w14:solidFill>
          </w14:textFill>
        </w:rPr>
      </w:pPr>
    </w:p>
    <w:p w14:paraId="407F2360">
      <w:pPr>
        <w:spacing w:line="320" w:lineRule="exact"/>
        <w:jc w:val="center"/>
        <w:rPr>
          <w:rFonts w:ascii="宋体"/>
          <w:b/>
          <w:bCs/>
          <w:color w:val="000000" w:themeColor="text1"/>
          <w:sz w:val="32"/>
          <w:szCs w:val="32"/>
          <w:highlight w:val="none"/>
          <w14:textFill>
            <w14:solidFill>
              <w14:schemeClr w14:val="tx1"/>
            </w14:solidFill>
          </w14:textFill>
        </w:rPr>
      </w:pPr>
    </w:p>
    <w:p w14:paraId="4E8C8B53">
      <w:pPr>
        <w:spacing w:line="320" w:lineRule="exact"/>
        <w:jc w:val="center"/>
        <w:rPr>
          <w:rFonts w:ascii="宋体"/>
          <w:b/>
          <w:bCs/>
          <w:color w:val="000000" w:themeColor="text1"/>
          <w:sz w:val="32"/>
          <w:szCs w:val="32"/>
          <w:highlight w:val="none"/>
          <w14:textFill>
            <w14:solidFill>
              <w14:schemeClr w14:val="tx1"/>
            </w14:solidFill>
          </w14:textFill>
        </w:rPr>
      </w:pPr>
    </w:p>
    <w:p w14:paraId="3667A638">
      <w:pPr>
        <w:spacing w:line="320" w:lineRule="exact"/>
        <w:jc w:val="center"/>
        <w:rPr>
          <w:rFonts w:ascii="宋体"/>
          <w:b/>
          <w:bCs/>
          <w:color w:val="000000" w:themeColor="text1"/>
          <w:sz w:val="32"/>
          <w:szCs w:val="32"/>
          <w:highlight w:val="none"/>
          <w14:textFill>
            <w14:solidFill>
              <w14:schemeClr w14:val="tx1"/>
            </w14:solidFill>
          </w14:textFill>
        </w:rPr>
      </w:pPr>
    </w:p>
    <w:p w14:paraId="06D9F47D">
      <w:pPr>
        <w:spacing w:line="360" w:lineRule="auto"/>
        <w:jc w:val="center"/>
        <w:rPr>
          <w:rFonts w:ascii="宋体"/>
          <w:b/>
          <w:bCs/>
          <w:color w:val="000000" w:themeColor="text1"/>
          <w:sz w:val="36"/>
          <w:szCs w:val="36"/>
          <w:highlight w:val="none"/>
          <w14:textFill>
            <w14:solidFill>
              <w14:schemeClr w14:val="tx1"/>
            </w14:solidFill>
          </w14:textFill>
        </w:rPr>
      </w:pPr>
      <w:r>
        <w:rPr>
          <w:rFonts w:hint="eastAsia" w:ascii="宋体" w:hAnsi="宋体" w:cs="宋体"/>
          <w:b/>
          <w:bCs/>
          <w:color w:val="000000" w:themeColor="text1"/>
          <w:sz w:val="36"/>
          <w:szCs w:val="36"/>
          <w:highlight w:val="none"/>
          <w14:textFill>
            <w14:solidFill>
              <w14:schemeClr w14:val="tx1"/>
            </w14:solidFill>
          </w14:textFill>
        </w:rPr>
        <w:t>供应商直接控股、管理关系信息表</w:t>
      </w:r>
    </w:p>
    <w:p w14:paraId="7F47B7E4">
      <w:pPr>
        <w:snapToGrid w:val="0"/>
        <w:spacing w:beforeLines="50" w:after="50" w:line="360" w:lineRule="auto"/>
        <w:jc w:val="center"/>
        <w:rPr>
          <w:rFonts w:ascii="宋体"/>
          <w:b/>
          <w:bCs/>
          <w:color w:val="000000" w:themeColor="text1"/>
          <w:sz w:val="24"/>
          <w:szCs w:val="24"/>
          <w:highlight w:val="none"/>
          <w14:textFill>
            <w14:solidFill>
              <w14:schemeClr w14:val="tx1"/>
            </w14:solidFill>
          </w14:textFill>
        </w:rPr>
      </w:pPr>
    </w:p>
    <w:p w14:paraId="272989C2">
      <w:pPr>
        <w:spacing w:line="360" w:lineRule="auto"/>
        <w:jc w:val="center"/>
        <w:rPr>
          <w:rFonts w:ascii="宋体"/>
          <w:b/>
          <w:bCs/>
          <w:color w:val="000000" w:themeColor="text1"/>
          <w:sz w:val="36"/>
          <w:szCs w:val="36"/>
          <w:highlight w:val="none"/>
          <w14:textFill>
            <w14:solidFill>
              <w14:schemeClr w14:val="tx1"/>
            </w14:solidFill>
          </w14:textFill>
        </w:rPr>
      </w:pPr>
      <w:r>
        <w:rPr>
          <w:rFonts w:hint="eastAsia" w:ascii="宋体" w:hAnsi="宋体" w:cs="宋体"/>
          <w:b/>
          <w:bCs/>
          <w:color w:val="000000" w:themeColor="text1"/>
          <w:sz w:val="36"/>
          <w:szCs w:val="36"/>
          <w:highlight w:val="none"/>
          <w14:textFill>
            <w14:solidFill>
              <w14:schemeClr w14:val="tx1"/>
            </w14:solidFill>
          </w14:textFill>
        </w:rPr>
        <w:t>供应商直接控股股东信息表</w:t>
      </w:r>
    </w:p>
    <w:p w14:paraId="71CF0401">
      <w:pPr>
        <w:spacing w:line="360" w:lineRule="auto"/>
        <w:jc w:val="center"/>
        <w:rPr>
          <w:rFonts w:ascii="宋体"/>
          <w:b/>
          <w:bCs/>
          <w:color w:val="000000" w:themeColor="text1"/>
          <w:highlight w:val="none"/>
          <w14:textFill>
            <w14:solidFill>
              <w14:schemeClr w14:val="tx1"/>
            </w14:solidFill>
          </w14:textFill>
        </w:rPr>
      </w:pPr>
    </w:p>
    <w:tbl>
      <w:tblPr>
        <w:tblStyle w:val="59"/>
        <w:tblW w:w="0" w:type="auto"/>
        <w:jc w:val="center"/>
        <w:tblLayout w:type="fixed"/>
        <w:tblCellMar>
          <w:top w:w="0" w:type="dxa"/>
          <w:left w:w="0" w:type="dxa"/>
          <w:bottom w:w="0" w:type="dxa"/>
          <w:right w:w="0" w:type="dxa"/>
        </w:tblCellMar>
      </w:tblPr>
      <w:tblGrid>
        <w:gridCol w:w="880"/>
        <w:gridCol w:w="2655"/>
        <w:gridCol w:w="1455"/>
        <w:gridCol w:w="4287"/>
        <w:gridCol w:w="870"/>
      </w:tblGrid>
      <w:tr w14:paraId="4E28F2D7">
        <w:tblPrEx>
          <w:tblCellMar>
            <w:top w:w="0" w:type="dxa"/>
            <w:left w:w="0" w:type="dxa"/>
            <w:bottom w:w="0" w:type="dxa"/>
            <w:right w:w="0" w:type="dxa"/>
          </w:tblCellMar>
        </w:tblPrEx>
        <w:trPr>
          <w:tblHeader/>
          <w:jc w:val="center"/>
        </w:trPr>
        <w:tc>
          <w:tcPr>
            <w:tcW w:w="880"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7C8B66DD">
            <w:pPr>
              <w:widowControl/>
              <w:spacing w:line="360" w:lineRule="auto"/>
              <w:jc w:val="center"/>
              <w:rPr>
                <w:rFonts w:ascii="宋体"/>
                <w:b/>
                <w:bCs/>
                <w:color w:val="000000" w:themeColor="text1"/>
                <w:kern w:val="0"/>
                <w:highlight w:val="none"/>
                <w14:textFill>
                  <w14:solidFill>
                    <w14:schemeClr w14:val="tx1"/>
                  </w14:solidFill>
                </w14:textFill>
              </w:rPr>
            </w:pPr>
            <w:r>
              <w:rPr>
                <w:rFonts w:hint="eastAsia" w:ascii="宋体" w:hAnsi="宋体" w:cs="宋体"/>
                <w:b/>
                <w:bCs/>
                <w:color w:val="000000" w:themeColor="text1"/>
                <w:kern w:val="0"/>
                <w:highlight w:val="none"/>
                <w14:textFill>
                  <w14:solidFill>
                    <w14:schemeClr w14:val="tx1"/>
                  </w14:solidFill>
                </w14:textFill>
              </w:rPr>
              <w:t>序号</w:t>
            </w:r>
          </w:p>
        </w:tc>
        <w:tc>
          <w:tcPr>
            <w:tcW w:w="2655"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121B000B">
            <w:pPr>
              <w:widowControl/>
              <w:spacing w:line="360" w:lineRule="auto"/>
              <w:jc w:val="center"/>
              <w:rPr>
                <w:rFonts w:ascii="宋体"/>
                <w:b/>
                <w:bCs/>
                <w:color w:val="000000" w:themeColor="text1"/>
                <w:kern w:val="0"/>
                <w:highlight w:val="none"/>
                <w14:textFill>
                  <w14:solidFill>
                    <w14:schemeClr w14:val="tx1"/>
                  </w14:solidFill>
                </w14:textFill>
              </w:rPr>
            </w:pPr>
            <w:r>
              <w:rPr>
                <w:rFonts w:hint="eastAsia" w:ascii="宋体" w:hAnsi="宋体" w:cs="宋体"/>
                <w:b/>
                <w:bCs/>
                <w:color w:val="000000" w:themeColor="text1"/>
                <w:kern w:val="0"/>
                <w:highlight w:val="none"/>
                <w14:textFill>
                  <w14:solidFill>
                    <w14:schemeClr w14:val="tx1"/>
                  </w14:solidFill>
                </w14:textFill>
              </w:rPr>
              <w:t>直接控股股东名称</w:t>
            </w:r>
          </w:p>
        </w:tc>
        <w:tc>
          <w:tcPr>
            <w:tcW w:w="1455"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76F3EB37">
            <w:pPr>
              <w:widowControl/>
              <w:spacing w:line="360" w:lineRule="auto"/>
              <w:jc w:val="center"/>
              <w:rPr>
                <w:rFonts w:ascii="宋体"/>
                <w:b/>
                <w:bCs/>
                <w:color w:val="000000" w:themeColor="text1"/>
                <w:kern w:val="0"/>
                <w:highlight w:val="none"/>
                <w14:textFill>
                  <w14:solidFill>
                    <w14:schemeClr w14:val="tx1"/>
                  </w14:solidFill>
                </w14:textFill>
              </w:rPr>
            </w:pPr>
            <w:r>
              <w:rPr>
                <w:rFonts w:hint="eastAsia" w:ascii="宋体" w:hAnsi="宋体" w:cs="宋体"/>
                <w:b/>
                <w:bCs/>
                <w:color w:val="000000" w:themeColor="text1"/>
                <w:kern w:val="0"/>
                <w:highlight w:val="none"/>
                <w14:textFill>
                  <w14:solidFill>
                    <w14:schemeClr w14:val="tx1"/>
                  </w14:solidFill>
                </w14:textFill>
              </w:rPr>
              <w:t>出资比例</w:t>
            </w:r>
          </w:p>
        </w:tc>
        <w:tc>
          <w:tcPr>
            <w:tcW w:w="4287"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2FA605C0">
            <w:pPr>
              <w:widowControl/>
              <w:spacing w:line="360" w:lineRule="auto"/>
              <w:jc w:val="center"/>
              <w:rPr>
                <w:rFonts w:ascii="宋体"/>
                <w:b/>
                <w:bCs/>
                <w:color w:val="000000" w:themeColor="text1"/>
                <w:kern w:val="0"/>
                <w:highlight w:val="none"/>
                <w14:textFill>
                  <w14:solidFill>
                    <w14:schemeClr w14:val="tx1"/>
                  </w14:solidFill>
                </w14:textFill>
              </w:rPr>
            </w:pPr>
            <w:r>
              <w:rPr>
                <w:rFonts w:hint="eastAsia" w:ascii="宋体" w:hAnsi="宋体" w:cs="宋体"/>
                <w:b/>
                <w:bCs/>
                <w:color w:val="000000" w:themeColor="text1"/>
                <w:kern w:val="0"/>
                <w:highlight w:val="none"/>
                <w14:textFill>
                  <w14:solidFill>
                    <w14:schemeClr w14:val="tx1"/>
                  </w14:solidFill>
                </w14:textFill>
              </w:rPr>
              <w:t>身份证号码或者统一社会信用代码</w:t>
            </w:r>
          </w:p>
        </w:tc>
        <w:tc>
          <w:tcPr>
            <w:tcW w:w="870"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72D2EA0E">
            <w:pPr>
              <w:widowControl/>
              <w:spacing w:line="360" w:lineRule="auto"/>
              <w:jc w:val="center"/>
              <w:rPr>
                <w:rFonts w:ascii="宋体"/>
                <w:b/>
                <w:bCs/>
                <w:color w:val="000000" w:themeColor="text1"/>
                <w:kern w:val="0"/>
                <w:highlight w:val="none"/>
                <w14:textFill>
                  <w14:solidFill>
                    <w14:schemeClr w14:val="tx1"/>
                  </w14:solidFill>
                </w14:textFill>
              </w:rPr>
            </w:pPr>
            <w:r>
              <w:rPr>
                <w:rFonts w:hint="eastAsia" w:ascii="宋体" w:hAnsi="宋体" w:cs="宋体"/>
                <w:b/>
                <w:bCs/>
                <w:color w:val="000000" w:themeColor="text1"/>
                <w:kern w:val="0"/>
                <w:highlight w:val="none"/>
                <w14:textFill>
                  <w14:solidFill>
                    <w14:schemeClr w14:val="tx1"/>
                  </w14:solidFill>
                </w14:textFill>
              </w:rPr>
              <w:t>备注</w:t>
            </w:r>
          </w:p>
        </w:tc>
      </w:tr>
      <w:tr w14:paraId="35C369D4">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5766D73B">
            <w:pPr>
              <w:widowControl/>
              <w:spacing w:line="360" w:lineRule="auto"/>
              <w:jc w:val="center"/>
              <w:rPr>
                <w:rFonts w:ascii="宋体"/>
                <w:color w:val="000000" w:themeColor="text1"/>
                <w:kern w:val="0"/>
                <w:highlight w:val="none"/>
                <w14:textFill>
                  <w14:solidFill>
                    <w14:schemeClr w14:val="tx1"/>
                  </w14:solidFill>
                </w14:textFill>
              </w:rPr>
            </w:pPr>
            <w:r>
              <w:rPr>
                <w:rFonts w:ascii="宋体" w:hAnsi="宋体" w:cs="宋体"/>
                <w:color w:val="000000" w:themeColor="text1"/>
                <w:kern w:val="0"/>
                <w:highlight w:val="none"/>
                <w14:textFill>
                  <w14:solidFill>
                    <w14:schemeClr w14:val="tx1"/>
                  </w14:solidFill>
                </w14:textFill>
              </w:rPr>
              <w:t>1</w:t>
            </w:r>
          </w:p>
        </w:tc>
        <w:tc>
          <w:tcPr>
            <w:tcW w:w="2655"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7A638B28">
            <w:pPr>
              <w:widowControl/>
              <w:spacing w:line="360" w:lineRule="auto"/>
              <w:jc w:val="center"/>
              <w:rPr>
                <w:rFonts w:ascii="宋体"/>
                <w:color w:val="000000" w:themeColor="text1"/>
                <w:kern w:val="0"/>
                <w:highlight w:val="none"/>
                <w14:textFill>
                  <w14:solidFill>
                    <w14:schemeClr w14:val="tx1"/>
                  </w14:solidFill>
                </w14:textFill>
              </w:rPr>
            </w:pPr>
          </w:p>
        </w:tc>
        <w:tc>
          <w:tcPr>
            <w:tcW w:w="1455"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52224825">
            <w:pPr>
              <w:widowControl/>
              <w:spacing w:line="360" w:lineRule="auto"/>
              <w:jc w:val="center"/>
              <w:rPr>
                <w:rFonts w:ascii="宋体"/>
                <w:color w:val="000000" w:themeColor="text1"/>
                <w:kern w:val="0"/>
                <w:highlight w:val="none"/>
                <w14:textFill>
                  <w14:solidFill>
                    <w14:schemeClr w14:val="tx1"/>
                  </w14:solidFill>
                </w14:textFill>
              </w:rPr>
            </w:pPr>
          </w:p>
        </w:tc>
        <w:tc>
          <w:tcPr>
            <w:tcW w:w="4287"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5793B482">
            <w:pPr>
              <w:widowControl/>
              <w:spacing w:line="360" w:lineRule="auto"/>
              <w:jc w:val="center"/>
              <w:rPr>
                <w:rFonts w:ascii="宋体"/>
                <w:color w:val="000000" w:themeColor="text1"/>
                <w:kern w:val="0"/>
                <w:highlight w:val="none"/>
                <w14:textFill>
                  <w14:solidFill>
                    <w14:schemeClr w14:val="tx1"/>
                  </w14:solidFill>
                </w14:textFill>
              </w:rPr>
            </w:pPr>
          </w:p>
        </w:tc>
        <w:tc>
          <w:tcPr>
            <w:tcW w:w="870"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5D369533">
            <w:pPr>
              <w:widowControl/>
              <w:spacing w:line="360" w:lineRule="auto"/>
              <w:jc w:val="center"/>
              <w:rPr>
                <w:rFonts w:ascii="宋体"/>
                <w:color w:val="000000" w:themeColor="text1"/>
                <w:kern w:val="0"/>
                <w:highlight w:val="none"/>
                <w14:textFill>
                  <w14:solidFill>
                    <w14:schemeClr w14:val="tx1"/>
                  </w14:solidFill>
                </w14:textFill>
              </w:rPr>
            </w:pPr>
          </w:p>
        </w:tc>
      </w:tr>
      <w:tr w14:paraId="69CEAF52">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29305751">
            <w:pPr>
              <w:widowControl/>
              <w:spacing w:line="360" w:lineRule="auto"/>
              <w:jc w:val="center"/>
              <w:rPr>
                <w:rFonts w:ascii="宋体"/>
                <w:color w:val="000000" w:themeColor="text1"/>
                <w:kern w:val="0"/>
                <w:highlight w:val="none"/>
                <w14:textFill>
                  <w14:solidFill>
                    <w14:schemeClr w14:val="tx1"/>
                  </w14:solidFill>
                </w14:textFill>
              </w:rPr>
            </w:pPr>
            <w:r>
              <w:rPr>
                <w:rFonts w:ascii="宋体" w:hAnsi="宋体" w:cs="宋体"/>
                <w:color w:val="000000" w:themeColor="text1"/>
                <w:kern w:val="0"/>
                <w:highlight w:val="none"/>
                <w14:textFill>
                  <w14:solidFill>
                    <w14:schemeClr w14:val="tx1"/>
                  </w14:solidFill>
                </w14:textFill>
              </w:rPr>
              <w:t>2</w:t>
            </w:r>
          </w:p>
        </w:tc>
        <w:tc>
          <w:tcPr>
            <w:tcW w:w="2655"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4914B7A1">
            <w:pPr>
              <w:widowControl/>
              <w:spacing w:line="360" w:lineRule="auto"/>
              <w:jc w:val="center"/>
              <w:rPr>
                <w:rFonts w:ascii="宋体"/>
                <w:color w:val="000000" w:themeColor="text1"/>
                <w:kern w:val="0"/>
                <w:highlight w:val="none"/>
                <w14:textFill>
                  <w14:solidFill>
                    <w14:schemeClr w14:val="tx1"/>
                  </w14:solidFill>
                </w14:textFill>
              </w:rPr>
            </w:pPr>
          </w:p>
        </w:tc>
        <w:tc>
          <w:tcPr>
            <w:tcW w:w="1455"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2B6395AD">
            <w:pPr>
              <w:widowControl/>
              <w:spacing w:line="360" w:lineRule="auto"/>
              <w:jc w:val="center"/>
              <w:rPr>
                <w:rFonts w:ascii="宋体"/>
                <w:color w:val="000000" w:themeColor="text1"/>
                <w:kern w:val="0"/>
                <w:highlight w:val="none"/>
                <w14:textFill>
                  <w14:solidFill>
                    <w14:schemeClr w14:val="tx1"/>
                  </w14:solidFill>
                </w14:textFill>
              </w:rPr>
            </w:pPr>
          </w:p>
        </w:tc>
        <w:tc>
          <w:tcPr>
            <w:tcW w:w="4287"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33160B6A">
            <w:pPr>
              <w:widowControl/>
              <w:spacing w:line="360" w:lineRule="auto"/>
              <w:jc w:val="center"/>
              <w:rPr>
                <w:rFonts w:ascii="宋体"/>
                <w:color w:val="000000" w:themeColor="text1"/>
                <w:kern w:val="0"/>
                <w:highlight w:val="none"/>
                <w14:textFill>
                  <w14:solidFill>
                    <w14:schemeClr w14:val="tx1"/>
                  </w14:solidFill>
                </w14:textFill>
              </w:rPr>
            </w:pPr>
          </w:p>
        </w:tc>
        <w:tc>
          <w:tcPr>
            <w:tcW w:w="870"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217780FF">
            <w:pPr>
              <w:widowControl/>
              <w:spacing w:line="360" w:lineRule="auto"/>
              <w:jc w:val="center"/>
              <w:rPr>
                <w:rFonts w:ascii="宋体"/>
                <w:color w:val="000000" w:themeColor="text1"/>
                <w:kern w:val="0"/>
                <w:highlight w:val="none"/>
                <w14:textFill>
                  <w14:solidFill>
                    <w14:schemeClr w14:val="tx1"/>
                  </w14:solidFill>
                </w14:textFill>
              </w:rPr>
            </w:pPr>
          </w:p>
        </w:tc>
      </w:tr>
      <w:tr w14:paraId="70939570">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7B1BA54B">
            <w:pPr>
              <w:widowControl/>
              <w:spacing w:line="360" w:lineRule="auto"/>
              <w:jc w:val="center"/>
              <w:rPr>
                <w:rFonts w:ascii="宋体"/>
                <w:color w:val="000000" w:themeColor="text1"/>
                <w:kern w:val="0"/>
                <w:highlight w:val="none"/>
                <w14:textFill>
                  <w14:solidFill>
                    <w14:schemeClr w14:val="tx1"/>
                  </w14:solidFill>
                </w14:textFill>
              </w:rPr>
            </w:pPr>
            <w:r>
              <w:rPr>
                <w:rFonts w:ascii="宋体" w:hAnsi="宋体" w:cs="宋体"/>
                <w:color w:val="000000" w:themeColor="text1"/>
                <w:kern w:val="0"/>
                <w:highlight w:val="none"/>
                <w14:textFill>
                  <w14:solidFill>
                    <w14:schemeClr w14:val="tx1"/>
                  </w14:solidFill>
                </w14:textFill>
              </w:rPr>
              <w:t>3</w:t>
            </w:r>
          </w:p>
        </w:tc>
        <w:tc>
          <w:tcPr>
            <w:tcW w:w="2655"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09B39F5B">
            <w:pPr>
              <w:widowControl/>
              <w:spacing w:line="360" w:lineRule="auto"/>
              <w:jc w:val="center"/>
              <w:rPr>
                <w:rFonts w:ascii="宋体"/>
                <w:color w:val="000000" w:themeColor="text1"/>
                <w:kern w:val="0"/>
                <w:highlight w:val="none"/>
                <w14:textFill>
                  <w14:solidFill>
                    <w14:schemeClr w14:val="tx1"/>
                  </w14:solidFill>
                </w14:textFill>
              </w:rPr>
            </w:pPr>
          </w:p>
        </w:tc>
        <w:tc>
          <w:tcPr>
            <w:tcW w:w="1455"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5D24E73B">
            <w:pPr>
              <w:widowControl/>
              <w:spacing w:line="360" w:lineRule="auto"/>
              <w:jc w:val="center"/>
              <w:rPr>
                <w:rFonts w:ascii="宋体"/>
                <w:color w:val="000000" w:themeColor="text1"/>
                <w:kern w:val="0"/>
                <w:highlight w:val="none"/>
                <w14:textFill>
                  <w14:solidFill>
                    <w14:schemeClr w14:val="tx1"/>
                  </w14:solidFill>
                </w14:textFill>
              </w:rPr>
            </w:pPr>
          </w:p>
        </w:tc>
        <w:tc>
          <w:tcPr>
            <w:tcW w:w="4287"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00D5B080">
            <w:pPr>
              <w:widowControl/>
              <w:spacing w:line="360" w:lineRule="auto"/>
              <w:jc w:val="center"/>
              <w:rPr>
                <w:rFonts w:ascii="宋体"/>
                <w:color w:val="000000" w:themeColor="text1"/>
                <w:kern w:val="0"/>
                <w:highlight w:val="none"/>
                <w14:textFill>
                  <w14:solidFill>
                    <w14:schemeClr w14:val="tx1"/>
                  </w14:solidFill>
                </w14:textFill>
              </w:rPr>
            </w:pPr>
          </w:p>
        </w:tc>
        <w:tc>
          <w:tcPr>
            <w:tcW w:w="870"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6AF02A63">
            <w:pPr>
              <w:widowControl/>
              <w:spacing w:line="360" w:lineRule="auto"/>
              <w:jc w:val="center"/>
              <w:rPr>
                <w:rFonts w:ascii="宋体"/>
                <w:color w:val="000000" w:themeColor="text1"/>
                <w:kern w:val="0"/>
                <w:highlight w:val="none"/>
                <w14:textFill>
                  <w14:solidFill>
                    <w14:schemeClr w14:val="tx1"/>
                  </w14:solidFill>
                </w14:textFill>
              </w:rPr>
            </w:pPr>
          </w:p>
        </w:tc>
      </w:tr>
      <w:tr w14:paraId="6B50D7B6">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233DB892">
            <w:pPr>
              <w:widowControl/>
              <w:spacing w:line="360" w:lineRule="auto"/>
              <w:jc w:val="center"/>
              <w:rPr>
                <w:rFonts w:ascii="宋体"/>
                <w:color w:val="000000" w:themeColor="text1"/>
                <w:kern w:val="0"/>
                <w:highlight w:val="none"/>
                <w14:textFill>
                  <w14:solidFill>
                    <w14:schemeClr w14:val="tx1"/>
                  </w14:solidFill>
                </w14:textFill>
              </w:rPr>
            </w:pPr>
            <w:r>
              <w:rPr>
                <w:rFonts w:hint="eastAsia" w:ascii="宋体" w:hAnsi="宋体" w:cs="宋体"/>
                <w:color w:val="000000" w:themeColor="text1"/>
                <w:kern w:val="0"/>
                <w:highlight w:val="none"/>
                <w14:textFill>
                  <w14:solidFill>
                    <w14:schemeClr w14:val="tx1"/>
                  </w14:solidFill>
                </w14:textFill>
              </w:rPr>
              <w:t>……</w:t>
            </w:r>
          </w:p>
        </w:tc>
        <w:tc>
          <w:tcPr>
            <w:tcW w:w="2655"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7E6805F6">
            <w:pPr>
              <w:widowControl/>
              <w:spacing w:line="360" w:lineRule="auto"/>
              <w:jc w:val="center"/>
              <w:rPr>
                <w:rFonts w:ascii="宋体"/>
                <w:color w:val="000000" w:themeColor="text1"/>
                <w:kern w:val="0"/>
                <w:highlight w:val="none"/>
                <w14:textFill>
                  <w14:solidFill>
                    <w14:schemeClr w14:val="tx1"/>
                  </w14:solidFill>
                </w14:textFill>
              </w:rPr>
            </w:pPr>
          </w:p>
        </w:tc>
        <w:tc>
          <w:tcPr>
            <w:tcW w:w="1455"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1D881F83">
            <w:pPr>
              <w:widowControl/>
              <w:spacing w:line="360" w:lineRule="auto"/>
              <w:jc w:val="center"/>
              <w:rPr>
                <w:rFonts w:ascii="宋体"/>
                <w:color w:val="000000" w:themeColor="text1"/>
                <w:kern w:val="0"/>
                <w:highlight w:val="none"/>
                <w14:textFill>
                  <w14:solidFill>
                    <w14:schemeClr w14:val="tx1"/>
                  </w14:solidFill>
                </w14:textFill>
              </w:rPr>
            </w:pPr>
          </w:p>
        </w:tc>
        <w:tc>
          <w:tcPr>
            <w:tcW w:w="4287"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34F45325">
            <w:pPr>
              <w:widowControl/>
              <w:spacing w:line="360" w:lineRule="auto"/>
              <w:jc w:val="center"/>
              <w:rPr>
                <w:rFonts w:ascii="宋体"/>
                <w:color w:val="000000" w:themeColor="text1"/>
                <w:kern w:val="0"/>
                <w:highlight w:val="none"/>
                <w14:textFill>
                  <w14:solidFill>
                    <w14:schemeClr w14:val="tx1"/>
                  </w14:solidFill>
                </w14:textFill>
              </w:rPr>
            </w:pPr>
          </w:p>
        </w:tc>
        <w:tc>
          <w:tcPr>
            <w:tcW w:w="870"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777246E9">
            <w:pPr>
              <w:widowControl/>
              <w:spacing w:line="360" w:lineRule="auto"/>
              <w:jc w:val="center"/>
              <w:rPr>
                <w:rFonts w:ascii="宋体"/>
                <w:color w:val="000000" w:themeColor="text1"/>
                <w:kern w:val="0"/>
                <w:highlight w:val="none"/>
                <w14:textFill>
                  <w14:solidFill>
                    <w14:schemeClr w14:val="tx1"/>
                  </w14:solidFill>
                </w14:textFill>
              </w:rPr>
            </w:pPr>
          </w:p>
        </w:tc>
      </w:tr>
    </w:tbl>
    <w:p w14:paraId="08E91216">
      <w:pPr>
        <w:spacing w:line="360" w:lineRule="auto"/>
        <w:jc w:val="left"/>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注：</w:t>
      </w:r>
    </w:p>
    <w:p w14:paraId="49AAACE2">
      <w:pPr>
        <w:spacing w:line="360" w:lineRule="auto"/>
        <w:ind w:firstLine="420" w:firstLineChars="200"/>
        <w:jc w:val="left"/>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1.</w:t>
      </w:r>
      <w:r>
        <w:rPr>
          <w:rFonts w:hint="eastAsia" w:ascii="宋体" w:hAnsi="宋体" w:cs="宋体"/>
          <w:color w:val="000000" w:themeColor="text1"/>
          <w:highlight w:val="none"/>
          <w14:textFill>
            <w14:solidFill>
              <w14:schemeClr w14:val="tx1"/>
            </w14:solidFill>
          </w14:textFill>
        </w:rPr>
        <w:t>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0AE7AF70">
      <w:pPr>
        <w:spacing w:line="360" w:lineRule="auto"/>
        <w:ind w:firstLine="420" w:firstLineChars="200"/>
        <w:jc w:val="left"/>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2.</w:t>
      </w:r>
      <w:r>
        <w:rPr>
          <w:rFonts w:hint="eastAsia" w:ascii="宋体" w:hAnsi="宋体" w:cs="宋体"/>
          <w:color w:val="000000" w:themeColor="text1"/>
          <w:highlight w:val="none"/>
          <w14:textFill>
            <w14:solidFill>
              <w14:schemeClr w14:val="tx1"/>
            </w14:solidFill>
          </w14:textFill>
        </w:rPr>
        <w:t>本表所指的控股关系仅限于直接控股关系，不包括间接的控股关系。公司实际控制人与公司之间的关系不属于本表所指的直接控股关系。</w:t>
      </w:r>
    </w:p>
    <w:p w14:paraId="073BE14F">
      <w:pPr>
        <w:spacing w:line="360" w:lineRule="auto"/>
        <w:ind w:firstLine="420" w:firstLineChars="200"/>
        <w:jc w:val="left"/>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3.</w:t>
      </w:r>
      <w:r>
        <w:rPr>
          <w:rFonts w:hint="eastAsia" w:ascii="宋体" w:hAnsi="宋体" w:cs="宋体"/>
          <w:color w:val="000000" w:themeColor="text1"/>
          <w:highlight w:val="none"/>
          <w14:textFill>
            <w14:solidFill>
              <w14:schemeClr w14:val="tx1"/>
            </w14:solidFill>
          </w14:textFill>
        </w:rPr>
        <w:t>供应商不存在直接控股股东的，则填“无”。</w:t>
      </w:r>
    </w:p>
    <w:p w14:paraId="334B74CD">
      <w:pPr>
        <w:snapToGrid w:val="0"/>
        <w:spacing w:line="360" w:lineRule="auto"/>
        <w:jc w:val="left"/>
        <w:rPr>
          <w:rFonts w:ascii="宋体"/>
          <w:color w:val="000000" w:themeColor="text1"/>
          <w:highlight w:val="none"/>
          <w14:textFill>
            <w14:solidFill>
              <w14:schemeClr w14:val="tx1"/>
            </w14:solidFill>
          </w14:textFill>
        </w:rPr>
      </w:pPr>
    </w:p>
    <w:p w14:paraId="4CF56C2F">
      <w:pPr>
        <w:snapToGrid w:val="0"/>
        <w:spacing w:line="360" w:lineRule="auto"/>
        <w:jc w:val="left"/>
        <w:rPr>
          <w:rFonts w:ascii="宋体"/>
          <w:color w:val="000000" w:themeColor="text1"/>
          <w:highlight w:val="none"/>
          <w14:textFill>
            <w14:solidFill>
              <w14:schemeClr w14:val="tx1"/>
            </w14:solidFill>
          </w14:textFill>
        </w:rPr>
      </w:pPr>
    </w:p>
    <w:p w14:paraId="5F53C042">
      <w:pPr>
        <w:snapToGrid w:val="0"/>
        <w:spacing w:beforeLines="50" w:line="360" w:lineRule="auto"/>
        <w:ind w:right="480" w:firstLine="3045" w:firstLineChars="1450"/>
        <w:rPr>
          <w:rFonts w:ascii="宋体"/>
          <w:color w:val="000000" w:themeColor="text1"/>
          <w:highlight w:val="none"/>
          <w:u w:val="singl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法定代表人或者委托代理人签字：</w:t>
      </w:r>
      <w:r>
        <w:rPr>
          <w:rFonts w:ascii="宋体" w:hAnsi="宋体" w:cs="宋体"/>
          <w:color w:val="000000" w:themeColor="text1"/>
          <w:highlight w:val="none"/>
          <w:u w:val="single"/>
          <w14:textFill>
            <w14:solidFill>
              <w14:schemeClr w14:val="tx1"/>
            </w14:solidFill>
          </w14:textFill>
        </w:rPr>
        <w:t xml:space="preserve">                </w:t>
      </w:r>
    </w:p>
    <w:p w14:paraId="18855BBD">
      <w:pPr>
        <w:snapToGrid w:val="0"/>
        <w:spacing w:beforeLines="50" w:after="50" w:line="360" w:lineRule="auto"/>
        <w:ind w:right="480" w:firstLine="3045" w:firstLineChars="1450"/>
        <w:rPr>
          <w:rFonts w:ascii="宋体"/>
          <w:color w:val="000000" w:themeColor="text1"/>
          <w:highlight w:val="none"/>
          <w:u w:val="singl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供应商（盖公章）：</w:t>
      </w:r>
      <w:r>
        <w:rPr>
          <w:rFonts w:ascii="宋体" w:hAnsi="宋体" w:cs="宋体"/>
          <w:color w:val="000000" w:themeColor="text1"/>
          <w:highlight w:val="none"/>
          <w:u w:val="single"/>
          <w14:textFill>
            <w14:solidFill>
              <w14:schemeClr w14:val="tx1"/>
            </w14:solidFill>
          </w14:textFill>
        </w:rPr>
        <w:t xml:space="preserve">                            </w:t>
      </w:r>
    </w:p>
    <w:p w14:paraId="0FA25F39">
      <w:pPr>
        <w:snapToGrid w:val="0"/>
        <w:spacing w:beforeLines="50" w:after="50" w:line="360" w:lineRule="auto"/>
        <w:ind w:right="480" w:firstLine="4620" w:firstLineChars="2200"/>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年</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月</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日</w:t>
      </w:r>
    </w:p>
    <w:p w14:paraId="2E2DA781">
      <w:pPr>
        <w:snapToGrid w:val="0"/>
        <w:jc w:val="center"/>
        <w:rPr>
          <w:rFonts w:ascii="宋体"/>
          <w:b/>
          <w:bCs/>
          <w:color w:val="000000" w:themeColor="text1"/>
          <w:sz w:val="28"/>
          <w:szCs w:val="28"/>
          <w:highlight w:val="none"/>
          <w14:textFill>
            <w14:solidFill>
              <w14:schemeClr w14:val="tx1"/>
            </w14:solidFill>
          </w14:textFill>
        </w:rPr>
      </w:pPr>
      <w:r>
        <w:rPr>
          <w:rFonts w:ascii="宋体"/>
          <w:b/>
          <w:bCs/>
          <w:color w:val="000000" w:themeColor="text1"/>
          <w:highlight w:val="none"/>
          <w14:textFill>
            <w14:solidFill>
              <w14:schemeClr w14:val="tx1"/>
            </w14:solidFill>
          </w14:textFill>
        </w:rPr>
        <w:br w:type="page"/>
      </w:r>
    </w:p>
    <w:p w14:paraId="7CD7978F">
      <w:pPr>
        <w:spacing w:line="360" w:lineRule="auto"/>
        <w:jc w:val="center"/>
        <w:rPr>
          <w:rFonts w:ascii="宋体"/>
          <w:b/>
          <w:bCs/>
          <w:color w:val="000000" w:themeColor="text1"/>
          <w:sz w:val="36"/>
          <w:szCs w:val="36"/>
          <w:highlight w:val="none"/>
          <w14:textFill>
            <w14:solidFill>
              <w14:schemeClr w14:val="tx1"/>
            </w14:solidFill>
          </w14:textFill>
        </w:rPr>
      </w:pPr>
      <w:r>
        <w:rPr>
          <w:rFonts w:hint="eastAsia" w:ascii="宋体" w:hAnsi="宋体" w:cs="宋体"/>
          <w:b/>
          <w:bCs/>
          <w:color w:val="000000" w:themeColor="text1"/>
          <w:sz w:val="36"/>
          <w:szCs w:val="36"/>
          <w:highlight w:val="none"/>
          <w14:textFill>
            <w14:solidFill>
              <w14:schemeClr w14:val="tx1"/>
            </w14:solidFill>
          </w14:textFill>
        </w:rPr>
        <w:t>供应商直接管理关系信息表</w:t>
      </w:r>
    </w:p>
    <w:p w14:paraId="24F630DA">
      <w:pPr>
        <w:snapToGrid w:val="0"/>
        <w:spacing w:line="360" w:lineRule="auto"/>
        <w:jc w:val="center"/>
        <w:rPr>
          <w:rFonts w:ascii="宋体"/>
          <w:b/>
          <w:bCs/>
          <w:color w:val="000000" w:themeColor="text1"/>
          <w:highlight w:val="none"/>
          <w14:textFill>
            <w14:solidFill>
              <w14:schemeClr w14:val="tx1"/>
            </w14:solidFill>
          </w14:textFill>
        </w:rPr>
      </w:pPr>
    </w:p>
    <w:tbl>
      <w:tblPr>
        <w:tblStyle w:val="59"/>
        <w:tblW w:w="0" w:type="auto"/>
        <w:jc w:val="center"/>
        <w:tblLayout w:type="fixed"/>
        <w:tblCellMar>
          <w:top w:w="0" w:type="dxa"/>
          <w:left w:w="0" w:type="dxa"/>
          <w:bottom w:w="0" w:type="dxa"/>
          <w:right w:w="0" w:type="dxa"/>
        </w:tblCellMar>
      </w:tblPr>
      <w:tblGrid>
        <w:gridCol w:w="808"/>
        <w:gridCol w:w="3600"/>
        <w:gridCol w:w="3555"/>
        <w:gridCol w:w="1689"/>
      </w:tblGrid>
      <w:tr w14:paraId="5D992EA0">
        <w:tblPrEx>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14E07125">
            <w:pPr>
              <w:widowControl/>
              <w:spacing w:line="360" w:lineRule="auto"/>
              <w:jc w:val="center"/>
              <w:rPr>
                <w:rFonts w:ascii="宋体"/>
                <w:b/>
                <w:bCs/>
                <w:color w:val="000000" w:themeColor="text1"/>
                <w:kern w:val="0"/>
                <w:highlight w:val="none"/>
                <w14:textFill>
                  <w14:solidFill>
                    <w14:schemeClr w14:val="tx1"/>
                  </w14:solidFill>
                </w14:textFill>
              </w:rPr>
            </w:pPr>
            <w:r>
              <w:rPr>
                <w:rFonts w:hint="eastAsia" w:ascii="宋体" w:hAnsi="宋体" w:cs="宋体"/>
                <w:b/>
                <w:bCs/>
                <w:color w:val="000000" w:themeColor="text1"/>
                <w:kern w:val="0"/>
                <w:highlight w:val="none"/>
                <w14:textFill>
                  <w14:solidFill>
                    <w14:schemeClr w14:val="tx1"/>
                  </w14:solidFill>
                </w14:textFill>
              </w:rPr>
              <w:t>序号</w:t>
            </w:r>
          </w:p>
        </w:tc>
        <w:tc>
          <w:tcPr>
            <w:tcW w:w="3600"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3F4C377E">
            <w:pPr>
              <w:widowControl/>
              <w:spacing w:line="360" w:lineRule="auto"/>
              <w:jc w:val="center"/>
              <w:rPr>
                <w:rFonts w:ascii="宋体"/>
                <w:b/>
                <w:bCs/>
                <w:color w:val="000000" w:themeColor="text1"/>
                <w:kern w:val="0"/>
                <w:highlight w:val="none"/>
                <w14:textFill>
                  <w14:solidFill>
                    <w14:schemeClr w14:val="tx1"/>
                  </w14:solidFill>
                </w14:textFill>
              </w:rPr>
            </w:pPr>
            <w:r>
              <w:rPr>
                <w:rFonts w:hint="eastAsia" w:ascii="宋体" w:hAnsi="宋体" w:cs="宋体"/>
                <w:b/>
                <w:bCs/>
                <w:color w:val="000000" w:themeColor="text1"/>
                <w:kern w:val="0"/>
                <w:highlight w:val="none"/>
                <w14:textFill>
                  <w14:solidFill>
                    <w14:schemeClr w14:val="tx1"/>
                  </w14:solidFill>
                </w14:textFill>
              </w:rPr>
              <w:t>直接管理关系单位名称</w:t>
            </w:r>
          </w:p>
        </w:tc>
        <w:tc>
          <w:tcPr>
            <w:tcW w:w="3555"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53B0A53C">
            <w:pPr>
              <w:widowControl/>
              <w:spacing w:line="360" w:lineRule="auto"/>
              <w:jc w:val="center"/>
              <w:rPr>
                <w:rFonts w:ascii="宋体"/>
                <w:b/>
                <w:bCs/>
                <w:color w:val="000000" w:themeColor="text1"/>
                <w:kern w:val="0"/>
                <w:highlight w:val="none"/>
                <w14:textFill>
                  <w14:solidFill>
                    <w14:schemeClr w14:val="tx1"/>
                  </w14:solidFill>
                </w14:textFill>
              </w:rPr>
            </w:pPr>
            <w:r>
              <w:rPr>
                <w:rFonts w:hint="eastAsia" w:ascii="宋体" w:hAnsi="宋体" w:cs="宋体"/>
                <w:b/>
                <w:bCs/>
                <w:color w:val="000000" w:themeColor="text1"/>
                <w:kern w:val="0"/>
                <w:highlight w:val="none"/>
                <w14:textFill>
                  <w14:solidFill>
                    <w14:schemeClr w14:val="tx1"/>
                  </w14:solidFill>
                </w14:textFill>
              </w:rPr>
              <w:t>统一社会信用代码</w:t>
            </w:r>
          </w:p>
        </w:tc>
        <w:tc>
          <w:tcPr>
            <w:tcW w:w="168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4076A4AA">
            <w:pPr>
              <w:widowControl/>
              <w:spacing w:line="360" w:lineRule="auto"/>
              <w:jc w:val="center"/>
              <w:rPr>
                <w:rFonts w:ascii="宋体"/>
                <w:b/>
                <w:bCs/>
                <w:color w:val="000000" w:themeColor="text1"/>
                <w:kern w:val="0"/>
                <w:highlight w:val="none"/>
                <w14:textFill>
                  <w14:solidFill>
                    <w14:schemeClr w14:val="tx1"/>
                  </w14:solidFill>
                </w14:textFill>
              </w:rPr>
            </w:pPr>
            <w:r>
              <w:rPr>
                <w:rFonts w:hint="eastAsia" w:ascii="宋体" w:hAnsi="宋体" w:cs="宋体"/>
                <w:b/>
                <w:bCs/>
                <w:color w:val="000000" w:themeColor="text1"/>
                <w:kern w:val="0"/>
                <w:highlight w:val="none"/>
                <w14:textFill>
                  <w14:solidFill>
                    <w14:schemeClr w14:val="tx1"/>
                  </w14:solidFill>
                </w14:textFill>
              </w:rPr>
              <w:t>备注</w:t>
            </w:r>
          </w:p>
        </w:tc>
      </w:tr>
      <w:tr w14:paraId="1D578EA2">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19F04ACB">
            <w:pPr>
              <w:widowControl/>
              <w:spacing w:line="360" w:lineRule="auto"/>
              <w:jc w:val="center"/>
              <w:rPr>
                <w:rFonts w:ascii="宋体"/>
                <w:color w:val="000000" w:themeColor="text1"/>
                <w:kern w:val="0"/>
                <w:highlight w:val="none"/>
                <w14:textFill>
                  <w14:solidFill>
                    <w14:schemeClr w14:val="tx1"/>
                  </w14:solidFill>
                </w14:textFill>
              </w:rPr>
            </w:pPr>
            <w:r>
              <w:rPr>
                <w:rFonts w:ascii="宋体" w:hAnsi="宋体" w:cs="宋体"/>
                <w:color w:val="000000" w:themeColor="text1"/>
                <w:kern w:val="0"/>
                <w:highlight w:val="none"/>
                <w14:textFill>
                  <w14:solidFill>
                    <w14:schemeClr w14:val="tx1"/>
                  </w14:solidFill>
                </w14:textFill>
              </w:rPr>
              <w:t>1</w:t>
            </w:r>
          </w:p>
        </w:tc>
        <w:tc>
          <w:tcPr>
            <w:tcW w:w="3600"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7A7862B6">
            <w:pPr>
              <w:widowControl/>
              <w:spacing w:line="360" w:lineRule="auto"/>
              <w:jc w:val="center"/>
              <w:rPr>
                <w:rFonts w:ascii="宋体"/>
                <w:color w:val="000000" w:themeColor="text1"/>
                <w:kern w:val="0"/>
                <w:highlight w:val="none"/>
                <w14:textFill>
                  <w14:solidFill>
                    <w14:schemeClr w14:val="tx1"/>
                  </w14:solidFill>
                </w14:textFill>
              </w:rPr>
            </w:pPr>
          </w:p>
        </w:tc>
        <w:tc>
          <w:tcPr>
            <w:tcW w:w="3555"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625BF949">
            <w:pPr>
              <w:widowControl/>
              <w:spacing w:line="360" w:lineRule="auto"/>
              <w:jc w:val="center"/>
              <w:rPr>
                <w:rFonts w:ascii="宋体"/>
                <w:color w:val="000000" w:themeColor="text1"/>
                <w:kern w:val="0"/>
                <w:highlight w:val="none"/>
                <w14:textFill>
                  <w14:solidFill>
                    <w14:schemeClr w14:val="tx1"/>
                  </w14:solidFill>
                </w14:textFill>
              </w:rPr>
            </w:pPr>
          </w:p>
        </w:tc>
        <w:tc>
          <w:tcPr>
            <w:tcW w:w="168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64A382A5">
            <w:pPr>
              <w:widowControl/>
              <w:spacing w:line="360" w:lineRule="auto"/>
              <w:jc w:val="center"/>
              <w:rPr>
                <w:rFonts w:ascii="宋体"/>
                <w:color w:val="000000" w:themeColor="text1"/>
                <w:kern w:val="0"/>
                <w:highlight w:val="none"/>
                <w14:textFill>
                  <w14:solidFill>
                    <w14:schemeClr w14:val="tx1"/>
                  </w14:solidFill>
                </w14:textFill>
              </w:rPr>
            </w:pPr>
          </w:p>
        </w:tc>
      </w:tr>
      <w:tr w14:paraId="0F20BE8F">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7F581FFD">
            <w:pPr>
              <w:widowControl/>
              <w:spacing w:line="360" w:lineRule="auto"/>
              <w:jc w:val="center"/>
              <w:rPr>
                <w:rFonts w:ascii="宋体"/>
                <w:color w:val="000000" w:themeColor="text1"/>
                <w:kern w:val="0"/>
                <w:highlight w:val="none"/>
                <w14:textFill>
                  <w14:solidFill>
                    <w14:schemeClr w14:val="tx1"/>
                  </w14:solidFill>
                </w14:textFill>
              </w:rPr>
            </w:pPr>
            <w:r>
              <w:rPr>
                <w:rFonts w:ascii="宋体" w:hAnsi="宋体" w:cs="宋体"/>
                <w:color w:val="000000" w:themeColor="text1"/>
                <w:kern w:val="0"/>
                <w:highlight w:val="none"/>
                <w14:textFill>
                  <w14:solidFill>
                    <w14:schemeClr w14:val="tx1"/>
                  </w14:solidFill>
                </w14:textFill>
              </w:rPr>
              <w:t>2</w:t>
            </w:r>
          </w:p>
        </w:tc>
        <w:tc>
          <w:tcPr>
            <w:tcW w:w="3600"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111185F8">
            <w:pPr>
              <w:widowControl/>
              <w:spacing w:line="360" w:lineRule="auto"/>
              <w:jc w:val="center"/>
              <w:rPr>
                <w:rFonts w:ascii="宋体"/>
                <w:color w:val="000000" w:themeColor="text1"/>
                <w:kern w:val="0"/>
                <w:highlight w:val="none"/>
                <w14:textFill>
                  <w14:solidFill>
                    <w14:schemeClr w14:val="tx1"/>
                  </w14:solidFill>
                </w14:textFill>
              </w:rPr>
            </w:pPr>
          </w:p>
        </w:tc>
        <w:tc>
          <w:tcPr>
            <w:tcW w:w="3555"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3D0E9235">
            <w:pPr>
              <w:widowControl/>
              <w:spacing w:line="360" w:lineRule="auto"/>
              <w:jc w:val="center"/>
              <w:rPr>
                <w:rFonts w:ascii="宋体"/>
                <w:color w:val="000000" w:themeColor="text1"/>
                <w:kern w:val="0"/>
                <w:highlight w:val="none"/>
                <w14:textFill>
                  <w14:solidFill>
                    <w14:schemeClr w14:val="tx1"/>
                  </w14:solidFill>
                </w14:textFill>
              </w:rPr>
            </w:pPr>
          </w:p>
        </w:tc>
        <w:tc>
          <w:tcPr>
            <w:tcW w:w="168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53DDAF36">
            <w:pPr>
              <w:widowControl/>
              <w:spacing w:line="360" w:lineRule="auto"/>
              <w:jc w:val="center"/>
              <w:rPr>
                <w:rFonts w:ascii="宋体"/>
                <w:color w:val="000000" w:themeColor="text1"/>
                <w:kern w:val="0"/>
                <w:highlight w:val="none"/>
                <w14:textFill>
                  <w14:solidFill>
                    <w14:schemeClr w14:val="tx1"/>
                  </w14:solidFill>
                </w14:textFill>
              </w:rPr>
            </w:pPr>
          </w:p>
        </w:tc>
      </w:tr>
      <w:tr w14:paraId="14F53444">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3656EA07">
            <w:pPr>
              <w:widowControl/>
              <w:spacing w:line="360" w:lineRule="auto"/>
              <w:jc w:val="center"/>
              <w:rPr>
                <w:rFonts w:ascii="宋体"/>
                <w:color w:val="000000" w:themeColor="text1"/>
                <w:kern w:val="0"/>
                <w:highlight w:val="none"/>
                <w14:textFill>
                  <w14:solidFill>
                    <w14:schemeClr w14:val="tx1"/>
                  </w14:solidFill>
                </w14:textFill>
              </w:rPr>
            </w:pPr>
            <w:r>
              <w:rPr>
                <w:rFonts w:ascii="宋体" w:hAnsi="宋体" w:cs="宋体"/>
                <w:color w:val="000000" w:themeColor="text1"/>
                <w:kern w:val="0"/>
                <w:highlight w:val="none"/>
                <w14:textFill>
                  <w14:solidFill>
                    <w14:schemeClr w14:val="tx1"/>
                  </w14:solidFill>
                </w14:textFill>
              </w:rPr>
              <w:t>3</w:t>
            </w:r>
          </w:p>
        </w:tc>
        <w:tc>
          <w:tcPr>
            <w:tcW w:w="3600"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4E91080B">
            <w:pPr>
              <w:widowControl/>
              <w:spacing w:line="360" w:lineRule="auto"/>
              <w:jc w:val="center"/>
              <w:rPr>
                <w:rFonts w:ascii="宋体"/>
                <w:color w:val="000000" w:themeColor="text1"/>
                <w:kern w:val="0"/>
                <w:highlight w:val="none"/>
                <w14:textFill>
                  <w14:solidFill>
                    <w14:schemeClr w14:val="tx1"/>
                  </w14:solidFill>
                </w14:textFill>
              </w:rPr>
            </w:pPr>
          </w:p>
        </w:tc>
        <w:tc>
          <w:tcPr>
            <w:tcW w:w="3555"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026CFF4E">
            <w:pPr>
              <w:widowControl/>
              <w:spacing w:line="360" w:lineRule="auto"/>
              <w:jc w:val="center"/>
              <w:rPr>
                <w:rFonts w:ascii="宋体"/>
                <w:color w:val="000000" w:themeColor="text1"/>
                <w:kern w:val="0"/>
                <w:highlight w:val="none"/>
                <w14:textFill>
                  <w14:solidFill>
                    <w14:schemeClr w14:val="tx1"/>
                  </w14:solidFill>
                </w14:textFill>
              </w:rPr>
            </w:pPr>
          </w:p>
        </w:tc>
        <w:tc>
          <w:tcPr>
            <w:tcW w:w="168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59F5833E">
            <w:pPr>
              <w:widowControl/>
              <w:spacing w:line="360" w:lineRule="auto"/>
              <w:jc w:val="center"/>
              <w:rPr>
                <w:rFonts w:ascii="宋体"/>
                <w:color w:val="000000" w:themeColor="text1"/>
                <w:kern w:val="0"/>
                <w:highlight w:val="none"/>
                <w14:textFill>
                  <w14:solidFill>
                    <w14:schemeClr w14:val="tx1"/>
                  </w14:solidFill>
                </w14:textFill>
              </w:rPr>
            </w:pPr>
          </w:p>
        </w:tc>
      </w:tr>
      <w:tr w14:paraId="21BD4E79">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5C972A83">
            <w:pPr>
              <w:widowControl/>
              <w:spacing w:line="360" w:lineRule="auto"/>
              <w:jc w:val="center"/>
              <w:rPr>
                <w:rFonts w:ascii="宋体"/>
                <w:color w:val="000000" w:themeColor="text1"/>
                <w:kern w:val="0"/>
                <w:highlight w:val="none"/>
                <w14:textFill>
                  <w14:solidFill>
                    <w14:schemeClr w14:val="tx1"/>
                  </w14:solidFill>
                </w14:textFill>
              </w:rPr>
            </w:pPr>
            <w:r>
              <w:rPr>
                <w:rFonts w:hint="eastAsia" w:ascii="宋体" w:hAnsi="宋体" w:cs="宋体"/>
                <w:color w:val="000000" w:themeColor="text1"/>
                <w:kern w:val="0"/>
                <w:highlight w:val="none"/>
                <w14:textFill>
                  <w14:solidFill>
                    <w14:schemeClr w14:val="tx1"/>
                  </w14:solidFill>
                </w14:textFill>
              </w:rPr>
              <w:t>……</w:t>
            </w:r>
          </w:p>
        </w:tc>
        <w:tc>
          <w:tcPr>
            <w:tcW w:w="3600"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5C2ABE1B">
            <w:pPr>
              <w:widowControl/>
              <w:spacing w:line="360" w:lineRule="auto"/>
              <w:jc w:val="center"/>
              <w:rPr>
                <w:rFonts w:ascii="宋体"/>
                <w:color w:val="000000" w:themeColor="text1"/>
                <w:kern w:val="0"/>
                <w:highlight w:val="none"/>
                <w14:textFill>
                  <w14:solidFill>
                    <w14:schemeClr w14:val="tx1"/>
                  </w14:solidFill>
                </w14:textFill>
              </w:rPr>
            </w:pPr>
          </w:p>
        </w:tc>
        <w:tc>
          <w:tcPr>
            <w:tcW w:w="3555"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37623AA0">
            <w:pPr>
              <w:widowControl/>
              <w:spacing w:line="360" w:lineRule="auto"/>
              <w:jc w:val="center"/>
              <w:rPr>
                <w:rFonts w:ascii="宋体"/>
                <w:color w:val="000000" w:themeColor="text1"/>
                <w:kern w:val="0"/>
                <w:highlight w:val="none"/>
                <w14:textFill>
                  <w14:solidFill>
                    <w14:schemeClr w14:val="tx1"/>
                  </w14:solidFill>
                </w14:textFill>
              </w:rPr>
            </w:pPr>
          </w:p>
        </w:tc>
        <w:tc>
          <w:tcPr>
            <w:tcW w:w="168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0CA89981">
            <w:pPr>
              <w:widowControl/>
              <w:spacing w:line="360" w:lineRule="auto"/>
              <w:jc w:val="center"/>
              <w:rPr>
                <w:rFonts w:ascii="宋体"/>
                <w:color w:val="000000" w:themeColor="text1"/>
                <w:kern w:val="0"/>
                <w:highlight w:val="none"/>
                <w14:textFill>
                  <w14:solidFill>
                    <w14:schemeClr w14:val="tx1"/>
                  </w14:solidFill>
                </w14:textFill>
              </w:rPr>
            </w:pPr>
          </w:p>
        </w:tc>
      </w:tr>
    </w:tbl>
    <w:p w14:paraId="213BA6AC">
      <w:pPr>
        <w:spacing w:line="360" w:lineRule="auto"/>
        <w:jc w:val="left"/>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注：</w:t>
      </w:r>
    </w:p>
    <w:p w14:paraId="67C08BC7">
      <w:pPr>
        <w:spacing w:line="360" w:lineRule="auto"/>
        <w:ind w:firstLine="420" w:firstLineChars="200"/>
        <w:jc w:val="left"/>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1.</w:t>
      </w:r>
      <w:r>
        <w:rPr>
          <w:rFonts w:hint="eastAsia" w:ascii="宋体" w:hAnsi="宋体" w:cs="宋体"/>
          <w:color w:val="000000" w:themeColor="text1"/>
          <w:highlight w:val="none"/>
          <w14:textFill>
            <w14:solidFill>
              <w14:schemeClr w14:val="tx1"/>
            </w14:solidFill>
          </w14:textFill>
        </w:rPr>
        <w:t>管理关系：是指不具有出资持股关系的其他单位之间存在的管理与被管理关系，如一些上下级关系的事业单位和团体组织。</w:t>
      </w:r>
    </w:p>
    <w:p w14:paraId="4C6F8633">
      <w:pPr>
        <w:spacing w:line="360" w:lineRule="auto"/>
        <w:ind w:firstLine="420" w:firstLineChars="200"/>
        <w:jc w:val="left"/>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2.</w:t>
      </w:r>
      <w:r>
        <w:rPr>
          <w:rFonts w:hint="eastAsia" w:ascii="宋体" w:hAnsi="宋体" w:cs="宋体"/>
          <w:color w:val="000000" w:themeColor="text1"/>
          <w:spacing w:val="-6"/>
          <w:highlight w:val="none"/>
          <w14:textFill>
            <w14:solidFill>
              <w14:schemeClr w14:val="tx1"/>
            </w14:solidFill>
          </w14:textFill>
        </w:rPr>
        <w:t>本表所指的管理关系仅限于直接管理关系，不包括间接的管理关系。</w:t>
      </w:r>
    </w:p>
    <w:p w14:paraId="25E868B2">
      <w:pPr>
        <w:spacing w:line="360" w:lineRule="auto"/>
        <w:ind w:firstLine="420" w:firstLineChars="200"/>
        <w:jc w:val="left"/>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3.</w:t>
      </w:r>
      <w:r>
        <w:rPr>
          <w:rFonts w:hint="eastAsia" w:ascii="宋体" w:hAnsi="宋体" w:cs="宋体"/>
          <w:color w:val="000000" w:themeColor="text1"/>
          <w:highlight w:val="none"/>
          <w14:textFill>
            <w14:solidFill>
              <w14:schemeClr w14:val="tx1"/>
            </w14:solidFill>
          </w14:textFill>
        </w:rPr>
        <w:t>供应商不存在直接管理关系的，则填“无”。</w:t>
      </w:r>
    </w:p>
    <w:p w14:paraId="10E94338">
      <w:pPr>
        <w:spacing w:line="360" w:lineRule="auto"/>
        <w:jc w:val="left"/>
        <w:rPr>
          <w:rFonts w:ascii="宋体"/>
          <w:color w:val="000000" w:themeColor="text1"/>
          <w:highlight w:val="none"/>
          <w14:textFill>
            <w14:solidFill>
              <w14:schemeClr w14:val="tx1"/>
            </w14:solidFill>
          </w14:textFill>
        </w:rPr>
      </w:pPr>
    </w:p>
    <w:p w14:paraId="468A6BE7">
      <w:pPr>
        <w:spacing w:line="360" w:lineRule="auto"/>
        <w:jc w:val="left"/>
        <w:rPr>
          <w:rFonts w:ascii="宋体"/>
          <w:color w:val="000000" w:themeColor="text1"/>
          <w:highlight w:val="none"/>
          <w14:textFill>
            <w14:solidFill>
              <w14:schemeClr w14:val="tx1"/>
            </w14:solidFill>
          </w14:textFill>
        </w:rPr>
      </w:pPr>
    </w:p>
    <w:p w14:paraId="31712C68">
      <w:pPr>
        <w:spacing w:line="360" w:lineRule="auto"/>
        <w:ind w:right="480" w:firstLine="2940" w:firstLineChars="1400"/>
        <w:rPr>
          <w:rFonts w:ascii="宋体"/>
          <w:color w:val="000000" w:themeColor="text1"/>
          <w:highlight w:val="none"/>
          <w:u w:val="singl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法定代表人或者委托代理人签字：</w:t>
      </w:r>
      <w:r>
        <w:rPr>
          <w:rFonts w:ascii="宋体" w:hAnsi="宋体" w:cs="宋体"/>
          <w:color w:val="000000" w:themeColor="text1"/>
          <w:highlight w:val="none"/>
          <w:u w:val="single"/>
          <w14:textFill>
            <w14:solidFill>
              <w14:schemeClr w14:val="tx1"/>
            </w14:solidFill>
          </w14:textFill>
        </w:rPr>
        <w:t xml:space="preserve">               </w:t>
      </w:r>
    </w:p>
    <w:p w14:paraId="538D2A45">
      <w:pPr>
        <w:spacing w:line="360" w:lineRule="auto"/>
        <w:ind w:right="480" w:firstLine="2940" w:firstLineChars="1400"/>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供应商（盖公章）：</w:t>
      </w:r>
      <w:r>
        <w:rPr>
          <w:rFonts w:ascii="宋体" w:hAnsi="宋体" w:cs="宋体"/>
          <w:color w:val="000000" w:themeColor="text1"/>
          <w:highlight w:val="none"/>
          <w:u w:val="single"/>
          <w14:textFill>
            <w14:solidFill>
              <w14:schemeClr w14:val="tx1"/>
            </w14:solidFill>
          </w14:textFill>
        </w:rPr>
        <w:t xml:space="preserve">                           </w:t>
      </w:r>
    </w:p>
    <w:p w14:paraId="35BB7906">
      <w:pPr>
        <w:spacing w:line="360" w:lineRule="auto"/>
        <w:ind w:right="480" w:firstLine="210" w:firstLineChars="100"/>
        <w:jc w:val="center"/>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年</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月</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日</w:t>
      </w:r>
    </w:p>
    <w:p w14:paraId="4A7D86CB">
      <w:pPr>
        <w:spacing w:line="360" w:lineRule="auto"/>
        <w:jc w:val="center"/>
        <w:rPr>
          <w:rFonts w:ascii="宋体"/>
          <w:b/>
          <w:bCs/>
          <w:color w:val="000000" w:themeColor="text1"/>
          <w:sz w:val="32"/>
          <w:szCs w:val="32"/>
          <w:highlight w:val="none"/>
          <w14:textFill>
            <w14:solidFill>
              <w14:schemeClr w14:val="tx1"/>
            </w14:solidFill>
          </w14:textFill>
        </w:rPr>
      </w:pPr>
      <w:r>
        <w:rPr>
          <w:rFonts w:ascii="宋体"/>
          <w:color w:val="000000" w:themeColor="text1"/>
          <w:highlight w:val="none"/>
          <w14:textFill>
            <w14:solidFill>
              <w14:schemeClr w14:val="tx1"/>
            </w14:solidFill>
          </w14:textFill>
        </w:rPr>
        <w:br w:type="page"/>
      </w:r>
      <w:r>
        <w:rPr>
          <w:rFonts w:hint="eastAsia" w:ascii="宋体" w:hAnsi="宋体" w:cs="宋体"/>
          <w:b/>
          <w:bCs/>
          <w:color w:val="000000" w:themeColor="text1"/>
          <w:sz w:val="36"/>
          <w:szCs w:val="36"/>
          <w:highlight w:val="none"/>
          <w14:textFill>
            <w14:solidFill>
              <w14:schemeClr w14:val="tx1"/>
            </w14:solidFill>
          </w14:textFill>
        </w:rPr>
        <w:t>磋商声明</w:t>
      </w:r>
    </w:p>
    <w:p w14:paraId="6EFBA5A6">
      <w:pPr>
        <w:spacing w:line="320" w:lineRule="exact"/>
        <w:jc w:val="center"/>
        <w:rPr>
          <w:rFonts w:ascii="宋体"/>
          <w:color w:val="000000" w:themeColor="text1"/>
          <w:sz w:val="24"/>
          <w:szCs w:val="24"/>
          <w:highlight w:val="none"/>
          <w14:textFill>
            <w14:solidFill>
              <w14:schemeClr w14:val="tx1"/>
            </w14:solidFill>
          </w14:textFill>
        </w:rPr>
      </w:pPr>
    </w:p>
    <w:p w14:paraId="24720319">
      <w:pPr>
        <w:spacing w:line="360" w:lineRule="auto"/>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致：</w:t>
      </w:r>
      <w:r>
        <w:rPr>
          <w:rFonts w:hint="eastAsia" w:ascii="宋体" w:hAnsi="宋体" w:cs="宋体"/>
          <w:color w:val="000000" w:themeColor="text1"/>
          <w:highlight w:val="none"/>
          <w:u w:val="single"/>
          <w14:textFill>
            <w14:solidFill>
              <w14:schemeClr w14:val="tx1"/>
            </w14:solidFill>
          </w14:textFill>
        </w:rPr>
        <w:t>（采购人名称）</w:t>
      </w:r>
      <w:r>
        <w:rPr>
          <w:rFonts w:hint="eastAsia" w:ascii="宋体" w:hAnsi="宋体" w:cs="宋体"/>
          <w:color w:val="000000" w:themeColor="text1"/>
          <w:highlight w:val="none"/>
          <w14:textFill>
            <w14:solidFill>
              <w14:schemeClr w14:val="tx1"/>
            </w14:solidFill>
          </w14:textFill>
        </w:rPr>
        <w:t>：</w:t>
      </w:r>
    </w:p>
    <w:p w14:paraId="7213336C">
      <w:pPr>
        <w:spacing w:line="360" w:lineRule="auto"/>
        <w:ind w:firstLine="420" w:firstLineChars="200"/>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u w:val="single"/>
          <w14:textFill>
            <w14:solidFill>
              <w14:schemeClr w14:val="tx1"/>
            </w14:solidFill>
          </w14:textFill>
        </w:rPr>
        <w:t>（供应商名称）</w:t>
      </w:r>
      <w:r>
        <w:rPr>
          <w:rFonts w:hint="eastAsia" w:ascii="宋体" w:hAnsi="宋体" w:cs="宋体"/>
          <w:color w:val="000000" w:themeColor="text1"/>
          <w:highlight w:val="none"/>
          <w14:textFill>
            <w14:solidFill>
              <w14:schemeClr w14:val="tx1"/>
            </w14:solidFill>
          </w14:textFill>
        </w:rPr>
        <w:t>系中华人民共和国合法供应商，经营地址</w:t>
      </w:r>
      <w:r>
        <w:rPr>
          <w:rFonts w:ascii="宋体" w:hAnsi="宋体" w:cs="宋体"/>
          <w:color w:val="000000" w:themeColor="text1"/>
          <w:highlight w:val="none"/>
          <w:u w:val="singl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w:t>
      </w:r>
    </w:p>
    <w:p w14:paraId="7ED81F9D">
      <w:pPr>
        <w:spacing w:line="360" w:lineRule="auto"/>
        <w:ind w:firstLine="420" w:firstLineChars="200"/>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我方愿意参加贵方组织的</w:t>
      </w:r>
      <w:r>
        <w:rPr>
          <w:rFonts w:hint="eastAsia" w:ascii="宋体" w:hAnsi="宋体" w:cs="宋体"/>
          <w:color w:val="000000" w:themeColor="text1"/>
          <w:highlight w:val="none"/>
          <w:u w:val="single"/>
          <w14:textFill>
            <w14:solidFill>
              <w14:schemeClr w14:val="tx1"/>
            </w14:solidFill>
          </w14:textFill>
        </w:rPr>
        <w:t>（项目名称）</w:t>
      </w:r>
      <w:r>
        <w:rPr>
          <w:rFonts w:hint="eastAsia" w:ascii="宋体" w:hAnsi="宋体" w:cs="宋体"/>
          <w:color w:val="000000" w:themeColor="text1"/>
          <w:highlight w:val="none"/>
          <w14:textFill>
            <w14:solidFill>
              <w14:schemeClr w14:val="tx1"/>
            </w14:solidFill>
          </w14:textFill>
        </w:rPr>
        <w:t>项目的磋商，为便于贵方公正、择优地确定成交供应商及其磋商产品和服务，我方就本次磋商有关事项郑重声明如下：</w:t>
      </w:r>
    </w:p>
    <w:p w14:paraId="5CF09993">
      <w:pPr>
        <w:spacing w:line="360" w:lineRule="auto"/>
        <w:ind w:firstLine="420" w:firstLineChars="200"/>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1.</w:t>
      </w:r>
      <w:r>
        <w:rPr>
          <w:rFonts w:hint="eastAsia" w:ascii="宋体" w:hAnsi="宋体" w:cs="宋体"/>
          <w:color w:val="000000" w:themeColor="text1"/>
          <w:highlight w:val="none"/>
          <w14:textFill>
            <w14:solidFill>
              <w14:schemeClr w14:val="tx1"/>
            </w14:solidFill>
          </w14:textFill>
        </w:rPr>
        <w:t>我方向贵方提交的所有响应文件、资料都是准确的和真实的。</w:t>
      </w:r>
    </w:p>
    <w:p w14:paraId="3DEF2804">
      <w:pPr>
        <w:spacing w:line="360" w:lineRule="auto"/>
        <w:ind w:firstLine="420" w:firstLineChars="200"/>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2.</w:t>
      </w:r>
      <w:r>
        <w:rPr>
          <w:rFonts w:hint="eastAsia" w:ascii="宋体" w:hAnsi="宋体" w:cs="宋体"/>
          <w:color w:val="000000" w:themeColor="text1"/>
          <w:highlight w:val="none"/>
          <w14:textFill>
            <w14:solidFill>
              <w14:schemeClr w14:val="tx1"/>
            </w14:solidFill>
          </w14:textFill>
        </w:rPr>
        <w:t>我方不是为本次采购项目提供整体设计、规范编制或者项目管理、监理、检测等服务的供应商。</w:t>
      </w:r>
    </w:p>
    <w:p w14:paraId="62EF038E">
      <w:pPr>
        <w:spacing w:line="360" w:lineRule="auto"/>
        <w:ind w:firstLine="420" w:firstLineChars="200"/>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3.</w:t>
      </w:r>
      <w:r>
        <w:rPr>
          <w:rFonts w:hint="eastAsia" w:ascii="宋体" w:hAnsi="宋体" w:cs="宋体"/>
          <w:color w:val="000000" w:themeColor="text1"/>
          <w:highlight w:val="none"/>
          <w14:textFill>
            <w14:solidFill>
              <w14:schemeClr w14:val="tx1"/>
            </w14:solidFill>
          </w14:textFill>
        </w:rPr>
        <w:t>在此，我方宣布同意如下：</w:t>
      </w:r>
    </w:p>
    <w:p w14:paraId="70DECD72">
      <w:pPr>
        <w:spacing w:line="360" w:lineRule="auto"/>
        <w:ind w:firstLine="420" w:firstLineChars="200"/>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w:t>
      </w:r>
      <w:r>
        <w:rPr>
          <w:rFonts w:ascii="宋体" w:hAnsi="宋体" w:cs="宋体"/>
          <w:color w:val="000000" w:themeColor="text1"/>
          <w:highlight w:val="none"/>
          <w14:textFill>
            <w14:solidFill>
              <w14:schemeClr w14:val="tx1"/>
            </w14:solidFill>
          </w14:textFill>
        </w:rPr>
        <w:t>1</w:t>
      </w:r>
      <w:r>
        <w:rPr>
          <w:rFonts w:hint="eastAsia" w:ascii="宋体" w:hAnsi="宋体" w:cs="宋体"/>
          <w:color w:val="000000" w:themeColor="text1"/>
          <w:highlight w:val="none"/>
          <w14:textFill>
            <w14:solidFill>
              <w14:schemeClr w14:val="tx1"/>
            </w14:solidFill>
          </w14:textFill>
        </w:rPr>
        <w:t>）将按磋商文件的约定履行合同责任和义务；</w:t>
      </w:r>
    </w:p>
    <w:p w14:paraId="14E9A50C">
      <w:pPr>
        <w:spacing w:line="360" w:lineRule="auto"/>
        <w:ind w:firstLine="420" w:firstLineChars="200"/>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w:t>
      </w:r>
      <w:r>
        <w:rPr>
          <w:rFonts w:ascii="宋体" w:hAnsi="宋体" w:cs="宋体"/>
          <w:color w:val="000000" w:themeColor="text1"/>
          <w:highlight w:val="none"/>
          <w14:textFill>
            <w14:solidFill>
              <w14:schemeClr w14:val="tx1"/>
            </w14:solidFill>
          </w14:textFill>
        </w:rPr>
        <w:t>2</w:t>
      </w:r>
      <w:r>
        <w:rPr>
          <w:rFonts w:hint="eastAsia" w:ascii="宋体" w:hAnsi="宋体" w:cs="宋体"/>
          <w:color w:val="000000" w:themeColor="text1"/>
          <w:highlight w:val="none"/>
          <w14:textFill>
            <w14:solidFill>
              <w14:schemeClr w14:val="tx1"/>
            </w14:solidFill>
          </w14:textFill>
        </w:rPr>
        <w:t>）已详细审查全部磋商文件，包括澄清或者更正公告（如有）；</w:t>
      </w:r>
    </w:p>
    <w:p w14:paraId="11AA35DD">
      <w:pPr>
        <w:spacing w:line="360" w:lineRule="auto"/>
        <w:ind w:firstLine="420" w:firstLineChars="200"/>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w:t>
      </w:r>
      <w:r>
        <w:rPr>
          <w:rFonts w:ascii="宋体" w:hAnsi="宋体" w:cs="宋体"/>
          <w:color w:val="000000" w:themeColor="text1"/>
          <w:highlight w:val="none"/>
          <w14:textFill>
            <w14:solidFill>
              <w14:schemeClr w14:val="tx1"/>
            </w14:solidFill>
          </w14:textFill>
        </w:rPr>
        <w:t>3</w:t>
      </w:r>
      <w:r>
        <w:rPr>
          <w:rFonts w:hint="eastAsia" w:ascii="宋体" w:hAnsi="宋体" w:cs="宋体"/>
          <w:color w:val="000000" w:themeColor="text1"/>
          <w:highlight w:val="none"/>
          <w14:textFill>
            <w14:solidFill>
              <w14:schemeClr w14:val="tx1"/>
            </w14:solidFill>
          </w14:textFill>
        </w:rPr>
        <w:t>）同意提供按照贵方可能要求的与磋商有关的一切数据或者资料；</w:t>
      </w:r>
    </w:p>
    <w:p w14:paraId="5CC0CA85">
      <w:pPr>
        <w:spacing w:line="360" w:lineRule="auto"/>
        <w:ind w:firstLine="420" w:firstLineChars="200"/>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w:t>
      </w:r>
      <w:r>
        <w:rPr>
          <w:rFonts w:ascii="宋体" w:hAnsi="宋体" w:cs="宋体"/>
          <w:color w:val="000000" w:themeColor="text1"/>
          <w:highlight w:val="none"/>
          <w14:textFill>
            <w14:solidFill>
              <w14:schemeClr w14:val="tx1"/>
            </w14:solidFill>
          </w14:textFill>
        </w:rPr>
        <w:t>4</w:t>
      </w:r>
      <w:r>
        <w:rPr>
          <w:rFonts w:hint="eastAsia" w:ascii="宋体" w:hAnsi="宋体" w:cs="宋体"/>
          <w:color w:val="000000" w:themeColor="text1"/>
          <w:highlight w:val="none"/>
          <w14:textFill>
            <w14:solidFill>
              <w14:schemeClr w14:val="tx1"/>
            </w14:solidFill>
          </w14:textFill>
        </w:rPr>
        <w:t>）响应磋商文件规定的磋商有效期。</w:t>
      </w:r>
    </w:p>
    <w:p w14:paraId="3697CFFA">
      <w:pPr>
        <w:spacing w:line="360" w:lineRule="auto"/>
        <w:ind w:firstLine="420" w:firstLineChars="200"/>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4.</w:t>
      </w:r>
      <w:r>
        <w:rPr>
          <w:rFonts w:hint="eastAsia" w:ascii="宋体" w:hAnsi="宋体" w:cs="宋体"/>
          <w:color w:val="000000" w:themeColor="text1"/>
          <w:highlight w:val="none"/>
          <w14:textFill>
            <w14:solidFill>
              <w14:schemeClr w14:val="tx1"/>
            </w14:solidFill>
          </w14:textFill>
        </w:rPr>
        <w:t>我方承诺符合《中华人民共和国政府采购法》第二十二条规定：</w:t>
      </w:r>
    </w:p>
    <w:p w14:paraId="41D62B80">
      <w:pPr>
        <w:spacing w:line="360" w:lineRule="auto"/>
        <w:ind w:firstLine="420" w:firstLineChars="200"/>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w:t>
      </w:r>
      <w:r>
        <w:rPr>
          <w:rFonts w:ascii="宋体" w:hAnsi="宋体" w:cs="宋体"/>
          <w:color w:val="000000" w:themeColor="text1"/>
          <w:highlight w:val="none"/>
          <w14:textFill>
            <w14:solidFill>
              <w14:schemeClr w14:val="tx1"/>
            </w14:solidFill>
          </w14:textFill>
        </w:rPr>
        <w:t>1</w:t>
      </w:r>
      <w:r>
        <w:rPr>
          <w:rFonts w:hint="eastAsia" w:ascii="宋体" w:hAnsi="宋体" w:cs="宋体"/>
          <w:color w:val="000000" w:themeColor="text1"/>
          <w:highlight w:val="none"/>
          <w14:textFill>
            <w14:solidFill>
              <w14:schemeClr w14:val="tx1"/>
            </w14:solidFill>
          </w14:textFill>
        </w:rPr>
        <w:t>）具有独立承担民事责任的能力；</w:t>
      </w:r>
    </w:p>
    <w:p w14:paraId="78878CC8">
      <w:pPr>
        <w:spacing w:line="360" w:lineRule="auto"/>
        <w:ind w:firstLine="420" w:firstLineChars="200"/>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w:t>
      </w:r>
      <w:r>
        <w:rPr>
          <w:rFonts w:ascii="宋体" w:hAnsi="宋体" w:cs="宋体"/>
          <w:color w:val="000000" w:themeColor="text1"/>
          <w:highlight w:val="none"/>
          <w14:textFill>
            <w14:solidFill>
              <w14:schemeClr w14:val="tx1"/>
            </w14:solidFill>
          </w14:textFill>
        </w:rPr>
        <w:t>2</w:t>
      </w:r>
      <w:r>
        <w:rPr>
          <w:rFonts w:hint="eastAsia" w:ascii="宋体" w:hAnsi="宋体" w:cs="宋体"/>
          <w:color w:val="000000" w:themeColor="text1"/>
          <w:highlight w:val="none"/>
          <w14:textFill>
            <w14:solidFill>
              <w14:schemeClr w14:val="tx1"/>
            </w14:solidFill>
          </w14:textFill>
        </w:rPr>
        <w:t>）具有良好的商业信誉和健全的财务会计制度；</w:t>
      </w:r>
    </w:p>
    <w:p w14:paraId="73296E46">
      <w:pPr>
        <w:spacing w:line="360" w:lineRule="auto"/>
        <w:ind w:firstLine="420" w:firstLineChars="200"/>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w:t>
      </w:r>
      <w:r>
        <w:rPr>
          <w:rFonts w:ascii="宋体" w:hAnsi="宋体" w:cs="宋体"/>
          <w:color w:val="000000" w:themeColor="text1"/>
          <w:highlight w:val="none"/>
          <w14:textFill>
            <w14:solidFill>
              <w14:schemeClr w14:val="tx1"/>
            </w14:solidFill>
          </w14:textFill>
        </w:rPr>
        <w:t>3</w:t>
      </w:r>
      <w:r>
        <w:rPr>
          <w:rFonts w:hint="eastAsia" w:ascii="宋体" w:hAnsi="宋体" w:cs="宋体"/>
          <w:color w:val="000000" w:themeColor="text1"/>
          <w:highlight w:val="none"/>
          <w14:textFill>
            <w14:solidFill>
              <w14:schemeClr w14:val="tx1"/>
            </w14:solidFill>
          </w14:textFill>
        </w:rPr>
        <w:t>）具有履行合同所必需的设备和专业技术能力；</w:t>
      </w:r>
    </w:p>
    <w:p w14:paraId="710BD97C">
      <w:pPr>
        <w:spacing w:line="360" w:lineRule="auto"/>
        <w:ind w:firstLine="420" w:firstLineChars="200"/>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w:t>
      </w:r>
      <w:r>
        <w:rPr>
          <w:rFonts w:ascii="宋体" w:hAnsi="宋体" w:cs="宋体"/>
          <w:color w:val="000000" w:themeColor="text1"/>
          <w:highlight w:val="none"/>
          <w14:textFill>
            <w14:solidFill>
              <w14:schemeClr w14:val="tx1"/>
            </w14:solidFill>
          </w14:textFill>
        </w:rPr>
        <w:t>4</w:t>
      </w:r>
      <w:r>
        <w:rPr>
          <w:rFonts w:hint="eastAsia" w:ascii="宋体" w:hAnsi="宋体" w:cs="宋体"/>
          <w:color w:val="000000" w:themeColor="text1"/>
          <w:highlight w:val="none"/>
          <w14:textFill>
            <w14:solidFill>
              <w14:schemeClr w14:val="tx1"/>
            </w14:solidFill>
          </w14:textFill>
        </w:rPr>
        <w:t>）有依法缴纳税收和社会保障资金的良好记录；</w:t>
      </w:r>
    </w:p>
    <w:p w14:paraId="015DDDBC">
      <w:pPr>
        <w:spacing w:line="360" w:lineRule="auto"/>
        <w:ind w:firstLine="420" w:firstLineChars="200"/>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w:t>
      </w:r>
      <w:r>
        <w:rPr>
          <w:rFonts w:ascii="宋体" w:hAnsi="宋体" w:cs="宋体"/>
          <w:color w:val="000000" w:themeColor="text1"/>
          <w:highlight w:val="none"/>
          <w14:textFill>
            <w14:solidFill>
              <w14:schemeClr w14:val="tx1"/>
            </w14:solidFill>
          </w14:textFill>
        </w:rPr>
        <w:t>5</w:t>
      </w:r>
      <w:r>
        <w:rPr>
          <w:rFonts w:hint="eastAsia" w:ascii="宋体" w:hAnsi="宋体" w:cs="宋体"/>
          <w:color w:val="000000" w:themeColor="text1"/>
          <w:highlight w:val="none"/>
          <w14:textFill>
            <w14:solidFill>
              <w14:schemeClr w14:val="tx1"/>
            </w14:solidFill>
          </w14:textFill>
        </w:rPr>
        <w:t>）参加政府采购活动前三年内，在经营活动中没有重大违法记录；</w:t>
      </w:r>
    </w:p>
    <w:p w14:paraId="6FCD8F02">
      <w:pPr>
        <w:spacing w:line="360" w:lineRule="auto"/>
        <w:ind w:firstLine="420" w:firstLineChars="200"/>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w:t>
      </w:r>
      <w:r>
        <w:rPr>
          <w:rFonts w:ascii="宋体" w:hAnsi="宋体" w:cs="宋体"/>
          <w:color w:val="000000" w:themeColor="text1"/>
          <w:highlight w:val="none"/>
          <w14:textFill>
            <w14:solidFill>
              <w14:schemeClr w14:val="tx1"/>
            </w14:solidFill>
          </w14:textFill>
        </w:rPr>
        <w:t>6</w:t>
      </w:r>
      <w:r>
        <w:rPr>
          <w:rFonts w:hint="eastAsia" w:ascii="宋体" w:hAnsi="宋体" w:cs="宋体"/>
          <w:color w:val="000000" w:themeColor="text1"/>
          <w:highlight w:val="none"/>
          <w14:textFill>
            <w14:solidFill>
              <w14:schemeClr w14:val="tx1"/>
            </w14:solidFill>
          </w14:textFill>
        </w:rPr>
        <w:t>）法律、行政法规规定的其他条件。</w:t>
      </w:r>
    </w:p>
    <w:p w14:paraId="797F4DFF">
      <w:pPr>
        <w:spacing w:line="360" w:lineRule="auto"/>
        <w:ind w:firstLine="420" w:firstLineChars="200"/>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5.</w:t>
      </w:r>
      <w:r>
        <w:rPr>
          <w:rFonts w:hint="eastAsia" w:ascii="宋体" w:hAnsi="宋体" w:cs="宋体"/>
          <w:color w:val="000000" w:themeColor="text1"/>
          <w:highlight w:val="none"/>
          <w14:textFill>
            <w14:solidFill>
              <w14:schemeClr w14:val="tx1"/>
            </w14:solidFill>
          </w14:textFill>
        </w:rPr>
        <w:t>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w:t>
      </w:r>
      <w:r>
        <w:rPr>
          <w:rFonts w:hint="eastAsia" w:ascii="宋体" w:hAnsi="宋体" w:cs="宋体"/>
          <w:color w:val="000000" w:themeColor="text1"/>
          <w:highlight w:val="none"/>
          <w:lang w:eastAsia="zh-CN"/>
          <w14:textFill>
            <w14:solidFill>
              <w14:schemeClr w14:val="tx1"/>
            </w14:solidFill>
          </w14:textFill>
        </w:rPr>
        <w:t>重大税收违法失信主体</w:t>
      </w:r>
      <w:r>
        <w:rPr>
          <w:rFonts w:hint="eastAsia" w:ascii="宋体" w:hAnsi="宋体" w:cs="宋体"/>
          <w:color w:val="000000" w:themeColor="text1"/>
          <w:highlight w:val="none"/>
          <w14:textFill>
            <w14:solidFill>
              <w14:schemeClr w14:val="tx1"/>
            </w14:solidFill>
          </w14:textFill>
        </w:rPr>
        <w:t>、政府采购严重违法失信行为记录名单，完全符合《中华人民共和国政府采购法》第二十二条规定的供应商资格条件，我方对此声明负全部法律责任。</w:t>
      </w:r>
    </w:p>
    <w:p w14:paraId="62084400">
      <w:pPr>
        <w:spacing w:line="360" w:lineRule="auto"/>
        <w:ind w:firstLine="420" w:firstLineChars="200"/>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6.</w:t>
      </w:r>
      <w:r>
        <w:rPr>
          <w:rFonts w:hint="eastAsia" w:ascii="宋体" w:hAnsi="宋体" w:cs="宋体"/>
          <w:color w:val="000000" w:themeColor="text1"/>
          <w:highlight w:val="none"/>
          <w14:textFill>
            <w14:solidFill>
              <w14:schemeClr w14:val="tx1"/>
            </w14:solidFill>
          </w14:textFill>
        </w:rPr>
        <w:t>根据《中华人民共和国政府采购法实施条例》第五十条要求对政府采购合同进行公告，但政府采购合同中涉及国家秘密、商业秘密的内容除外。我方就对本次响应文件进行注明如下：（两项内容中必须选择一项）</w:t>
      </w:r>
    </w:p>
    <w:p w14:paraId="6C922B8D">
      <w:pPr>
        <w:spacing w:line="360" w:lineRule="auto"/>
        <w:ind w:firstLine="420" w:firstLineChars="200"/>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□我方本次响应文件</w:t>
      </w:r>
      <w:r>
        <w:rPr>
          <w:rFonts w:hint="eastAsia" w:ascii="宋体" w:hAnsi="宋体" w:cs="宋体"/>
          <w:color w:val="000000" w:themeColor="text1"/>
          <w:kern w:val="0"/>
          <w:highlight w:val="none"/>
          <w14:textFill>
            <w14:solidFill>
              <w14:schemeClr w14:val="tx1"/>
            </w14:solidFill>
          </w14:textFill>
        </w:rPr>
        <w:t>内容中</w:t>
      </w:r>
      <w:r>
        <w:rPr>
          <w:rFonts w:hint="eastAsia" w:ascii="宋体" w:hAnsi="宋体" w:cs="宋体"/>
          <w:color w:val="000000" w:themeColor="text1"/>
          <w:highlight w:val="none"/>
          <w14:textFill>
            <w14:solidFill>
              <w14:schemeClr w14:val="tx1"/>
            </w14:solidFill>
          </w14:textFill>
        </w:rPr>
        <w:t>未</w:t>
      </w:r>
      <w:r>
        <w:rPr>
          <w:rFonts w:hint="eastAsia" w:ascii="宋体" w:hAnsi="宋体" w:cs="宋体"/>
          <w:color w:val="000000" w:themeColor="text1"/>
          <w:kern w:val="0"/>
          <w:highlight w:val="none"/>
          <w14:textFill>
            <w14:solidFill>
              <w14:schemeClr w14:val="tx1"/>
            </w14:solidFill>
          </w14:textFill>
        </w:rPr>
        <w:t>涉及商业秘密；</w:t>
      </w:r>
    </w:p>
    <w:p w14:paraId="3F4DD97B">
      <w:pPr>
        <w:spacing w:line="360" w:lineRule="auto"/>
        <w:ind w:firstLine="420" w:firstLineChars="200"/>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□我方本次响应文件</w:t>
      </w:r>
      <w:r>
        <w:rPr>
          <w:rFonts w:hint="eastAsia" w:ascii="宋体" w:hAnsi="宋体" w:cs="宋体"/>
          <w:color w:val="000000" w:themeColor="text1"/>
          <w:kern w:val="0"/>
          <w:highlight w:val="none"/>
          <w14:textFill>
            <w14:solidFill>
              <w14:schemeClr w14:val="tx1"/>
            </w14:solidFill>
          </w14:textFill>
        </w:rPr>
        <w:t>涉及商业秘密的内容有：</w:t>
      </w:r>
      <w:r>
        <w:rPr>
          <w:rFonts w:ascii="宋体" w:hAnsi="宋体" w:cs="宋体"/>
          <w:color w:val="000000" w:themeColor="text1"/>
          <w:kern w:val="0"/>
          <w:highlight w:val="none"/>
          <w:u w:val="single"/>
          <w14:textFill>
            <w14:solidFill>
              <w14:schemeClr w14:val="tx1"/>
            </w14:solidFill>
          </w14:textFill>
        </w:rPr>
        <w:t xml:space="preserve">                         </w:t>
      </w:r>
      <w:r>
        <w:rPr>
          <w:rFonts w:hint="eastAsia" w:ascii="宋体" w:hAnsi="宋体" w:cs="宋体"/>
          <w:color w:val="000000" w:themeColor="text1"/>
          <w:kern w:val="0"/>
          <w:highlight w:val="none"/>
          <w14:textFill>
            <w14:solidFill>
              <w14:schemeClr w14:val="tx1"/>
            </w14:solidFill>
          </w14:textFill>
        </w:rPr>
        <w:t>；</w:t>
      </w:r>
    </w:p>
    <w:p w14:paraId="7DB98C4C">
      <w:pPr>
        <w:pStyle w:val="29"/>
        <w:spacing w:line="360" w:lineRule="auto"/>
        <w:ind w:firstLine="420" w:firstLineChars="200"/>
        <w:rPr>
          <w:rFonts w:hAnsi="宋体"/>
          <w:color w:val="000000" w:themeColor="text1"/>
          <w:sz w:val="21"/>
          <w:szCs w:val="21"/>
          <w:highlight w:val="none"/>
          <w:u w:val="single"/>
          <w14:textFill>
            <w14:solidFill>
              <w14:schemeClr w14:val="tx1"/>
            </w14:solidFill>
          </w14:textFill>
        </w:rPr>
      </w:pPr>
      <w:r>
        <w:rPr>
          <w:rFonts w:hAnsi="宋体"/>
          <w:color w:val="000000" w:themeColor="text1"/>
          <w:sz w:val="21"/>
          <w:szCs w:val="21"/>
          <w:highlight w:val="none"/>
          <w14:textFill>
            <w14:solidFill>
              <w14:schemeClr w14:val="tx1"/>
            </w14:solidFill>
          </w14:textFill>
        </w:rPr>
        <w:t>7.</w:t>
      </w:r>
      <w:r>
        <w:rPr>
          <w:rFonts w:hint="eastAsia" w:hAnsi="宋体"/>
          <w:color w:val="000000" w:themeColor="text1"/>
          <w:sz w:val="21"/>
          <w:szCs w:val="21"/>
          <w:highlight w:val="none"/>
          <w14:textFill>
            <w14:solidFill>
              <w14:schemeClr w14:val="tx1"/>
            </w14:solidFill>
          </w14:textFill>
        </w:rPr>
        <w:t>与本磋商有关的一切正式往来信函请寄：</w:t>
      </w:r>
      <w:r>
        <w:rPr>
          <w:rFonts w:hAnsi="宋体"/>
          <w:color w:val="000000" w:themeColor="text1"/>
          <w:sz w:val="21"/>
          <w:szCs w:val="21"/>
          <w:highlight w:val="none"/>
          <w:u w:val="single"/>
          <w14:textFill>
            <w14:solidFill>
              <w14:schemeClr w14:val="tx1"/>
            </w14:solidFill>
          </w14:textFill>
        </w:rPr>
        <w:t xml:space="preserve">                  </w:t>
      </w:r>
      <w:r>
        <w:rPr>
          <w:rFonts w:hint="eastAsia" w:hAnsi="宋体"/>
          <w:color w:val="000000" w:themeColor="text1"/>
          <w:sz w:val="21"/>
          <w:szCs w:val="21"/>
          <w:highlight w:val="none"/>
          <w14:textFill>
            <w14:solidFill>
              <w14:schemeClr w14:val="tx1"/>
            </w14:solidFill>
          </w14:textFill>
        </w:rPr>
        <w:t>邮政编号：</w:t>
      </w:r>
      <w:r>
        <w:rPr>
          <w:rFonts w:hAnsi="宋体"/>
          <w:color w:val="000000" w:themeColor="text1"/>
          <w:sz w:val="21"/>
          <w:szCs w:val="21"/>
          <w:highlight w:val="none"/>
          <w:u w:val="single"/>
          <w14:textFill>
            <w14:solidFill>
              <w14:schemeClr w14:val="tx1"/>
            </w14:solidFill>
          </w14:textFill>
        </w:rPr>
        <w:t xml:space="preserve">        </w:t>
      </w:r>
    </w:p>
    <w:p w14:paraId="7EFB4C07">
      <w:pPr>
        <w:pStyle w:val="29"/>
        <w:spacing w:line="360" w:lineRule="auto"/>
        <w:ind w:firstLine="420" w:firstLineChars="200"/>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电话</w:t>
      </w:r>
      <w:r>
        <w:rPr>
          <w:rFonts w:hAnsi="宋体"/>
          <w:color w:val="000000" w:themeColor="text1"/>
          <w:sz w:val="21"/>
          <w:szCs w:val="21"/>
          <w:highlight w:val="none"/>
          <w14:textFill>
            <w14:solidFill>
              <w14:schemeClr w14:val="tx1"/>
            </w14:solidFill>
          </w14:textFill>
        </w:rPr>
        <w:t>/</w:t>
      </w:r>
      <w:r>
        <w:rPr>
          <w:rFonts w:hint="eastAsia" w:hAnsi="宋体"/>
          <w:color w:val="000000" w:themeColor="text1"/>
          <w:sz w:val="21"/>
          <w:szCs w:val="21"/>
          <w:highlight w:val="none"/>
          <w14:textFill>
            <w14:solidFill>
              <w14:schemeClr w14:val="tx1"/>
            </w14:solidFill>
          </w14:textFill>
        </w:rPr>
        <w:t>传真：</w:t>
      </w:r>
      <w:r>
        <w:rPr>
          <w:rFonts w:hAnsi="宋体"/>
          <w:color w:val="000000" w:themeColor="text1"/>
          <w:sz w:val="21"/>
          <w:szCs w:val="21"/>
          <w:highlight w:val="none"/>
          <w:u w:val="single"/>
          <w14:textFill>
            <w14:solidFill>
              <w14:schemeClr w14:val="tx1"/>
            </w14:solidFill>
          </w14:textFill>
        </w:rPr>
        <w:t xml:space="preserve">                        </w:t>
      </w:r>
      <w:r>
        <w:rPr>
          <w:rFonts w:hAnsi="宋体"/>
          <w:color w:val="000000" w:themeColor="text1"/>
          <w:sz w:val="21"/>
          <w:szCs w:val="21"/>
          <w:highlight w:val="none"/>
          <w14:textFill>
            <w14:solidFill>
              <w14:schemeClr w14:val="tx1"/>
            </w14:solidFill>
          </w14:textFill>
        </w:rPr>
        <w:t xml:space="preserve"> </w:t>
      </w:r>
      <w:r>
        <w:rPr>
          <w:rFonts w:hint="eastAsia" w:hAnsi="宋体"/>
          <w:color w:val="000000" w:themeColor="text1"/>
          <w:sz w:val="21"/>
          <w:szCs w:val="21"/>
          <w:highlight w:val="none"/>
          <w14:textFill>
            <w14:solidFill>
              <w14:schemeClr w14:val="tx1"/>
            </w14:solidFill>
          </w14:textFill>
        </w:rPr>
        <w:t>电子函件：</w:t>
      </w:r>
      <w:r>
        <w:rPr>
          <w:rFonts w:hAnsi="宋体"/>
          <w:color w:val="000000" w:themeColor="text1"/>
          <w:sz w:val="21"/>
          <w:szCs w:val="21"/>
          <w:highlight w:val="none"/>
          <w:u w:val="single"/>
          <w14:textFill>
            <w14:solidFill>
              <w14:schemeClr w14:val="tx1"/>
            </w14:solidFill>
          </w14:textFill>
        </w:rPr>
        <w:t xml:space="preserve">                            </w:t>
      </w:r>
      <w:r>
        <w:rPr>
          <w:rFonts w:hAnsi="宋体"/>
          <w:color w:val="000000" w:themeColor="text1"/>
          <w:sz w:val="21"/>
          <w:szCs w:val="21"/>
          <w:highlight w:val="none"/>
          <w14:textFill>
            <w14:solidFill>
              <w14:schemeClr w14:val="tx1"/>
            </w14:solidFill>
          </w14:textFill>
        </w:rPr>
        <w:t xml:space="preserve">    </w:t>
      </w:r>
    </w:p>
    <w:p w14:paraId="26AA8596">
      <w:pPr>
        <w:pStyle w:val="24"/>
        <w:tabs>
          <w:tab w:val="left" w:pos="939"/>
        </w:tabs>
        <w:spacing w:line="360" w:lineRule="auto"/>
        <w:ind w:left="141" w:leftChars="67" w:firstLine="315" w:firstLineChars="150"/>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开户银行：</w:t>
      </w:r>
      <w:r>
        <w:rPr>
          <w:rFonts w:ascii="宋体" w:hAnsi="宋体" w:cs="宋体"/>
          <w:color w:val="000000" w:themeColor="text1"/>
          <w:highlight w:val="none"/>
          <w:u w:val="single"/>
          <w14:textFill>
            <w14:solidFill>
              <w14:schemeClr w14:val="tx1"/>
            </w14:solidFill>
          </w14:textFill>
        </w:rPr>
        <w:t xml:space="preserve">                         </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帐号：</w:t>
      </w:r>
      <w:r>
        <w:rPr>
          <w:rFonts w:ascii="宋体" w:hAnsi="宋体" w:cs="宋体"/>
          <w:color w:val="000000" w:themeColor="text1"/>
          <w:highlight w:val="none"/>
          <w:u w:val="single"/>
          <w14:textFill>
            <w14:solidFill>
              <w14:schemeClr w14:val="tx1"/>
            </w14:solidFill>
          </w14:textFill>
        </w:rPr>
        <w:t xml:space="preserve">                               </w:t>
      </w:r>
    </w:p>
    <w:p w14:paraId="21AEA384">
      <w:pPr>
        <w:pStyle w:val="24"/>
        <w:tabs>
          <w:tab w:val="left" w:pos="939"/>
        </w:tabs>
        <w:spacing w:line="360" w:lineRule="auto"/>
        <w:ind w:left="0" w:leftChars="0" w:firstLine="420" w:firstLineChars="200"/>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8.</w:t>
      </w:r>
      <w:r>
        <w:rPr>
          <w:rFonts w:hint="eastAsia" w:ascii="宋体" w:hAnsi="宋体" w:cs="宋体"/>
          <w:color w:val="000000" w:themeColor="text1"/>
          <w:highlight w:val="none"/>
          <w14:textFill>
            <w14:solidFill>
              <w14:schemeClr w14:val="tx1"/>
            </w14:solidFill>
          </w14:textFill>
        </w:rPr>
        <w:t>以上事项如有虚假或者隐瞒，我方愿意承担一切后果，并不再寻求任何旨在减轻或者免除法律责任的辩解。</w:t>
      </w:r>
    </w:p>
    <w:p w14:paraId="0A8AA631">
      <w:pPr>
        <w:pStyle w:val="24"/>
        <w:tabs>
          <w:tab w:val="left" w:pos="939"/>
        </w:tabs>
        <w:spacing w:line="360" w:lineRule="auto"/>
        <w:ind w:left="141" w:leftChars="67" w:firstLine="315" w:firstLineChars="150"/>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特此承诺。</w:t>
      </w:r>
    </w:p>
    <w:p w14:paraId="33AE7AD3">
      <w:pPr>
        <w:pStyle w:val="24"/>
        <w:tabs>
          <w:tab w:val="left" w:pos="939"/>
        </w:tabs>
        <w:spacing w:line="360" w:lineRule="auto"/>
        <w:ind w:left="0" w:leftChars="0" w:firstLine="420" w:firstLineChars="200"/>
        <w:rPr>
          <w:rFonts w:ascii="宋体"/>
          <w:color w:val="000000" w:themeColor="text1"/>
          <w:highlight w:val="none"/>
          <w14:textFill>
            <w14:solidFill>
              <w14:schemeClr w14:val="tx1"/>
            </w14:solidFill>
          </w14:textFill>
        </w:rPr>
      </w:pPr>
    </w:p>
    <w:p w14:paraId="641D9464">
      <w:pPr>
        <w:spacing w:line="360" w:lineRule="auto"/>
        <w:ind w:right="480" w:firstLine="2940" w:firstLineChars="1400"/>
        <w:rPr>
          <w:rFonts w:ascii="宋体"/>
          <w:color w:val="000000" w:themeColor="text1"/>
          <w:highlight w:val="none"/>
          <w:u w:val="singl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法定代表人签字（或者盖章）：</w:t>
      </w:r>
      <w:r>
        <w:rPr>
          <w:rFonts w:ascii="宋体" w:hAnsi="宋体" w:cs="宋体"/>
          <w:color w:val="000000" w:themeColor="text1"/>
          <w:highlight w:val="none"/>
          <w:u w:val="single"/>
          <w14:textFill>
            <w14:solidFill>
              <w14:schemeClr w14:val="tx1"/>
            </w14:solidFill>
          </w14:textFill>
        </w:rPr>
        <w:t xml:space="preserve">                 </w:t>
      </w:r>
    </w:p>
    <w:p w14:paraId="21DC2042">
      <w:pPr>
        <w:spacing w:line="360" w:lineRule="auto"/>
        <w:ind w:right="480" w:firstLine="2940" w:firstLineChars="1400"/>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供应商（盖公章）：</w:t>
      </w:r>
      <w:r>
        <w:rPr>
          <w:rFonts w:ascii="宋体" w:hAnsi="宋体" w:cs="宋体"/>
          <w:color w:val="000000" w:themeColor="text1"/>
          <w:highlight w:val="none"/>
          <w:u w:val="single"/>
          <w14:textFill>
            <w14:solidFill>
              <w14:schemeClr w14:val="tx1"/>
            </w14:solidFill>
          </w14:textFill>
        </w:rPr>
        <w:t xml:space="preserve">                           </w:t>
      </w:r>
    </w:p>
    <w:p w14:paraId="3D9B49A4">
      <w:pPr>
        <w:spacing w:line="360" w:lineRule="auto"/>
        <w:ind w:right="480" w:firstLine="210" w:firstLineChars="100"/>
        <w:jc w:val="center"/>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年</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月</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日</w:t>
      </w:r>
    </w:p>
    <w:p w14:paraId="235A8F88">
      <w:pPr>
        <w:jc w:val="center"/>
        <w:rPr>
          <w:rFonts w:ascii="宋体"/>
          <w:b/>
          <w:bCs/>
          <w:color w:val="000000" w:themeColor="text1"/>
          <w:sz w:val="44"/>
          <w:szCs w:val="44"/>
          <w:highlight w:val="none"/>
          <w14:textFill>
            <w14:solidFill>
              <w14:schemeClr w14:val="tx1"/>
            </w14:solidFill>
          </w14:textFill>
        </w:rPr>
      </w:pPr>
      <w:r>
        <w:rPr>
          <w:rFonts w:ascii="宋体"/>
          <w:color w:val="000000" w:themeColor="text1"/>
          <w:highlight w:val="none"/>
          <w14:textFill>
            <w14:solidFill>
              <w14:schemeClr w14:val="tx1"/>
            </w14:solidFill>
          </w14:textFill>
        </w:rPr>
        <w:br w:type="page"/>
      </w:r>
      <w:r>
        <w:rPr>
          <w:rFonts w:hint="eastAsia" w:ascii="宋体" w:hAnsi="宋体" w:cs="宋体"/>
          <w:b/>
          <w:bCs/>
          <w:color w:val="000000" w:themeColor="text1"/>
          <w:sz w:val="44"/>
          <w:szCs w:val="44"/>
          <w:highlight w:val="none"/>
          <w14:textFill>
            <w14:solidFill>
              <w14:schemeClr w14:val="tx1"/>
            </w14:solidFill>
          </w14:textFill>
        </w:rPr>
        <w:t>中小企业声明函（工程）</w:t>
      </w:r>
    </w:p>
    <w:p w14:paraId="7B33A8E4">
      <w:pPr>
        <w:spacing w:before="2" w:line="500" w:lineRule="exact"/>
        <w:ind w:firstLine="708" w:firstLineChars="294"/>
        <w:rPr>
          <w:rFonts w:ascii="宋体"/>
          <w:b/>
          <w:bCs/>
          <w:color w:val="000000" w:themeColor="text1"/>
          <w:sz w:val="24"/>
          <w:szCs w:val="24"/>
          <w:highlight w:val="none"/>
          <w14:textFill>
            <w14:solidFill>
              <w14:schemeClr w14:val="tx1"/>
            </w14:solidFill>
          </w14:textFill>
        </w:rPr>
      </w:pPr>
    </w:p>
    <w:p w14:paraId="6080E07F">
      <w:pPr>
        <w:pStyle w:val="21"/>
        <w:spacing w:line="500" w:lineRule="exact"/>
        <w:ind w:right="142" w:firstLine="617" w:firstLineChars="294"/>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本公司（联合体）郑重声明，根据《政府采购促进中小企业发展管理办法》（财库﹝</w:t>
      </w:r>
      <w:r>
        <w:rPr>
          <w:rFonts w:ascii="宋体" w:hAnsi="宋体" w:cs="宋体"/>
          <w:color w:val="000000" w:themeColor="text1"/>
          <w:highlight w:val="none"/>
          <w14:textFill>
            <w14:solidFill>
              <w14:schemeClr w14:val="tx1"/>
            </w14:solidFill>
          </w14:textFill>
        </w:rPr>
        <w:t>2020</w:t>
      </w:r>
      <w:r>
        <w:rPr>
          <w:rFonts w:hint="eastAsia" w:ascii="宋体" w:hAnsi="宋体" w:cs="宋体"/>
          <w:color w:val="000000" w:themeColor="text1"/>
          <w:highlight w:val="none"/>
          <w14:textFill>
            <w14:solidFill>
              <w14:schemeClr w14:val="tx1"/>
            </w14:solidFill>
          </w14:textFill>
        </w:rPr>
        <w:t>﹞</w:t>
      </w:r>
      <w:r>
        <w:rPr>
          <w:rFonts w:ascii="宋体" w:hAnsi="宋体" w:cs="宋体"/>
          <w:color w:val="000000" w:themeColor="text1"/>
          <w:highlight w:val="none"/>
          <w14:textFill>
            <w14:solidFill>
              <w14:schemeClr w14:val="tx1"/>
            </w14:solidFill>
          </w14:textFill>
        </w:rPr>
        <w:t>46</w:t>
      </w:r>
      <w:r>
        <w:rPr>
          <w:rFonts w:hint="eastAsia" w:ascii="宋体" w:hAnsi="宋体" w:cs="宋体"/>
          <w:color w:val="000000" w:themeColor="text1"/>
          <w:highlight w:val="none"/>
          <w14:textFill>
            <w14:solidFill>
              <w14:schemeClr w14:val="tx1"/>
            </w14:solidFill>
          </w14:textFill>
        </w:rPr>
        <w:t>号）的规定，本公司（联合体）参加</w:t>
      </w:r>
      <w:r>
        <w:rPr>
          <w:rFonts w:hint="eastAsia" w:ascii="宋体" w:hAnsi="宋体" w:cs="宋体"/>
          <w:color w:val="000000" w:themeColor="text1"/>
          <w:highlight w:val="none"/>
          <w:u w:val="single"/>
          <w14:textFill>
            <w14:solidFill>
              <w14:schemeClr w14:val="tx1"/>
            </w14:solidFill>
          </w14:textFill>
        </w:rPr>
        <w:t>（单位名称）</w:t>
      </w:r>
      <w:r>
        <w:rPr>
          <w:rFonts w:hint="eastAsia" w:ascii="宋体" w:hAnsi="宋体" w:cs="宋体"/>
          <w:color w:val="000000" w:themeColor="text1"/>
          <w:highlight w:val="none"/>
          <w14:textFill>
            <w14:solidFill>
              <w14:schemeClr w14:val="tx1"/>
            </w14:solidFill>
          </w14:textFill>
        </w:rPr>
        <w:t>的</w:t>
      </w:r>
      <w:r>
        <w:rPr>
          <w:rFonts w:hint="eastAsia" w:ascii="宋体" w:hAnsi="宋体" w:cs="宋体"/>
          <w:color w:val="000000" w:themeColor="text1"/>
          <w:highlight w:val="none"/>
          <w:u w:val="single"/>
          <w14:textFill>
            <w14:solidFill>
              <w14:schemeClr w14:val="tx1"/>
            </w14:solidFill>
          </w14:textFill>
        </w:rPr>
        <w:t>（项目名称）</w:t>
      </w:r>
      <w:r>
        <w:rPr>
          <w:rFonts w:hint="eastAsia" w:ascii="宋体" w:hAnsi="宋体" w:cs="宋体"/>
          <w:color w:val="000000" w:themeColor="text1"/>
          <w:highlight w:val="none"/>
          <w14:textFill>
            <w14:solidFill>
              <w14:schemeClr w14:val="tx1"/>
            </w14:solidFill>
          </w14:textFill>
        </w:rPr>
        <w:t>采购活动，服务全部由符合政策要求的中小企业承接。相关企业（含联合体中的中小企业、签订分包意向协议的中小企业）的具体情况如下：</w:t>
      </w:r>
    </w:p>
    <w:p w14:paraId="6798020E">
      <w:pPr>
        <w:tabs>
          <w:tab w:val="left" w:pos="1384"/>
          <w:tab w:val="left" w:pos="4562"/>
          <w:tab w:val="left" w:pos="6803"/>
        </w:tabs>
        <w:spacing w:before="13" w:line="500" w:lineRule="exact"/>
        <w:ind w:right="142" w:firstLine="676" w:firstLineChars="322"/>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1.</w:t>
      </w:r>
      <w:r>
        <w:rPr>
          <w:rFonts w:hint="eastAsia" w:ascii="宋体" w:hAnsi="宋体" w:cs="宋体"/>
          <w:color w:val="000000" w:themeColor="text1"/>
          <w:highlight w:val="none"/>
          <w:u w:val="single"/>
          <w14:textFill>
            <w14:solidFill>
              <w14:schemeClr w14:val="tx1"/>
            </w14:solidFill>
          </w14:textFill>
        </w:rPr>
        <w:t>（标的名称）</w:t>
      </w:r>
      <w:r>
        <w:rPr>
          <w:rFonts w:hint="eastAsia" w:ascii="宋体" w:hAnsi="宋体" w:cs="宋体"/>
          <w:color w:val="000000" w:themeColor="text1"/>
          <w:highlight w:val="none"/>
          <w14:textFill>
            <w14:solidFill>
              <w14:schemeClr w14:val="tx1"/>
            </w14:solidFill>
          </w14:textFill>
        </w:rPr>
        <w:t>，属于</w:t>
      </w:r>
      <w:r>
        <w:rPr>
          <w:rFonts w:hint="eastAsia" w:ascii="宋体" w:hAnsi="宋体" w:cs="宋体"/>
          <w:color w:val="000000" w:themeColor="text1"/>
          <w:highlight w:val="none"/>
          <w:u w:val="single"/>
          <w14:textFill>
            <w14:solidFill>
              <w14:schemeClr w14:val="tx1"/>
            </w14:solidFill>
          </w14:textFill>
        </w:rPr>
        <w:t>（建筑行业）</w:t>
      </w:r>
      <w:r>
        <w:rPr>
          <w:rFonts w:hint="eastAsia" w:ascii="宋体" w:hAnsi="宋体" w:cs="宋体"/>
          <w:color w:val="000000" w:themeColor="text1"/>
          <w:highlight w:val="none"/>
          <w14:textFill>
            <w14:solidFill>
              <w14:schemeClr w14:val="tx1"/>
            </w14:solidFill>
          </w14:textFill>
        </w:rPr>
        <w:t>；承接企业为</w:t>
      </w:r>
      <w:r>
        <w:rPr>
          <w:rFonts w:hint="eastAsia" w:ascii="宋体" w:hAnsi="宋体" w:cs="宋体"/>
          <w:color w:val="000000" w:themeColor="text1"/>
          <w:highlight w:val="none"/>
          <w:u w:val="single"/>
          <w14:textFill>
            <w14:solidFill>
              <w14:schemeClr w14:val="tx1"/>
            </w14:solidFill>
          </w14:textFill>
        </w:rPr>
        <w:t>（企业名称）</w:t>
      </w:r>
      <w:r>
        <w:rPr>
          <w:rFonts w:hint="eastAsia" w:ascii="宋体" w:hAnsi="宋体" w:cs="宋体"/>
          <w:color w:val="000000" w:themeColor="text1"/>
          <w:highlight w:val="none"/>
          <w14:textFill>
            <w14:solidFill>
              <w14:schemeClr w14:val="tx1"/>
            </w14:solidFill>
          </w14:textFill>
        </w:rPr>
        <w:t>，从业人员</w:t>
      </w:r>
      <w:r>
        <w:rPr>
          <w:rFonts w:ascii="宋体" w:hAnsi="宋体" w:cs="宋体"/>
          <w:color w:val="000000" w:themeColor="text1"/>
          <w:highlight w:val="none"/>
          <w:u w:val="singl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人，营业收入为</w:t>
      </w:r>
      <w:r>
        <w:rPr>
          <w:rFonts w:ascii="宋体" w:hAnsi="宋体" w:cs="宋体"/>
          <w:color w:val="000000" w:themeColor="text1"/>
          <w:highlight w:val="none"/>
          <w:u w:val="singl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万元，资产总额为</w:t>
      </w:r>
      <w:r>
        <w:rPr>
          <w:rFonts w:ascii="宋体" w:hAnsi="宋体" w:cs="宋体"/>
          <w:color w:val="000000" w:themeColor="text1"/>
          <w:highlight w:val="none"/>
          <w:u w:val="singl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万元，属于</w:t>
      </w:r>
      <w:r>
        <w:rPr>
          <w:rFonts w:hint="eastAsia" w:ascii="宋体" w:hAnsi="宋体" w:cs="宋体"/>
          <w:color w:val="000000" w:themeColor="text1"/>
          <w:highlight w:val="none"/>
          <w:u w:val="single"/>
          <w14:textFill>
            <w14:solidFill>
              <w14:schemeClr w14:val="tx1"/>
            </w14:solidFill>
          </w14:textFill>
        </w:rPr>
        <w:t>（中型企业、小型企业、微型企业）</w:t>
      </w:r>
      <w:r>
        <w:rPr>
          <w:rFonts w:hint="eastAsia" w:ascii="宋体" w:hAnsi="宋体" w:cs="宋体"/>
          <w:color w:val="000000" w:themeColor="text1"/>
          <w:highlight w:val="none"/>
          <w14:textFill>
            <w14:solidFill>
              <w14:schemeClr w14:val="tx1"/>
            </w14:solidFill>
          </w14:textFill>
        </w:rPr>
        <w:t>；</w:t>
      </w:r>
    </w:p>
    <w:p w14:paraId="79DBE4AD">
      <w:pPr>
        <w:tabs>
          <w:tab w:val="left" w:pos="1065"/>
          <w:tab w:val="left" w:pos="4262"/>
          <w:tab w:val="left" w:pos="6477"/>
        </w:tabs>
        <w:spacing w:before="20" w:line="500" w:lineRule="exact"/>
        <w:ind w:right="84" w:firstLine="676" w:firstLineChars="322"/>
        <w:rPr>
          <w:rFonts w:ascii="宋体"/>
          <w:color w:val="000000" w:themeColor="text1"/>
          <w:highlight w:val="none"/>
          <w:u w:val="single"/>
          <w14:textFill>
            <w14:solidFill>
              <w14:schemeClr w14:val="tx1"/>
            </w14:solidFill>
          </w14:textFill>
        </w:rPr>
      </w:pPr>
      <w:r>
        <w:rPr>
          <w:rFonts w:ascii="宋体" w:hAnsi="宋体" w:cs="宋体"/>
          <w:color w:val="000000" w:themeColor="text1"/>
          <w:highlight w:val="none"/>
          <w14:textFill>
            <w14:solidFill>
              <w14:schemeClr w14:val="tx1"/>
            </w14:solidFill>
          </w14:textFill>
        </w:rPr>
        <w:t>2.</w:t>
      </w:r>
      <w:r>
        <w:rPr>
          <w:rFonts w:hint="eastAsia" w:ascii="宋体" w:hAnsi="宋体" w:cs="宋体"/>
          <w:color w:val="000000" w:themeColor="text1"/>
          <w:highlight w:val="none"/>
          <w:u w:val="single"/>
          <w14:textFill>
            <w14:solidFill>
              <w14:schemeClr w14:val="tx1"/>
            </w14:solidFill>
          </w14:textFill>
        </w:rPr>
        <w:t>（标的名称）</w:t>
      </w:r>
      <w:r>
        <w:rPr>
          <w:rFonts w:hint="eastAsia" w:ascii="宋体" w:hAnsi="宋体" w:cs="宋体"/>
          <w:color w:val="000000" w:themeColor="text1"/>
          <w:highlight w:val="none"/>
          <w14:textFill>
            <w14:solidFill>
              <w14:schemeClr w14:val="tx1"/>
            </w14:solidFill>
          </w14:textFill>
        </w:rPr>
        <w:t>，属于</w:t>
      </w:r>
      <w:r>
        <w:rPr>
          <w:rFonts w:hint="eastAsia" w:ascii="宋体" w:hAnsi="宋体" w:cs="宋体"/>
          <w:color w:val="000000" w:themeColor="text1"/>
          <w:highlight w:val="none"/>
          <w:u w:val="single"/>
          <w14:textFill>
            <w14:solidFill>
              <w14:schemeClr w14:val="tx1"/>
            </w14:solidFill>
          </w14:textFill>
        </w:rPr>
        <w:t>（采购文件中明确的所属行业）</w:t>
      </w:r>
      <w:r>
        <w:rPr>
          <w:rFonts w:hint="eastAsia" w:ascii="宋体" w:hAnsi="宋体" w:cs="宋体"/>
          <w:color w:val="000000" w:themeColor="text1"/>
          <w:highlight w:val="none"/>
          <w14:textFill>
            <w14:solidFill>
              <w14:schemeClr w14:val="tx1"/>
            </w14:solidFill>
          </w14:textFill>
        </w:rPr>
        <w:t>；承接企业为</w:t>
      </w:r>
      <w:r>
        <w:rPr>
          <w:rFonts w:hint="eastAsia" w:ascii="宋体" w:hAnsi="宋体" w:cs="宋体"/>
          <w:color w:val="000000" w:themeColor="text1"/>
          <w:highlight w:val="none"/>
          <w:u w:val="single"/>
          <w14:textFill>
            <w14:solidFill>
              <w14:schemeClr w14:val="tx1"/>
            </w14:solidFill>
          </w14:textFill>
        </w:rPr>
        <w:t>（企业名称）</w:t>
      </w:r>
      <w:r>
        <w:rPr>
          <w:rFonts w:hint="eastAsia" w:ascii="宋体" w:hAnsi="宋体" w:cs="宋体"/>
          <w:color w:val="000000" w:themeColor="text1"/>
          <w:highlight w:val="none"/>
          <w14:textFill>
            <w14:solidFill>
              <w14:schemeClr w14:val="tx1"/>
            </w14:solidFill>
          </w14:textFill>
        </w:rPr>
        <w:t>，从业人员</w:t>
      </w:r>
      <w:r>
        <w:rPr>
          <w:rFonts w:ascii="宋体" w:hAnsi="宋体" w:cs="宋体"/>
          <w:color w:val="000000" w:themeColor="text1"/>
          <w:highlight w:val="none"/>
          <w:u w:val="singl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人，营业收入为</w:t>
      </w:r>
      <w:r>
        <w:rPr>
          <w:rFonts w:ascii="宋体" w:hAnsi="宋体" w:cs="宋体"/>
          <w:color w:val="000000" w:themeColor="text1"/>
          <w:highlight w:val="none"/>
          <w:u w:val="singl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万元，资产总额为</w:t>
      </w:r>
      <w:r>
        <w:rPr>
          <w:rFonts w:ascii="宋体" w:hAnsi="宋体" w:cs="宋体"/>
          <w:color w:val="000000" w:themeColor="text1"/>
          <w:highlight w:val="none"/>
          <w:u w:val="singl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万元，属于</w:t>
      </w:r>
      <w:r>
        <w:rPr>
          <w:rFonts w:hint="eastAsia" w:ascii="宋体" w:hAnsi="宋体" w:cs="宋体"/>
          <w:color w:val="000000" w:themeColor="text1"/>
          <w:highlight w:val="none"/>
          <w:u w:val="single"/>
          <w14:textFill>
            <w14:solidFill>
              <w14:schemeClr w14:val="tx1"/>
            </w14:solidFill>
          </w14:textFill>
        </w:rPr>
        <w:t>（中型企业、小型企业、微型企业）</w:t>
      </w:r>
      <w:r>
        <w:rPr>
          <w:rFonts w:hint="eastAsia" w:ascii="宋体" w:hAnsi="宋体" w:cs="宋体"/>
          <w:color w:val="000000" w:themeColor="text1"/>
          <w:highlight w:val="none"/>
          <w14:textFill>
            <w14:solidFill>
              <w14:schemeClr w14:val="tx1"/>
            </w14:solidFill>
          </w14:textFill>
        </w:rPr>
        <w:t>；</w:t>
      </w:r>
    </w:p>
    <w:p w14:paraId="48067D4D">
      <w:pPr>
        <w:pStyle w:val="21"/>
        <w:spacing w:before="34" w:line="500" w:lineRule="exact"/>
        <w:ind w:right="142" w:firstLine="617" w:firstLineChars="294"/>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w:t>
      </w:r>
      <w:r>
        <w:rPr>
          <w:rFonts w:ascii="宋体" w:hAnsi="宋体" w:cs="宋体"/>
          <w:color w:val="000000" w:themeColor="text1"/>
          <w:highlight w:val="none"/>
          <w14:textFill>
            <w14:solidFill>
              <w14:schemeClr w14:val="tx1"/>
            </w14:solidFill>
          </w14:textFill>
        </w:rPr>
        <w:t xml:space="preserve"> </w:t>
      </w:r>
    </w:p>
    <w:p w14:paraId="1DC9441E">
      <w:pPr>
        <w:pStyle w:val="21"/>
        <w:spacing w:before="34" w:line="500" w:lineRule="exact"/>
        <w:ind w:right="142" w:firstLine="617" w:firstLineChars="294"/>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以上企业，不属于大企业的分支机构，不存在控股股东为大企业的情形，也不存在与大企业的负责人为同一人的情形。</w:t>
      </w:r>
    </w:p>
    <w:p w14:paraId="68111BBC">
      <w:pPr>
        <w:pStyle w:val="21"/>
        <w:spacing w:before="25" w:line="500" w:lineRule="exact"/>
        <w:ind w:right="142" w:firstLine="617" w:firstLineChars="294"/>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本企业对上述声明内容的真实性负责。如有虚假，将依法承担相应责任。</w:t>
      </w:r>
    </w:p>
    <w:p w14:paraId="441FCDD9">
      <w:pPr>
        <w:pStyle w:val="21"/>
        <w:spacing w:before="56" w:line="500" w:lineRule="exact"/>
        <w:ind w:right="1808" w:firstLine="617" w:firstLineChars="294"/>
        <w:rPr>
          <w:rFonts w:ascii="宋体"/>
          <w:color w:val="000000" w:themeColor="text1"/>
          <w:highlight w:val="none"/>
          <w14:textFill>
            <w14:solidFill>
              <w14:schemeClr w14:val="tx1"/>
            </w14:solidFill>
          </w14:textFill>
        </w:rPr>
      </w:pPr>
    </w:p>
    <w:p w14:paraId="1B75FA04">
      <w:pPr>
        <w:pStyle w:val="21"/>
        <w:spacing w:before="56" w:line="500" w:lineRule="exact"/>
        <w:ind w:right="650" w:firstLine="4922" w:firstLineChars="2344"/>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企业名称（章）：</w:t>
      </w:r>
      <w:r>
        <w:rPr>
          <w:rFonts w:ascii="宋体" w:hAnsi="宋体" w:cs="宋体"/>
          <w:color w:val="000000" w:themeColor="text1"/>
          <w:highlight w:val="none"/>
          <w14:textFill>
            <w14:solidFill>
              <w14:schemeClr w14:val="tx1"/>
            </w14:solidFill>
          </w14:textFill>
        </w:rPr>
        <w:t xml:space="preserve"> </w:t>
      </w:r>
    </w:p>
    <w:p w14:paraId="28F82586">
      <w:pPr>
        <w:pStyle w:val="21"/>
        <w:spacing w:before="56" w:line="500" w:lineRule="exact"/>
        <w:ind w:right="1808" w:firstLine="4922" w:firstLineChars="2344"/>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日</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期：</w:t>
      </w:r>
    </w:p>
    <w:p w14:paraId="507B32D7">
      <w:pPr>
        <w:spacing w:line="520" w:lineRule="exact"/>
        <w:jc w:val="left"/>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注：享受《政府采购促进中小企业发展管理办法》（财库〔</w:t>
      </w:r>
      <w:r>
        <w:rPr>
          <w:rFonts w:ascii="宋体" w:hAnsi="宋体" w:cs="宋体"/>
          <w:color w:val="000000" w:themeColor="text1"/>
          <w:highlight w:val="none"/>
          <w14:textFill>
            <w14:solidFill>
              <w14:schemeClr w14:val="tx1"/>
            </w14:solidFill>
          </w14:textFill>
        </w:rPr>
        <w:t>2020</w:t>
      </w:r>
      <w:r>
        <w:rPr>
          <w:rFonts w:hint="eastAsia" w:ascii="宋体" w:hAnsi="宋体" w:cs="宋体"/>
          <w:color w:val="000000" w:themeColor="text1"/>
          <w:highlight w:val="none"/>
          <w14:textFill>
            <w14:solidFill>
              <w14:schemeClr w14:val="tx1"/>
            </w14:solidFill>
          </w14:textFill>
        </w:rPr>
        <w:t>〕</w:t>
      </w:r>
      <w:r>
        <w:rPr>
          <w:rFonts w:ascii="宋体" w:hAnsi="宋体" w:cs="宋体"/>
          <w:color w:val="000000" w:themeColor="text1"/>
          <w:highlight w:val="none"/>
          <w14:textFill>
            <w14:solidFill>
              <w14:schemeClr w14:val="tx1"/>
            </w14:solidFill>
          </w14:textFill>
        </w:rPr>
        <w:t>46</w:t>
      </w:r>
      <w:r>
        <w:rPr>
          <w:rFonts w:hint="eastAsia" w:ascii="宋体" w:hAnsi="宋体" w:cs="宋体"/>
          <w:color w:val="000000" w:themeColor="text1"/>
          <w:highlight w:val="none"/>
          <w14:textFill>
            <w14:solidFill>
              <w14:schemeClr w14:val="tx1"/>
            </w14:solidFill>
          </w14:textFill>
        </w:rPr>
        <w:t>号）规定的中小企业扶持政策的，采购人、采购代理机构应当随成交结果公开成交供应商的《中小企业声明函》。从业人员、营业收入、资产总额填报上一年度数据，无上一年度数据的新成立企业可不填报。</w:t>
      </w:r>
    </w:p>
    <w:p w14:paraId="389C2AC7">
      <w:pPr>
        <w:spacing w:line="520" w:lineRule="exact"/>
        <w:jc w:val="center"/>
        <w:rPr>
          <w:rFonts w:ascii="宋体"/>
          <w:color w:val="000000" w:themeColor="text1"/>
          <w:highlight w:val="none"/>
          <w14:textFill>
            <w14:solidFill>
              <w14:schemeClr w14:val="tx1"/>
            </w14:solidFill>
          </w14:textFill>
        </w:rPr>
      </w:pPr>
    </w:p>
    <w:p w14:paraId="52884F8A">
      <w:pPr>
        <w:pStyle w:val="29"/>
        <w:jc w:val="left"/>
        <w:rPr>
          <w:rFonts w:hAnsi="宋体" w:cs="Times New Roman"/>
          <w:color w:val="000000" w:themeColor="text1"/>
          <w:sz w:val="32"/>
          <w:szCs w:val="32"/>
          <w:highlight w:val="none"/>
          <w14:textFill>
            <w14:solidFill>
              <w14:schemeClr w14:val="tx1"/>
            </w14:solidFill>
          </w14:textFill>
        </w:rPr>
      </w:pPr>
      <w:r>
        <w:rPr>
          <w:rFonts w:hAnsi="宋体" w:cs="Times New Roman"/>
          <w:color w:val="000000" w:themeColor="text1"/>
          <w:sz w:val="21"/>
          <w:szCs w:val="21"/>
          <w:highlight w:val="none"/>
          <w14:textFill>
            <w14:solidFill>
              <w14:schemeClr w14:val="tx1"/>
            </w14:solidFill>
          </w14:textFill>
        </w:rPr>
        <w:br w:type="page"/>
      </w:r>
      <w:r>
        <w:rPr>
          <w:rFonts w:hint="eastAsia" w:hAnsi="宋体"/>
          <w:color w:val="000000" w:themeColor="text1"/>
          <w:sz w:val="32"/>
          <w:szCs w:val="32"/>
          <w:highlight w:val="none"/>
          <w14:textFill>
            <w14:solidFill>
              <w14:schemeClr w14:val="tx1"/>
            </w14:solidFill>
          </w14:textFill>
        </w:rPr>
        <w:t>附：</w:t>
      </w:r>
    </w:p>
    <w:p w14:paraId="771C1B38">
      <w:pPr>
        <w:jc w:val="center"/>
        <w:rPr>
          <w:rFonts w:ascii="宋体"/>
          <w:color w:val="000000" w:themeColor="text1"/>
          <w:sz w:val="44"/>
          <w:szCs w:val="44"/>
          <w:highlight w:val="none"/>
          <w14:textFill>
            <w14:solidFill>
              <w14:schemeClr w14:val="tx1"/>
            </w14:solidFill>
          </w14:textFill>
        </w:rPr>
      </w:pPr>
      <w:r>
        <w:rPr>
          <w:rFonts w:hint="eastAsia" w:ascii="宋体" w:hAnsi="宋体" w:cs="宋体"/>
          <w:color w:val="000000" w:themeColor="text1"/>
          <w:sz w:val="44"/>
          <w:szCs w:val="44"/>
          <w:highlight w:val="none"/>
          <w14:textFill>
            <w14:solidFill>
              <w14:schemeClr w14:val="tx1"/>
            </w14:solidFill>
          </w14:textFill>
        </w:rPr>
        <w:t>中小微企业划型标准</w:t>
      </w:r>
    </w:p>
    <w:p w14:paraId="164FE444">
      <w:pPr>
        <w:ind w:left="1871"/>
        <w:rPr>
          <w:rFonts w:ascii="宋体"/>
          <w:color w:val="000000" w:themeColor="text1"/>
          <w:highlight w:val="none"/>
          <w14:textFill>
            <w14:solidFill>
              <w14:schemeClr w14:val="tx1"/>
            </w14:solidFill>
          </w14:textFill>
        </w:rPr>
      </w:pPr>
    </w:p>
    <w:tbl>
      <w:tblPr>
        <w:tblStyle w:val="59"/>
        <w:tblW w:w="8893" w:type="dxa"/>
        <w:jc w:val="center"/>
        <w:tblLayout w:type="fixed"/>
        <w:tblCellMar>
          <w:top w:w="0" w:type="dxa"/>
          <w:left w:w="108" w:type="dxa"/>
          <w:bottom w:w="0" w:type="dxa"/>
          <w:right w:w="108" w:type="dxa"/>
        </w:tblCellMar>
      </w:tblPr>
      <w:tblGrid>
        <w:gridCol w:w="2004"/>
        <w:gridCol w:w="1384"/>
        <w:gridCol w:w="913"/>
        <w:gridCol w:w="1620"/>
        <w:gridCol w:w="1440"/>
        <w:gridCol w:w="1532"/>
      </w:tblGrid>
      <w:tr w14:paraId="074954F2">
        <w:tblPrEx>
          <w:tblCellMar>
            <w:top w:w="0" w:type="dxa"/>
            <w:left w:w="108" w:type="dxa"/>
            <w:bottom w:w="0" w:type="dxa"/>
            <w:right w:w="108" w:type="dxa"/>
          </w:tblCellMar>
        </w:tblPrEx>
        <w:trPr>
          <w:trHeight w:val="283" w:hRule="atLeast"/>
          <w:jc w:val="center"/>
        </w:trPr>
        <w:tc>
          <w:tcPr>
            <w:tcW w:w="2004" w:type="dxa"/>
            <w:tcBorders>
              <w:top w:val="single" w:color="auto" w:sz="4" w:space="0"/>
              <w:left w:val="single" w:color="auto" w:sz="4" w:space="0"/>
              <w:bottom w:val="single" w:color="auto" w:sz="4" w:space="0"/>
              <w:right w:val="single" w:color="auto" w:sz="4" w:space="0"/>
            </w:tcBorders>
            <w:vAlign w:val="center"/>
          </w:tcPr>
          <w:p w14:paraId="69B98CC7">
            <w:pPr>
              <w:widowControl/>
              <w:jc w:val="center"/>
              <w:rPr>
                <w:rFonts w:ascii="宋体"/>
                <w:b/>
                <w:bCs/>
                <w:color w:val="000000" w:themeColor="text1"/>
                <w:kern w:val="0"/>
                <w:sz w:val="24"/>
                <w:szCs w:val="24"/>
                <w:highlight w:val="none"/>
                <w14:textFill>
                  <w14:solidFill>
                    <w14:schemeClr w14:val="tx1"/>
                  </w14:solidFill>
                </w14:textFill>
              </w:rPr>
            </w:pPr>
            <w:r>
              <w:rPr>
                <w:rFonts w:hint="eastAsia" w:ascii="宋体" w:hAnsi="宋体" w:cs="宋体"/>
                <w:b/>
                <w:bCs/>
                <w:color w:val="000000" w:themeColor="text1"/>
                <w:kern w:val="0"/>
                <w:sz w:val="24"/>
                <w:szCs w:val="24"/>
                <w:highlight w:val="none"/>
                <w14:textFill>
                  <w14:solidFill>
                    <w14:schemeClr w14:val="tx1"/>
                  </w14:solidFill>
                </w14:textFill>
              </w:rPr>
              <w:t>行业名称</w:t>
            </w:r>
          </w:p>
        </w:tc>
        <w:tc>
          <w:tcPr>
            <w:tcW w:w="1384" w:type="dxa"/>
            <w:tcBorders>
              <w:top w:val="single" w:color="auto" w:sz="4" w:space="0"/>
              <w:left w:val="nil"/>
              <w:bottom w:val="single" w:color="auto" w:sz="4" w:space="0"/>
              <w:right w:val="single" w:color="auto" w:sz="4" w:space="0"/>
            </w:tcBorders>
            <w:vAlign w:val="center"/>
          </w:tcPr>
          <w:p w14:paraId="7A53B359">
            <w:pPr>
              <w:widowControl/>
              <w:jc w:val="left"/>
              <w:rPr>
                <w:rFonts w:ascii="宋体"/>
                <w:b/>
                <w:bCs/>
                <w:color w:val="000000" w:themeColor="text1"/>
                <w:kern w:val="0"/>
                <w:sz w:val="24"/>
                <w:szCs w:val="24"/>
                <w:highlight w:val="none"/>
                <w14:textFill>
                  <w14:solidFill>
                    <w14:schemeClr w14:val="tx1"/>
                  </w14:solidFill>
                </w14:textFill>
              </w:rPr>
            </w:pPr>
            <w:r>
              <w:rPr>
                <w:rFonts w:hint="eastAsia" w:ascii="宋体" w:hAnsi="宋体" w:cs="宋体"/>
                <w:b/>
                <w:bCs/>
                <w:color w:val="000000" w:themeColor="text1"/>
                <w:kern w:val="0"/>
                <w:sz w:val="24"/>
                <w:szCs w:val="24"/>
                <w:highlight w:val="none"/>
                <w14:textFill>
                  <w14:solidFill>
                    <w14:schemeClr w14:val="tx1"/>
                  </w14:solidFill>
                </w14:textFill>
              </w:rPr>
              <w:t>指标名称</w:t>
            </w:r>
          </w:p>
        </w:tc>
        <w:tc>
          <w:tcPr>
            <w:tcW w:w="913" w:type="dxa"/>
            <w:tcBorders>
              <w:top w:val="single" w:color="auto" w:sz="4" w:space="0"/>
              <w:left w:val="nil"/>
              <w:bottom w:val="single" w:color="auto" w:sz="4" w:space="0"/>
              <w:right w:val="single" w:color="auto" w:sz="4" w:space="0"/>
            </w:tcBorders>
            <w:vAlign w:val="center"/>
          </w:tcPr>
          <w:p w14:paraId="694325D6">
            <w:pPr>
              <w:widowControl/>
              <w:jc w:val="left"/>
              <w:rPr>
                <w:rFonts w:ascii="宋体"/>
                <w:b/>
                <w:bCs/>
                <w:color w:val="000000" w:themeColor="text1"/>
                <w:kern w:val="0"/>
                <w:sz w:val="24"/>
                <w:szCs w:val="24"/>
                <w:highlight w:val="none"/>
                <w14:textFill>
                  <w14:solidFill>
                    <w14:schemeClr w14:val="tx1"/>
                  </w14:solidFill>
                </w14:textFill>
              </w:rPr>
            </w:pPr>
            <w:r>
              <w:rPr>
                <w:rFonts w:hint="eastAsia" w:ascii="宋体" w:hAnsi="宋体" w:cs="宋体"/>
                <w:b/>
                <w:bCs/>
                <w:color w:val="000000" w:themeColor="text1"/>
                <w:kern w:val="0"/>
                <w:sz w:val="24"/>
                <w:szCs w:val="24"/>
                <w:highlight w:val="none"/>
                <w14:textFill>
                  <w14:solidFill>
                    <w14:schemeClr w14:val="tx1"/>
                  </w14:solidFill>
                </w14:textFill>
              </w:rPr>
              <w:t>计量单位</w:t>
            </w:r>
          </w:p>
        </w:tc>
        <w:tc>
          <w:tcPr>
            <w:tcW w:w="1620" w:type="dxa"/>
            <w:tcBorders>
              <w:top w:val="single" w:color="auto" w:sz="4" w:space="0"/>
              <w:left w:val="nil"/>
              <w:bottom w:val="single" w:color="auto" w:sz="4" w:space="0"/>
              <w:right w:val="single" w:color="auto" w:sz="4" w:space="0"/>
            </w:tcBorders>
            <w:vAlign w:val="center"/>
          </w:tcPr>
          <w:p w14:paraId="16AD7E6C">
            <w:pPr>
              <w:widowControl/>
              <w:jc w:val="left"/>
              <w:rPr>
                <w:rFonts w:ascii="宋体"/>
                <w:b/>
                <w:bCs/>
                <w:color w:val="000000" w:themeColor="text1"/>
                <w:kern w:val="0"/>
                <w:sz w:val="24"/>
                <w:szCs w:val="24"/>
                <w:highlight w:val="none"/>
                <w14:textFill>
                  <w14:solidFill>
                    <w14:schemeClr w14:val="tx1"/>
                  </w14:solidFill>
                </w14:textFill>
              </w:rPr>
            </w:pPr>
            <w:r>
              <w:rPr>
                <w:rFonts w:hint="eastAsia" w:ascii="宋体" w:hAnsi="宋体" w:cs="宋体"/>
                <w:b/>
                <w:bCs/>
                <w:color w:val="000000" w:themeColor="text1"/>
                <w:kern w:val="0"/>
                <w:sz w:val="24"/>
                <w:szCs w:val="24"/>
                <w:highlight w:val="none"/>
                <w14:textFill>
                  <w14:solidFill>
                    <w14:schemeClr w14:val="tx1"/>
                  </w14:solidFill>
                </w14:textFill>
              </w:rPr>
              <w:t>中型</w:t>
            </w:r>
          </w:p>
        </w:tc>
        <w:tc>
          <w:tcPr>
            <w:tcW w:w="1440" w:type="dxa"/>
            <w:tcBorders>
              <w:top w:val="single" w:color="auto" w:sz="4" w:space="0"/>
              <w:left w:val="nil"/>
              <w:bottom w:val="single" w:color="auto" w:sz="4" w:space="0"/>
              <w:right w:val="single" w:color="auto" w:sz="4" w:space="0"/>
            </w:tcBorders>
            <w:vAlign w:val="center"/>
          </w:tcPr>
          <w:p w14:paraId="348EA33D">
            <w:pPr>
              <w:widowControl/>
              <w:jc w:val="left"/>
              <w:rPr>
                <w:rFonts w:ascii="宋体"/>
                <w:b/>
                <w:bCs/>
                <w:color w:val="000000" w:themeColor="text1"/>
                <w:kern w:val="0"/>
                <w:sz w:val="24"/>
                <w:szCs w:val="24"/>
                <w:highlight w:val="none"/>
                <w14:textFill>
                  <w14:solidFill>
                    <w14:schemeClr w14:val="tx1"/>
                  </w14:solidFill>
                </w14:textFill>
              </w:rPr>
            </w:pPr>
            <w:r>
              <w:rPr>
                <w:rFonts w:hint="eastAsia" w:ascii="宋体" w:hAnsi="宋体" w:cs="宋体"/>
                <w:b/>
                <w:bCs/>
                <w:color w:val="000000" w:themeColor="text1"/>
                <w:kern w:val="0"/>
                <w:sz w:val="24"/>
                <w:szCs w:val="24"/>
                <w:highlight w:val="none"/>
                <w14:textFill>
                  <w14:solidFill>
                    <w14:schemeClr w14:val="tx1"/>
                  </w14:solidFill>
                </w14:textFill>
              </w:rPr>
              <w:t>小型</w:t>
            </w:r>
          </w:p>
        </w:tc>
        <w:tc>
          <w:tcPr>
            <w:tcW w:w="1532" w:type="dxa"/>
            <w:tcBorders>
              <w:top w:val="single" w:color="auto" w:sz="4" w:space="0"/>
              <w:left w:val="nil"/>
              <w:bottom w:val="single" w:color="auto" w:sz="4" w:space="0"/>
              <w:right w:val="single" w:color="auto" w:sz="4" w:space="0"/>
            </w:tcBorders>
            <w:vAlign w:val="center"/>
          </w:tcPr>
          <w:p w14:paraId="282CC23C">
            <w:pPr>
              <w:widowControl/>
              <w:jc w:val="left"/>
              <w:rPr>
                <w:rFonts w:ascii="宋体"/>
                <w:b/>
                <w:bCs/>
                <w:color w:val="000000" w:themeColor="text1"/>
                <w:kern w:val="0"/>
                <w:sz w:val="24"/>
                <w:szCs w:val="24"/>
                <w:highlight w:val="none"/>
                <w14:textFill>
                  <w14:solidFill>
                    <w14:schemeClr w14:val="tx1"/>
                  </w14:solidFill>
                </w14:textFill>
              </w:rPr>
            </w:pPr>
            <w:r>
              <w:rPr>
                <w:rFonts w:hint="eastAsia" w:ascii="宋体" w:hAnsi="宋体" w:cs="宋体"/>
                <w:b/>
                <w:bCs/>
                <w:color w:val="000000" w:themeColor="text1"/>
                <w:kern w:val="0"/>
                <w:sz w:val="24"/>
                <w:szCs w:val="24"/>
                <w:highlight w:val="none"/>
                <w14:textFill>
                  <w14:solidFill>
                    <w14:schemeClr w14:val="tx1"/>
                  </w14:solidFill>
                </w14:textFill>
              </w:rPr>
              <w:t>微型</w:t>
            </w:r>
          </w:p>
        </w:tc>
      </w:tr>
      <w:tr w14:paraId="2AD1F5A5">
        <w:tblPrEx>
          <w:tblCellMar>
            <w:top w:w="0" w:type="dxa"/>
            <w:left w:w="108" w:type="dxa"/>
            <w:bottom w:w="0" w:type="dxa"/>
            <w:right w:w="108" w:type="dxa"/>
          </w:tblCellMar>
        </w:tblPrEx>
        <w:trPr>
          <w:trHeight w:val="340" w:hRule="atLeast"/>
          <w:jc w:val="center"/>
        </w:trPr>
        <w:tc>
          <w:tcPr>
            <w:tcW w:w="2004" w:type="dxa"/>
            <w:tcBorders>
              <w:top w:val="nil"/>
              <w:left w:val="single" w:color="auto" w:sz="4" w:space="0"/>
              <w:bottom w:val="single" w:color="auto" w:sz="4" w:space="0"/>
              <w:right w:val="single" w:color="auto" w:sz="4" w:space="0"/>
            </w:tcBorders>
            <w:vAlign w:val="center"/>
          </w:tcPr>
          <w:p w14:paraId="690683D3">
            <w:pPr>
              <w:widowControl/>
              <w:jc w:val="center"/>
              <w:rPr>
                <w:rFonts w:ascii="宋体"/>
                <w:b/>
                <w:bCs/>
                <w:color w:val="000000" w:themeColor="text1"/>
                <w:kern w:val="0"/>
                <w:sz w:val="18"/>
                <w:szCs w:val="18"/>
                <w:highlight w:val="none"/>
                <w14:textFill>
                  <w14:solidFill>
                    <w14:schemeClr w14:val="tx1"/>
                  </w14:solidFill>
                </w14:textFill>
              </w:rPr>
            </w:pPr>
            <w:r>
              <w:rPr>
                <w:rFonts w:hint="eastAsia" w:ascii="宋体" w:hAnsi="宋体" w:cs="宋体"/>
                <w:b/>
                <w:bCs/>
                <w:color w:val="000000" w:themeColor="text1"/>
                <w:kern w:val="0"/>
                <w:sz w:val="18"/>
                <w:szCs w:val="18"/>
                <w:highlight w:val="none"/>
                <w14:textFill>
                  <w14:solidFill>
                    <w14:schemeClr w14:val="tx1"/>
                  </w14:solidFill>
                </w14:textFill>
              </w:rPr>
              <w:t>农、林、牧、渔</w:t>
            </w:r>
          </w:p>
        </w:tc>
        <w:tc>
          <w:tcPr>
            <w:tcW w:w="1384" w:type="dxa"/>
            <w:tcBorders>
              <w:top w:val="nil"/>
              <w:left w:val="nil"/>
              <w:bottom w:val="single" w:color="auto" w:sz="4" w:space="0"/>
              <w:right w:val="single" w:color="auto" w:sz="4" w:space="0"/>
            </w:tcBorders>
            <w:vAlign w:val="center"/>
          </w:tcPr>
          <w:p w14:paraId="7ED0BB26">
            <w:pPr>
              <w:widowControl/>
              <w:jc w:val="left"/>
              <w:rPr>
                <w:rFonts w:ascii="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营业收入（</w:t>
            </w:r>
            <w:r>
              <w:rPr>
                <w:rFonts w:ascii="宋体" w:hAnsi="宋体" w:cs="宋体"/>
                <w:color w:val="000000" w:themeColor="text1"/>
                <w:kern w:val="0"/>
                <w:sz w:val="18"/>
                <w:szCs w:val="18"/>
                <w:highlight w:val="none"/>
                <w14:textFill>
                  <w14:solidFill>
                    <w14:schemeClr w14:val="tx1"/>
                  </w14:solidFill>
                </w14:textFill>
              </w:rPr>
              <w:t>Y</w:t>
            </w:r>
            <w:r>
              <w:rPr>
                <w:rFonts w:hint="eastAsia" w:ascii="宋体" w:hAnsi="宋体" w:cs="宋体"/>
                <w:color w:val="000000" w:themeColor="text1"/>
                <w:kern w:val="0"/>
                <w:sz w:val="18"/>
                <w:szCs w:val="18"/>
                <w:highlight w:val="none"/>
                <w14:textFill>
                  <w14:solidFill>
                    <w14:schemeClr w14:val="tx1"/>
                  </w14:solidFill>
                </w14:textFill>
              </w:rPr>
              <w:t>）</w:t>
            </w:r>
          </w:p>
        </w:tc>
        <w:tc>
          <w:tcPr>
            <w:tcW w:w="913" w:type="dxa"/>
            <w:tcBorders>
              <w:top w:val="nil"/>
              <w:left w:val="nil"/>
              <w:bottom w:val="single" w:color="auto" w:sz="4" w:space="0"/>
              <w:right w:val="single" w:color="auto" w:sz="4" w:space="0"/>
            </w:tcBorders>
            <w:vAlign w:val="center"/>
          </w:tcPr>
          <w:p w14:paraId="79CAF444">
            <w:pPr>
              <w:widowControl/>
              <w:jc w:val="left"/>
              <w:rPr>
                <w:rFonts w:ascii="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万元</w:t>
            </w:r>
          </w:p>
        </w:tc>
        <w:tc>
          <w:tcPr>
            <w:tcW w:w="1620" w:type="dxa"/>
            <w:tcBorders>
              <w:top w:val="nil"/>
              <w:left w:val="nil"/>
              <w:bottom w:val="single" w:color="auto" w:sz="4" w:space="0"/>
              <w:right w:val="single" w:color="auto" w:sz="4" w:space="0"/>
            </w:tcBorders>
            <w:vAlign w:val="center"/>
          </w:tcPr>
          <w:p w14:paraId="6337914A">
            <w:pPr>
              <w:widowControl/>
              <w:jc w:val="left"/>
              <w:rPr>
                <w:rFonts w:ascii="宋体"/>
                <w:color w:val="000000" w:themeColor="text1"/>
                <w:kern w:val="0"/>
                <w:sz w:val="18"/>
                <w:szCs w:val="18"/>
                <w:highlight w:val="none"/>
                <w14:textFill>
                  <w14:solidFill>
                    <w14:schemeClr w14:val="tx1"/>
                  </w14:solidFill>
                </w14:textFill>
              </w:rPr>
            </w:pPr>
            <w:r>
              <w:rPr>
                <w:rFonts w:ascii="宋体" w:hAnsi="宋体" w:cs="宋体"/>
                <w:color w:val="000000" w:themeColor="text1"/>
                <w:kern w:val="0"/>
                <w:sz w:val="18"/>
                <w:szCs w:val="18"/>
                <w:highlight w:val="none"/>
                <w14:textFill>
                  <w14:solidFill>
                    <w14:schemeClr w14:val="tx1"/>
                  </w14:solidFill>
                </w14:textFill>
              </w:rPr>
              <w:t>500</w:t>
            </w:r>
            <w:r>
              <w:rPr>
                <w:rFonts w:hint="eastAsia" w:ascii="宋体" w:hAnsi="宋体" w:cs="宋体"/>
                <w:color w:val="000000" w:themeColor="text1"/>
                <w:kern w:val="0"/>
                <w:sz w:val="18"/>
                <w:szCs w:val="18"/>
                <w:highlight w:val="none"/>
                <w14:textFill>
                  <w14:solidFill>
                    <w14:schemeClr w14:val="tx1"/>
                  </w14:solidFill>
                </w14:textFill>
              </w:rPr>
              <w:t>≤</w:t>
            </w:r>
            <w:r>
              <w:rPr>
                <w:rFonts w:ascii="宋体" w:hAnsi="宋体" w:cs="宋体"/>
                <w:color w:val="000000" w:themeColor="text1"/>
                <w:kern w:val="0"/>
                <w:sz w:val="18"/>
                <w:szCs w:val="18"/>
                <w:highlight w:val="none"/>
                <w14:textFill>
                  <w14:solidFill>
                    <w14:schemeClr w14:val="tx1"/>
                  </w14:solidFill>
                </w14:textFill>
              </w:rPr>
              <w:t>Y</w:t>
            </w:r>
            <w:r>
              <w:rPr>
                <w:rFonts w:hint="eastAsia" w:ascii="宋体" w:hAnsi="宋体" w:cs="宋体"/>
                <w:color w:val="000000" w:themeColor="text1"/>
                <w:kern w:val="0"/>
                <w:sz w:val="18"/>
                <w:szCs w:val="18"/>
                <w:highlight w:val="none"/>
                <w14:textFill>
                  <w14:solidFill>
                    <w14:schemeClr w14:val="tx1"/>
                  </w14:solidFill>
                </w14:textFill>
              </w:rPr>
              <w:t>＜</w:t>
            </w:r>
            <w:r>
              <w:rPr>
                <w:rFonts w:ascii="宋体" w:hAnsi="宋体" w:cs="宋体"/>
                <w:color w:val="000000" w:themeColor="text1"/>
                <w:kern w:val="0"/>
                <w:sz w:val="18"/>
                <w:szCs w:val="18"/>
                <w:highlight w:val="none"/>
                <w14:textFill>
                  <w14:solidFill>
                    <w14:schemeClr w14:val="tx1"/>
                  </w14:solidFill>
                </w14:textFill>
              </w:rPr>
              <w:t>20000</w:t>
            </w:r>
          </w:p>
        </w:tc>
        <w:tc>
          <w:tcPr>
            <w:tcW w:w="1440" w:type="dxa"/>
            <w:tcBorders>
              <w:top w:val="nil"/>
              <w:left w:val="nil"/>
              <w:bottom w:val="single" w:color="auto" w:sz="4" w:space="0"/>
              <w:right w:val="single" w:color="auto" w:sz="4" w:space="0"/>
            </w:tcBorders>
            <w:vAlign w:val="center"/>
          </w:tcPr>
          <w:p w14:paraId="63582230">
            <w:pPr>
              <w:widowControl/>
              <w:jc w:val="left"/>
              <w:rPr>
                <w:rFonts w:ascii="宋体"/>
                <w:color w:val="000000" w:themeColor="text1"/>
                <w:kern w:val="0"/>
                <w:sz w:val="18"/>
                <w:szCs w:val="18"/>
                <w:highlight w:val="none"/>
                <w14:textFill>
                  <w14:solidFill>
                    <w14:schemeClr w14:val="tx1"/>
                  </w14:solidFill>
                </w14:textFill>
              </w:rPr>
            </w:pPr>
            <w:r>
              <w:rPr>
                <w:rFonts w:ascii="宋体" w:hAnsi="宋体" w:cs="宋体"/>
                <w:color w:val="000000" w:themeColor="text1"/>
                <w:kern w:val="0"/>
                <w:sz w:val="18"/>
                <w:szCs w:val="18"/>
                <w:highlight w:val="none"/>
                <w14:textFill>
                  <w14:solidFill>
                    <w14:schemeClr w14:val="tx1"/>
                  </w14:solidFill>
                </w14:textFill>
              </w:rPr>
              <w:t>50</w:t>
            </w:r>
            <w:r>
              <w:rPr>
                <w:rFonts w:hint="eastAsia" w:ascii="宋体" w:hAnsi="宋体" w:cs="宋体"/>
                <w:color w:val="000000" w:themeColor="text1"/>
                <w:kern w:val="0"/>
                <w:sz w:val="18"/>
                <w:szCs w:val="18"/>
                <w:highlight w:val="none"/>
                <w14:textFill>
                  <w14:solidFill>
                    <w14:schemeClr w14:val="tx1"/>
                  </w14:solidFill>
                </w14:textFill>
              </w:rPr>
              <w:t>≤</w:t>
            </w:r>
            <w:r>
              <w:rPr>
                <w:rFonts w:ascii="宋体" w:hAnsi="宋体" w:cs="宋体"/>
                <w:color w:val="000000" w:themeColor="text1"/>
                <w:kern w:val="0"/>
                <w:sz w:val="18"/>
                <w:szCs w:val="18"/>
                <w:highlight w:val="none"/>
                <w14:textFill>
                  <w14:solidFill>
                    <w14:schemeClr w14:val="tx1"/>
                  </w14:solidFill>
                </w14:textFill>
              </w:rPr>
              <w:t>Y</w:t>
            </w:r>
            <w:r>
              <w:rPr>
                <w:rFonts w:hint="eastAsia" w:ascii="宋体" w:hAnsi="宋体" w:cs="宋体"/>
                <w:color w:val="000000" w:themeColor="text1"/>
                <w:kern w:val="0"/>
                <w:sz w:val="18"/>
                <w:szCs w:val="18"/>
                <w:highlight w:val="none"/>
                <w14:textFill>
                  <w14:solidFill>
                    <w14:schemeClr w14:val="tx1"/>
                  </w14:solidFill>
                </w14:textFill>
              </w:rPr>
              <w:t>＜</w:t>
            </w:r>
            <w:r>
              <w:rPr>
                <w:rFonts w:ascii="宋体" w:hAnsi="宋体" w:cs="宋体"/>
                <w:color w:val="000000" w:themeColor="text1"/>
                <w:kern w:val="0"/>
                <w:sz w:val="18"/>
                <w:szCs w:val="18"/>
                <w:highlight w:val="none"/>
                <w14:textFill>
                  <w14:solidFill>
                    <w14:schemeClr w14:val="tx1"/>
                  </w14:solidFill>
                </w14:textFill>
              </w:rPr>
              <w:t>500</w:t>
            </w:r>
          </w:p>
        </w:tc>
        <w:tc>
          <w:tcPr>
            <w:tcW w:w="1532" w:type="dxa"/>
            <w:tcBorders>
              <w:top w:val="nil"/>
              <w:left w:val="nil"/>
              <w:bottom w:val="single" w:color="auto" w:sz="4" w:space="0"/>
              <w:right w:val="single" w:color="auto" w:sz="4" w:space="0"/>
            </w:tcBorders>
            <w:vAlign w:val="center"/>
          </w:tcPr>
          <w:p w14:paraId="0DE1712F">
            <w:pPr>
              <w:widowControl/>
              <w:jc w:val="left"/>
              <w:rPr>
                <w:rFonts w:ascii="宋体"/>
                <w:color w:val="000000" w:themeColor="text1"/>
                <w:kern w:val="0"/>
                <w:sz w:val="18"/>
                <w:szCs w:val="18"/>
                <w:highlight w:val="none"/>
                <w14:textFill>
                  <w14:solidFill>
                    <w14:schemeClr w14:val="tx1"/>
                  </w14:solidFill>
                </w14:textFill>
              </w:rPr>
            </w:pPr>
            <w:r>
              <w:rPr>
                <w:rFonts w:ascii="宋体" w:hAnsi="宋体" w:cs="宋体"/>
                <w:color w:val="000000" w:themeColor="text1"/>
                <w:kern w:val="0"/>
                <w:sz w:val="18"/>
                <w:szCs w:val="18"/>
                <w:highlight w:val="none"/>
                <w14:textFill>
                  <w14:solidFill>
                    <w14:schemeClr w14:val="tx1"/>
                  </w14:solidFill>
                </w14:textFill>
              </w:rPr>
              <w:t>Y</w:t>
            </w:r>
            <w:r>
              <w:rPr>
                <w:rFonts w:hint="eastAsia" w:ascii="宋体" w:hAnsi="宋体" w:cs="宋体"/>
                <w:color w:val="000000" w:themeColor="text1"/>
                <w:kern w:val="0"/>
                <w:sz w:val="18"/>
                <w:szCs w:val="18"/>
                <w:highlight w:val="none"/>
                <w14:textFill>
                  <w14:solidFill>
                    <w14:schemeClr w14:val="tx1"/>
                  </w14:solidFill>
                </w14:textFill>
              </w:rPr>
              <w:t>＜</w:t>
            </w:r>
            <w:r>
              <w:rPr>
                <w:rFonts w:ascii="宋体" w:hAnsi="宋体" w:cs="宋体"/>
                <w:color w:val="000000" w:themeColor="text1"/>
                <w:kern w:val="0"/>
                <w:sz w:val="18"/>
                <w:szCs w:val="18"/>
                <w:highlight w:val="none"/>
                <w14:textFill>
                  <w14:solidFill>
                    <w14:schemeClr w14:val="tx1"/>
                  </w14:solidFill>
                </w14:textFill>
              </w:rPr>
              <w:t>50</w:t>
            </w:r>
          </w:p>
        </w:tc>
      </w:tr>
      <w:tr w14:paraId="714B183E">
        <w:tblPrEx>
          <w:tblCellMar>
            <w:top w:w="0" w:type="dxa"/>
            <w:left w:w="108" w:type="dxa"/>
            <w:bottom w:w="0" w:type="dxa"/>
            <w:right w:w="108" w:type="dxa"/>
          </w:tblCellMar>
        </w:tblPrEx>
        <w:trPr>
          <w:trHeight w:val="340" w:hRule="atLeast"/>
          <w:jc w:val="center"/>
        </w:trPr>
        <w:tc>
          <w:tcPr>
            <w:tcW w:w="2004" w:type="dxa"/>
            <w:vMerge w:val="restart"/>
            <w:tcBorders>
              <w:top w:val="nil"/>
              <w:left w:val="single" w:color="auto" w:sz="4" w:space="0"/>
              <w:bottom w:val="single" w:color="auto" w:sz="4" w:space="0"/>
              <w:right w:val="single" w:color="auto" w:sz="4" w:space="0"/>
            </w:tcBorders>
            <w:vAlign w:val="center"/>
          </w:tcPr>
          <w:p w14:paraId="11B719B0">
            <w:pPr>
              <w:widowControl/>
              <w:jc w:val="center"/>
              <w:rPr>
                <w:rFonts w:ascii="宋体"/>
                <w:b/>
                <w:bCs/>
                <w:color w:val="000000" w:themeColor="text1"/>
                <w:kern w:val="0"/>
                <w:sz w:val="18"/>
                <w:szCs w:val="18"/>
                <w:highlight w:val="none"/>
                <w14:textFill>
                  <w14:solidFill>
                    <w14:schemeClr w14:val="tx1"/>
                  </w14:solidFill>
                </w14:textFill>
              </w:rPr>
            </w:pPr>
            <w:r>
              <w:rPr>
                <w:rFonts w:hint="eastAsia" w:ascii="宋体" w:hAnsi="宋体" w:cs="宋体"/>
                <w:b/>
                <w:bCs/>
                <w:color w:val="000000" w:themeColor="text1"/>
                <w:kern w:val="0"/>
                <w:sz w:val="18"/>
                <w:szCs w:val="18"/>
                <w:highlight w:val="none"/>
                <w14:textFill>
                  <w14:solidFill>
                    <w14:schemeClr w14:val="tx1"/>
                  </w14:solidFill>
                </w14:textFill>
              </w:rPr>
              <w:t>工业</w:t>
            </w:r>
          </w:p>
        </w:tc>
        <w:tc>
          <w:tcPr>
            <w:tcW w:w="1384" w:type="dxa"/>
            <w:tcBorders>
              <w:top w:val="nil"/>
              <w:left w:val="nil"/>
              <w:bottom w:val="single" w:color="auto" w:sz="4" w:space="0"/>
              <w:right w:val="single" w:color="auto" w:sz="4" w:space="0"/>
            </w:tcBorders>
            <w:vAlign w:val="center"/>
          </w:tcPr>
          <w:p w14:paraId="7E96A0E8">
            <w:pPr>
              <w:widowControl/>
              <w:jc w:val="left"/>
              <w:rPr>
                <w:rFonts w:ascii="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从业人员（</w:t>
            </w:r>
            <w:r>
              <w:rPr>
                <w:rFonts w:ascii="宋体" w:hAnsi="宋体" w:cs="宋体"/>
                <w:color w:val="000000" w:themeColor="text1"/>
                <w:kern w:val="0"/>
                <w:sz w:val="18"/>
                <w:szCs w:val="18"/>
                <w:highlight w:val="none"/>
                <w14:textFill>
                  <w14:solidFill>
                    <w14:schemeClr w14:val="tx1"/>
                  </w14:solidFill>
                </w14:textFill>
              </w:rPr>
              <w:t>X</w:t>
            </w:r>
            <w:r>
              <w:rPr>
                <w:rFonts w:hint="eastAsia" w:ascii="宋体" w:hAnsi="宋体" w:cs="宋体"/>
                <w:color w:val="000000" w:themeColor="text1"/>
                <w:kern w:val="0"/>
                <w:sz w:val="18"/>
                <w:szCs w:val="18"/>
                <w:highlight w:val="none"/>
                <w14:textFill>
                  <w14:solidFill>
                    <w14:schemeClr w14:val="tx1"/>
                  </w14:solidFill>
                </w14:textFill>
              </w:rPr>
              <w:t>）</w:t>
            </w:r>
          </w:p>
        </w:tc>
        <w:tc>
          <w:tcPr>
            <w:tcW w:w="913" w:type="dxa"/>
            <w:tcBorders>
              <w:top w:val="nil"/>
              <w:left w:val="nil"/>
              <w:bottom w:val="single" w:color="auto" w:sz="4" w:space="0"/>
              <w:right w:val="single" w:color="auto" w:sz="4" w:space="0"/>
            </w:tcBorders>
            <w:vAlign w:val="center"/>
          </w:tcPr>
          <w:p w14:paraId="18F20346">
            <w:pPr>
              <w:widowControl/>
              <w:jc w:val="left"/>
              <w:rPr>
                <w:rFonts w:ascii="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人</w:t>
            </w:r>
          </w:p>
        </w:tc>
        <w:tc>
          <w:tcPr>
            <w:tcW w:w="1620" w:type="dxa"/>
            <w:tcBorders>
              <w:top w:val="nil"/>
              <w:left w:val="nil"/>
              <w:bottom w:val="single" w:color="auto" w:sz="4" w:space="0"/>
              <w:right w:val="single" w:color="auto" w:sz="4" w:space="0"/>
            </w:tcBorders>
            <w:vAlign w:val="center"/>
          </w:tcPr>
          <w:p w14:paraId="2F1C0DDA">
            <w:pPr>
              <w:widowControl/>
              <w:jc w:val="left"/>
              <w:rPr>
                <w:rFonts w:ascii="宋体"/>
                <w:color w:val="000000" w:themeColor="text1"/>
                <w:kern w:val="0"/>
                <w:sz w:val="18"/>
                <w:szCs w:val="18"/>
                <w:highlight w:val="none"/>
                <w14:textFill>
                  <w14:solidFill>
                    <w14:schemeClr w14:val="tx1"/>
                  </w14:solidFill>
                </w14:textFill>
              </w:rPr>
            </w:pPr>
            <w:r>
              <w:rPr>
                <w:rFonts w:ascii="宋体" w:hAnsi="宋体" w:cs="宋体"/>
                <w:color w:val="000000" w:themeColor="text1"/>
                <w:kern w:val="0"/>
                <w:sz w:val="18"/>
                <w:szCs w:val="18"/>
                <w:highlight w:val="none"/>
                <w14:textFill>
                  <w14:solidFill>
                    <w14:schemeClr w14:val="tx1"/>
                  </w14:solidFill>
                </w14:textFill>
              </w:rPr>
              <w:t>300</w:t>
            </w:r>
            <w:r>
              <w:rPr>
                <w:rFonts w:hint="eastAsia" w:ascii="宋体" w:hAnsi="宋体" w:cs="宋体"/>
                <w:color w:val="000000" w:themeColor="text1"/>
                <w:kern w:val="0"/>
                <w:sz w:val="18"/>
                <w:szCs w:val="18"/>
                <w:highlight w:val="none"/>
                <w14:textFill>
                  <w14:solidFill>
                    <w14:schemeClr w14:val="tx1"/>
                  </w14:solidFill>
                </w14:textFill>
              </w:rPr>
              <w:t>≤</w:t>
            </w:r>
            <w:r>
              <w:rPr>
                <w:rFonts w:ascii="宋体" w:hAnsi="宋体" w:cs="宋体"/>
                <w:color w:val="000000" w:themeColor="text1"/>
                <w:kern w:val="0"/>
                <w:sz w:val="18"/>
                <w:szCs w:val="18"/>
                <w:highlight w:val="none"/>
                <w14:textFill>
                  <w14:solidFill>
                    <w14:schemeClr w14:val="tx1"/>
                  </w14:solidFill>
                </w14:textFill>
              </w:rPr>
              <w:t>X</w:t>
            </w:r>
            <w:r>
              <w:rPr>
                <w:rFonts w:hint="eastAsia" w:ascii="宋体" w:hAnsi="宋体" w:cs="宋体"/>
                <w:color w:val="000000" w:themeColor="text1"/>
                <w:kern w:val="0"/>
                <w:sz w:val="18"/>
                <w:szCs w:val="18"/>
                <w:highlight w:val="none"/>
                <w14:textFill>
                  <w14:solidFill>
                    <w14:schemeClr w14:val="tx1"/>
                  </w14:solidFill>
                </w14:textFill>
              </w:rPr>
              <w:t>＜</w:t>
            </w:r>
            <w:r>
              <w:rPr>
                <w:rFonts w:ascii="宋体" w:hAnsi="宋体" w:cs="宋体"/>
                <w:color w:val="000000" w:themeColor="text1"/>
                <w:kern w:val="0"/>
                <w:sz w:val="18"/>
                <w:szCs w:val="18"/>
                <w:highlight w:val="none"/>
                <w14:textFill>
                  <w14:solidFill>
                    <w14:schemeClr w14:val="tx1"/>
                  </w14:solidFill>
                </w14:textFill>
              </w:rPr>
              <w:t>1000</w:t>
            </w:r>
          </w:p>
        </w:tc>
        <w:tc>
          <w:tcPr>
            <w:tcW w:w="1440" w:type="dxa"/>
            <w:tcBorders>
              <w:top w:val="nil"/>
              <w:left w:val="nil"/>
              <w:bottom w:val="single" w:color="auto" w:sz="4" w:space="0"/>
              <w:right w:val="single" w:color="auto" w:sz="4" w:space="0"/>
            </w:tcBorders>
            <w:vAlign w:val="center"/>
          </w:tcPr>
          <w:p w14:paraId="799F2983">
            <w:pPr>
              <w:widowControl/>
              <w:jc w:val="left"/>
              <w:rPr>
                <w:rFonts w:ascii="宋体"/>
                <w:color w:val="000000" w:themeColor="text1"/>
                <w:kern w:val="0"/>
                <w:sz w:val="18"/>
                <w:szCs w:val="18"/>
                <w:highlight w:val="none"/>
                <w14:textFill>
                  <w14:solidFill>
                    <w14:schemeClr w14:val="tx1"/>
                  </w14:solidFill>
                </w14:textFill>
              </w:rPr>
            </w:pPr>
            <w:r>
              <w:rPr>
                <w:rFonts w:ascii="宋体" w:hAnsi="宋体" w:cs="宋体"/>
                <w:color w:val="000000" w:themeColor="text1"/>
                <w:kern w:val="0"/>
                <w:sz w:val="18"/>
                <w:szCs w:val="18"/>
                <w:highlight w:val="none"/>
                <w14:textFill>
                  <w14:solidFill>
                    <w14:schemeClr w14:val="tx1"/>
                  </w14:solidFill>
                </w14:textFill>
              </w:rPr>
              <w:t>20</w:t>
            </w:r>
            <w:r>
              <w:rPr>
                <w:rFonts w:hint="eastAsia" w:ascii="宋体" w:hAnsi="宋体" w:cs="宋体"/>
                <w:color w:val="000000" w:themeColor="text1"/>
                <w:kern w:val="0"/>
                <w:sz w:val="18"/>
                <w:szCs w:val="18"/>
                <w:highlight w:val="none"/>
                <w14:textFill>
                  <w14:solidFill>
                    <w14:schemeClr w14:val="tx1"/>
                  </w14:solidFill>
                </w14:textFill>
              </w:rPr>
              <w:t>≤</w:t>
            </w:r>
            <w:r>
              <w:rPr>
                <w:rFonts w:ascii="宋体" w:hAnsi="宋体" w:cs="宋体"/>
                <w:color w:val="000000" w:themeColor="text1"/>
                <w:kern w:val="0"/>
                <w:sz w:val="18"/>
                <w:szCs w:val="18"/>
                <w:highlight w:val="none"/>
                <w14:textFill>
                  <w14:solidFill>
                    <w14:schemeClr w14:val="tx1"/>
                  </w14:solidFill>
                </w14:textFill>
              </w:rPr>
              <w:t>X</w:t>
            </w:r>
            <w:r>
              <w:rPr>
                <w:rFonts w:hint="eastAsia" w:ascii="宋体" w:hAnsi="宋体" w:cs="宋体"/>
                <w:color w:val="000000" w:themeColor="text1"/>
                <w:kern w:val="0"/>
                <w:sz w:val="18"/>
                <w:szCs w:val="18"/>
                <w:highlight w:val="none"/>
                <w14:textFill>
                  <w14:solidFill>
                    <w14:schemeClr w14:val="tx1"/>
                  </w14:solidFill>
                </w14:textFill>
              </w:rPr>
              <w:t>＜</w:t>
            </w:r>
            <w:r>
              <w:rPr>
                <w:rFonts w:ascii="宋体" w:hAnsi="宋体" w:cs="宋体"/>
                <w:color w:val="000000" w:themeColor="text1"/>
                <w:kern w:val="0"/>
                <w:sz w:val="18"/>
                <w:szCs w:val="18"/>
                <w:highlight w:val="none"/>
                <w14:textFill>
                  <w14:solidFill>
                    <w14:schemeClr w14:val="tx1"/>
                  </w14:solidFill>
                </w14:textFill>
              </w:rPr>
              <w:t>300</w:t>
            </w:r>
          </w:p>
        </w:tc>
        <w:tc>
          <w:tcPr>
            <w:tcW w:w="1532" w:type="dxa"/>
            <w:tcBorders>
              <w:top w:val="nil"/>
              <w:left w:val="nil"/>
              <w:bottom w:val="single" w:color="auto" w:sz="4" w:space="0"/>
              <w:right w:val="single" w:color="auto" w:sz="4" w:space="0"/>
            </w:tcBorders>
            <w:vAlign w:val="center"/>
          </w:tcPr>
          <w:p w14:paraId="7E1C7C17">
            <w:pPr>
              <w:widowControl/>
              <w:jc w:val="left"/>
              <w:rPr>
                <w:rFonts w:ascii="宋体"/>
                <w:color w:val="000000" w:themeColor="text1"/>
                <w:kern w:val="0"/>
                <w:sz w:val="18"/>
                <w:szCs w:val="18"/>
                <w:highlight w:val="none"/>
                <w14:textFill>
                  <w14:solidFill>
                    <w14:schemeClr w14:val="tx1"/>
                  </w14:solidFill>
                </w14:textFill>
              </w:rPr>
            </w:pPr>
            <w:r>
              <w:rPr>
                <w:rFonts w:ascii="宋体" w:hAnsi="宋体" w:cs="宋体"/>
                <w:color w:val="000000" w:themeColor="text1"/>
                <w:kern w:val="0"/>
                <w:sz w:val="18"/>
                <w:szCs w:val="18"/>
                <w:highlight w:val="none"/>
                <w14:textFill>
                  <w14:solidFill>
                    <w14:schemeClr w14:val="tx1"/>
                  </w14:solidFill>
                </w14:textFill>
              </w:rPr>
              <w:t>X</w:t>
            </w:r>
            <w:r>
              <w:rPr>
                <w:rFonts w:hint="eastAsia" w:ascii="宋体" w:hAnsi="宋体" w:cs="宋体"/>
                <w:color w:val="000000" w:themeColor="text1"/>
                <w:kern w:val="0"/>
                <w:sz w:val="18"/>
                <w:szCs w:val="18"/>
                <w:highlight w:val="none"/>
                <w14:textFill>
                  <w14:solidFill>
                    <w14:schemeClr w14:val="tx1"/>
                  </w14:solidFill>
                </w14:textFill>
              </w:rPr>
              <w:t>＜</w:t>
            </w:r>
            <w:r>
              <w:rPr>
                <w:rFonts w:ascii="宋体" w:hAnsi="宋体" w:cs="宋体"/>
                <w:color w:val="000000" w:themeColor="text1"/>
                <w:kern w:val="0"/>
                <w:sz w:val="18"/>
                <w:szCs w:val="18"/>
                <w:highlight w:val="none"/>
                <w14:textFill>
                  <w14:solidFill>
                    <w14:schemeClr w14:val="tx1"/>
                  </w14:solidFill>
                </w14:textFill>
              </w:rPr>
              <w:t>20</w:t>
            </w:r>
          </w:p>
        </w:tc>
      </w:tr>
      <w:tr w14:paraId="5DFA1E11">
        <w:tblPrEx>
          <w:tblCellMar>
            <w:top w:w="0" w:type="dxa"/>
            <w:left w:w="108" w:type="dxa"/>
            <w:bottom w:w="0" w:type="dxa"/>
            <w:right w:w="108" w:type="dxa"/>
          </w:tblCellMar>
        </w:tblPrEx>
        <w:trPr>
          <w:trHeight w:val="340" w:hRule="atLeast"/>
          <w:jc w:val="center"/>
        </w:trPr>
        <w:tc>
          <w:tcPr>
            <w:tcW w:w="2004" w:type="dxa"/>
            <w:vMerge w:val="continue"/>
            <w:tcBorders>
              <w:top w:val="nil"/>
              <w:left w:val="single" w:color="auto" w:sz="4" w:space="0"/>
              <w:bottom w:val="single" w:color="auto" w:sz="4" w:space="0"/>
              <w:right w:val="single" w:color="auto" w:sz="4" w:space="0"/>
            </w:tcBorders>
            <w:vAlign w:val="center"/>
          </w:tcPr>
          <w:p w14:paraId="2316AC5B">
            <w:pPr>
              <w:widowControl/>
              <w:jc w:val="center"/>
              <w:rPr>
                <w:rFonts w:ascii="宋体"/>
                <w:b/>
                <w:bCs/>
                <w:color w:val="000000" w:themeColor="text1"/>
                <w:kern w:val="0"/>
                <w:sz w:val="18"/>
                <w:szCs w:val="18"/>
                <w:highlight w:val="none"/>
                <w14:textFill>
                  <w14:solidFill>
                    <w14:schemeClr w14:val="tx1"/>
                  </w14:solidFill>
                </w14:textFill>
              </w:rPr>
            </w:pPr>
          </w:p>
        </w:tc>
        <w:tc>
          <w:tcPr>
            <w:tcW w:w="1384" w:type="dxa"/>
            <w:tcBorders>
              <w:top w:val="nil"/>
              <w:left w:val="nil"/>
              <w:bottom w:val="single" w:color="auto" w:sz="4" w:space="0"/>
              <w:right w:val="single" w:color="auto" w:sz="4" w:space="0"/>
            </w:tcBorders>
            <w:vAlign w:val="center"/>
          </w:tcPr>
          <w:p w14:paraId="0A19698B">
            <w:pPr>
              <w:widowControl/>
              <w:jc w:val="left"/>
              <w:rPr>
                <w:rFonts w:ascii="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营业收入（</w:t>
            </w:r>
            <w:r>
              <w:rPr>
                <w:rFonts w:ascii="宋体" w:hAnsi="宋体" w:cs="宋体"/>
                <w:color w:val="000000" w:themeColor="text1"/>
                <w:kern w:val="0"/>
                <w:sz w:val="18"/>
                <w:szCs w:val="18"/>
                <w:highlight w:val="none"/>
                <w14:textFill>
                  <w14:solidFill>
                    <w14:schemeClr w14:val="tx1"/>
                  </w14:solidFill>
                </w14:textFill>
              </w:rPr>
              <w:t>Y</w:t>
            </w:r>
            <w:r>
              <w:rPr>
                <w:rFonts w:hint="eastAsia" w:ascii="宋体" w:hAnsi="宋体" w:cs="宋体"/>
                <w:color w:val="000000" w:themeColor="text1"/>
                <w:kern w:val="0"/>
                <w:sz w:val="18"/>
                <w:szCs w:val="18"/>
                <w:highlight w:val="none"/>
                <w14:textFill>
                  <w14:solidFill>
                    <w14:schemeClr w14:val="tx1"/>
                  </w14:solidFill>
                </w14:textFill>
              </w:rPr>
              <w:t>）</w:t>
            </w:r>
          </w:p>
        </w:tc>
        <w:tc>
          <w:tcPr>
            <w:tcW w:w="913" w:type="dxa"/>
            <w:tcBorders>
              <w:top w:val="nil"/>
              <w:left w:val="nil"/>
              <w:bottom w:val="single" w:color="auto" w:sz="4" w:space="0"/>
              <w:right w:val="single" w:color="auto" w:sz="4" w:space="0"/>
            </w:tcBorders>
            <w:vAlign w:val="center"/>
          </w:tcPr>
          <w:p w14:paraId="68B61503">
            <w:pPr>
              <w:widowControl/>
              <w:jc w:val="left"/>
              <w:rPr>
                <w:rFonts w:ascii="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万元</w:t>
            </w:r>
          </w:p>
        </w:tc>
        <w:tc>
          <w:tcPr>
            <w:tcW w:w="1620" w:type="dxa"/>
            <w:tcBorders>
              <w:top w:val="nil"/>
              <w:left w:val="nil"/>
              <w:bottom w:val="single" w:color="auto" w:sz="4" w:space="0"/>
              <w:right w:val="single" w:color="auto" w:sz="4" w:space="0"/>
            </w:tcBorders>
            <w:vAlign w:val="center"/>
          </w:tcPr>
          <w:p w14:paraId="3995F2C0">
            <w:pPr>
              <w:widowControl/>
              <w:jc w:val="left"/>
              <w:rPr>
                <w:rFonts w:ascii="宋体"/>
                <w:color w:val="000000" w:themeColor="text1"/>
                <w:kern w:val="0"/>
                <w:sz w:val="18"/>
                <w:szCs w:val="18"/>
                <w:highlight w:val="none"/>
                <w14:textFill>
                  <w14:solidFill>
                    <w14:schemeClr w14:val="tx1"/>
                  </w14:solidFill>
                </w14:textFill>
              </w:rPr>
            </w:pPr>
            <w:r>
              <w:rPr>
                <w:rFonts w:ascii="宋体" w:hAnsi="宋体" w:cs="宋体"/>
                <w:color w:val="000000" w:themeColor="text1"/>
                <w:kern w:val="0"/>
                <w:sz w:val="18"/>
                <w:szCs w:val="18"/>
                <w:highlight w:val="none"/>
                <w14:textFill>
                  <w14:solidFill>
                    <w14:schemeClr w14:val="tx1"/>
                  </w14:solidFill>
                </w14:textFill>
              </w:rPr>
              <w:t>2000</w:t>
            </w:r>
            <w:r>
              <w:rPr>
                <w:rFonts w:hint="eastAsia" w:ascii="宋体" w:hAnsi="宋体" w:cs="宋体"/>
                <w:color w:val="000000" w:themeColor="text1"/>
                <w:kern w:val="0"/>
                <w:sz w:val="18"/>
                <w:szCs w:val="18"/>
                <w:highlight w:val="none"/>
                <w14:textFill>
                  <w14:solidFill>
                    <w14:schemeClr w14:val="tx1"/>
                  </w14:solidFill>
                </w14:textFill>
              </w:rPr>
              <w:t>≤</w:t>
            </w:r>
            <w:r>
              <w:rPr>
                <w:rFonts w:ascii="宋体" w:hAnsi="宋体" w:cs="宋体"/>
                <w:color w:val="000000" w:themeColor="text1"/>
                <w:kern w:val="0"/>
                <w:sz w:val="18"/>
                <w:szCs w:val="18"/>
                <w:highlight w:val="none"/>
                <w14:textFill>
                  <w14:solidFill>
                    <w14:schemeClr w14:val="tx1"/>
                  </w14:solidFill>
                </w14:textFill>
              </w:rPr>
              <w:t>Y</w:t>
            </w:r>
            <w:r>
              <w:rPr>
                <w:rFonts w:hint="eastAsia" w:ascii="宋体" w:hAnsi="宋体" w:cs="宋体"/>
                <w:color w:val="000000" w:themeColor="text1"/>
                <w:kern w:val="0"/>
                <w:sz w:val="18"/>
                <w:szCs w:val="18"/>
                <w:highlight w:val="none"/>
                <w14:textFill>
                  <w14:solidFill>
                    <w14:schemeClr w14:val="tx1"/>
                  </w14:solidFill>
                </w14:textFill>
              </w:rPr>
              <w:t>＜</w:t>
            </w:r>
            <w:r>
              <w:rPr>
                <w:rFonts w:ascii="宋体" w:hAnsi="宋体" w:cs="宋体"/>
                <w:color w:val="000000" w:themeColor="text1"/>
                <w:kern w:val="0"/>
                <w:sz w:val="18"/>
                <w:szCs w:val="18"/>
                <w:highlight w:val="none"/>
                <w14:textFill>
                  <w14:solidFill>
                    <w14:schemeClr w14:val="tx1"/>
                  </w14:solidFill>
                </w14:textFill>
              </w:rPr>
              <w:t>40000</w:t>
            </w:r>
          </w:p>
        </w:tc>
        <w:tc>
          <w:tcPr>
            <w:tcW w:w="1440" w:type="dxa"/>
            <w:tcBorders>
              <w:top w:val="nil"/>
              <w:left w:val="nil"/>
              <w:bottom w:val="single" w:color="auto" w:sz="4" w:space="0"/>
              <w:right w:val="single" w:color="auto" w:sz="4" w:space="0"/>
            </w:tcBorders>
            <w:vAlign w:val="center"/>
          </w:tcPr>
          <w:p w14:paraId="716794B1">
            <w:pPr>
              <w:widowControl/>
              <w:jc w:val="left"/>
              <w:rPr>
                <w:rFonts w:ascii="宋体"/>
                <w:color w:val="000000" w:themeColor="text1"/>
                <w:kern w:val="0"/>
                <w:sz w:val="18"/>
                <w:szCs w:val="18"/>
                <w:highlight w:val="none"/>
                <w14:textFill>
                  <w14:solidFill>
                    <w14:schemeClr w14:val="tx1"/>
                  </w14:solidFill>
                </w14:textFill>
              </w:rPr>
            </w:pPr>
            <w:r>
              <w:rPr>
                <w:rFonts w:ascii="宋体" w:hAnsi="宋体" w:cs="宋体"/>
                <w:color w:val="000000" w:themeColor="text1"/>
                <w:kern w:val="0"/>
                <w:sz w:val="18"/>
                <w:szCs w:val="18"/>
                <w:highlight w:val="none"/>
                <w14:textFill>
                  <w14:solidFill>
                    <w14:schemeClr w14:val="tx1"/>
                  </w14:solidFill>
                </w14:textFill>
              </w:rPr>
              <w:t>300</w:t>
            </w:r>
            <w:r>
              <w:rPr>
                <w:rFonts w:hint="eastAsia" w:ascii="宋体" w:hAnsi="宋体" w:cs="宋体"/>
                <w:color w:val="000000" w:themeColor="text1"/>
                <w:kern w:val="0"/>
                <w:sz w:val="18"/>
                <w:szCs w:val="18"/>
                <w:highlight w:val="none"/>
                <w14:textFill>
                  <w14:solidFill>
                    <w14:schemeClr w14:val="tx1"/>
                  </w14:solidFill>
                </w14:textFill>
              </w:rPr>
              <w:t>≤</w:t>
            </w:r>
            <w:r>
              <w:rPr>
                <w:rFonts w:ascii="宋体" w:hAnsi="宋体" w:cs="宋体"/>
                <w:color w:val="000000" w:themeColor="text1"/>
                <w:kern w:val="0"/>
                <w:sz w:val="18"/>
                <w:szCs w:val="18"/>
                <w:highlight w:val="none"/>
                <w14:textFill>
                  <w14:solidFill>
                    <w14:schemeClr w14:val="tx1"/>
                  </w14:solidFill>
                </w14:textFill>
              </w:rPr>
              <w:t>Y</w:t>
            </w:r>
            <w:r>
              <w:rPr>
                <w:rFonts w:hint="eastAsia" w:ascii="宋体" w:hAnsi="宋体" w:cs="宋体"/>
                <w:color w:val="000000" w:themeColor="text1"/>
                <w:kern w:val="0"/>
                <w:sz w:val="18"/>
                <w:szCs w:val="18"/>
                <w:highlight w:val="none"/>
                <w14:textFill>
                  <w14:solidFill>
                    <w14:schemeClr w14:val="tx1"/>
                  </w14:solidFill>
                </w14:textFill>
              </w:rPr>
              <w:t>＜</w:t>
            </w:r>
            <w:r>
              <w:rPr>
                <w:rFonts w:ascii="宋体" w:hAnsi="宋体" w:cs="宋体"/>
                <w:color w:val="000000" w:themeColor="text1"/>
                <w:kern w:val="0"/>
                <w:sz w:val="18"/>
                <w:szCs w:val="18"/>
                <w:highlight w:val="none"/>
                <w14:textFill>
                  <w14:solidFill>
                    <w14:schemeClr w14:val="tx1"/>
                  </w14:solidFill>
                </w14:textFill>
              </w:rPr>
              <w:t>2000</w:t>
            </w:r>
          </w:p>
        </w:tc>
        <w:tc>
          <w:tcPr>
            <w:tcW w:w="1532" w:type="dxa"/>
            <w:tcBorders>
              <w:top w:val="nil"/>
              <w:left w:val="nil"/>
              <w:bottom w:val="single" w:color="auto" w:sz="4" w:space="0"/>
              <w:right w:val="single" w:color="auto" w:sz="4" w:space="0"/>
            </w:tcBorders>
            <w:vAlign w:val="center"/>
          </w:tcPr>
          <w:p w14:paraId="36B8E314">
            <w:pPr>
              <w:widowControl/>
              <w:jc w:val="left"/>
              <w:rPr>
                <w:rFonts w:ascii="宋体"/>
                <w:color w:val="000000" w:themeColor="text1"/>
                <w:kern w:val="0"/>
                <w:sz w:val="18"/>
                <w:szCs w:val="18"/>
                <w:highlight w:val="none"/>
                <w14:textFill>
                  <w14:solidFill>
                    <w14:schemeClr w14:val="tx1"/>
                  </w14:solidFill>
                </w14:textFill>
              </w:rPr>
            </w:pPr>
            <w:r>
              <w:rPr>
                <w:rFonts w:ascii="宋体" w:hAnsi="宋体" w:cs="宋体"/>
                <w:color w:val="000000" w:themeColor="text1"/>
                <w:kern w:val="0"/>
                <w:sz w:val="18"/>
                <w:szCs w:val="18"/>
                <w:highlight w:val="none"/>
                <w14:textFill>
                  <w14:solidFill>
                    <w14:schemeClr w14:val="tx1"/>
                  </w14:solidFill>
                </w14:textFill>
              </w:rPr>
              <w:t>Y</w:t>
            </w:r>
            <w:r>
              <w:rPr>
                <w:rFonts w:hint="eastAsia" w:ascii="宋体" w:hAnsi="宋体" w:cs="宋体"/>
                <w:color w:val="000000" w:themeColor="text1"/>
                <w:kern w:val="0"/>
                <w:sz w:val="18"/>
                <w:szCs w:val="18"/>
                <w:highlight w:val="none"/>
                <w14:textFill>
                  <w14:solidFill>
                    <w14:schemeClr w14:val="tx1"/>
                  </w14:solidFill>
                </w14:textFill>
              </w:rPr>
              <w:t>＜</w:t>
            </w:r>
            <w:r>
              <w:rPr>
                <w:rFonts w:ascii="宋体" w:hAnsi="宋体" w:cs="宋体"/>
                <w:color w:val="000000" w:themeColor="text1"/>
                <w:kern w:val="0"/>
                <w:sz w:val="18"/>
                <w:szCs w:val="18"/>
                <w:highlight w:val="none"/>
                <w14:textFill>
                  <w14:solidFill>
                    <w14:schemeClr w14:val="tx1"/>
                  </w14:solidFill>
                </w14:textFill>
              </w:rPr>
              <w:t>300</w:t>
            </w:r>
          </w:p>
        </w:tc>
      </w:tr>
      <w:tr w14:paraId="5DFA0E8D">
        <w:tblPrEx>
          <w:tblCellMar>
            <w:top w:w="0" w:type="dxa"/>
            <w:left w:w="108" w:type="dxa"/>
            <w:bottom w:w="0" w:type="dxa"/>
            <w:right w:w="108" w:type="dxa"/>
          </w:tblCellMar>
        </w:tblPrEx>
        <w:trPr>
          <w:trHeight w:val="340" w:hRule="atLeast"/>
          <w:jc w:val="center"/>
        </w:trPr>
        <w:tc>
          <w:tcPr>
            <w:tcW w:w="2004" w:type="dxa"/>
            <w:vMerge w:val="restart"/>
            <w:tcBorders>
              <w:top w:val="nil"/>
              <w:left w:val="single" w:color="auto" w:sz="4" w:space="0"/>
              <w:bottom w:val="single" w:color="auto" w:sz="4" w:space="0"/>
              <w:right w:val="single" w:color="auto" w:sz="4" w:space="0"/>
            </w:tcBorders>
            <w:vAlign w:val="center"/>
          </w:tcPr>
          <w:p w14:paraId="45FBDFCB">
            <w:pPr>
              <w:widowControl/>
              <w:jc w:val="center"/>
              <w:rPr>
                <w:rFonts w:ascii="宋体"/>
                <w:b/>
                <w:bCs/>
                <w:color w:val="000000" w:themeColor="text1"/>
                <w:kern w:val="0"/>
                <w:sz w:val="18"/>
                <w:szCs w:val="18"/>
                <w:highlight w:val="none"/>
                <w14:textFill>
                  <w14:solidFill>
                    <w14:schemeClr w14:val="tx1"/>
                  </w14:solidFill>
                </w14:textFill>
              </w:rPr>
            </w:pPr>
            <w:r>
              <w:rPr>
                <w:rFonts w:hint="eastAsia" w:ascii="宋体" w:hAnsi="宋体" w:cs="宋体"/>
                <w:b/>
                <w:bCs/>
                <w:color w:val="000000" w:themeColor="text1"/>
                <w:kern w:val="0"/>
                <w:sz w:val="18"/>
                <w:szCs w:val="18"/>
                <w:highlight w:val="none"/>
                <w14:textFill>
                  <w14:solidFill>
                    <w14:schemeClr w14:val="tx1"/>
                  </w14:solidFill>
                </w14:textFill>
              </w:rPr>
              <w:t>建筑业</w:t>
            </w:r>
          </w:p>
        </w:tc>
        <w:tc>
          <w:tcPr>
            <w:tcW w:w="1384" w:type="dxa"/>
            <w:tcBorders>
              <w:top w:val="nil"/>
              <w:left w:val="nil"/>
              <w:bottom w:val="single" w:color="auto" w:sz="4" w:space="0"/>
              <w:right w:val="single" w:color="auto" w:sz="4" w:space="0"/>
            </w:tcBorders>
            <w:vAlign w:val="center"/>
          </w:tcPr>
          <w:p w14:paraId="0CDBD077">
            <w:pPr>
              <w:widowControl/>
              <w:jc w:val="left"/>
              <w:rPr>
                <w:rFonts w:ascii="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营业收入（</w:t>
            </w:r>
            <w:r>
              <w:rPr>
                <w:rFonts w:ascii="宋体" w:hAnsi="宋体" w:cs="宋体"/>
                <w:color w:val="000000" w:themeColor="text1"/>
                <w:kern w:val="0"/>
                <w:sz w:val="18"/>
                <w:szCs w:val="18"/>
                <w:highlight w:val="none"/>
                <w14:textFill>
                  <w14:solidFill>
                    <w14:schemeClr w14:val="tx1"/>
                  </w14:solidFill>
                </w14:textFill>
              </w:rPr>
              <w:t>Y</w:t>
            </w:r>
            <w:r>
              <w:rPr>
                <w:rFonts w:hint="eastAsia" w:ascii="宋体" w:hAnsi="宋体" w:cs="宋体"/>
                <w:color w:val="000000" w:themeColor="text1"/>
                <w:kern w:val="0"/>
                <w:sz w:val="18"/>
                <w:szCs w:val="18"/>
                <w:highlight w:val="none"/>
                <w14:textFill>
                  <w14:solidFill>
                    <w14:schemeClr w14:val="tx1"/>
                  </w14:solidFill>
                </w14:textFill>
              </w:rPr>
              <w:t>）</w:t>
            </w:r>
          </w:p>
        </w:tc>
        <w:tc>
          <w:tcPr>
            <w:tcW w:w="913" w:type="dxa"/>
            <w:tcBorders>
              <w:top w:val="nil"/>
              <w:left w:val="nil"/>
              <w:bottom w:val="single" w:color="auto" w:sz="4" w:space="0"/>
              <w:right w:val="single" w:color="auto" w:sz="4" w:space="0"/>
            </w:tcBorders>
            <w:vAlign w:val="center"/>
          </w:tcPr>
          <w:p w14:paraId="494BC471">
            <w:pPr>
              <w:widowControl/>
              <w:jc w:val="left"/>
              <w:rPr>
                <w:rFonts w:ascii="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万元</w:t>
            </w:r>
          </w:p>
        </w:tc>
        <w:tc>
          <w:tcPr>
            <w:tcW w:w="1620" w:type="dxa"/>
            <w:tcBorders>
              <w:top w:val="nil"/>
              <w:left w:val="nil"/>
              <w:bottom w:val="single" w:color="auto" w:sz="4" w:space="0"/>
              <w:right w:val="single" w:color="auto" w:sz="4" w:space="0"/>
            </w:tcBorders>
            <w:vAlign w:val="center"/>
          </w:tcPr>
          <w:p w14:paraId="54A375C9">
            <w:pPr>
              <w:widowControl/>
              <w:jc w:val="left"/>
              <w:rPr>
                <w:rFonts w:ascii="宋体"/>
                <w:color w:val="000000" w:themeColor="text1"/>
                <w:kern w:val="0"/>
                <w:sz w:val="18"/>
                <w:szCs w:val="18"/>
                <w:highlight w:val="none"/>
                <w14:textFill>
                  <w14:solidFill>
                    <w14:schemeClr w14:val="tx1"/>
                  </w14:solidFill>
                </w14:textFill>
              </w:rPr>
            </w:pPr>
            <w:r>
              <w:rPr>
                <w:rFonts w:ascii="宋体" w:hAnsi="宋体" w:cs="宋体"/>
                <w:color w:val="000000" w:themeColor="text1"/>
                <w:kern w:val="0"/>
                <w:sz w:val="18"/>
                <w:szCs w:val="18"/>
                <w:highlight w:val="none"/>
                <w14:textFill>
                  <w14:solidFill>
                    <w14:schemeClr w14:val="tx1"/>
                  </w14:solidFill>
                </w14:textFill>
              </w:rPr>
              <w:t>6000</w:t>
            </w:r>
            <w:r>
              <w:rPr>
                <w:rFonts w:hint="eastAsia" w:ascii="宋体" w:hAnsi="宋体" w:cs="宋体"/>
                <w:color w:val="000000" w:themeColor="text1"/>
                <w:kern w:val="0"/>
                <w:sz w:val="18"/>
                <w:szCs w:val="18"/>
                <w:highlight w:val="none"/>
                <w14:textFill>
                  <w14:solidFill>
                    <w14:schemeClr w14:val="tx1"/>
                  </w14:solidFill>
                </w14:textFill>
              </w:rPr>
              <w:t>≤</w:t>
            </w:r>
            <w:r>
              <w:rPr>
                <w:rFonts w:ascii="宋体" w:hAnsi="宋体" w:cs="宋体"/>
                <w:color w:val="000000" w:themeColor="text1"/>
                <w:kern w:val="0"/>
                <w:sz w:val="18"/>
                <w:szCs w:val="18"/>
                <w:highlight w:val="none"/>
                <w14:textFill>
                  <w14:solidFill>
                    <w14:schemeClr w14:val="tx1"/>
                  </w14:solidFill>
                </w14:textFill>
              </w:rPr>
              <w:t>Y</w:t>
            </w:r>
            <w:r>
              <w:rPr>
                <w:rFonts w:hint="eastAsia" w:ascii="宋体" w:hAnsi="宋体" w:cs="宋体"/>
                <w:color w:val="000000" w:themeColor="text1"/>
                <w:kern w:val="0"/>
                <w:sz w:val="18"/>
                <w:szCs w:val="18"/>
                <w:highlight w:val="none"/>
                <w14:textFill>
                  <w14:solidFill>
                    <w14:schemeClr w14:val="tx1"/>
                  </w14:solidFill>
                </w14:textFill>
              </w:rPr>
              <w:t>＜</w:t>
            </w:r>
            <w:r>
              <w:rPr>
                <w:rFonts w:ascii="宋体" w:hAnsi="宋体" w:cs="宋体"/>
                <w:color w:val="000000" w:themeColor="text1"/>
                <w:kern w:val="0"/>
                <w:sz w:val="18"/>
                <w:szCs w:val="18"/>
                <w:highlight w:val="none"/>
                <w14:textFill>
                  <w14:solidFill>
                    <w14:schemeClr w14:val="tx1"/>
                  </w14:solidFill>
                </w14:textFill>
              </w:rPr>
              <w:t>80000</w:t>
            </w:r>
          </w:p>
        </w:tc>
        <w:tc>
          <w:tcPr>
            <w:tcW w:w="1440" w:type="dxa"/>
            <w:tcBorders>
              <w:top w:val="nil"/>
              <w:left w:val="nil"/>
              <w:bottom w:val="single" w:color="auto" w:sz="4" w:space="0"/>
              <w:right w:val="single" w:color="auto" w:sz="4" w:space="0"/>
            </w:tcBorders>
            <w:vAlign w:val="center"/>
          </w:tcPr>
          <w:p w14:paraId="085D053B">
            <w:pPr>
              <w:widowControl/>
              <w:jc w:val="left"/>
              <w:rPr>
                <w:rFonts w:ascii="宋体"/>
                <w:color w:val="000000" w:themeColor="text1"/>
                <w:kern w:val="0"/>
                <w:sz w:val="18"/>
                <w:szCs w:val="18"/>
                <w:highlight w:val="none"/>
                <w14:textFill>
                  <w14:solidFill>
                    <w14:schemeClr w14:val="tx1"/>
                  </w14:solidFill>
                </w14:textFill>
              </w:rPr>
            </w:pPr>
            <w:r>
              <w:rPr>
                <w:rFonts w:ascii="宋体" w:hAnsi="宋体" w:cs="宋体"/>
                <w:color w:val="000000" w:themeColor="text1"/>
                <w:kern w:val="0"/>
                <w:sz w:val="18"/>
                <w:szCs w:val="18"/>
                <w:highlight w:val="none"/>
                <w14:textFill>
                  <w14:solidFill>
                    <w14:schemeClr w14:val="tx1"/>
                  </w14:solidFill>
                </w14:textFill>
              </w:rPr>
              <w:t>300</w:t>
            </w:r>
            <w:r>
              <w:rPr>
                <w:rFonts w:hint="eastAsia" w:ascii="宋体" w:hAnsi="宋体" w:cs="宋体"/>
                <w:color w:val="000000" w:themeColor="text1"/>
                <w:kern w:val="0"/>
                <w:sz w:val="18"/>
                <w:szCs w:val="18"/>
                <w:highlight w:val="none"/>
                <w14:textFill>
                  <w14:solidFill>
                    <w14:schemeClr w14:val="tx1"/>
                  </w14:solidFill>
                </w14:textFill>
              </w:rPr>
              <w:t>≤</w:t>
            </w:r>
            <w:r>
              <w:rPr>
                <w:rFonts w:ascii="宋体" w:hAnsi="宋体" w:cs="宋体"/>
                <w:color w:val="000000" w:themeColor="text1"/>
                <w:kern w:val="0"/>
                <w:sz w:val="18"/>
                <w:szCs w:val="18"/>
                <w:highlight w:val="none"/>
                <w14:textFill>
                  <w14:solidFill>
                    <w14:schemeClr w14:val="tx1"/>
                  </w14:solidFill>
                </w14:textFill>
              </w:rPr>
              <w:t>Y</w:t>
            </w:r>
            <w:r>
              <w:rPr>
                <w:rFonts w:hint="eastAsia" w:ascii="宋体" w:hAnsi="宋体" w:cs="宋体"/>
                <w:color w:val="000000" w:themeColor="text1"/>
                <w:kern w:val="0"/>
                <w:sz w:val="18"/>
                <w:szCs w:val="18"/>
                <w:highlight w:val="none"/>
                <w14:textFill>
                  <w14:solidFill>
                    <w14:schemeClr w14:val="tx1"/>
                  </w14:solidFill>
                </w14:textFill>
              </w:rPr>
              <w:t>＜</w:t>
            </w:r>
            <w:r>
              <w:rPr>
                <w:rFonts w:ascii="宋体" w:hAnsi="宋体" w:cs="宋体"/>
                <w:color w:val="000000" w:themeColor="text1"/>
                <w:kern w:val="0"/>
                <w:sz w:val="18"/>
                <w:szCs w:val="18"/>
                <w:highlight w:val="none"/>
                <w14:textFill>
                  <w14:solidFill>
                    <w14:schemeClr w14:val="tx1"/>
                  </w14:solidFill>
                </w14:textFill>
              </w:rPr>
              <w:t>6000</w:t>
            </w:r>
          </w:p>
        </w:tc>
        <w:tc>
          <w:tcPr>
            <w:tcW w:w="1532" w:type="dxa"/>
            <w:tcBorders>
              <w:top w:val="nil"/>
              <w:left w:val="nil"/>
              <w:bottom w:val="single" w:color="auto" w:sz="4" w:space="0"/>
              <w:right w:val="single" w:color="auto" w:sz="4" w:space="0"/>
            </w:tcBorders>
            <w:vAlign w:val="center"/>
          </w:tcPr>
          <w:p w14:paraId="4B666E60">
            <w:pPr>
              <w:widowControl/>
              <w:jc w:val="left"/>
              <w:rPr>
                <w:rFonts w:ascii="宋体"/>
                <w:color w:val="000000" w:themeColor="text1"/>
                <w:kern w:val="0"/>
                <w:sz w:val="18"/>
                <w:szCs w:val="18"/>
                <w:highlight w:val="none"/>
                <w14:textFill>
                  <w14:solidFill>
                    <w14:schemeClr w14:val="tx1"/>
                  </w14:solidFill>
                </w14:textFill>
              </w:rPr>
            </w:pPr>
            <w:r>
              <w:rPr>
                <w:rFonts w:ascii="宋体" w:hAnsi="宋体" w:cs="宋体"/>
                <w:color w:val="000000" w:themeColor="text1"/>
                <w:kern w:val="0"/>
                <w:sz w:val="18"/>
                <w:szCs w:val="18"/>
                <w:highlight w:val="none"/>
                <w14:textFill>
                  <w14:solidFill>
                    <w14:schemeClr w14:val="tx1"/>
                  </w14:solidFill>
                </w14:textFill>
              </w:rPr>
              <w:t>Y</w:t>
            </w:r>
            <w:r>
              <w:rPr>
                <w:rFonts w:hint="eastAsia" w:ascii="宋体" w:hAnsi="宋体" w:cs="宋体"/>
                <w:color w:val="000000" w:themeColor="text1"/>
                <w:kern w:val="0"/>
                <w:sz w:val="18"/>
                <w:szCs w:val="18"/>
                <w:highlight w:val="none"/>
                <w14:textFill>
                  <w14:solidFill>
                    <w14:schemeClr w14:val="tx1"/>
                  </w14:solidFill>
                </w14:textFill>
              </w:rPr>
              <w:t>＜</w:t>
            </w:r>
            <w:r>
              <w:rPr>
                <w:rFonts w:ascii="宋体" w:hAnsi="宋体" w:cs="宋体"/>
                <w:color w:val="000000" w:themeColor="text1"/>
                <w:kern w:val="0"/>
                <w:sz w:val="18"/>
                <w:szCs w:val="18"/>
                <w:highlight w:val="none"/>
                <w14:textFill>
                  <w14:solidFill>
                    <w14:schemeClr w14:val="tx1"/>
                  </w14:solidFill>
                </w14:textFill>
              </w:rPr>
              <w:t>300</w:t>
            </w:r>
          </w:p>
        </w:tc>
      </w:tr>
      <w:tr w14:paraId="107A1901">
        <w:tblPrEx>
          <w:tblCellMar>
            <w:top w:w="0" w:type="dxa"/>
            <w:left w:w="108" w:type="dxa"/>
            <w:bottom w:w="0" w:type="dxa"/>
            <w:right w:w="108" w:type="dxa"/>
          </w:tblCellMar>
        </w:tblPrEx>
        <w:trPr>
          <w:trHeight w:val="340" w:hRule="atLeast"/>
          <w:jc w:val="center"/>
        </w:trPr>
        <w:tc>
          <w:tcPr>
            <w:tcW w:w="2004" w:type="dxa"/>
            <w:vMerge w:val="continue"/>
            <w:tcBorders>
              <w:top w:val="nil"/>
              <w:left w:val="single" w:color="auto" w:sz="4" w:space="0"/>
              <w:bottom w:val="single" w:color="auto" w:sz="4" w:space="0"/>
              <w:right w:val="single" w:color="auto" w:sz="4" w:space="0"/>
            </w:tcBorders>
            <w:vAlign w:val="center"/>
          </w:tcPr>
          <w:p w14:paraId="163D981D">
            <w:pPr>
              <w:widowControl/>
              <w:jc w:val="center"/>
              <w:rPr>
                <w:rFonts w:ascii="宋体"/>
                <w:b/>
                <w:bCs/>
                <w:color w:val="000000" w:themeColor="text1"/>
                <w:kern w:val="0"/>
                <w:sz w:val="18"/>
                <w:szCs w:val="18"/>
                <w:highlight w:val="none"/>
                <w14:textFill>
                  <w14:solidFill>
                    <w14:schemeClr w14:val="tx1"/>
                  </w14:solidFill>
                </w14:textFill>
              </w:rPr>
            </w:pPr>
          </w:p>
        </w:tc>
        <w:tc>
          <w:tcPr>
            <w:tcW w:w="1384" w:type="dxa"/>
            <w:tcBorders>
              <w:top w:val="nil"/>
              <w:left w:val="nil"/>
              <w:bottom w:val="single" w:color="auto" w:sz="4" w:space="0"/>
              <w:right w:val="single" w:color="auto" w:sz="4" w:space="0"/>
            </w:tcBorders>
            <w:vAlign w:val="center"/>
          </w:tcPr>
          <w:p w14:paraId="7CF84366">
            <w:pPr>
              <w:widowControl/>
              <w:jc w:val="left"/>
              <w:rPr>
                <w:rFonts w:ascii="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资产总额（</w:t>
            </w:r>
            <w:r>
              <w:rPr>
                <w:rFonts w:ascii="宋体" w:hAnsi="宋体" w:cs="宋体"/>
                <w:color w:val="000000" w:themeColor="text1"/>
                <w:kern w:val="0"/>
                <w:sz w:val="18"/>
                <w:szCs w:val="18"/>
                <w:highlight w:val="none"/>
                <w14:textFill>
                  <w14:solidFill>
                    <w14:schemeClr w14:val="tx1"/>
                  </w14:solidFill>
                </w14:textFill>
              </w:rPr>
              <w:t>Z</w:t>
            </w:r>
            <w:r>
              <w:rPr>
                <w:rFonts w:hint="eastAsia" w:ascii="宋体" w:hAnsi="宋体" w:cs="宋体"/>
                <w:color w:val="000000" w:themeColor="text1"/>
                <w:kern w:val="0"/>
                <w:sz w:val="18"/>
                <w:szCs w:val="18"/>
                <w:highlight w:val="none"/>
                <w14:textFill>
                  <w14:solidFill>
                    <w14:schemeClr w14:val="tx1"/>
                  </w14:solidFill>
                </w14:textFill>
              </w:rPr>
              <w:t>）</w:t>
            </w:r>
          </w:p>
        </w:tc>
        <w:tc>
          <w:tcPr>
            <w:tcW w:w="913" w:type="dxa"/>
            <w:tcBorders>
              <w:top w:val="nil"/>
              <w:left w:val="nil"/>
              <w:bottom w:val="single" w:color="auto" w:sz="4" w:space="0"/>
              <w:right w:val="single" w:color="auto" w:sz="4" w:space="0"/>
            </w:tcBorders>
            <w:vAlign w:val="center"/>
          </w:tcPr>
          <w:p w14:paraId="35D7565B">
            <w:pPr>
              <w:widowControl/>
              <w:jc w:val="left"/>
              <w:rPr>
                <w:rFonts w:ascii="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万元</w:t>
            </w:r>
          </w:p>
        </w:tc>
        <w:tc>
          <w:tcPr>
            <w:tcW w:w="1620" w:type="dxa"/>
            <w:tcBorders>
              <w:top w:val="nil"/>
              <w:left w:val="nil"/>
              <w:bottom w:val="single" w:color="auto" w:sz="4" w:space="0"/>
              <w:right w:val="single" w:color="auto" w:sz="4" w:space="0"/>
            </w:tcBorders>
            <w:vAlign w:val="center"/>
          </w:tcPr>
          <w:p w14:paraId="23C886AE">
            <w:pPr>
              <w:widowControl/>
              <w:jc w:val="left"/>
              <w:rPr>
                <w:rFonts w:ascii="宋体"/>
                <w:color w:val="000000" w:themeColor="text1"/>
                <w:kern w:val="0"/>
                <w:sz w:val="18"/>
                <w:szCs w:val="18"/>
                <w:highlight w:val="none"/>
                <w14:textFill>
                  <w14:solidFill>
                    <w14:schemeClr w14:val="tx1"/>
                  </w14:solidFill>
                </w14:textFill>
              </w:rPr>
            </w:pPr>
            <w:r>
              <w:rPr>
                <w:rFonts w:ascii="宋体" w:hAnsi="宋体" w:cs="宋体"/>
                <w:color w:val="000000" w:themeColor="text1"/>
                <w:kern w:val="0"/>
                <w:sz w:val="18"/>
                <w:szCs w:val="18"/>
                <w:highlight w:val="none"/>
                <w14:textFill>
                  <w14:solidFill>
                    <w14:schemeClr w14:val="tx1"/>
                  </w14:solidFill>
                </w14:textFill>
              </w:rPr>
              <w:t>5000</w:t>
            </w:r>
            <w:r>
              <w:rPr>
                <w:rFonts w:hint="eastAsia" w:ascii="宋体" w:hAnsi="宋体" w:cs="宋体"/>
                <w:color w:val="000000" w:themeColor="text1"/>
                <w:kern w:val="0"/>
                <w:sz w:val="18"/>
                <w:szCs w:val="18"/>
                <w:highlight w:val="none"/>
                <w14:textFill>
                  <w14:solidFill>
                    <w14:schemeClr w14:val="tx1"/>
                  </w14:solidFill>
                </w14:textFill>
              </w:rPr>
              <w:t>≤</w:t>
            </w:r>
            <w:r>
              <w:rPr>
                <w:rFonts w:ascii="宋体" w:hAnsi="宋体" w:cs="宋体"/>
                <w:color w:val="000000" w:themeColor="text1"/>
                <w:kern w:val="0"/>
                <w:sz w:val="18"/>
                <w:szCs w:val="18"/>
                <w:highlight w:val="none"/>
                <w14:textFill>
                  <w14:solidFill>
                    <w14:schemeClr w14:val="tx1"/>
                  </w14:solidFill>
                </w14:textFill>
              </w:rPr>
              <w:t>Z</w:t>
            </w:r>
            <w:r>
              <w:rPr>
                <w:rFonts w:hint="eastAsia" w:ascii="宋体" w:hAnsi="宋体" w:cs="宋体"/>
                <w:color w:val="000000" w:themeColor="text1"/>
                <w:kern w:val="0"/>
                <w:sz w:val="18"/>
                <w:szCs w:val="18"/>
                <w:highlight w:val="none"/>
                <w14:textFill>
                  <w14:solidFill>
                    <w14:schemeClr w14:val="tx1"/>
                  </w14:solidFill>
                </w14:textFill>
              </w:rPr>
              <w:t>＜</w:t>
            </w:r>
            <w:r>
              <w:rPr>
                <w:rFonts w:ascii="宋体" w:hAnsi="宋体" w:cs="宋体"/>
                <w:color w:val="000000" w:themeColor="text1"/>
                <w:kern w:val="0"/>
                <w:sz w:val="18"/>
                <w:szCs w:val="18"/>
                <w:highlight w:val="none"/>
                <w14:textFill>
                  <w14:solidFill>
                    <w14:schemeClr w14:val="tx1"/>
                  </w14:solidFill>
                </w14:textFill>
              </w:rPr>
              <w:t>80000</w:t>
            </w:r>
          </w:p>
        </w:tc>
        <w:tc>
          <w:tcPr>
            <w:tcW w:w="1440" w:type="dxa"/>
            <w:tcBorders>
              <w:top w:val="nil"/>
              <w:left w:val="nil"/>
              <w:bottom w:val="single" w:color="auto" w:sz="4" w:space="0"/>
              <w:right w:val="single" w:color="auto" w:sz="4" w:space="0"/>
            </w:tcBorders>
            <w:vAlign w:val="center"/>
          </w:tcPr>
          <w:p w14:paraId="7FA2B6E2">
            <w:pPr>
              <w:widowControl/>
              <w:jc w:val="left"/>
              <w:rPr>
                <w:rFonts w:ascii="宋体"/>
                <w:color w:val="000000" w:themeColor="text1"/>
                <w:kern w:val="0"/>
                <w:sz w:val="18"/>
                <w:szCs w:val="18"/>
                <w:highlight w:val="none"/>
                <w14:textFill>
                  <w14:solidFill>
                    <w14:schemeClr w14:val="tx1"/>
                  </w14:solidFill>
                </w14:textFill>
              </w:rPr>
            </w:pPr>
            <w:r>
              <w:rPr>
                <w:rFonts w:ascii="宋体" w:hAnsi="宋体" w:cs="宋体"/>
                <w:color w:val="000000" w:themeColor="text1"/>
                <w:kern w:val="0"/>
                <w:sz w:val="18"/>
                <w:szCs w:val="18"/>
                <w:highlight w:val="none"/>
                <w14:textFill>
                  <w14:solidFill>
                    <w14:schemeClr w14:val="tx1"/>
                  </w14:solidFill>
                </w14:textFill>
              </w:rPr>
              <w:t>300</w:t>
            </w:r>
            <w:r>
              <w:rPr>
                <w:rFonts w:hint="eastAsia" w:ascii="宋体" w:hAnsi="宋体" w:cs="宋体"/>
                <w:color w:val="000000" w:themeColor="text1"/>
                <w:kern w:val="0"/>
                <w:sz w:val="18"/>
                <w:szCs w:val="18"/>
                <w:highlight w:val="none"/>
                <w14:textFill>
                  <w14:solidFill>
                    <w14:schemeClr w14:val="tx1"/>
                  </w14:solidFill>
                </w14:textFill>
              </w:rPr>
              <w:t>≤</w:t>
            </w:r>
            <w:r>
              <w:rPr>
                <w:rFonts w:ascii="宋体" w:hAnsi="宋体" w:cs="宋体"/>
                <w:color w:val="000000" w:themeColor="text1"/>
                <w:kern w:val="0"/>
                <w:sz w:val="18"/>
                <w:szCs w:val="18"/>
                <w:highlight w:val="none"/>
                <w14:textFill>
                  <w14:solidFill>
                    <w14:schemeClr w14:val="tx1"/>
                  </w14:solidFill>
                </w14:textFill>
              </w:rPr>
              <w:t>Z</w:t>
            </w:r>
            <w:r>
              <w:rPr>
                <w:rFonts w:hint="eastAsia" w:ascii="宋体" w:hAnsi="宋体" w:cs="宋体"/>
                <w:color w:val="000000" w:themeColor="text1"/>
                <w:kern w:val="0"/>
                <w:sz w:val="18"/>
                <w:szCs w:val="18"/>
                <w:highlight w:val="none"/>
                <w14:textFill>
                  <w14:solidFill>
                    <w14:schemeClr w14:val="tx1"/>
                  </w14:solidFill>
                </w14:textFill>
              </w:rPr>
              <w:t>＜</w:t>
            </w:r>
            <w:r>
              <w:rPr>
                <w:rFonts w:ascii="宋体" w:hAnsi="宋体" w:cs="宋体"/>
                <w:color w:val="000000" w:themeColor="text1"/>
                <w:kern w:val="0"/>
                <w:sz w:val="18"/>
                <w:szCs w:val="18"/>
                <w:highlight w:val="none"/>
                <w14:textFill>
                  <w14:solidFill>
                    <w14:schemeClr w14:val="tx1"/>
                  </w14:solidFill>
                </w14:textFill>
              </w:rPr>
              <w:t>5000</w:t>
            </w:r>
          </w:p>
        </w:tc>
        <w:tc>
          <w:tcPr>
            <w:tcW w:w="1532" w:type="dxa"/>
            <w:tcBorders>
              <w:top w:val="nil"/>
              <w:left w:val="nil"/>
              <w:bottom w:val="single" w:color="auto" w:sz="4" w:space="0"/>
              <w:right w:val="single" w:color="auto" w:sz="4" w:space="0"/>
            </w:tcBorders>
            <w:vAlign w:val="center"/>
          </w:tcPr>
          <w:p w14:paraId="531B4BDD">
            <w:pPr>
              <w:widowControl/>
              <w:jc w:val="left"/>
              <w:rPr>
                <w:rFonts w:ascii="宋体"/>
                <w:color w:val="000000" w:themeColor="text1"/>
                <w:kern w:val="0"/>
                <w:sz w:val="18"/>
                <w:szCs w:val="18"/>
                <w:highlight w:val="none"/>
                <w14:textFill>
                  <w14:solidFill>
                    <w14:schemeClr w14:val="tx1"/>
                  </w14:solidFill>
                </w14:textFill>
              </w:rPr>
            </w:pPr>
            <w:r>
              <w:rPr>
                <w:rFonts w:ascii="宋体" w:hAnsi="宋体" w:cs="宋体"/>
                <w:color w:val="000000" w:themeColor="text1"/>
                <w:kern w:val="0"/>
                <w:sz w:val="18"/>
                <w:szCs w:val="18"/>
                <w:highlight w:val="none"/>
                <w14:textFill>
                  <w14:solidFill>
                    <w14:schemeClr w14:val="tx1"/>
                  </w14:solidFill>
                </w14:textFill>
              </w:rPr>
              <w:t>Z</w:t>
            </w:r>
            <w:r>
              <w:rPr>
                <w:rFonts w:hint="eastAsia" w:ascii="宋体" w:hAnsi="宋体" w:cs="宋体"/>
                <w:color w:val="000000" w:themeColor="text1"/>
                <w:kern w:val="0"/>
                <w:sz w:val="18"/>
                <w:szCs w:val="18"/>
                <w:highlight w:val="none"/>
                <w14:textFill>
                  <w14:solidFill>
                    <w14:schemeClr w14:val="tx1"/>
                  </w14:solidFill>
                </w14:textFill>
              </w:rPr>
              <w:t>＜</w:t>
            </w:r>
            <w:r>
              <w:rPr>
                <w:rFonts w:ascii="宋体" w:hAnsi="宋体" w:cs="宋体"/>
                <w:color w:val="000000" w:themeColor="text1"/>
                <w:kern w:val="0"/>
                <w:sz w:val="18"/>
                <w:szCs w:val="18"/>
                <w:highlight w:val="none"/>
                <w14:textFill>
                  <w14:solidFill>
                    <w14:schemeClr w14:val="tx1"/>
                  </w14:solidFill>
                </w14:textFill>
              </w:rPr>
              <w:t>300</w:t>
            </w:r>
          </w:p>
        </w:tc>
      </w:tr>
      <w:tr w14:paraId="679D0F92">
        <w:tblPrEx>
          <w:tblCellMar>
            <w:top w:w="0" w:type="dxa"/>
            <w:left w:w="108" w:type="dxa"/>
            <w:bottom w:w="0" w:type="dxa"/>
            <w:right w:w="108" w:type="dxa"/>
          </w:tblCellMar>
        </w:tblPrEx>
        <w:trPr>
          <w:trHeight w:val="340" w:hRule="atLeast"/>
          <w:jc w:val="center"/>
        </w:trPr>
        <w:tc>
          <w:tcPr>
            <w:tcW w:w="2004" w:type="dxa"/>
            <w:vMerge w:val="restart"/>
            <w:tcBorders>
              <w:top w:val="nil"/>
              <w:left w:val="single" w:color="auto" w:sz="4" w:space="0"/>
              <w:bottom w:val="single" w:color="auto" w:sz="4" w:space="0"/>
              <w:right w:val="single" w:color="auto" w:sz="4" w:space="0"/>
            </w:tcBorders>
            <w:vAlign w:val="center"/>
          </w:tcPr>
          <w:p w14:paraId="7FAA8C46">
            <w:pPr>
              <w:widowControl/>
              <w:jc w:val="center"/>
              <w:rPr>
                <w:rFonts w:ascii="宋体"/>
                <w:b/>
                <w:bCs/>
                <w:color w:val="000000" w:themeColor="text1"/>
                <w:kern w:val="0"/>
                <w:sz w:val="18"/>
                <w:szCs w:val="18"/>
                <w:highlight w:val="none"/>
                <w14:textFill>
                  <w14:solidFill>
                    <w14:schemeClr w14:val="tx1"/>
                  </w14:solidFill>
                </w14:textFill>
              </w:rPr>
            </w:pPr>
            <w:r>
              <w:rPr>
                <w:rFonts w:hint="eastAsia" w:ascii="宋体" w:hAnsi="宋体" w:cs="宋体"/>
                <w:b/>
                <w:bCs/>
                <w:color w:val="000000" w:themeColor="text1"/>
                <w:kern w:val="0"/>
                <w:sz w:val="18"/>
                <w:szCs w:val="18"/>
                <w:highlight w:val="none"/>
                <w14:textFill>
                  <w14:solidFill>
                    <w14:schemeClr w14:val="tx1"/>
                  </w14:solidFill>
                </w14:textFill>
              </w:rPr>
              <w:t>批发业</w:t>
            </w:r>
          </w:p>
        </w:tc>
        <w:tc>
          <w:tcPr>
            <w:tcW w:w="1384" w:type="dxa"/>
            <w:tcBorders>
              <w:top w:val="nil"/>
              <w:left w:val="nil"/>
              <w:bottom w:val="single" w:color="auto" w:sz="4" w:space="0"/>
              <w:right w:val="single" w:color="auto" w:sz="4" w:space="0"/>
            </w:tcBorders>
            <w:vAlign w:val="center"/>
          </w:tcPr>
          <w:p w14:paraId="7079BB38">
            <w:pPr>
              <w:widowControl/>
              <w:jc w:val="left"/>
              <w:rPr>
                <w:rFonts w:ascii="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从业人员（</w:t>
            </w:r>
            <w:r>
              <w:rPr>
                <w:rFonts w:ascii="宋体" w:hAnsi="宋体" w:cs="宋体"/>
                <w:color w:val="000000" w:themeColor="text1"/>
                <w:kern w:val="0"/>
                <w:sz w:val="18"/>
                <w:szCs w:val="18"/>
                <w:highlight w:val="none"/>
                <w14:textFill>
                  <w14:solidFill>
                    <w14:schemeClr w14:val="tx1"/>
                  </w14:solidFill>
                </w14:textFill>
              </w:rPr>
              <w:t>X</w:t>
            </w:r>
            <w:r>
              <w:rPr>
                <w:rFonts w:hint="eastAsia" w:ascii="宋体" w:hAnsi="宋体" w:cs="宋体"/>
                <w:color w:val="000000" w:themeColor="text1"/>
                <w:kern w:val="0"/>
                <w:sz w:val="18"/>
                <w:szCs w:val="18"/>
                <w:highlight w:val="none"/>
                <w14:textFill>
                  <w14:solidFill>
                    <w14:schemeClr w14:val="tx1"/>
                  </w14:solidFill>
                </w14:textFill>
              </w:rPr>
              <w:t>）</w:t>
            </w:r>
          </w:p>
        </w:tc>
        <w:tc>
          <w:tcPr>
            <w:tcW w:w="913" w:type="dxa"/>
            <w:tcBorders>
              <w:top w:val="nil"/>
              <w:left w:val="nil"/>
              <w:bottom w:val="single" w:color="auto" w:sz="4" w:space="0"/>
              <w:right w:val="single" w:color="auto" w:sz="4" w:space="0"/>
            </w:tcBorders>
            <w:vAlign w:val="center"/>
          </w:tcPr>
          <w:p w14:paraId="241598BF">
            <w:pPr>
              <w:widowControl/>
              <w:jc w:val="left"/>
              <w:rPr>
                <w:rFonts w:ascii="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人</w:t>
            </w:r>
          </w:p>
        </w:tc>
        <w:tc>
          <w:tcPr>
            <w:tcW w:w="1620" w:type="dxa"/>
            <w:tcBorders>
              <w:top w:val="nil"/>
              <w:left w:val="nil"/>
              <w:bottom w:val="single" w:color="auto" w:sz="4" w:space="0"/>
              <w:right w:val="single" w:color="auto" w:sz="4" w:space="0"/>
            </w:tcBorders>
            <w:vAlign w:val="center"/>
          </w:tcPr>
          <w:p w14:paraId="7FEEDE24">
            <w:pPr>
              <w:widowControl/>
              <w:jc w:val="left"/>
              <w:rPr>
                <w:rFonts w:ascii="宋体"/>
                <w:color w:val="000000" w:themeColor="text1"/>
                <w:kern w:val="0"/>
                <w:sz w:val="18"/>
                <w:szCs w:val="18"/>
                <w:highlight w:val="none"/>
                <w14:textFill>
                  <w14:solidFill>
                    <w14:schemeClr w14:val="tx1"/>
                  </w14:solidFill>
                </w14:textFill>
              </w:rPr>
            </w:pPr>
            <w:r>
              <w:rPr>
                <w:rFonts w:ascii="宋体" w:hAnsi="宋体" w:cs="宋体"/>
                <w:color w:val="000000" w:themeColor="text1"/>
                <w:kern w:val="0"/>
                <w:sz w:val="18"/>
                <w:szCs w:val="18"/>
                <w:highlight w:val="none"/>
                <w14:textFill>
                  <w14:solidFill>
                    <w14:schemeClr w14:val="tx1"/>
                  </w14:solidFill>
                </w14:textFill>
              </w:rPr>
              <w:t>20</w:t>
            </w:r>
            <w:r>
              <w:rPr>
                <w:rFonts w:hint="eastAsia" w:ascii="宋体" w:hAnsi="宋体" w:cs="宋体"/>
                <w:color w:val="000000" w:themeColor="text1"/>
                <w:kern w:val="0"/>
                <w:sz w:val="18"/>
                <w:szCs w:val="18"/>
                <w:highlight w:val="none"/>
                <w14:textFill>
                  <w14:solidFill>
                    <w14:schemeClr w14:val="tx1"/>
                  </w14:solidFill>
                </w14:textFill>
              </w:rPr>
              <w:t>≤</w:t>
            </w:r>
            <w:r>
              <w:rPr>
                <w:rFonts w:ascii="宋体" w:hAnsi="宋体" w:cs="宋体"/>
                <w:color w:val="000000" w:themeColor="text1"/>
                <w:kern w:val="0"/>
                <w:sz w:val="18"/>
                <w:szCs w:val="18"/>
                <w:highlight w:val="none"/>
                <w14:textFill>
                  <w14:solidFill>
                    <w14:schemeClr w14:val="tx1"/>
                  </w14:solidFill>
                </w14:textFill>
              </w:rPr>
              <w:t>X</w:t>
            </w:r>
            <w:r>
              <w:rPr>
                <w:rFonts w:hint="eastAsia" w:ascii="宋体" w:hAnsi="宋体" w:cs="宋体"/>
                <w:color w:val="000000" w:themeColor="text1"/>
                <w:kern w:val="0"/>
                <w:sz w:val="18"/>
                <w:szCs w:val="18"/>
                <w:highlight w:val="none"/>
                <w14:textFill>
                  <w14:solidFill>
                    <w14:schemeClr w14:val="tx1"/>
                  </w14:solidFill>
                </w14:textFill>
              </w:rPr>
              <w:t>＜</w:t>
            </w:r>
            <w:r>
              <w:rPr>
                <w:rFonts w:ascii="宋体" w:hAnsi="宋体" w:cs="宋体"/>
                <w:color w:val="000000" w:themeColor="text1"/>
                <w:kern w:val="0"/>
                <w:sz w:val="18"/>
                <w:szCs w:val="18"/>
                <w:highlight w:val="none"/>
                <w14:textFill>
                  <w14:solidFill>
                    <w14:schemeClr w14:val="tx1"/>
                  </w14:solidFill>
                </w14:textFill>
              </w:rPr>
              <w:t>200</w:t>
            </w:r>
          </w:p>
        </w:tc>
        <w:tc>
          <w:tcPr>
            <w:tcW w:w="1440" w:type="dxa"/>
            <w:tcBorders>
              <w:top w:val="nil"/>
              <w:left w:val="nil"/>
              <w:bottom w:val="single" w:color="auto" w:sz="4" w:space="0"/>
              <w:right w:val="single" w:color="auto" w:sz="4" w:space="0"/>
            </w:tcBorders>
            <w:vAlign w:val="center"/>
          </w:tcPr>
          <w:p w14:paraId="78B130BB">
            <w:pPr>
              <w:widowControl/>
              <w:jc w:val="left"/>
              <w:rPr>
                <w:rFonts w:ascii="宋体"/>
                <w:color w:val="000000" w:themeColor="text1"/>
                <w:kern w:val="0"/>
                <w:sz w:val="18"/>
                <w:szCs w:val="18"/>
                <w:highlight w:val="none"/>
                <w14:textFill>
                  <w14:solidFill>
                    <w14:schemeClr w14:val="tx1"/>
                  </w14:solidFill>
                </w14:textFill>
              </w:rPr>
            </w:pPr>
            <w:r>
              <w:rPr>
                <w:rFonts w:ascii="宋体" w:hAnsi="宋体" w:cs="宋体"/>
                <w:color w:val="000000" w:themeColor="text1"/>
                <w:kern w:val="0"/>
                <w:sz w:val="18"/>
                <w:szCs w:val="18"/>
                <w:highlight w:val="none"/>
                <w14:textFill>
                  <w14:solidFill>
                    <w14:schemeClr w14:val="tx1"/>
                  </w14:solidFill>
                </w14:textFill>
              </w:rPr>
              <w:t>5</w:t>
            </w:r>
            <w:r>
              <w:rPr>
                <w:rFonts w:hint="eastAsia" w:ascii="宋体" w:hAnsi="宋体" w:cs="宋体"/>
                <w:color w:val="000000" w:themeColor="text1"/>
                <w:kern w:val="0"/>
                <w:sz w:val="18"/>
                <w:szCs w:val="18"/>
                <w:highlight w:val="none"/>
                <w14:textFill>
                  <w14:solidFill>
                    <w14:schemeClr w14:val="tx1"/>
                  </w14:solidFill>
                </w14:textFill>
              </w:rPr>
              <w:t>≤</w:t>
            </w:r>
            <w:r>
              <w:rPr>
                <w:rFonts w:ascii="宋体" w:hAnsi="宋体" w:cs="宋体"/>
                <w:color w:val="000000" w:themeColor="text1"/>
                <w:kern w:val="0"/>
                <w:sz w:val="18"/>
                <w:szCs w:val="18"/>
                <w:highlight w:val="none"/>
                <w14:textFill>
                  <w14:solidFill>
                    <w14:schemeClr w14:val="tx1"/>
                  </w14:solidFill>
                </w14:textFill>
              </w:rPr>
              <w:t>X</w:t>
            </w:r>
            <w:r>
              <w:rPr>
                <w:rFonts w:hint="eastAsia" w:ascii="宋体" w:hAnsi="宋体" w:cs="宋体"/>
                <w:color w:val="000000" w:themeColor="text1"/>
                <w:kern w:val="0"/>
                <w:sz w:val="18"/>
                <w:szCs w:val="18"/>
                <w:highlight w:val="none"/>
                <w14:textFill>
                  <w14:solidFill>
                    <w14:schemeClr w14:val="tx1"/>
                  </w14:solidFill>
                </w14:textFill>
              </w:rPr>
              <w:t>＜</w:t>
            </w:r>
            <w:r>
              <w:rPr>
                <w:rFonts w:ascii="宋体" w:hAnsi="宋体" w:cs="宋体"/>
                <w:color w:val="000000" w:themeColor="text1"/>
                <w:kern w:val="0"/>
                <w:sz w:val="18"/>
                <w:szCs w:val="18"/>
                <w:highlight w:val="none"/>
                <w14:textFill>
                  <w14:solidFill>
                    <w14:schemeClr w14:val="tx1"/>
                  </w14:solidFill>
                </w14:textFill>
              </w:rPr>
              <w:t>20</w:t>
            </w:r>
          </w:p>
        </w:tc>
        <w:tc>
          <w:tcPr>
            <w:tcW w:w="1532" w:type="dxa"/>
            <w:tcBorders>
              <w:top w:val="nil"/>
              <w:left w:val="nil"/>
              <w:bottom w:val="single" w:color="auto" w:sz="4" w:space="0"/>
              <w:right w:val="single" w:color="auto" w:sz="4" w:space="0"/>
            </w:tcBorders>
            <w:vAlign w:val="center"/>
          </w:tcPr>
          <w:p w14:paraId="464B31E4">
            <w:pPr>
              <w:widowControl/>
              <w:jc w:val="left"/>
              <w:rPr>
                <w:rFonts w:ascii="宋体"/>
                <w:color w:val="000000" w:themeColor="text1"/>
                <w:kern w:val="0"/>
                <w:sz w:val="18"/>
                <w:szCs w:val="18"/>
                <w:highlight w:val="none"/>
                <w14:textFill>
                  <w14:solidFill>
                    <w14:schemeClr w14:val="tx1"/>
                  </w14:solidFill>
                </w14:textFill>
              </w:rPr>
            </w:pPr>
            <w:r>
              <w:rPr>
                <w:rFonts w:ascii="宋体" w:hAnsi="宋体" w:cs="宋体"/>
                <w:color w:val="000000" w:themeColor="text1"/>
                <w:kern w:val="0"/>
                <w:sz w:val="18"/>
                <w:szCs w:val="18"/>
                <w:highlight w:val="none"/>
                <w14:textFill>
                  <w14:solidFill>
                    <w14:schemeClr w14:val="tx1"/>
                  </w14:solidFill>
                </w14:textFill>
              </w:rPr>
              <w:t>X</w:t>
            </w:r>
            <w:r>
              <w:rPr>
                <w:rFonts w:hint="eastAsia" w:ascii="宋体" w:hAnsi="宋体" w:cs="宋体"/>
                <w:color w:val="000000" w:themeColor="text1"/>
                <w:kern w:val="0"/>
                <w:sz w:val="18"/>
                <w:szCs w:val="18"/>
                <w:highlight w:val="none"/>
                <w14:textFill>
                  <w14:solidFill>
                    <w14:schemeClr w14:val="tx1"/>
                  </w14:solidFill>
                </w14:textFill>
              </w:rPr>
              <w:t>＜</w:t>
            </w:r>
            <w:r>
              <w:rPr>
                <w:rFonts w:ascii="宋体" w:hAnsi="宋体" w:cs="宋体"/>
                <w:color w:val="000000" w:themeColor="text1"/>
                <w:kern w:val="0"/>
                <w:sz w:val="18"/>
                <w:szCs w:val="18"/>
                <w:highlight w:val="none"/>
                <w14:textFill>
                  <w14:solidFill>
                    <w14:schemeClr w14:val="tx1"/>
                  </w14:solidFill>
                </w14:textFill>
              </w:rPr>
              <w:t>5</w:t>
            </w:r>
          </w:p>
        </w:tc>
      </w:tr>
      <w:tr w14:paraId="7118CA2B">
        <w:tblPrEx>
          <w:tblCellMar>
            <w:top w:w="0" w:type="dxa"/>
            <w:left w:w="108" w:type="dxa"/>
            <w:bottom w:w="0" w:type="dxa"/>
            <w:right w:w="108" w:type="dxa"/>
          </w:tblCellMar>
        </w:tblPrEx>
        <w:trPr>
          <w:trHeight w:val="340" w:hRule="atLeast"/>
          <w:jc w:val="center"/>
        </w:trPr>
        <w:tc>
          <w:tcPr>
            <w:tcW w:w="2004" w:type="dxa"/>
            <w:vMerge w:val="continue"/>
            <w:tcBorders>
              <w:top w:val="nil"/>
              <w:left w:val="single" w:color="auto" w:sz="4" w:space="0"/>
              <w:bottom w:val="single" w:color="auto" w:sz="4" w:space="0"/>
              <w:right w:val="single" w:color="auto" w:sz="4" w:space="0"/>
            </w:tcBorders>
            <w:vAlign w:val="center"/>
          </w:tcPr>
          <w:p w14:paraId="0D779398">
            <w:pPr>
              <w:widowControl/>
              <w:jc w:val="center"/>
              <w:rPr>
                <w:rFonts w:ascii="宋体"/>
                <w:b/>
                <w:bCs/>
                <w:color w:val="000000" w:themeColor="text1"/>
                <w:kern w:val="0"/>
                <w:sz w:val="18"/>
                <w:szCs w:val="18"/>
                <w:highlight w:val="none"/>
                <w14:textFill>
                  <w14:solidFill>
                    <w14:schemeClr w14:val="tx1"/>
                  </w14:solidFill>
                </w14:textFill>
              </w:rPr>
            </w:pPr>
          </w:p>
        </w:tc>
        <w:tc>
          <w:tcPr>
            <w:tcW w:w="1384" w:type="dxa"/>
            <w:tcBorders>
              <w:top w:val="nil"/>
              <w:left w:val="nil"/>
              <w:bottom w:val="single" w:color="auto" w:sz="4" w:space="0"/>
              <w:right w:val="single" w:color="auto" w:sz="4" w:space="0"/>
            </w:tcBorders>
            <w:vAlign w:val="center"/>
          </w:tcPr>
          <w:p w14:paraId="24A85319">
            <w:pPr>
              <w:widowControl/>
              <w:jc w:val="left"/>
              <w:rPr>
                <w:rFonts w:ascii="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营业收入（</w:t>
            </w:r>
            <w:r>
              <w:rPr>
                <w:rFonts w:ascii="宋体" w:hAnsi="宋体" w:cs="宋体"/>
                <w:color w:val="000000" w:themeColor="text1"/>
                <w:kern w:val="0"/>
                <w:sz w:val="18"/>
                <w:szCs w:val="18"/>
                <w:highlight w:val="none"/>
                <w14:textFill>
                  <w14:solidFill>
                    <w14:schemeClr w14:val="tx1"/>
                  </w14:solidFill>
                </w14:textFill>
              </w:rPr>
              <w:t>Y</w:t>
            </w:r>
            <w:r>
              <w:rPr>
                <w:rFonts w:hint="eastAsia" w:ascii="宋体" w:hAnsi="宋体" w:cs="宋体"/>
                <w:color w:val="000000" w:themeColor="text1"/>
                <w:kern w:val="0"/>
                <w:sz w:val="18"/>
                <w:szCs w:val="18"/>
                <w:highlight w:val="none"/>
                <w14:textFill>
                  <w14:solidFill>
                    <w14:schemeClr w14:val="tx1"/>
                  </w14:solidFill>
                </w14:textFill>
              </w:rPr>
              <w:t>）</w:t>
            </w:r>
          </w:p>
        </w:tc>
        <w:tc>
          <w:tcPr>
            <w:tcW w:w="913" w:type="dxa"/>
            <w:tcBorders>
              <w:top w:val="nil"/>
              <w:left w:val="nil"/>
              <w:bottom w:val="single" w:color="auto" w:sz="4" w:space="0"/>
              <w:right w:val="single" w:color="auto" w:sz="4" w:space="0"/>
            </w:tcBorders>
            <w:vAlign w:val="center"/>
          </w:tcPr>
          <w:p w14:paraId="378C5DE9">
            <w:pPr>
              <w:widowControl/>
              <w:jc w:val="left"/>
              <w:rPr>
                <w:rFonts w:ascii="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万元</w:t>
            </w:r>
          </w:p>
        </w:tc>
        <w:tc>
          <w:tcPr>
            <w:tcW w:w="1620" w:type="dxa"/>
            <w:tcBorders>
              <w:top w:val="nil"/>
              <w:left w:val="nil"/>
              <w:bottom w:val="single" w:color="auto" w:sz="4" w:space="0"/>
              <w:right w:val="single" w:color="auto" w:sz="4" w:space="0"/>
            </w:tcBorders>
            <w:vAlign w:val="center"/>
          </w:tcPr>
          <w:p w14:paraId="3559F8EE">
            <w:pPr>
              <w:widowControl/>
              <w:jc w:val="left"/>
              <w:rPr>
                <w:rFonts w:ascii="宋体"/>
                <w:color w:val="000000" w:themeColor="text1"/>
                <w:kern w:val="0"/>
                <w:sz w:val="18"/>
                <w:szCs w:val="18"/>
                <w:highlight w:val="none"/>
                <w14:textFill>
                  <w14:solidFill>
                    <w14:schemeClr w14:val="tx1"/>
                  </w14:solidFill>
                </w14:textFill>
              </w:rPr>
            </w:pPr>
            <w:r>
              <w:rPr>
                <w:rFonts w:ascii="宋体" w:hAnsi="宋体" w:cs="宋体"/>
                <w:color w:val="000000" w:themeColor="text1"/>
                <w:kern w:val="0"/>
                <w:sz w:val="18"/>
                <w:szCs w:val="18"/>
                <w:highlight w:val="none"/>
                <w14:textFill>
                  <w14:solidFill>
                    <w14:schemeClr w14:val="tx1"/>
                  </w14:solidFill>
                </w14:textFill>
              </w:rPr>
              <w:t>5000</w:t>
            </w:r>
            <w:r>
              <w:rPr>
                <w:rFonts w:hint="eastAsia" w:ascii="宋体" w:hAnsi="宋体" w:cs="宋体"/>
                <w:color w:val="000000" w:themeColor="text1"/>
                <w:kern w:val="0"/>
                <w:sz w:val="18"/>
                <w:szCs w:val="18"/>
                <w:highlight w:val="none"/>
                <w14:textFill>
                  <w14:solidFill>
                    <w14:schemeClr w14:val="tx1"/>
                  </w14:solidFill>
                </w14:textFill>
              </w:rPr>
              <w:t>≤</w:t>
            </w:r>
            <w:r>
              <w:rPr>
                <w:rFonts w:ascii="宋体" w:hAnsi="宋体" w:cs="宋体"/>
                <w:color w:val="000000" w:themeColor="text1"/>
                <w:kern w:val="0"/>
                <w:sz w:val="18"/>
                <w:szCs w:val="18"/>
                <w:highlight w:val="none"/>
                <w14:textFill>
                  <w14:solidFill>
                    <w14:schemeClr w14:val="tx1"/>
                  </w14:solidFill>
                </w14:textFill>
              </w:rPr>
              <w:t>Y</w:t>
            </w:r>
            <w:r>
              <w:rPr>
                <w:rFonts w:hint="eastAsia" w:ascii="宋体" w:hAnsi="宋体" w:cs="宋体"/>
                <w:color w:val="000000" w:themeColor="text1"/>
                <w:kern w:val="0"/>
                <w:sz w:val="18"/>
                <w:szCs w:val="18"/>
                <w:highlight w:val="none"/>
                <w14:textFill>
                  <w14:solidFill>
                    <w14:schemeClr w14:val="tx1"/>
                  </w14:solidFill>
                </w14:textFill>
              </w:rPr>
              <w:t>＜</w:t>
            </w:r>
            <w:r>
              <w:rPr>
                <w:rFonts w:ascii="宋体" w:hAnsi="宋体" w:cs="宋体"/>
                <w:color w:val="000000" w:themeColor="text1"/>
                <w:kern w:val="0"/>
                <w:sz w:val="18"/>
                <w:szCs w:val="18"/>
                <w:highlight w:val="none"/>
                <w14:textFill>
                  <w14:solidFill>
                    <w14:schemeClr w14:val="tx1"/>
                  </w14:solidFill>
                </w14:textFill>
              </w:rPr>
              <w:t>40000</w:t>
            </w:r>
          </w:p>
        </w:tc>
        <w:tc>
          <w:tcPr>
            <w:tcW w:w="1440" w:type="dxa"/>
            <w:tcBorders>
              <w:top w:val="nil"/>
              <w:left w:val="nil"/>
              <w:bottom w:val="single" w:color="auto" w:sz="4" w:space="0"/>
              <w:right w:val="single" w:color="auto" w:sz="4" w:space="0"/>
            </w:tcBorders>
            <w:vAlign w:val="center"/>
          </w:tcPr>
          <w:p w14:paraId="116F7B8A">
            <w:pPr>
              <w:widowControl/>
              <w:jc w:val="left"/>
              <w:rPr>
                <w:rFonts w:ascii="宋体"/>
                <w:color w:val="000000" w:themeColor="text1"/>
                <w:kern w:val="0"/>
                <w:sz w:val="18"/>
                <w:szCs w:val="18"/>
                <w:highlight w:val="none"/>
                <w14:textFill>
                  <w14:solidFill>
                    <w14:schemeClr w14:val="tx1"/>
                  </w14:solidFill>
                </w14:textFill>
              </w:rPr>
            </w:pPr>
            <w:r>
              <w:rPr>
                <w:rFonts w:ascii="宋体" w:hAnsi="宋体" w:cs="宋体"/>
                <w:color w:val="000000" w:themeColor="text1"/>
                <w:kern w:val="0"/>
                <w:sz w:val="18"/>
                <w:szCs w:val="18"/>
                <w:highlight w:val="none"/>
                <w14:textFill>
                  <w14:solidFill>
                    <w14:schemeClr w14:val="tx1"/>
                  </w14:solidFill>
                </w14:textFill>
              </w:rPr>
              <w:t>1000</w:t>
            </w:r>
            <w:r>
              <w:rPr>
                <w:rFonts w:hint="eastAsia" w:ascii="宋体" w:hAnsi="宋体" w:cs="宋体"/>
                <w:color w:val="000000" w:themeColor="text1"/>
                <w:kern w:val="0"/>
                <w:sz w:val="18"/>
                <w:szCs w:val="18"/>
                <w:highlight w:val="none"/>
                <w14:textFill>
                  <w14:solidFill>
                    <w14:schemeClr w14:val="tx1"/>
                  </w14:solidFill>
                </w14:textFill>
              </w:rPr>
              <w:t>≤</w:t>
            </w:r>
            <w:r>
              <w:rPr>
                <w:rFonts w:ascii="宋体" w:hAnsi="宋体" w:cs="宋体"/>
                <w:color w:val="000000" w:themeColor="text1"/>
                <w:kern w:val="0"/>
                <w:sz w:val="18"/>
                <w:szCs w:val="18"/>
                <w:highlight w:val="none"/>
                <w14:textFill>
                  <w14:solidFill>
                    <w14:schemeClr w14:val="tx1"/>
                  </w14:solidFill>
                </w14:textFill>
              </w:rPr>
              <w:t>Y</w:t>
            </w:r>
            <w:r>
              <w:rPr>
                <w:rFonts w:hint="eastAsia" w:ascii="宋体" w:hAnsi="宋体" w:cs="宋体"/>
                <w:color w:val="000000" w:themeColor="text1"/>
                <w:kern w:val="0"/>
                <w:sz w:val="18"/>
                <w:szCs w:val="18"/>
                <w:highlight w:val="none"/>
                <w14:textFill>
                  <w14:solidFill>
                    <w14:schemeClr w14:val="tx1"/>
                  </w14:solidFill>
                </w14:textFill>
              </w:rPr>
              <w:t>＜</w:t>
            </w:r>
            <w:r>
              <w:rPr>
                <w:rFonts w:ascii="宋体" w:hAnsi="宋体" w:cs="宋体"/>
                <w:color w:val="000000" w:themeColor="text1"/>
                <w:kern w:val="0"/>
                <w:sz w:val="18"/>
                <w:szCs w:val="18"/>
                <w:highlight w:val="none"/>
                <w14:textFill>
                  <w14:solidFill>
                    <w14:schemeClr w14:val="tx1"/>
                  </w14:solidFill>
                </w14:textFill>
              </w:rPr>
              <w:t>5000</w:t>
            </w:r>
          </w:p>
        </w:tc>
        <w:tc>
          <w:tcPr>
            <w:tcW w:w="1532" w:type="dxa"/>
            <w:tcBorders>
              <w:top w:val="nil"/>
              <w:left w:val="nil"/>
              <w:bottom w:val="single" w:color="auto" w:sz="4" w:space="0"/>
              <w:right w:val="single" w:color="auto" w:sz="4" w:space="0"/>
            </w:tcBorders>
            <w:vAlign w:val="center"/>
          </w:tcPr>
          <w:p w14:paraId="4CADDA0B">
            <w:pPr>
              <w:widowControl/>
              <w:jc w:val="left"/>
              <w:rPr>
                <w:rFonts w:ascii="宋体"/>
                <w:color w:val="000000" w:themeColor="text1"/>
                <w:kern w:val="0"/>
                <w:sz w:val="18"/>
                <w:szCs w:val="18"/>
                <w:highlight w:val="none"/>
                <w14:textFill>
                  <w14:solidFill>
                    <w14:schemeClr w14:val="tx1"/>
                  </w14:solidFill>
                </w14:textFill>
              </w:rPr>
            </w:pPr>
            <w:r>
              <w:rPr>
                <w:rFonts w:ascii="宋体" w:hAnsi="宋体" w:cs="宋体"/>
                <w:color w:val="000000" w:themeColor="text1"/>
                <w:kern w:val="0"/>
                <w:sz w:val="18"/>
                <w:szCs w:val="18"/>
                <w:highlight w:val="none"/>
                <w14:textFill>
                  <w14:solidFill>
                    <w14:schemeClr w14:val="tx1"/>
                  </w14:solidFill>
                </w14:textFill>
              </w:rPr>
              <w:t>Y</w:t>
            </w:r>
            <w:r>
              <w:rPr>
                <w:rFonts w:hint="eastAsia" w:ascii="宋体" w:hAnsi="宋体" w:cs="宋体"/>
                <w:color w:val="000000" w:themeColor="text1"/>
                <w:kern w:val="0"/>
                <w:sz w:val="18"/>
                <w:szCs w:val="18"/>
                <w:highlight w:val="none"/>
                <w14:textFill>
                  <w14:solidFill>
                    <w14:schemeClr w14:val="tx1"/>
                  </w14:solidFill>
                </w14:textFill>
              </w:rPr>
              <w:t>＜</w:t>
            </w:r>
            <w:r>
              <w:rPr>
                <w:rFonts w:ascii="宋体" w:hAnsi="宋体" w:cs="宋体"/>
                <w:color w:val="000000" w:themeColor="text1"/>
                <w:kern w:val="0"/>
                <w:sz w:val="18"/>
                <w:szCs w:val="18"/>
                <w:highlight w:val="none"/>
                <w14:textFill>
                  <w14:solidFill>
                    <w14:schemeClr w14:val="tx1"/>
                  </w14:solidFill>
                </w14:textFill>
              </w:rPr>
              <w:t>1000</w:t>
            </w:r>
          </w:p>
        </w:tc>
      </w:tr>
      <w:tr w14:paraId="32960EAC">
        <w:tblPrEx>
          <w:tblCellMar>
            <w:top w:w="0" w:type="dxa"/>
            <w:left w:w="108" w:type="dxa"/>
            <w:bottom w:w="0" w:type="dxa"/>
            <w:right w:w="108" w:type="dxa"/>
          </w:tblCellMar>
        </w:tblPrEx>
        <w:trPr>
          <w:trHeight w:val="340" w:hRule="atLeast"/>
          <w:jc w:val="center"/>
        </w:trPr>
        <w:tc>
          <w:tcPr>
            <w:tcW w:w="2004" w:type="dxa"/>
            <w:vMerge w:val="restart"/>
            <w:tcBorders>
              <w:top w:val="nil"/>
              <w:left w:val="single" w:color="auto" w:sz="4" w:space="0"/>
              <w:bottom w:val="single" w:color="auto" w:sz="4" w:space="0"/>
              <w:right w:val="single" w:color="auto" w:sz="4" w:space="0"/>
            </w:tcBorders>
            <w:vAlign w:val="center"/>
          </w:tcPr>
          <w:p w14:paraId="6CF3C78F">
            <w:pPr>
              <w:widowControl/>
              <w:jc w:val="center"/>
              <w:rPr>
                <w:rFonts w:ascii="宋体"/>
                <w:b/>
                <w:bCs/>
                <w:color w:val="000000" w:themeColor="text1"/>
                <w:kern w:val="0"/>
                <w:sz w:val="18"/>
                <w:szCs w:val="18"/>
                <w:highlight w:val="none"/>
                <w14:textFill>
                  <w14:solidFill>
                    <w14:schemeClr w14:val="tx1"/>
                  </w14:solidFill>
                </w14:textFill>
              </w:rPr>
            </w:pPr>
            <w:r>
              <w:rPr>
                <w:rFonts w:hint="eastAsia" w:ascii="宋体" w:hAnsi="宋体" w:cs="宋体"/>
                <w:b/>
                <w:bCs/>
                <w:color w:val="000000" w:themeColor="text1"/>
                <w:kern w:val="0"/>
                <w:sz w:val="18"/>
                <w:szCs w:val="18"/>
                <w:highlight w:val="none"/>
                <w14:textFill>
                  <w14:solidFill>
                    <w14:schemeClr w14:val="tx1"/>
                  </w14:solidFill>
                </w14:textFill>
              </w:rPr>
              <w:t>零售业</w:t>
            </w:r>
          </w:p>
        </w:tc>
        <w:tc>
          <w:tcPr>
            <w:tcW w:w="1384" w:type="dxa"/>
            <w:tcBorders>
              <w:top w:val="nil"/>
              <w:left w:val="nil"/>
              <w:bottom w:val="single" w:color="auto" w:sz="4" w:space="0"/>
              <w:right w:val="single" w:color="auto" w:sz="4" w:space="0"/>
            </w:tcBorders>
            <w:vAlign w:val="center"/>
          </w:tcPr>
          <w:p w14:paraId="15D6F8D9">
            <w:pPr>
              <w:widowControl/>
              <w:jc w:val="left"/>
              <w:rPr>
                <w:rFonts w:ascii="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从业人员（</w:t>
            </w:r>
            <w:r>
              <w:rPr>
                <w:rFonts w:ascii="宋体" w:hAnsi="宋体" w:cs="宋体"/>
                <w:color w:val="000000" w:themeColor="text1"/>
                <w:kern w:val="0"/>
                <w:sz w:val="18"/>
                <w:szCs w:val="18"/>
                <w:highlight w:val="none"/>
                <w14:textFill>
                  <w14:solidFill>
                    <w14:schemeClr w14:val="tx1"/>
                  </w14:solidFill>
                </w14:textFill>
              </w:rPr>
              <w:t>X</w:t>
            </w:r>
            <w:r>
              <w:rPr>
                <w:rFonts w:hint="eastAsia" w:ascii="宋体" w:hAnsi="宋体" w:cs="宋体"/>
                <w:color w:val="000000" w:themeColor="text1"/>
                <w:kern w:val="0"/>
                <w:sz w:val="18"/>
                <w:szCs w:val="18"/>
                <w:highlight w:val="none"/>
                <w14:textFill>
                  <w14:solidFill>
                    <w14:schemeClr w14:val="tx1"/>
                  </w14:solidFill>
                </w14:textFill>
              </w:rPr>
              <w:t>）</w:t>
            </w:r>
          </w:p>
        </w:tc>
        <w:tc>
          <w:tcPr>
            <w:tcW w:w="913" w:type="dxa"/>
            <w:tcBorders>
              <w:top w:val="nil"/>
              <w:left w:val="nil"/>
              <w:bottom w:val="single" w:color="auto" w:sz="4" w:space="0"/>
              <w:right w:val="single" w:color="auto" w:sz="4" w:space="0"/>
            </w:tcBorders>
            <w:vAlign w:val="center"/>
          </w:tcPr>
          <w:p w14:paraId="346B9DD0">
            <w:pPr>
              <w:widowControl/>
              <w:jc w:val="left"/>
              <w:rPr>
                <w:rFonts w:ascii="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人</w:t>
            </w:r>
          </w:p>
        </w:tc>
        <w:tc>
          <w:tcPr>
            <w:tcW w:w="1620" w:type="dxa"/>
            <w:tcBorders>
              <w:top w:val="nil"/>
              <w:left w:val="nil"/>
              <w:bottom w:val="single" w:color="auto" w:sz="4" w:space="0"/>
              <w:right w:val="single" w:color="auto" w:sz="4" w:space="0"/>
            </w:tcBorders>
            <w:vAlign w:val="center"/>
          </w:tcPr>
          <w:p w14:paraId="27A5CF03">
            <w:pPr>
              <w:widowControl/>
              <w:jc w:val="left"/>
              <w:rPr>
                <w:rFonts w:ascii="宋体"/>
                <w:color w:val="000000" w:themeColor="text1"/>
                <w:kern w:val="0"/>
                <w:sz w:val="18"/>
                <w:szCs w:val="18"/>
                <w:highlight w:val="none"/>
                <w14:textFill>
                  <w14:solidFill>
                    <w14:schemeClr w14:val="tx1"/>
                  </w14:solidFill>
                </w14:textFill>
              </w:rPr>
            </w:pPr>
            <w:r>
              <w:rPr>
                <w:rFonts w:ascii="宋体" w:hAnsi="宋体" w:cs="宋体"/>
                <w:color w:val="000000" w:themeColor="text1"/>
                <w:kern w:val="0"/>
                <w:sz w:val="18"/>
                <w:szCs w:val="18"/>
                <w:highlight w:val="none"/>
                <w14:textFill>
                  <w14:solidFill>
                    <w14:schemeClr w14:val="tx1"/>
                  </w14:solidFill>
                </w14:textFill>
              </w:rPr>
              <w:t>50</w:t>
            </w:r>
            <w:r>
              <w:rPr>
                <w:rFonts w:hint="eastAsia" w:ascii="宋体" w:hAnsi="宋体" w:cs="宋体"/>
                <w:color w:val="000000" w:themeColor="text1"/>
                <w:kern w:val="0"/>
                <w:sz w:val="18"/>
                <w:szCs w:val="18"/>
                <w:highlight w:val="none"/>
                <w14:textFill>
                  <w14:solidFill>
                    <w14:schemeClr w14:val="tx1"/>
                  </w14:solidFill>
                </w14:textFill>
              </w:rPr>
              <w:t>≤</w:t>
            </w:r>
            <w:r>
              <w:rPr>
                <w:rFonts w:ascii="宋体" w:hAnsi="宋体" w:cs="宋体"/>
                <w:color w:val="000000" w:themeColor="text1"/>
                <w:kern w:val="0"/>
                <w:sz w:val="18"/>
                <w:szCs w:val="18"/>
                <w:highlight w:val="none"/>
                <w14:textFill>
                  <w14:solidFill>
                    <w14:schemeClr w14:val="tx1"/>
                  </w14:solidFill>
                </w14:textFill>
              </w:rPr>
              <w:t>X</w:t>
            </w:r>
            <w:r>
              <w:rPr>
                <w:rFonts w:hint="eastAsia" w:ascii="宋体" w:hAnsi="宋体" w:cs="宋体"/>
                <w:color w:val="000000" w:themeColor="text1"/>
                <w:kern w:val="0"/>
                <w:sz w:val="18"/>
                <w:szCs w:val="18"/>
                <w:highlight w:val="none"/>
                <w14:textFill>
                  <w14:solidFill>
                    <w14:schemeClr w14:val="tx1"/>
                  </w14:solidFill>
                </w14:textFill>
              </w:rPr>
              <w:t>＜</w:t>
            </w:r>
            <w:r>
              <w:rPr>
                <w:rFonts w:ascii="宋体" w:hAnsi="宋体" w:cs="宋体"/>
                <w:color w:val="000000" w:themeColor="text1"/>
                <w:kern w:val="0"/>
                <w:sz w:val="18"/>
                <w:szCs w:val="18"/>
                <w:highlight w:val="none"/>
                <w14:textFill>
                  <w14:solidFill>
                    <w14:schemeClr w14:val="tx1"/>
                  </w14:solidFill>
                </w14:textFill>
              </w:rPr>
              <w:t>300</w:t>
            </w:r>
          </w:p>
        </w:tc>
        <w:tc>
          <w:tcPr>
            <w:tcW w:w="1440" w:type="dxa"/>
            <w:tcBorders>
              <w:top w:val="nil"/>
              <w:left w:val="nil"/>
              <w:bottom w:val="single" w:color="auto" w:sz="4" w:space="0"/>
              <w:right w:val="single" w:color="auto" w:sz="4" w:space="0"/>
            </w:tcBorders>
            <w:vAlign w:val="center"/>
          </w:tcPr>
          <w:p w14:paraId="6616E106">
            <w:pPr>
              <w:widowControl/>
              <w:jc w:val="left"/>
              <w:rPr>
                <w:rFonts w:ascii="宋体"/>
                <w:color w:val="000000" w:themeColor="text1"/>
                <w:kern w:val="0"/>
                <w:sz w:val="18"/>
                <w:szCs w:val="18"/>
                <w:highlight w:val="none"/>
                <w14:textFill>
                  <w14:solidFill>
                    <w14:schemeClr w14:val="tx1"/>
                  </w14:solidFill>
                </w14:textFill>
              </w:rPr>
            </w:pPr>
            <w:r>
              <w:rPr>
                <w:rFonts w:ascii="宋体" w:hAnsi="宋体" w:cs="宋体"/>
                <w:color w:val="000000" w:themeColor="text1"/>
                <w:kern w:val="0"/>
                <w:sz w:val="18"/>
                <w:szCs w:val="18"/>
                <w:highlight w:val="none"/>
                <w14:textFill>
                  <w14:solidFill>
                    <w14:schemeClr w14:val="tx1"/>
                  </w14:solidFill>
                </w14:textFill>
              </w:rPr>
              <w:t>10</w:t>
            </w:r>
            <w:r>
              <w:rPr>
                <w:rFonts w:hint="eastAsia" w:ascii="宋体" w:hAnsi="宋体" w:cs="宋体"/>
                <w:color w:val="000000" w:themeColor="text1"/>
                <w:kern w:val="0"/>
                <w:sz w:val="18"/>
                <w:szCs w:val="18"/>
                <w:highlight w:val="none"/>
                <w14:textFill>
                  <w14:solidFill>
                    <w14:schemeClr w14:val="tx1"/>
                  </w14:solidFill>
                </w14:textFill>
              </w:rPr>
              <w:t>≤</w:t>
            </w:r>
            <w:r>
              <w:rPr>
                <w:rFonts w:ascii="宋体" w:hAnsi="宋体" w:cs="宋体"/>
                <w:color w:val="000000" w:themeColor="text1"/>
                <w:kern w:val="0"/>
                <w:sz w:val="18"/>
                <w:szCs w:val="18"/>
                <w:highlight w:val="none"/>
                <w14:textFill>
                  <w14:solidFill>
                    <w14:schemeClr w14:val="tx1"/>
                  </w14:solidFill>
                </w14:textFill>
              </w:rPr>
              <w:t>X</w:t>
            </w:r>
            <w:r>
              <w:rPr>
                <w:rFonts w:hint="eastAsia" w:ascii="宋体" w:hAnsi="宋体" w:cs="宋体"/>
                <w:color w:val="000000" w:themeColor="text1"/>
                <w:kern w:val="0"/>
                <w:sz w:val="18"/>
                <w:szCs w:val="18"/>
                <w:highlight w:val="none"/>
                <w14:textFill>
                  <w14:solidFill>
                    <w14:schemeClr w14:val="tx1"/>
                  </w14:solidFill>
                </w14:textFill>
              </w:rPr>
              <w:t>＜</w:t>
            </w:r>
            <w:r>
              <w:rPr>
                <w:rFonts w:ascii="宋体" w:hAnsi="宋体" w:cs="宋体"/>
                <w:color w:val="000000" w:themeColor="text1"/>
                <w:kern w:val="0"/>
                <w:sz w:val="18"/>
                <w:szCs w:val="18"/>
                <w:highlight w:val="none"/>
                <w14:textFill>
                  <w14:solidFill>
                    <w14:schemeClr w14:val="tx1"/>
                  </w14:solidFill>
                </w14:textFill>
              </w:rPr>
              <w:t>50</w:t>
            </w:r>
          </w:p>
        </w:tc>
        <w:tc>
          <w:tcPr>
            <w:tcW w:w="1532" w:type="dxa"/>
            <w:tcBorders>
              <w:top w:val="nil"/>
              <w:left w:val="nil"/>
              <w:bottom w:val="single" w:color="auto" w:sz="4" w:space="0"/>
              <w:right w:val="single" w:color="auto" w:sz="4" w:space="0"/>
            </w:tcBorders>
            <w:vAlign w:val="center"/>
          </w:tcPr>
          <w:p w14:paraId="4FC6D93C">
            <w:pPr>
              <w:widowControl/>
              <w:jc w:val="left"/>
              <w:rPr>
                <w:rFonts w:ascii="宋体"/>
                <w:color w:val="000000" w:themeColor="text1"/>
                <w:kern w:val="0"/>
                <w:sz w:val="18"/>
                <w:szCs w:val="18"/>
                <w:highlight w:val="none"/>
                <w14:textFill>
                  <w14:solidFill>
                    <w14:schemeClr w14:val="tx1"/>
                  </w14:solidFill>
                </w14:textFill>
              </w:rPr>
            </w:pPr>
            <w:r>
              <w:rPr>
                <w:rFonts w:ascii="宋体" w:hAnsi="宋体" w:cs="宋体"/>
                <w:color w:val="000000" w:themeColor="text1"/>
                <w:kern w:val="0"/>
                <w:sz w:val="18"/>
                <w:szCs w:val="18"/>
                <w:highlight w:val="none"/>
                <w14:textFill>
                  <w14:solidFill>
                    <w14:schemeClr w14:val="tx1"/>
                  </w14:solidFill>
                </w14:textFill>
              </w:rPr>
              <w:t>X</w:t>
            </w:r>
            <w:r>
              <w:rPr>
                <w:rFonts w:hint="eastAsia" w:ascii="宋体" w:hAnsi="宋体" w:cs="宋体"/>
                <w:color w:val="000000" w:themeColor="text1"/>
                <w:kern w:val="0"/>
                <w:sz w:val="18"/>
                <w:szCs w:val="18"/>
                <w:highlight w:val="none"/>
                <w14:textFill>
                  <w14:solidFill>
                    <w14:schemeClr w14:val="tx1"/>
                  </w14:solidFill>
                </w14:textFill>
              </w:rPr>
              <w:t>＜</w:t>
            </w:r>
            <w:r>
              <w:rPr>
                <w:rFonts w:ascii="宋体" w:hAnsi="宋体" w:cs="宋体"/>
                <w:color w:val="000000" w:themeColor="text1"/>
                <w:kern w:val="0"/>
                <w:sz w:val="18"/>
                <w:szCs w:val="18"/>
                <w:highlight w:val="none"/>
                <w14:textFill>
                  <w14:solidFill>
                    <w14:schemeClr w14:val="tx1"/>
                  </w14:solidFill>
                </w14:textFill>
              </w:rPr>
              <w:t>10</w:t>
            </w:r>
          </w:p>
        </w:tc>
      </w:tr>
      <w:tr w14:paraId="5865FF3F">
        <w:tblPrEx>
          <w:tblCellMar>
            <w:top w:w="0" w:type="dxa"/>
            <w:left w:w="108" w:type="dxa"/>
            <w:bottom w:w="0" w:type="dxa"/>
            <w:right w:w="108" w:type="dxa"/>
          </w:tblCellMar>
        </w:tblPrEx>
        <w:trPr>
          <w:trHeight w:val="340" w:hRule="atLeast"/>
          <w:jc w:val="center"/>
        </w:trPr>
        <w:tc>
          <w:tcPr>
            <w:tcW w:w="2004" w:type="dxa"/>
            <w:vMerge w:val="continue"/>
            <w:tcBorders>
              <w:top w:val="nil"/>
              <w:left w:val="single" w:color="auto" w:sz="4" w:space="0"/>
              <w:bottom w:val="single" w:color="auto" w:sz="4" w:space="0"/>
              <w:right w:val="single" w:color="auto" w:sz="4" w:space="0"/>
            </w:tcBorders>
            <w:vAlign w:val="center"/>
          </w:tcPr>
          <w:p w14:paraId="60C6CAA1">
            <w:pPr>
              <w:widowControl/>
              <w:jc w:val="center"/>
              <w:rPr>
                <w:rFonts w:ascii="宋体"/>
                <w:b/>
                <w:bCs/>
                <w:color w:val="000000" w:themeColor="text1"/>
                <w:kern w:val="0"/>
                <w:sz w:val="18"/>
                <w:szCs w:val="18"/>
                <w:highlight w:val="none"/>
                <w14:textFill>
                  <w14:solidFill>
                    <w14:schemeClr w14:val="tx1"/>
                  </w14:solidFill>
                </w14:textFill>
              </w:rPr>
            </w:pPr>
          </w:p>
        </w:tc>
        <w:tc>
          <w:tcPr>
            <w:tcW w:w="1384" w:type="dxa"/>
            <w:tcBorders>
              <w:top w:val="nil"/>
              <w:left w:val="nil"/>
              <w:bottom w:val="single" w:color="auto" w:sz="4" w:space="0"/>
              <w:right w:val="single" w:color="auto" w:sz="4" w:space="0"/>
            </w:tcBorders>
            <w:vAlign w:val="center"/>
          </w:tcPr>
          <w:p w14:paraId="2ACFBABA">
            <w:pPr>
              <w:widowControl/>
              <w:jc w:val="left"/>
              <w:rPr>
                <w:rFonts w:ascii="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营业收入（</w:t>
            </w:r>
            <w:r>
              <w:rPr>
                <w:rFonts w:ascii="宋体" w:hAnsi="宋体" w:cs="宋体"/>
                <w:color w:val="000000" w:themeColor="text1"/>
                <w:kern w:val="0"/>
                <w:sz w:val="18"/>
                <w:szCs w:val="18"/>
                <w:highlight w:val="none"/>
                <w14:textFill>
                  <w14:solidFill>
                    <w14:schemeClr w14:val="tx1"/>
                  </w14:solidFill>
                </w14:textFill>
              </w:rPr>
              <w:t>Y</w:t>
            </w:r>
            <w:r>
              <w:rPr>
                <w:rFonts w:hint="eastAsia" w:ascii="宋体" w:hAnsi="宋体" w:cs="宋体"/>
                <w:color w:val="000000" w:themeColor="text1"/>
                <w:kern w:val="0"/>
                <w:sz w:val="18"/>
                <w:szCs w:val="18"/>
                <w:highlight w:val="none"/>
                <w14:textFill>
                  <w14:solidFill>
                    <w14:schemeClr w14:val="tx1"/>
                  </w14:solidFill>
                </w14:textFill>
              </w:rPr>
              <w:t>）</w:t>
            </w:r>
          </w:p>
        </w:tc>
        <w:tc>
          <w:tcPr>
            <w:tcW w:w="913" w:type="dxa"/>
            <w:tcBorders>
              <w:top w:val="nil"/>
              <w:left w:val="nil"/>
              <w:bottom w:val="single" w:color="auto" w:sz="4" w:space="0"/>
              <w:right w:val="single" w:color="auto" w:sz="4" w:space="0"/>
            </w:tcBorders>
            <w:vAlign w:val="center"/>
          </w:tcPr>
          <w:p w14:paraId="1DF0CD7A">
            <w:pPr>
              <w:widowControl/>
              <w:jc w:val="left"/>
              <w:rPr>
                <w:rFonts w:ascii="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万元</w:t>
            </w:r>
          </w:p>
        </w:tc>
        <w:tc>
          <w:tcPr>
            <w:tcW w:w="1620" w:type="dxa"/>
            <w:tcBorders>
              <w:top w:val="nil"/>
              <w:left w:val="nil"/>
              <w:bottom w:val="single" w:color="auto" w:sz="4" w:space="0"/>
              <w:right w:val="single" w:color="auto" w:sz="4" w:space="0"/>
            </w:tcBorders>
            <w:vAlign w:val="center"/>
          </w:tcPr>
          <w:p w14:paraId="47801D6D">
            <w:pPr>
              <w:widowControl/>
              <w:jc w:val="left"/>
              <w:rPr>
                <w:rFonts w:ascii="宋体"/>
                <w:color w:val="000000" w:themeColor="text1"/>
                <w:kern w:val="0"/>
                <w:sz w:val="18"/>
                <w:szCs w:val="18"/>
                <w:highlight w:val="none"/>
                <w14:textFill>
                  <w14:solidFill>
                    <w14:schemeClr w14:val="tx1"/>
                  </w14:solidFill>
                </w14:textFill>
              </w:rPr>
            </w:pPr>
            <w:r>
              <w:rPr>
                <w:rFonts w:ascii="宋体" w:hAnsi="宋体" w:cs="宋体"/>
                <w:color w:val="000000" w:themeColor="text1"/>
                <w:kern w:val="0"/>
                <w:sz w:val="18"/>
                <w:szCs w:val="18"/>
                <w:highlight w:val="none"/>
                <w14:textFill>
                  <w14:solidFill>
                    <w14:schemeClr w14:val="tx1"/>
                  </w14:solidFill>
                </w14:textFill>
              </w:rPr>
              <w:t>500</w:t>
            </w:r>
            <w:r>
              <w:rPr>
                <w:rFonts w:hint="eastAsia" w:ascii="宋体" w:hAnsi="宋体" w:cs="宋体"/>
                <w:color w:val="000000" w:themeColor="text1"/>
                <w:kern w:val="0"/>
                <w:sz w:val="18"/>
                <w:szCs w:val="18"/>
                <w:highlight w:val="none"/>
                <w14:textFill>
                  <w14:solidFill>
                    <w14:schemeClr w14:val="tx1"/>
                  </w14:solidFill>
                </w14:textFill>
              </w:rPr>
              <w:t>≤</w:t>
            </w:r>
            <w:r>
              <w:rPr>
                <w:rFonts w:ascii="宋体" w:hAnsi="宋体" w:cs="宋体"/>
                <w:color w:val="000000" w:themeColor="text1"/>
                <w:kern w:val="0"/>
                <w:sz w:val="18"/>
                <w:szCs w:val="18"/>
                <w:highlight w:val="none"/>
                <w14:textFill>
                  <w14:solidFill>
                    <w14:schemeClr w14:val="tx1"/>
                  </w14:solidFill>
                </w14:textFill>
              </w:rPr>
              <w:t>Y</w:t>
            </w:r>
            <w:r>
              <w:rPr>
                <w:rFonts w:hint="eastAsia" w:ascii="宋体" w:hAnsi="宋体" w:cs="宋体"/>
                <w:color w:val="000000" w:themeColor="text1"/>
                <w:kern w:val="0"/>
                <w:sz w:val="18"/>
                <w:szCs w:val="18"/>
                <w:highlight w:val="none"/>
                <w14:textFill>
                  <w14:solidFill>
                    <w14:schemeClr w14:val="tx1"/>
                  </w14:solidFill>
                </w14:textFill>
              </w:rPr>
              <w:t>＜</w:t>
            </w:r>
            <w:r>
              <w:rPr>
                <w:rFonts w:ascii="宋体" w:hAnsi="宋体" w:cs="宋体"/>
                <w:color w:val="000000" w:themeColor="text1"/>
                <w:kern w:val="0"/>
                <w:sz w:val="18"/>
                <w:szCs w:val="18"/>
                <w:highlight w:val="none"/>
                <w14:textFill>
                  <w14:solidFill>
                    <w14:schemeClr w14:val="tx1"/>
                  </w14:solidFill>
                </w14:textFill>
              </w:rPr>
              <w:t>20000</w:t>
            </w:r>
          </w:p>
        </w:tc>
        <w:tc>
          <w:tcPr>
            <w:tcW w:w="1440" w:type="dxa"/>
            <w:tcBorders>
              <w:top w:val="nil"/>
              <w:left w:val="nil"/>
              <w:bottom w:val="single" w:color="auto" w:sz="4" w:space="0"/>
              <w:right w:val="single" w:color="auto" w:sz="4" w:space="0"/>
            </w:tcBorders>
            <w:vAlign w:val="center"/>
          </w:tcPr>
          <w:p w14:paraId="6EA05C32">
            <w:pPr>
              <w:widowControl/>
              <w:jc w:val="left"/>
              <w:rPr>
                <w:rFonts w:ascii="宋体"/>
                <w:color w:val="000000" w:themeColor="text1"/>
                <w:kern w:val="0"/>
                <w:sz w:val="18"/>
                <w:szCs w:val="18"/>
                <w:highlight w:val="none"/>
                <w14:textFill>
                  <w14:solidFill>
                    <w14:schemeClr w14:val="tx1"/>
                  </w14:solidFill>
                </w14:textFill>
              </w:rPr>
            </w:pPr>
            <w:r>
              <w:rPr>
                <w:rFonts w:ascii="宋体" w:hAnsi="宋体" w:cs="宋体"/>
                <w:color w:val="000000" w:themeColor="text1"/>
                <w:kern w:val="0"/>
                <w:sz w:val="18"/>
                <w:szCs w:val="18"/>
                <w:highlight w:val="none"/>
                <w14:textFill>
                  <w14:solidFill>
                    <w14:schemeClr w14:val="tx1"/>
                  </w14:solidFill>
                </w14:textFill>
              </w:rPr>
              <w:t>100</w:t>
            </w:r>
            <w:r>
              <w:rPr>
                <w:rFonts w:hint="eastAsia" w:ascii="宋体" w:hAnsi="宋体" w:cs="宋体"/>
                <w:color w:val="000000" w:themeColor="text1"/>
                <w:kern w:val="0"/>
                <w:sz w:val="18"/>
                <w:szCs w:val="18"/>
                <w:highlight w:val="none"/>
                <w14:textFill>
                  <w14:solidFill>
                    <w14:schemeClr w14:val="tx1"/>
                  </w14:solidFill>
                </w14:textFill>
              </w:rPr>
              <w:t>≤</w:t>
            </w:r>
            <w:r>
              <w:rPr>
                <w:rFonts w:ascii="宋体" w:hAnsi="宋体" w:cs="宋体"/>
                <w:color w:val="000000" w:themeColor="text1"/>
                <w:kern w:val="0"/>
                <w:sz w:val="18"/>
                <w:szCs w:val="18"/>
                <w:highlight w:val="none"/>
                <w14:textFill>
                  <w14:solidFill>
                    <w14:schemeClr w14:val="tx1"/>
                  </w14:solidFill>
                </w14:textFill>
              </w:rPr>
              <w:t>Y</w:t>
            </w:r>
            <w:r>
              <w:rPr>
                <w:rFonts w:hint="eastAsia" w:ascii="宋体" w:hAnsi="宋体" w:cs="宋体"/>
                <w:color w:val="000000" w:themeColor="text1"/>
                <w:kern w:val="0"/>
                <w:sz w:val="18"/>
                <w:szCs w:val="18"/>
                <w:highlight w:val="none"/>
                <w14:textFill>
                  <w14:solidFill>
                    <w14:schemeClr w14:val="tx1"/>
                  </w14:solidFill>
                </w14:textFill>
              </w:rPr>
              <w:t>＜</w:t>
            </w:r>
            <w:r>
              <w:rPr>
                <w:rFonts w:ascii="宋体" w:hAnsi="宋体" w:cs="宋体"/>
                <w:color w:val="000000" w:themeColor="text1"/>
                <w:kern w:val="0"/>
                <w:sz w:val="18"/>
                <w:szCs w:val="18"/>
                <w:highlight w:val="none"/>
                <w14:textFill>
                  <w14:solidFill>
                    <w14:schemeClr w14:val="tx1"/>
                  </w14:solidFill>
                </w14:textFill>
              </w:rPr>
              <w:t>500</w:t>
            </w:r>
          </w:p>
        </w:tc>
        <w:tc>
          <w:tcPr>
            <w:tcW w:w="1532" w:type="dxa"/>
            <w:tcBorders>
              <w:top w:val="nil"/>
              <w:left w:val="nil"/>
              <w:bottom w:val="single" w:color="auto" w:sz="4" w:space="0"/>
              <w:right w:val="single" w:color="auto" w:sz="4" w:space="0"/>
            </w:tcBorders>
            <w:vAlign w:val="center"/>
          </w:tcPr>
          <w:p w14:paraId="1320E857">
            <w:pPr>
              <w:widowControl/>
              <w:jc w:val="left"/>
              <w:rPr>
                <w:rFonts w:ascii="宋体"/>
                <w:color w:val="000000" w:themeColor="text1"/>
                <w:kern w:val="0"/>
                <w:sz w:val="18"/>
                <w:szCs w:val="18"/>
                <w:highlight w:val="none"/>
                <w14:textFill>
                  <w14:solidFill>
                    <w14:schemeClr w14:val="tx1"/>
                  </w14:solidFill>
                </w14:textFill>
              </w:rPr>
            </w:pPr>
            <w:r>
              <w:rPr>
                <w:rFonts w:ascii="宋体" w:hAnsi="宋体" w:cs="宋体"/>
                <w:color w:val="000000" w:themeColor="text1"/>
                <w:kern w:val="0"/>
                <w:sz w:val="18"/>
                <w:szCs w:val="18"/>
                <w:highlight w:val="none"/>
                <w14:textFill>
                  <w14:solidFill>
                    <w14:schemeClr w14:val="tx1"/>
                  </w14:solidFill>
                </w14:textFill>
              </w:rPr>
              <w:t>Y</w:t>
            </w:r>
            <w:r>
              <w:rPr>
                <w:rFonts w:hint="eastAsia" w:ascii="宋体" w:hAnsi="宋体" w:cs="宋体"/>
                <w:color w:val="000000" w:themeColor="text1"/>
                <w:kern w:val="0"/>
                <w:sz w:val="18"/>
                <w:szCs w:val="18"/>
                <w:highlight w:val="none"/>
                <w14:textFill>
                  <w14:solidFill>
                    <w14:schemeClr w14:val="tx1"/>
                  </w14:solidFill>
                </w14:textFill>
              </w:rPr>
              <w:t>＜</w:t>
            </w:r>
            <w:r>
              <w:rPr>
                <w:rFonts w:ascii="宋体" w:hAnsi="宋体" w:cs="宋体"/>
                <w:color w:val="000000" w:themeColor="text1"/>
                <w:kern w:val="0"/>
                <w:sz w:val="18"/>
                <w:szCs w:val="18"/>
                <w:highlight w:val="none"/>
                <w14:textFill>
                  <w14:solidFill>
                    <w14:schemeClr w14:val="tx1"/>
                  </w14:solidFill>
                </w14:textFill>
              </w:rPr>
              <w:t>100</w:t>
            </w:r>
          </w:p>
        </w:tc>
      </w:tr>
      <w:tr w14:paraId="6B983943">
        <w:tblPrEx>
          <w:tblCellMar>
            <w:top w:w="0" w:type="dxa"/>
            <w:left w:w="108" w:type="dxa"/>
            <w:bottom w:w="0" w:type="dxa"/>
            <w:right w:w="108" w:type="dxa"/>
          </w:tblCellMar>
        </w:tblPrEx>
        <w:trPr>
          <w:trHeight w:val="340" w:hRule="atLeast"/>
          <w:jc w:val="center"/>
        </w:trPr>
        <w:tc>
          <w:tcPr>
            <w:tcW w:w="2004" w:type="dxa"/>
            <w:vMerge w:val="restart"/>
            <w:tcBorders>
              <w:top w:val="nil"/>
              <w:left w:val="single" w:color="auto" w:sz="4" w:space="0"/>
              <w:bottom w:val="single" w:color="auto" w:sz="4" w:space="0"/>
              <w:right w:val="single" w:color="auto" w:sz="4" w:space="0"/>
            </w:tcBorders>
            <w:vAlign w:val="center"/>
          </w:tcPr>
          <w:p w14:paraId="0B9FB8AD">
            <w:pPr>
              <w:widowControl/>
              <w:jc w:val="center"/>
              <w:rPr>
                <w:rFonts w:ascii="宋体"/>
                <w:b/>
                <w:bCs/>
                <w:color w:val="000000" w:themeColor="text1"/>
                <w:kern w:val="0"/>
                <w:sz w:val="18"/>
                <w:szCs w:val="18"/>
                <w:highlight w:val="none"/>
                <w14:textFill>
                  <w14:solidFill>
                    <w14:schemeClr w14:val="tx1"/>
                  </w14:solidFill>
                </w14:textFill>
              </w:rPr>
            </w:pPr>
            <w:r>
              <w:rPr>
                <w:rFonts w:hint="eastAsia" w:ascii="宋体" w:hAnsi="宋体" w:cs="宋体"/>
                <w:b/>
                <w:bCs/>
                <w:color w:val="000000" w:themeColor="text1"/>
                <w:kern w:val="0"/>
                <w:sz w:val="18"/>
                <w:szCs w:val="18"/>
                <w:highlight w:val="none"/>
                <w14:textFill>
                  <w14:solidFill>
                    <w14:schemeClr w14:val="tx1"/>
                  </w14:solidFill>
                </w14:textFill>
              </w:rPr>
              <w:t>交通运输业</w:t>
            </w:r>
          </w:p>
        </w:tc>
        <w:tc>
          <w:tcPr>
            <w:tcW w:w="1384" w:type="dxa"/>
            <w:tcBorders>
              <w:top w:val="nil"/>
              <w:left w:val="nil"/>
              <w:bottom w:val="single" w:color="auto" w:sz="4" w:space="0"/>
              <w:right w:val="single" w:color="auto" w:sz="4" w:space="0"/>
            </w:tcBorders>
            <w:vAlign w:val="center"/>
          </w:tcPr>
          <w:p w14:paraId="6767BC37">
            <w:pPr>
              <w:widowControl/>
              <w:jc w:val="left"/>
              <w:rPr>
                <w:rFonts w:ascii="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从业人员（</w:t>
            </w:r>
            <w:r>
              <w:rPr>
                <w:rFonts w:ascii="宋体" w:hAnsi="宋体" w:cs="宋体"/>
                <w:color w:val="000000" w:themeColor="text1"/>
                <w:kern w:val="0"/>
                <w:sz w:val="18"/>
                <w:szCs w:val="18"/>
                <w:highlight w:val="none"/>
                <w14:textFill>
                  <w14:solidFill>
                    <w14:schemeClr w14:val="tx1"/>
                  </w14:solidFill>
                </w14:textFill>
              </w:rPr>
              <w:t>X</w:t>
            </w:r>
            <w:r>
              <w:rPr>
                <w:rFonts w:hint="eastAsia" w:ascii="宋体" w:hAnsi="宋体" w:cs="宋体"/>
                <w:color w:val="000000" w:themeColor="text1"/>
                <w:kern w:val="0"/>
                <w:sz w:val="18"/>
                <w:szCs w:val="18"/>
                <w:highlight w:val="none"/>
                <w14:textFill>
                  <w14:solidFill>
                    <w14:schemeClr w14:val="tx1"/>
                  </w14:solidFill>
                </w14:textFill>
              </w:rPr>
              <w:t>）</w:t>
            </w:r>
          </w:p>
        </w:tc>
        <w:tc>
          <w:tcPr>
            <w:tcW w:w="913" w:type="dxa"/>
            <w:tcBorders>
              <w:top w:val="nil"/>
              <w:left w:val="nil"/>
              <w:bottom w:val="single" w:color="auto" w:sz="4" w:space="0"/>
              <w:right w:val="single" w:color="auto" w:sz="4" w:space="0"/>
            </w:tcBorders>
            <w:vAlign w:val="center"/>
          </w:tcPr>
          <w:p w14:paraId="739C569B">
            <w:pPr>
              <w:widowControl/>
              <w:jc w:val="left"/>
              <w:rPr>
                <w:rFonts w:ascii="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人</w:t>
            </w:r>
          </w:p>
        </w:tc>
        <w:tc>
          <w:tcPr>
            <w:tcW w:w="1620" w:type="dxa"/>
            <w:tcBorders>
              <w:top w:val="nil"/>
              <w:left w:val="nil"/>
              <w:bottom w:val="single" w:color="auto" w:sz="4" w:space="0"/>
              <w:right w:val="single" w:color="auto" w:sz="4" w:space="0"/>
            </w:tcBorders>
            <w:vAlign w:val="center"/>
          </w:tcPr>
          <w:p w14:paraId="6DAFA537">
            <w:pPr>
              <w:widowControl/>
              <w:jc w:val="left"/>
              <w:rPr>
                <w:rFonts w:ascii="宋体"/>
                <w:color w:val="000000" w:themeColor="text1"/>
                <w:kern w:val="0"/>
                <w:sz w:val="18"/>
                <w:szCs w:val="18"/>
                <w:highlight w:val="none"/>
                <w14:textFill>
                  <w14:solidFill>
                    <w14:schemeClr w14:val="tx1"/>
                  </w14:solidFill>
                </w14:textFill>
              </w:rPr>
            </w:pPr>
            <w:r>
              <w:rPr>
                <w:rFonts w:ascii="宋体" w:hAnsi="宋体" w:cs="宋体"/>
                <w:color w:val="000000" w:themeColor="text1"/>
                <w:kern w:val="0"/>
                <w:sz w:val="18"/>
                <w:szCs w:val="18"/>
                <w:highlight w:val="none"/>
                <w14:textFill>
                  <w14:solidFill>
                    <w14:schemeClr w14:val="tx1"/>
                  </w14:solidFill>
                </w14:textFill>
              </w:rPr>
              <w:t>300</w:t>
            </w:r>
            <w:r>
              <w:rPr>
                <w:rFonts w:hint="eastAsia" w:ascii="宋体" w:hAnsi="宋体" w:cs="宋体"/>
                <w:color w:val="000000" w:themeColor="text1"/>
                <w:kern w:val="0"/>
                <w:sz w:val="18"/>
                <w:szCs w:val="18"/>
                <w:highlight w:val="none"/>
                <w14:textFill>
                  <w14:solidFill>
                    <w14:schemeClr w14:val="tx1"/>
                  </w14:solidFill>
                </w14:textFill>
              </w:rPr>
              <w:t>≤</w:t>
            </w:r>
            <w:r>
              <w:rPr>
                <w:rFonts w:ascii="宋体" w:hAnsi="宋体" w:cs="宋体"/>
                <w:color w:val="000000" w:themeColor="text1"/>
                <w:kern w:val="0"/>
                <w:sz w:val="18"/>
                <w:szCs w:val="18"/>
                <w:highlight w:val="none"/>
                <w14:textFill>
                  <w14:solidFill>
                    <w14:schemeClr w14:val="tx1"/>
                  </w14:solidFill>
                </w14:textFill>
              </w:rPr>
              <w:t>X</w:t>
            </w:r>
            <w:r>
              <w:rPr>
                <w:rFonts w:hint="eastAsia" w:ascii="宋体" w:hAnsi="宋体" w:cs="宋体"/>
                <w:color w:val="000000" w:themeColor="text1"/>
                <w:kern w:val="0"/>
                <w:sz w:val="18"/>
                <w:szCs w:val="18"/>
                <w:highlight w:val="none"/>
                <w14:textFill>
                  <w14:solidFill>
                    <w14:schemeClr w14:val="tx1"/>
                  </w14:solidFill>
                </w14:textFill>
              </w:rPr>
              <w:t>＜</w:t>
            </w:r>
            <w:r>
              <w:rPr>
                <w:rFonts w:ascii="宋体" w:hAnsi="宋体" w:cs="宋体"/>
                <w:color w:val="000000" w:themeColor="text1"/>
                <w:kern w:val="0"/>
                <w:sz w:val="18"/>
                <w:szCs w:val="18"/>
                <w:highlight w:val="none"/>
                <w14:textFill>
                  <w14:solidFill>
                    <w14:schemeClr w14:val="tx1"/>
                  </w14:solidFill>
                </w14:textFill>
              </w:rPr>
              <w:t>1000</w:t>
            </w:r>
          </w:p>
        </w:tc>
        <w:tc>
          <w:tcPr>
            <w:tcW w:w="1440" w:type="dxa"/>
            <w:tcBorders>
              <w:top w:val="nil"/>
              <w:left w:val="nil"/>
              <w:bottom w:val="single" w:color="auto" w:sz="4" w:space="0"/>
              <w:right w:val="single" w:color="auto" w:sz="4" w:space="0"/>
            </w:tcBorders>
            <w:vAlign w:val="center"/>
          </w:tcPr>
          <w:p w14:paraId="0DD3AEA3">
            <w:pPr>
              <w:widowControl/>
              <w:jc w:val="left"/>
              <w:rPr>
                <w:rFonts w:ascii="宋体"/>
                <w:color w:val="000000" w:themeColor="text1"/>
                <w:kern w:val="0"/>
                <w:sz w:val="18"/>
                <w:szCs w:val="18"/>
                <w:highlight w:val="none"/>
                <w14:textFill>
                  <w14:solidFill>
                    <w14:schemeClr w14:val="tx1"/>
                  </w14:solidFill>
                </w14:textFill>
              </w:rPr>
            </w:pPr>
            <w:r>
              <w:rPr>
                <w:rFonts w:ascii="宋体" w:hAnsi="宋体" w:cs="宋体"/>
                <w:color w:val="000000" w:themeColor="text1"/>
                <w:kern w:val="0"/>
                <w:sz w:val="18"/>
                <w:szCs w:val="18"/>
                <w:highlight w:val="none"/>
                <w14:textFill>
                  <w14:solidFill>
                    <w14:schemeClr w14:val="tx1"/>
                  </w14:solidFill>
                </w14:textFill>
              </w:rPr>
              <w:t>20</w:t>
            </w:r>
            <w:r>
              <w:rPr>
                <w:rFonts w:hint="eastAsia" w:ascii="宋体" w:hAnsi="宋体" w:cs="宋体"/>
                <w:color w:val="000000" w:themeColor="text1"/>
                <w:kern w:val="0"/>
                <w:sz w:val="18"/>
                <w:szCs w:val="18"/>
                <w:highlight w:val="none"/>
                <w14:textFill>
                  <w14:solidFill>
                    <w14:schemeClr w14:val="tx1"/>
                  </w14:solidFill>
                </w14:textFill>
              </w:rPr>
              <w:t>≤</w:t>
            </w:r>
            <w:r>
              <w:rPr>
                <w:rFonts w:ascii="宋体" w:hAnsi="宋体" w:cs="宋体"/>
                <w:color w:val="000000" w:themeColor="text1"/>
                <w:kern w:val="0"/>
                <w:sz w:val="18"/>
                <w:szCs w:val="18"/>
                <w:highlight w:val="none"/>
                <w14:textFill>
                  <w14:solidFill>
                    <w14:schemeClr w14:val="tx1"/>
                  </w14:solidFill>
                </w14:textFill>
              </w:rPr>
              <w:t>X</w:t>
            </w:r>
            <w:r>
              <w:rPr>
                <w:rFonts w:hint="eastAsia" w:ascii="宋体" w:hAnsi="宋体" w:cs="宋体"/>
                <w:color w:val="000000" w:themeColor="text1"/>
                <w:kern w:val="0"/>
                <w:sz w:val="18"/>
                <w:szCs w:val="18"/>
                <w:highlight w:val="none"/>
                <w14:textFill>
                  <w14:solidFill>
                    <w14:schemeClr w14:val="tx1"/>
                  </w14:solidFill>
                </w14:textFill>
              </w:rPr>
              <w:t>＜</w:t>
            </w:r>
            <w:r>
              <w:rPr>
                <w:rFonts w:ascii="宋体" w:hAnsi="宋体" w:cs="宋体"/>
                <w:color w:val="000000" w:themeColor="text1"/>
                <w:kern w:val="0"/>
                <w:sz w:val="18"/>
                <w:szCs w:val="18"/>
                <w:highlight w:val="none"/>
                <w14:textFill>
                  <w14:solidFill>
                    <w14:schemeClr w14:val="tx1"/>
                  </w14:solidFill>
                </w14:textFill>
              </w:rPr>
              <w:t>300</w:t>
            </w:r>
          </w:p>
        </w:tc>
        <w:tc>
          <w:tcPr>
            <w:tcW w:w="1532" w:type="dxa"/>
            <w:tcBorders>
              <w:top w:val="nil"/>
              <w:left w:val="nil"/>
              <w:bottom w:val="single" w:color="auto" w:sz="4" w:space="0"/>
              <w:right w:val="single" w:color="auto" w:sz="4" w:space="0"/>
            </w:tcBorders>
            <w:vAlign w:val="center"/>
          </w:tcPr>
          <w:p w14:paraId="2FC097ED">
            <w:pPr>
              <w:widowControl/>
              <w:jc w:val="left"/>
              <w:rPr>
                <w:rFonts w:ascii="宋体"/>
                <w:color w:val="000000" w:themeColor="text1"/>
                <w:kern w:val="0"/>
                <w:sz w:val="18"/>
                <w:szCs w:val="18"/>
                <w:highlight w:val="none"/>
                <w14:textFill>
                  <w14:solidFill>
                    <w14:schemeClr w14:val="tx1"/>
                  </w14:solidFill>
                </w14:textFill>
              </w:rPr>
            </w:pPr>
            <w:r>
              <w:rPr>
                <w:rFonts w:ascii="宋体" w:hAnsi="宋体" w:cs="宋体"/>
                <w:color w:val="000000" w:themeColor="text1"/>
                <w:kern w:val="0"/>
                <w:sz w:val="18"/>
                <w:szCs w:val="18"/>
                <w:highlight w:val="none"/>
                <w14:textFill>
                  <w14:solidFill>
                    <w14:schemeClr w14:val="tx1"/>
                  </w14:solidFill>
                </w14:textFill>
              </w:rPr>
              <w:t>X</w:t>
            </w:r>
            <w:r>
              <w:rPr>
                <w:rFonts w:hint="eastAsia" w:ascii="宋体" w:hAnsi="宋体" w:cs="宋体"/>
                <w:color w:val="000000" w:themeColor="text1"/>
                <w:kern w:val="0"/>
                <w:sz w:val="18"/>
                <w:szCs w:val="18"/>
                <w:highlight w:val="none"/>
                <w14:textFill>
                  <w14:solidFill>
                    <w14:schemeClr w14:val="tx1"/>
                  </w14:solidFill>
                </w14:textFill>
              </w:rPr>
              <w:t>＜</w:t>
            </w:r>
            <w:r>
              <w:rPr>
                <w:rFonts w:ascii="宋体" w:hAnsi="宋体" w:cs="宋体"/>
                <w:color w:val="000000" w:themeColor="text1"/>
                <w:kern w:val="0"/>
                <w:sz w:val="18"/>
                <w:szCs w:val="18"/>
                <w:highlight w:val="none"/>
                <w14:textFill>
                  <w14:solidFill>
                    <w14:schemeClr w14:val="tx1"/>
                  </w14:solidFill>
                </w14:textFill>
              </w:rPr>
              <w:t>20</w:t>
            </w:r>
          </w:p>
        </w:tc>
      </w:tr>
      <w:tr w14:paraId="7289E685">
        <w:tblPrEx>
          <w:tblCellMar>
            <w:top w:w="0" w:type="dxa"/>
            <w:left w:w="108" w:type="dxa"/>
            <w:bottom w:w="0" w:type="dxa"/>
            <w:right w:w="108" w:type="dxa"/>
          </w:tblCellMar>
        </w:tblPrEx>
        <w:trPr>
          <w:trHeight w:val="340" w:hRule="atLeast"/>
          <w:jc w:val="center"/>
        </w:trPr>
        <w:tc>
          <w:tcPr>
            <w:tcW w:w="2004" w:type="dxa"/>
            <w:vMerge w:val="continue"/>
            <w:tcBorders>
              <w:top w:val="nil"/>
              <w:left w:val="single" w:color="auto" w:sz="4" w:space="0"/>
              <w:bottom w:val="single" w:color="auto" w:sz="4" w:space="0"/>
              <w:right w:val="single" w:color="auto" w:sz="4" w:space="0"/>
            </w:tcBorders>
            <w:vAlign w:val="center"/>
          </w:tcPr>
          <w:p w14:paraId="55E86A39">
            <w:pPr>
              <w:widowControl/>
              <w:jc w:val="center"/>
              <w:rPr>
                <w:rFonts w:ascii="宋体"/>
                <w:b/>
                <w:bCs/>
                <w:color w:val="000000" w:themeColor="text1"/>
                <w:kern w:val="0"/>
                <w:sz w:val="18"/>
                <w:szCs w:val="18"/>
                <w:highlight w:val="none"/>
                <w14:textFill>
                  <w14:solidFill>
                    <w14:schemeClr w14:val="tx1"/>
                  </w14:solidFill>
                </w14:textFill>
              </w:rPr>
            </w:pPr>
          </w:p>
        </w:tc>
        <w:tc>
          <w:tcPr>
            <w:tcW w:w="1384" w:type="dxa"/>
            <w:tcBorders>
              <w:top w:val="nil"/>
              <w:left w:val="nil"/>
              <w:bottom w:val="single" w:color="auto" w:sz="4" w:space="0"/>
              <w:right w:val="single" w:color="auto" w:sz="4" w:space="0"/>
            </w:tcBorders>
            <w:vAlign w:val="center"/>
          </w:tcPr>
          <w:p w14:paraId="6925396B">
            <w:pPr>
              <w:widowControl/>
              <w:jc w:val="left"/>
              <w:rPr>
                <w:rFonts w:ascii="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营业收入（</w:t>
            </w:r>
            <w:r>
              <w:rPr>
                <w:rFonts w:ascii="宋体" w:hAnsi="宋体" w:cs="宋体"/>
                <w:color w:val="000000" w:themeColor="text1"/>
                <w:kern w:val="0"/>
                <w:sz w:val="18"/>
                <w:szCs w:val="18"/>
                <w:highlight w:val="none"/>
                <w14:textFill>
                  <w14:solidFill>
                    <w14:schemeClr w14:val="tx1"/>
                  </w14:solidFill>
                </w14:textFill>
              </w:rPr>
              <w:t>Y</w:t>
            </w:r>
            <w:r>
              <w:rPr>
                <w:rFonts w:hint="eastAsia" w:ascii="宋体" w:hAnsi="宋体" w:cs="宋体"/>
                <w:color w:val="000000" w:themeColor="text1"/>
                <w:kern w:val="0"/>
                <w:sz w:val="18"/>
                <w:szCs w:val="18"/>
                <w:highlight w:val="none"/>
                <w14:textFill>
                  <w14:solidFill>
                    <w14:schemeClr w14:val="tx1"/>
                  </w14:solidFill>
                </w14:textFill>
              </w:rPr>
              <w:t>）</w:t>
            </w:r>
          </w:p>
        </w:tc>
        <w:tc>
          <w:tcPr>
            <w:tcW w:w="913" w:type="dxa"/>
            <w:tcBorders>
              <w:top w:val="nil"/>
              <w:left w:val="nil"/>
              <w:bottom w:val="single" w:color="auto" w:sz="4" w:space="0"/>
              <w:right w:val="single" w:color="auto" w:sz="4" w:space="0"/>
            </w:tcBorders>
            <w:vAlign w:val="center"/>
          </w:tcPr>
          <w:p w14:paraId="2496F467">
            <w:pPr>
              <w:widowControl/>
              <w:jc w:val="left"/>
              <w:rPr>
                <w:rFonts w:ascii="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万元</w:t>
            </w:r>
          </w:p>
        </w:tc>
        <w:tc>
          <w:tcPr>
            <w:tcW w:w="1620" w:type="dxa"/>
            <w:tcBorders>
              <w:top w:val="nil"/>
              <w:left w:val="nil"/>
              <w:bottom w:val="single" w:color="auto" w:sz="4" w:space="0"/>
              <w:right w:val="single" w:color="auto" w:sz="4" w:space="0"/>
            </w:tcBorders>
            <w:vAlign w:val="center"/>
          </w:tcPr>
          <w:p w14:paraId="38DF3B4F">
            <w:pPr>
              <w:widowControl/>
              <w:jc w:val="left"/>
              <w:rPr>
                <w:rFonts w:ascii="宋体"/>
                <w:color w:val="000000" w:themeColor="text1"/>
                <w:kern w:val="0"/>
                <w:sz w:val="18"/>
                <w:szCs w:val="18"/>
                <w:highlight w:val="none"/>
                <w14:textFill>
                  <w14:solidFill>
                    <w14:schemeClr w14:val="tx1"/>
                  </w14:solidFill>
                </w14:textFill>
              </w:rPr>
            </w:pPr>
            <w:r>
              <w:rPr>
                <w:rFonts w:ascii="宋体" w:hAnsi="宋体" w:cs="宋体"/>
                <w:color w:val="000000" w:themeColor="text1"/>
                <w:kern w:val="0"/>
                <w:sz w:val="18"/>
                <w:szCs w:val="18"/>
                <w:highlight w:val="none"/>
                <w14:textFill>
                  <w14:solidFill>
                    <w14:schemeClr w14:val="tx1"/>
                  </w14:solidFill>
                </w14:textFill>
              </w:rPr>
              <w:t>3000</w:t>
            </w:r>
            <w:r>
              <w:rPr>
                <w:rFonts w:hint="eastAsia" w:ascii="宋体" w:hAnsi="宋体" w:cs="宋体"/>
                <w:color w:val="000000" w:themeColor="text1"/>
                <w:kern w:val="0"/>
                <w:sz w:val="18"/>
                <w:szCs w:val="18"/>
                <w:highlight w:val="none"/>
                <w14:textFill>
                  <w14:solidFill>
                    <w14:schemeClr w14:val="tx1"/>
                  </w14:solidFill>
                </w14:textFill>
              </w:rPr>
              <w:t>≤</w:t>
            </w:r>
            <w:r>
              <w:rPr>
                <w:rFonts w:ascii="宋体" w:hAnsi="宋体" w:cs="宋体"/>
                <w:color w:val="000000" w:themeColor="text1"/>
                <w:kern w:val="0"/>
                <w:sz w:val="18"/>
                <w:szCs w:val="18"/>
                <w:highlight w:val="none"/>
                <w14:textFill>
                  <w14:solidFill>
                    <w14:schemeClr w14:val="tx1"/>
                  </w14:solidFill>
                </w14:textFill>
              </w:rPr>
              <w:t>Y</w:t>
            </w:r>
            <w:r>
              <w:rPr>
                <w:rFonts w:hint="eastAsia" w:ascii="宋体" w:hAnsi="宋体" w:cs="宋体"/>
                <w:color w:val="000000" w:themeColor="text1"/>
                <w:kern w:val="0"/>
                <w:sz w:val="18"/>
                <w:szCs w:val="18"/>
                <w:highlight w:val="none"/>
                <w14:textFill>
                  <w14:solidFill>
                    <w14:schemeClr w14:val="tx1"/>
                  </w14:solidFill>
                </w14:textFill>
              </w:rPr>
              <w:t>＜</w:t>
            </w:r>
            <w:r>
              <w:rPr>
                <w:rFonts w:ascii="宋体" w:hAnsi="宋体" w:cs="宋体"/>
                <w:color w:val="000000" w:themeColor="text1"/>
                <w:kern w:val="0"/>
                <w:sz w:val="18"/>
                <w:szCs w:val="18"/>
                <w:highlight w:val="none"/>
                <w14:textFill>
                  <w14:solidFill>
                    <w14:schemeClr w14:val="tx1"/>
                  </w14:solidFill>
                </w14:textFill>
              </w:rPr>
              <w:t>30000</w:t>
            </w:r>
          </w:p>
        </w:tc>
        <w:tc>
          <w:tcPr>
            <w:tcW w:w="1440" w:type="dxa"/>
            <w:tcBorders>
              <w:top w:val="nil"/>
              <w:left w:val="nil"/>
              <w:bottom w:val="single" w:color="auto" w:sz="4" w:space="0"/>
              <w:right w:val="single" w:color="auto" w:sz="4" w:space="0"/>
            </w:tcBorders>
            <w:vAlign w:val="center"/>
          </w:tcPr>
          <w:p w14:paraId="05530E59">
            <w:pPr>
              <w:widowControl/>
              <w:jc w:val="left"/>
              <w:rPr>
                <w:rFonts w:ascii="宋体"/>
                <w:color w:val="000000" w:themeColor="text1"/>
                <w:kern w:val="0"/>
                <w:sz w:val="18"/>
                <w:szCs w:val="18"/>
                <w:highlight w:val="none"/>
                <w14:textFill>
                  <w14:solidFill>
                    <w14:schemeClr w14:val="tx1"/>
                  </w14:solidFill>
                </w14:textFill>
              </w:rPr>
            </w:pPr>
            <w:r>
              <w:rPr>
                <w:rFonts w:ascii="宋体" w:hAnsi="宋体" w:cs="宋体"/>
                <w:color w:val="000000" w:themeColor="text1"/>
                <w:kern w:val="0"/>
                <w:sz w:val="18"/>
                <w:szCs w:val="18"/>
                <w:highlight w:val="none"/>
                <w14:textFill>
                  <w14:solidFill>
                    <w14:schemeClr w14:val="tx1"/>
                  </w14:solidFill>
                </w14:textFill>
              </w:rPr>
              <w:t>200</w:t>
            </w:r>
            <w:r>
              <w:rPr>
                <w:rFonts w:hint="eastAsia" w:ascii="宋体" w:hAnsi="宋体" w:cs="宋体"/>
                <w:color w:val="000000" w:themeColor="text1"/>
                <w:kern w:val="0"/>
                <w:sz w:val="18"/>
                <w:szCs w:val="18"/>
                <w:highlight w:val="none"/>
                <w14:textFill>
                  <w14:solidFill>
                    <w14:schemeClr w14:val="tx1"/>
                  </w14:solidFill>
                </w14:textFill>
              </w:rPr>
              <w:t>≤</w:t>
            </w:r>
            <w:r>
              <w:rPr>
                <w:rFonts w:ascii="宋体" w:hAnsi="宋体" w:cs="宋体"/>
                <w:color w:val="000000" w:themeColor="text1"/>
                <w:kern w:val="0"/>
                <w:sz w:val="18"/>
                <w:szCs w:val="18"/>
                <w:highlight w:val="none"/>
                <w14:textFill>
                  <w14:solidFill>
                    <w14:schemeClr w14:val="tx1"/>
                  </w14:solidFill>
                </w14:textFill>
              </w:rPr>
              <w:t>Y</w:t>
            </w:r>
            <w:r>
              <w:rPr>
                <w:rFonts w:hint="eastAsia" w:ascii="宋体" w:hAnsi="宋体" w:cs="宋体"/>
                <w:color w:val="000000" w:themeColor="text1"/>
                <w:kern w:val="0"/>
                <w:sz w:val="18"/>
                <w:szCs w:val="18"/>
                <w:highlight w:val="none"/>
                <w14:textFill>
                  <w14:solidFill>
                    <w14:schemeClr w14:val="tx1"/>
                  </w14:solidFill>
                </w14:textFill>
              </w:rPr>
              <w:t>＜</w:t>
            </w:r>
            <w:r>
              <w:rPr>
                <w:rFonts w:ascii="宋体" w:hAnsi="宋体" w:cs="宋体"/>
                <w:color w:val="000000" w:themeColor="text1"/>
                <w:kern w:val="0"/>
                <w:sz w:val="18"/>
                <w:szCs w:val="18"/>
                <w:highlight w:val="none"/>
                <w14:textFill>
                  <w14:solidFill>
                    <w14:schemeClr w14:val="tx1"/>
                  </w14:solidFill>
                </w14:textFill>
              </w:rPr>
              <w:t>3000</w:t>
            </w:r>
          </w:p>
        </w:tc>
        <w:tc>
          <w:tcPr>
            <w:tcW w:w="1532" w:type="dxa"/>
            <w:tcBorders>
              <w:top w:val="nil"/>
              <w:left w:val="nil"/>
              <w:bottom w:val="single" w:color="auto" w:sz="4" w:space="0"/>
              <w:right w:val="single" w:color="auto" w:sz="4" w:space="0"/>
            </w:tcBorders>
            <w:vAlign w:val="center"/>
          </w:tcPr>
          <w:p w14:paraId="5D3AEEEC">
            <w:pPr>
              <w:widowControl/>
              <w:jc w:val="left"/>
              <w:rPr>
                <w:rFonts w:ascii="宋体"/>
                <w:color w:val="000000" w:themeColor="text1"/>
                <w:kern w:val="0"/>
                <w:sz w:val="18"/>
                <w:szCs w:val="18"/>
                <w:highlight w:val="none"/>
                <w14:textFill>
                  <w14:solidFill>
                    <w14:schemeClr w14:val="tx1"/>
                  </w14:solidFill>
                </w14:textFill>
              </w:rPr>
            </w:pPr>
            <w:r>
              <w:rPr>
                <w:rFonts w:ascii="宋体" w:hAnsi="宋体" w:cs="宋体"/>
                <w:color w:val="000000" w:themeColor="text1"/>
                <w:kern w:val="0"/>
                <w:sz w:val="18"/>
                <w:szCs w:val="18"/>
                <w:highlight w:val="none"/>
                <w14:textFill>
                  <w14:solidFill>
                    <w14:schemeClr w14:val="tx1"/>
                  </w14:solidFill>
                </w14:textFill>
              </w:rPr>
              <w:t>Y</w:t>
            </w:r>
            <w:r>
              <w:rPr>
                <w:rFonts w:hint="eastAsia" w:ascii="宋体" w:hAnsi="宋体" w:cs="宋体"/>
                <w:color w:val="000000" w:themeColor="text1"/>
                <w:kern w:val="0"/>
                <w:sz w:val="18"/>
                <w:szCs w:val="18"/>
                <w:highlight w:val="none"/>
                <w14:textFill>
                  <w14:solidFill>
                    <w14:schemeClr w14:val="tx1"/>
                  </w14:solidFill>
                </w14:textFill>
              </w:rPr>
              <w:t>＜</w:t>
            </w:r>
            <w:r>
              <w:rPr>
                <w:rFonts w:ascii="宋体" w:hAnsi="宋体" w:cs="宋体"/>
                <w:color w:val="000000" w:themeColor="text1"/>
                <w:kern w:val="0"/>
                <w:sz w:val="18"/>
                <w:szCs w:val="18"/>
                <w:highlight w:val="none"/>
                <w14:textFill>
                  <w14:solidFill>
                    <w14:schemeClr w14:val="tx1"/>
                  </w14:solidFill>
                </w14:textFill>
              </w:rPr>
              <w:t>200</w:t>
            </w:r>
          </w:p>
        </w:tc>
      </w:tr>
      <w:tr w14:paraId="2DC4FA67">
        <w:tblPrEx>
          <w:tblCellMar>
            <w:top w:w="0" w:type="dxa"/>
            <w:left w:w="108" w:type="dxa"/>
            <w:bottom w:w="0" w:type="dxa"/>
            <w:right w:w="108" w:type="dxa"/>
          </w:tblCellMar>
        </w:tblPrEx>
        <w:trPr>
          <w:trHeight w:val="340" w:hRule="atLeast"/>
          <w:jc w:val="center"/>
        </w:trPr>
        <w:tc>
          <w:tcPr>
            <w:tcW w:w="2004" w:type="dxa"/>
            <w:vMerge w:val="restart"/>
            <w:tcBorders>
              <w:top w:val="nil"/>
              <w:left w:val="single" w:color="auto" w:sz="4" w:space="0"/>
              <w:bottom w:val="single" w:color="auto" w:sz="4" w:space="0"/>
              <w:right w:val="single" w:color="auto" w:sz="4" w:space="0"/>
            </w:tcBorders>
            <w:vAlign w:val="center"/>
          </w:tcPr>
          <w:p w14:paraId="647A937B">
            <w:pPr>
              <w:widowControl/>
              <w:jc w:val="center"/>
              <w:rPr>
                <w:rFonts w:ascii="宋体"/>
                <w:b/>
                <w:bCs/>
                <w:color w:val="000000" w:themeColor="text1"/>
                <w:kern w:val="0"/>
                <w:sz w:val="18"/>
                <w:szCs w:val="18"/>
                <w:highlight w:val="none"/>
                <w14:textFill>
                  <w14:solidFill>
                    <w14:schemeClr w14:val="tx1"/>
                  </w14:solidFill>
                </w14:textFill>
              </w:rPr>
            </w:pPr>
            <w:r>
              <w:rPr>
                <w:rFonts w:hint="eastAsia" w:ascii="宋体" w:hAnsi="宋体" w:cs="宋体"/>
                <w:b/>
                <w:bCs/>
                <w:color w:val="000000" w:themeColor="text1"/>
                <w:kern w:val="0"/>
                <w:sz w:val="18"/>
                <w:szCs w:val="18"/>
                <w:highlight w:val="none"/>
                <w14:textFill>
                  <w14:solidFill>
                    <w14:schemeClr w14:val="tx1"/>
                  </w14:solidFill>
                </w14:textFill>
              </w:rPr>
              <w:t>仓储业</w:t>
            </w:r>
          </w:p>
        </w:tc>
        <w:tc>
          <w:tcPr>
            <w:tcW w:w="1384" w:type="dxa"/>
            <w:tcBorders>
              <w:top w:val="nil"/>
              <w:left w:val="nil"/>
              <w:bottom w:val="single" w:color="auto" w:sz="4" w:space="0"/>
              <w:right w:val="single" w:color="auto" w:sz="4" w:space="0"/>
            </w:tcBorders>
            <w:vAlign w:val="center"/>
          </w:tcPr>
          <w:p w14:paraId="6214687A">
            <w:pPr>
              <w:widowControl/>
              <w:jc w:val="left"/>
              <w:rPr>
                <w:rFonts w:ascii="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从业人员（</w:t>
            </w:r>
            <w:r>
              <w:rPr>
                <w:rFonts w:ascii="宋体" w:hAnsi="宋体" w:cs="宋体"/>
                <w:color w:val="000000" w:themeColor="text1"/>
                <w:kern w:val="0"/>
                <w:sz w:val="18"/>
                <w:szCs w:val="18"/>
                <w:highlight w:val="none"/>
                <w14:textFill>
                  <w14:solidFill>
                    <w14:schemeClr w14:val="tx1"/>
                  </w14:solidFill>
                </w14:textFill>
              </w:rPr>
              <w:t>X</w:t>
            </w:r>
            <w:r>
              <w:rPr>
                <w:rFonts w:hint="eastAsia" w:ascii="宋体" w:hAnsi="宋体" w:cs="宋体"/>
                <w:color w:val="000000" w:themeColor="text1"/>
                <w:kern w:val="0"/>
                <w:sz w:val="18"/>
                <w:szCs w:val="18"/>
                <w:highlight w:val="none"/>
                <w14:textFill>
                  <w14:solidFill>
                    <w14:schemeClr w14:val="tx1"/>
                  </w14:solidFill>
                </w14:textFill>
              </w:rPr>
              <w:t>）</w:t>
            </w:r>
          </w:p>
        </w:tc>
        <w:tc>
          <w:tcPr>
            <w:tcW w:w="913" w:type="dxa"/>
            <w:tcBorders>
              <w:top w:val="nil"/>
              <w:left w:val="nil"/>
              <w:bottom w:val="single" w:color="auto" w:sz="4" w:space="0"/>
              <w:right w:val="single" w:color="auto" w:sz="4" w:space="0"/>
            </w:tcBorders>
            <w:vAlign w:val="center"/>
          </w:tcPr>
          <w:p w14:paraId="4483254C">
            <w:pPr>
              <w:widowControl/>
              <w:jc w:val="left"/>
              <w:rPr>
                <w:rFonts w:ascii="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人</w:t>
            </w:r>
          </w:p>
        </w:tc>
        <w:tc>
          <w:tcPr>
            <w:tcW w:w="1620" w:type="dxa"/>
            <w:tcBorders>
              <w:top w:val="nil"/>
              <w:left w:val="nil"/>
              <w:bottom w:val="single" w:color="auto" w:sz="4" w:space="0"/>
              <w:right w:val="single" w:color="auto" w:sz="4" w:space="0"/>
            </w:tcBorders>
            <w:vAlign w:val="center"/>
          </w:tcPr>
          <w:p w14:paraId="26746BB3">
            <w:pPr>
              <w:widowControl/>
              <w:jc w:val="left"/>
              <w:rPr>
                <w:rFonts w:ascii="宋体"/>
                <w:color w:val="000000" w:themeColor="text1"/>
                <w:kern w:val="0"/>
                <w:sz w:val="18"/>
                <w:szCs w:val="18"/>
                <w:highlight w:val="none"/>
                <w14:textFill>
                  <w14:solidFill>
                    <w14:schemeClr w14:val="tx1"/>
                  </w14:solidFill>
                </w14:textFill>
              </w:rPr>
            </w:pPr>
            <w:r>
              <w:rPr>
                <w:rFonts w:ascii="宋体" w:hAnsi="宋体" w:cs="宋体"/>
                <w:color w:val="000000" w:themeColor="text1"/>
                <w:kern w:val="0"/>
                <w:sz w:val="18"/>
                <w:szCs w:val="18"/>
                <w:highlight w:val="none"/>
                <w14:textFill>
                  <w14:solidFill>
                    <w14:schemeClr w14:val="tx1"/>
                  </w14:solidFill>
                </w14:textFill>
              </w:rPr>
              <w:t>100</w:t>
            </w:r>
            <w:r>
              <w:rPr>
                <w:rFonts w:hint="eastAsia" w:ascii="宋体" w:hAnsi="宋体" w:cs="宋体"/>
                <w:color w:val="000000" w:themeColor="text1"/>
                <w:kern w:val="0"/>
                <w:sz w:val="18"/>
                <w:szCs w:val="18"/>
                <w:highlight w:val="none"/>
                <w14:textFill>
                  <w14:solidFill>
                    <w14:schemeClr w14:val="tx1"/>
                  </w14:solidFill>
                </w14:textFill>
              </w:rPr>
              <w:t>≤</w:t>
            </w:r>
            <w:r>
              <w:rPr>
                <w:rFonts w:ascii="宋体" w:hAnsi="宋体" w:cs="宋体"/>
                <w:color w:val="000000" w:themeColor="text1"/>
                <w:kern w:val="0"/>
                <w:sz w:val="18"/>
                <w:szCs w:val="18"/>
                <w:highlight w:val="none"/>
                <w14:textFill>
                  <w14:solidFill>
                    <w14:schemeClr w14:val="tx1"/>
                  </w14:solidFill>
                </w14:textFill>
              </w:rPr>
              <w:t>X</w:t>
            </w:r>
            <w:r>
              <w:rPr>
                <w:rFonts w:hint="eastAsia" w:ascii="宋体" w:hAnsi="宋体" w:cs="宋体"/>
                <w:color w:val="000000" w:themeColor="text1"/>
                <w:kern w:val="0"/>
                <w:sz w:val="18"/>
                <w:szCs w:val="18"/>
                <w:highlight w:val="none"/>
                <w14:textFill>
                  <w14:solidFill>
                    <w14:schemeClr w14:val="tx1"/>
                  </w14:solidFill>
                </w14:textFill>
              </w:rPr>
              <w:t>＜</w:t>
            </w:r>
            <w:r>
              <w:rPr>
                <w:rFonts w:ascii="宋体" w:hAnsi="宋体" w:cs="宋体"/>
                <w:color w:val="000000" w:themeColor="text1"/>
                <w:kern w:val="0"/>
                <w:sz w:val="18"/>
                <w:szCs w:val="18"/>
                <w:highlight w:val="none"/>
                <w14:textFill>
                  <w14:solidFill>
                    <w14:schemeClr w14:val="tx1"/>
                  </w14:solidFill>
                </w14:textFill>
              </w:rPr>
              <w:t>200</w:t>
            </w:r>
          </w:p>
        </w:tc>
        <w:tc>
          <w:tcPr>
            <w:tcW w:w="1440" w:type="dxa"/>
            <w:tcBorders>
              <w:top w:val="nil"/>
              <w:left w:val="nil"/>
              <w:bottom w:val="single" w:color="auto" w:sz="4" w:space="0"/>
              <w:right w:val="single" w:color="auto" w:sz="4" w:space="0"/>
            </w:tcBorders>
            <w:vAlign w:val="center"/>
          </w:tcPr>
          <w:p w14:paraId="1DCF8144">
            <w:pPr>
              <w:widowControl/>
              <w:jc w:val="left"/>
              <w:rPr>
                <w:rFonts w:ascii="宋体"/>
                <w:color w:val="000000" w:themeColor="text1"/>
                <w:kern w:val="0"/>
                <w:sz w:val="18"/>
                <w:szCs w:val="18"/>
                <w:highlight w:val="none"/>
                <w14:textFill>
                  <w14:solidFill>
                    <w14:schemeClr w14:val="tx1"/>
                  </w14:solidFill>
                </w14:textFill>
              </w:rPr>
            </w:pPr>
            <w:r>
              <w:rPr>
                <w:rFonts w:ascii="宋体" w:hAnsi="宋体" w:cs="宋体"/>
                <w:color w:val="000000" w:themeColor="text1"/>
                <w:kern w:val="0"/>
                <w:sz w:val="18"/>
                <w:szCs w:val="18"/>
                <w:highlight w:val="none"/>
                <w14:textFill>
                  <w14:solidFill>
                    <w14:schemeClr w14:val="tx1"/>
                  </w14:solidFill>
                </w14:textFill>
              </w:rPr>
              <w:t>20</w:t>
            </w:r>
            <w:r>
              <w:rPr>
                <w:rFonts w:hint="eastAsia" w:ascii="宋体" w:hAnsi="宋体" w:cs="宋体"/>
                <w:color w:val="000000" w:themeColor="text1"/>
                <w:kern w:val="0"/>
                <w:sz w:val="18"/>
                <w:szCs w:val="18"/>
                <w:highlight w:val="none"/>
                <w14:textFill>
                  <w14:solidFill>
                    <w14:schemeClr w14:val="tx1"/>
                  </w14:solidFill>
                </w14:textFill>
              </w:rPr>
              <w:t>≤</w:t>
            </w:r>
            <w:r>
              <w:rPr>
                <w:rFonts w:ascii="宋体" w:hAnsi="宋体" w:cs="宋体"/>
                <w:color w:val="000000" w:themeColor="text1"/>
                <w:kern w:val="0"/>
                <w:sz w:val="18"/>
                <w:szCs w:val="18"/>
                <w:highlight w:val="none"/>
                <w14:textFill>
                  <w14:solidFill>
                    <w14:schemeClr w14:val="tx1"/>
                  </w14:solidFill>
                </w14:textFill>
              </w:rPr>
              <w:t>X</w:t>
            </w:r>
            <w:r>
              <w:rPr>
                <w:rFonts w:hint="eastAsia" w:ascii="宋体" w:hAnsi="宋体" w:cs="宋体"/>
                <w:color w:val="000000" w:themeColor="text1"/>
                <w:kern w:val="0"/>
                <w:sz w:val="18"/>
                <w:szCs w:val="18"/>
                <w:highlight w:val="none"/>
                <w14:textFill>
                  <w14:solidFill>
                    <w14:schemeClr w14:val="tx1"/>
                  </w14:solidFill>
                </w14:textFill>
              </w:rPr>
              <w:t>＜</w:t>
            </w:r>
            <w:r>
              <w:rPr>
                <w:rFonts w:ascii="宋体" w:hAnsi="宋体" w:cs="宋体"/>
                <w:color w:val="000000" w:themeColor="text1"/>
                <w:kern w:val="0"/>
                <w:sz w:val="18"/>
                <w:szCs w:val="18"/>
                <w:highlight w:val="none"/>
                <w14:textFill>
                  <w14:solidFill>
                    <w14:schemeClr w14:val="tx1"/>
                  </w14:solidFill>
                </w14:textFill>
              </w:rPr>
              <w:t>100</w:t>
            </w:r>
          </w:p>
        </w:tc>
        <w:tc>
          <w:tcPr>
            <w:tcW w:w="1532" w:type="dxa"/>
            <w:tcBorders>
              <w:top w:val="nil"/>
              <w:left w:val="nil"/>
              <w:bottom w:val="single" w:color="auto" w:sz="4" w:space="0"/>
              <w:right w:val="single" w:color="auto" w:sz="4" w:space="0"/>
            </w:tcBorders>
            <w:vAlign w:val="center"/>
          </w:tcPr>
          <w:p w14:paraId="2B0ECD7A">
            <w:pPr>
              <w:widowControl/>
              <w:jc w:val="left"/>
              <w:rPr>
                <w:rFonts w:ascii="宋体"/>
                <w:color w:val="000000" w:themeColor="text1"/>
                <w:kern w:val="0"/>
                <w:sz w:val="18"/>
                <w:szCs w:val="18"/>
                <w:highlight w:val="none"/>
                <w14:textFill>
                  <w14:solidFill>
                    <w14:schemeClr w14:val="tx1"/>
                  </w14:solidFill>
                </w14:textFill>
              </w:rPr>
            </w:pPr>
            <w:r>
              <w:rPr>
                <w:rFonts w:ascii="宋体" w:hAnsi="宋体" w:cs="宋体"/>
                <w:color w:val="000000" w:themeColor="text1"/>
                <w:kern w:val="0"/>
                <w:sz w:val="18"/>
                <w:szCs w:val="18"/>
                <w:highlight w:val="none"/>
                <w14:textFill>
                  <w14:solidFill>
                    <w14:schemeClr w14:val="tx1"/>
                  </w14:solidFill>
                </w14:textFill>
              </w:rPr>
              <w:t>X</w:t>
            </w:r>
            <w:r>
              <w:rPr>
                <w:rFonts w:hint="eastAsia" w:ascii="宋体" w:hAnsi="宋体" w:cs="宋体"/>
                <w:color w:val="000000" w:themeColor="text1"/>
                <w:kern w:val="0"/>
                <w:sz w:val="18"/>
                <w:szCs w:val="18"/>
                <w:highlight w:val="none"/>
                <w14:textFill>
                  <w14:solidFill>
                    <w14:schemeClr w14:val="tx1"/>
                  </w14:solidFill>
                </w14:textFill>
              </w:rPr>
              <w:t>＜</w:t>
            </w:r>
            <w:r>
              <w:rPr>
                <w:rFonts w:ascii="宋体" w:hAnsi="宋体" w:cs="宋体"/>
                <w:color w:val="000000" w:themeColor="text1"/>
                <w:kern w:val="0"/>
                <w:sz w:val="18"/>
                <w:szCs w:val="18"/>
                <w:highlight w:val="none"/>
                <w14:textFill>
                  <w14:solidFill>
                    <w14:schemeClr w14:val="tx1"/>
                  </w14:solidFill>
                </w14:textFill>
              </w:rPr>
              <w:t>20</w:t>
            </w:r>
          </w:p>
        </w:tc>
      </w:tr>
      <w:tr w14:paraId="0FF893A2">
        <w:tblPrEx>
          <w:tblCellMar>
            <w:top w:w="0" w:type="dxa"/>
            <w:left w:w="108" w:type="dxa"/>
            <w:bottom w:w="0" w:type="dxa"/>
            <w:right w:w="108" w:type="dxa"/>
          </w:tblCellMar>
        </w:tblPrEx>
        <w:trPr>
          <w:trHeight w:val="340" w:hRule="atLeast"/>
          <w:jc w:val="center"/>
        </w:trPr>
        <w:tc>
          <w:tcPr>
            <w:tcW w:w="2004" w:type="dxa"/>
            <w:vMerge w:val="continue"/>
            <w:tcBorders>
              <w:top w:val="nil"/>
              <w:left w:val="single" w:color="auto" w:sz="4" w:space="0"/>
              <w:bottom w:val="single" w:color="auto" w:sz="4" w:space="0"/>
              <w:right w:val="single" w:color="auto" w:sz="4" w:space="0"/>
            </w:tcBorders>
            <w:vAlign w:val="center"/>
          </w:tcPr>
          <w:p w14:paraId="6C5FE7D2">
            <w:pPr>
              <w:widowControl/>
              <w:jc w:val="center"/>
              <w:rPr>
                <w:rFonts w:ascii="宋体"/>
                <w:b/>
                <w:bCs/>
                <w:color w:val="000000" w:themeColor="text1"/>
                <w:kern w:val="0"/>
                <w:sz w:val="18"/>
                <w:szCs w:val="18"/>
                <w:highlight w:val="none"/>
                <w14:textFill>
                  <w14:solidFill>
                    <w14:schemeClr w14:val="tx1"/>
                  </w14:solidFill>
                </w14:textFill>
              </w:rPr>
            </w:pPr>
          </w:p>
        </w:tc>
        <w:tc>
          <w:tcPr>
            <w:tcW w:w="1384" w:type="dxa"/>
            <w:tcBorders>
              <w:top w:val="nil"/>
              <w:left w:val="nil"/>
              <w:bottom w:val="single" w:color="auto" w:sz="4" w:space="0"/>
              <w:right w:val="single" w:color="auto" w:sz="4" w:space="0"/>
            </w:tcBorders>
            <w:vAlign w:val="center"/>
          </w:tcPr>
          <w:p w14:paraId="22C49666">
            <w:pPr>
              <w:widowControl/>
              <w:jc w:val="left"/>
              <w:rPr>
                <w:rFonts w:ascii="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营业收入（</w:t>
            </w:r>
            <w:r>
              <w:rPr>
                <w:rFonts w:ascii="宋体" w:hAnsi="宋体" w:cs="宋体"/>
                <w:color w:val="000000" w:themeColor="text1"/>
                <w:kern w:val="0"/>
                <w:sz w:val="18"/>
                <w:szCs w:val="18"/>
                <w:highlight w:val="none"/>
                <w14:textFill>
                  <w14:solidFill>
                    <w14:schemeClr w14:val="tx1"/>
                  </w14:solidFill>
                </w14:textFill>
              </w:rPr>
              <w:t>Y</w:t>
            </w:r>
            <w:r>
              <w:rPr>
                <w:rFonts w:hint="eastAsia" w:ascii="宋体" w:hAnsi="宋体" w:cs="宋体"/>
                <w:color w:val="000000" w:themeColor="text1"/>
                <w:kern w:val="0"/>
                <w:sz w:val="18"/>
                <w:szCs w:val="18"/>
                <w:highlight w:val="none"/>
                <w14:textFill>
                  <w14:solidFill>
                    <w14:schemeClr w14:val="tx1"/>
                  </w14:solidFill>
                </w14:textFill>
              </w:rPr>
              <w:t>）</w:t>
            </w:r>
          </w:p>
        </w:tc>
        <w:tc>
          <w:tcPr>
            <w:tcW w:w="913" w:type="dxa"/>
            <w:tcBorders>
              <w:top w:val="nil"/>
              <w:left w:val="nil"/>
              <w:bottom w:val="single" w:color="auto" w:sz="4" w:space="0"/>
              <w:right w:val="single" w:color="auto" w:sz="4" w:space="0"/>
            </w:tcBorders>
            <w:vAlign w:val="center"/>
          </w:tcPr>
          <w:p w14:paraId="248B960A">
            <w:pPr>
              <w:widowControl/>
              <w:jc w:val="left"/>
              <w:rPr>
                <w:rFonts w:ascii="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万元</w:t>
            </w:r>
          </w:p>
        </w:tc>
        <w:tc>
          <w:tcPr>
            <w:tcW w:w="1620" w:type="dxa"/>
            <w:tcBorders>
              <w:top w:val="nil"/>
              <w:left w:val="nil"/>
              <w:bottom w:val="single" w:color="auto" w:sz="4" w:space="0"/>
              <w:right w:val="single" w:color="auto" w:sz="4" w:space="0"/>
            </w:tcBorders>
            <w:vAlign w:val="center"/>
          </w:tcPr>
          <w:p w14:paraId="6034332C">
            <w:pPr>
              <w:widowControl/>
              <w:jc w:val="left"/>
              <w:rPr>
                <w:rFonts w:ascii="宋体"/>
                <w:color w:val="000000" w:themeColor="text1"/>
                <w:kern w:val="0"/>
                <w:sz w:val="18"/>
                <w:szCs w:val="18"/>
                <w:highlight w:val="none"/>
                <w14:textFill>
                  <w14:solidFill>
                    <w14:schemeClr w14:val="tx1"/>
                  </w14:solidFill>
                </w14:textFill>
              </w:rPr>
            </w:pPr>
            <w:r>
              <w:rPr>
                <w:rFonts w:ascii="宋体" w:hAnsi="宋体" w:cs="宋体"/>
                <w:color w:val="000000" w:themeColor="text1"/>
                <w:kern w:val="0"/>
                <w:sz w:val="18"/>
                <w:szCs w:val="18"/>
                <w:highlight w:val="none"/>
                <w14:textFill>
                  <w14:solidFill>
                    <w14:schemeClr w14:val="tx1"/>
                  </w14:solidFill>
                </w14:textFill>
              </w:rPr>
              <w:t>1000</w:t>
            </w:r>
            <w:r>
              <w:rPr>
                <w:rFonts w:hint="eastAsia" w:ascii="宋体" w:hAnsi="宋体" w:cs="宋体"/>
                <w:color w:val="000000" w:themeColor="text1"/>
                <w:kern w:val="0"/>
                <w:sz w:val="18"/>
                <w:szCs w:val="18"/>
                <w:highlight w:val="none"/>
                <w14:textFill>
                  <w14:solidFill>
                    <w14:schemeClr w14:val="tx1"/>
                  </w14:solidFill>
                </w14:textFill>
              </w:rPr>
              <w:t>≤</w:t>
            </w:r>
            <w:r>
              <w:rPr>
                <w:rFonts w:ascii="宋体" w:hAnsi="宋体" w:cs="宋体"/>
                <w:color w:val="000000" w:themeColor="text1"/>
                <w:kern w:val="0"/>
                <w:sz w:val="18"/>
                <w:szCs w:val="18"/>
                <w:highlight w:val="none"/>
                <w14:textFill>
                  <w14:solidFill>
                    <w14:schemeClr w14:val="tx1"/>
                  </w14:solidFill>
                </w14:textFill>
              </w:rPr>
              <w:t>Y</w:t>
            </w:r>
            <w:r>
              <w:rPr>
                <w:rFonts w:hint="eastAsia" w:ascii="宋体" w:hAnsi="宋体" w:cs="宋体"/>
                <w:color w:val="000000" w:themeColor="text1"/>
                <w:kern w:val="0"/>
                <w:sz w:val="18"/>
                <w:szCs w:val="18"/>
                <w:highlight w:val="none"/>
                <w14:textFill>
                  <w14:solidFill>
                    <w14:schemeClr w14:val="tx1"/>
                  </w14:solidFill>
                </w14:textFill>
              </w:rPr>
              <w:t>＜</w:t>
            </w:r>
            <w:r>
              <w:rPr>
                <w:rFonts w:ascii="宋体" w:hAnsi="宋体" w:cs="宋体"/>
                <w:color w:val="000000" w:themeColor="text1"/>
                <w:kern w:val="0"/>
                <w:sz w:val="18"/>
                <w:szCs w:val="18"/>
                <w:highlight w:val="none"/>
                <w14:textFill>
                  <w14:solidFill>
                    <w14:schemeClr w14:val="tx1"/>
                  </w14:solidFill>
                </w14:textFill>
              </w:rPr>
              <w:t>30000</w:t>
            </w:r>
          </w:p>
        </w:tc>
        <w:tc>
          <w:tcPr>
            <w:tcW w:w="1440" w:type="dxa"/>
            <w:tcBorders>
              <w:top w:val="nil"/>
              <w:left w:val="nil"/>
              <w:bottom w:val="single" w:color="auto" w:sz="4" w:space="0"/>
              <w:right w:val="single" w:color="auto" w:sz="4" w:space="0"/>
            </w:tcBorders>
            <w:vAlign w:val="center"/>
          </w:tcPr>
          <w:p w14:paraId="607FB937">
            <w:pPr>
              <w:widowControl/>
              <w:jc w:val="left"/>
              <w:rPr>
                <w:rFonts w:ascii="宋体"/>
                <w:color w:val="000000" w:themeColor="text1"/>
                <w:kern w:val="0"/>
                <w:sz w:val="18"/>
                <w:szCs w:val="18"/>
                <w:highlight w:val="none"/>
                <w14:textFill>
                  <w14:solidFill>
                    <w14:schemeClr w14:val="tx1"/>
                  </w14:solidFill>
                </w14:textFill>
              </w:rPr>
            </w:pPr>
            <w:r>
              <w:rPr>
                <w:rFonts w:ascii="宋体" w:hAnsi="宋体" w:cs="宋体"/>
                <w:color w:val="000000" w:themeColor="text1"/>
                <w:kern w:val="0"/>
                <w:sz w:val="18"/>
                <w:szCs w:val="18"/>
                <w:highlight w:val="none"/>
                <w14:textFill>
                  <w14:solidFill>
                    <w14:schemeClr w14:val="tx1"/>
                  </w14:solidFill>
                </w14:textFill>
              </w:rPr>
              <w:t>100</w:t>
            </w:r>
            <w:r>
              <w:rPr>
                <w:rFonts w:hint="eastAsia" w:ascii="宋体" w:hAnsi="宋体" w:cs="宋体"/>
                <w:color w:val="000000" w:themeColor="text1"/>
                <w:kern w:val="0"/>
                <w:sz w:val="18"/>
                <w:szCs w:val="18"/>
                <w:highlight w:val="none"/>
                <w14:textFill>
                  <w14:solidFill>
                    <w14:schemeClr w14:val="tx1"/>
                  </w14:solidFill>
                </w14:textFill>
              </w:rPr>
              <w:t>≤</w:t>
            </w:r>
            <w:r>
              <w:rPr>
                <w:rFonts w:ascii="宋体" w:hAnsi="宋体" w:cs="宋体"/>
                <w:color w:val="000000" w:themeColor="text1"/>
                <w:kern w:val="0"/>
                <w:sz w:val="18"/>
                <w:szCs w:val="18"/>
                <w:highlight w:val="none"/>
                <w14:textFill>
                  <w14:solidFill>
                    <w14:schemeClr w14:val="tx1"/>
                  </w14:solidFill>
                </w14:textFill>
              </w:rPr>
              <w:t>Y</w:t>
            </w:r>
            <w:r>
              <w:rPr>
                <w:rFonts w:hint="eastAsia" w:ascii="宋体" w:hAnsi="宋体" w:cs="宋体"/>
                <w:color w:val="000000" w:themeColor="text1"/>
                <w:kern w:val="0"/>
                <w:sz w:val="18"/>
                <w:szCs w:val="18"/>
                <w:highlight w:val="none"/>
                <w14:textFill>
                  <w14:solidFill>
                    <w14:schemeClr w14:val="tx1"/>
                  </w14:solidFill>
                </w14:textFill>
              </w:rPr>
              <w:t>＜</w:t>
            </w:r>
            <w:r>
              <w:rPr>
                <w:rFonts w:ascii="宋体" w:hAnsi="宋体" w:cs="宋体"/>
                <w:color w:val="000000" w:themeColor="text1"/>
                <w:kern w:val="0"/>
                <w:sz w:val="18"/>
                <w:szCs w:val="18"/>
                <w:highlight w:val="none"/>
                <w14:textFill>
                  <w14:solidFill>
                    <w14:schemeClr w14:val="tx1"/>
                  </w14:solidFill>
                </w14:textFill>
              </w:rPr>
              <w:t>1000</w:t>
            </w:r>
          </w:p>
        </w:tc>
        <w:tc>
          <w:tcPr>
            <w:tcW w:w="1532" w:type="dxa"/>
            <w:tcBorders>
              <w:top w:val="nil"/>
              <w:left w:val="nil"/>
              <w:bottom w:val="single" w:color="auto" w:sz="4" w:space="0"/>
              <w:right w:val="single" w:color="auto" w:sz="4" w:space="0"/>
            </w:tcBorders>
            <w:vAlign w:val="center"/>
          </w:tcPr>
          <w:p w14:paraId="126CCB86">
            <w:pPr>
              <w:widowControl/>
              <w:jc w:val="left"/>
              <w:rPr>
                <w:rFonts w:ascii="宋体"/>
                <w:color w:val="000000" w:themeColor="text1"/>
                <w:kern w:val="0"/>
                <w:sz w:val="18"/>
                <w:szCs w:val="18"/>
                <w:highlight w:val="none"/>
                <w14:textFill>
                  <w14:solidFill>
                    <w14:schemeClr w14:val="tx1"/>
                  </w14:solidFill>
                </w14:textFill>
              </w:rPr>
            </w:pPr>
            <w:r>
              <w:rPr>
                <w:rFonts w:ascii="宋体" w:hAnsi="宋体" w:cs="宋体"/>
                <w:color w:val="000000" w:themeColor="text1"/>
                <w:kern w:val="0"/>
                <w:sz w:val="18"/>
                <w:szCs w:val="18"/>
                <w:highlight w:val="none"/>
                <w14:textFill>
                  <w14:solidFill>
                    <w14:schemeClr w14:val="tx1"/>
                  </w14:solidFill>
                </w14:textFill>
              </w:rPr>
              <w:t>Y</w:t>
            </w:r>
            <w:r>
              <w:rPr>
                <w:rFonts w:hint="eastAsia" w:ascii="宋体" w:hAnsi="宋体" w:cs="宋体"/>
                <w:color w:val="000000" w:themeColor="text1"/>
                <w:kern w:val="0"/>
                <w:sz w:val="18"/>
                <w:szCs w:val="18"/>
                <w:highlight w:val="none"/>
                <w14:textFill>
                  <w14:solidFill>
                    <w14:schemeClr w14:val="tx1"/>
                  </w14:solidFill>
                </w14:textFill>
              </w:rPr>
              <w:t>＜</w:t>
            </w:r>
            <w:r>
              <w:rPr>
                <w:rFonts w:ascii="宋体" w:hAnsi="宋体" w:cs="宋体"/>
                <w:color w:val="000000" w:themeColor="text1"/>
                <w:kern w:val="0"/>
                <w:sz w:val="18"/>
                <w:szCs w:val="18"/>
                <w:highlight w:val="none"/>
                <w14:textFill>
                  <w14:solidFill>
                    <w14:schemeClr w14:val="tx1"/>
                  </w14:solidFill>
                </w14:textFill>
              </w:rPr>
              <w:t>100</w:t>
            </w:r>
          </w:p>
        </w:tc>
      </w:tr>
      <w:tr w14:paraId="0261661B">
        <w:tblPrEx>
          <w:tblCellMar>
            <w:top w:w="0" w:type="dxa"/>
            <w:left w:w="108" w:type="dxa"/>
            <w:bottom w:w="0" w:type="dxa"/>
            <w:right w:w="108" w:type="dxa"/>
          </w:tblCellMar>
        </w:tblPrEx>
        <w:trPr>
          <w:trHeight w:val="340" w:hRule="atLeast"/>
          <w:jc w:val="center"/>
        </w:trPr>
        <w:tc>
          <w:tcPr>
            <w:tcW w:w="2004" w:type="dxa"/>
            <w:vMerge w:val="restart"/>
            <w:tcBorders>
              <w:top w:val="nil"/>
              <w:left w:val="single" w:color="auto" w:sz="4" w:space="0"/>
              <w:bottom w:val="single" w:color="auto" w:sz="4" w:space="0"/>
              <w:right w:val="single" w:color="auto" w:sz="4" w:space="0"/>
            </w:tcBorders>
            <w:vAlign w:val="center"/>
          </w:tcPr>
          <w:p w14:paraId="434D3497">
            <w:pPr>
              <w:widowControl/>
              <w:jc w:val="center"/>
              <w:rPr>
                <w:rFonts w:ascii="宋体"/>
                <w:b/>
                <w:bCs/>
                <w:color w:val="000000" w:themeColor="text1"/>
                <w:kern w:val="0"/>
                <w:sz w:val="18"/>
                <w:szCs w:val="18"/>
                <w:highlight w:val="none"/>
                <w14:textFill>
                  <w14:solidFill>
                    <w14:schemeClr w14:val="tx1"/>
                  </w14:solidFill>
                </w14:textFill>
              </w:rPr>
            </w:pPr>
            <w:r>
              <w:rPr>
                <w:rFonts w:hint="eastAsia" w:ascii="宋体" w:hAnsi="宋体" w:cs="宋体"/>
                <w:b/>
                <w:bCs/>
                <w:color w:val="000000" w:themeColor="text1"/>
                <w:kern w:val="0"/>
                <w:sz w:val="18"/>
                <w:szCs w:val="18"/>
                <w:highlight w:val="none"/>
                <w14:textFill>
                  <w14:solidFill>
                    <w14:schemeClr w14:val="tx1"/>
                  </w14:solidFill>
                </w14:textFill>
              </w:rPr>
              <w:t>邮政业</w:t>
            </w:r>
          </w:p>
        </w:tc>
        <w:tc>
          <w:tcPr>
            <w:tcW w:w="1384" w:type="dxa"/>
            <w:tcBorders>
              <w:top w:val="nil"/>
              <w:left w:val="nil"/>
              <w:bottom w:val="single" w:color="auto" w:sz="4" w:space="0"/>
              <w:right w:val="single" w:color="auto" w:sz="4" w:space="0"/>
            </w:tcBorders>
            <w:vAlign w:val="center"/>
          </w:tcPr>
          <w:p w14:paraId="734D3ABE">
            <w:pPr>
              <w:widowControl/>
              <w:jc w:val="left"/>
              <w:rPr>
                <w:rFonts w:ascii="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从业人员（</w:t>
            </w:r>
            <w:r>
              <w:rPr>
                <w:rFonts w:ascii="宋体" w:hAnsi="宋体" w:cs="宋体"/>
                <w:color w:val="000000" w:themeColor="text1"/>
                <w:kern w:val="0"/>
                <w:sz w:val="18"/>
                <w:szCs w:val="18"/>
                <w:highlight w:val="none"/>
                <w14:textFill>
                  <w14:solidFill>
                    <w14:schemeClr w14:val="tx1"/>
                  </w14:solidFill>
                </w14:textFill>
              </w:rPr>
              <w:t>X</w:t>
            </w:r>
            <w:r>
              <w:rPr>
                <w:rFonts w:hint="eastAsia" w:ascii="宋体" w:hAnsi="宋体" w:cs="宋体"/>
                <w:color w:val="000000" w:themeColor="text1"/>
                <w:kern w:val="0"/>
                <w:sz w:val="18"/>
                <w:szCs w:val="18"/>
                <w:highlight w:val="none"/>
                <w14:textFill>
                  <w14:solidFill>
                    <w14:schemeClr w14:val="tx1"/>
                  </w14:solidFill>
                </w14:textFill>
              </w:rPr>
              <w:t>）</w:t>
            </w:r>
          </w:p>
        </w:tc>
        <w:tc>
          <w:tcPr>
            <w:tcW w:w="913" w:type="dxa"/>
            <w:tcBorders>
              <w:top w:val="nil"/>
              <w:left w:val="nil"/>
              <w:bottom w:val="single" w:color="auto" w:sz="4" w:space="0"/>
              <w:right w:val="single" w:color="auto" w:sz="4" w:space="0"/>
            </w:tcBorders>
            <w:vAlign w:val="center"/>
          </w:tcPr>
          <w:p w14:paraId="604A337E">
            <w:pPr>
              <w:widowControl/>
              <w:jc w:val="left"/>
              <w:rPr>
                <w:rFonts w:ascii="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人</w:t>
            </w:r>
          </w:p>
        </w:tc>
        <w:tc>
          <w:tcPr>
            <w:tcW w:w="1620" w:type="dxa"/>
            <w:tcBorders>
              <w:top w:val="nil"/>
              <w:left w:val="nil"/>
              <w:bottom w:val="single" w:color="auto" w:sz="4" w:space="0"/>
              <w:right w:val="single" w:color="auto" w:sz="4" w:space="0"/>
            </w:tcBorders>
            <w:vAlign w:val="center"/>
          </w:tcPr>
          <w:p w14:paraId="44CDE1B5">
            <w:pPr>
              <w:widowControl/>
              <w:jc w:val="left"/>
              <w:rPr>
                <w:rFonts w:ascii="宋体"/>
                <w:color w:val="000000" w:themeColor="text1"/>
                <w:kern w:val="0"/>
                <w:sz w:val="18"/>
                <w:szCs w:val="18"/>
                <w:highlight w:val="none"/>
                <w14:textFill>
                  <w14:solidFill>
                    <w14:schemeClr w14:val="tx1"/>
                  </w14:solidFill>
                </w14:textFill>
              </w:rPr>
            </w:pPr>
            <w:r>
              <w:rPr>
                <w:rFonts w:ascii="宋体" w:hAnsi="宋体" w:cs="宋体"/>
                <w:color w:val="000000" w:themeColor="text1"/>
                <w:kern w:val="0"/>
                <w:sz w:val="18"/>
                <w:szCs w:val="18"/>
                <w:highlight w:val="none"/>
                <w14:textFill>
                  <w14:solidFill>
                    <w14:schemeClr w14:val="tx1"/>
                  </w14:solidFill>
                </w14:textFill>
              </w:rPr>
              <w:t>300</w:t>
            </w:r>
            <w:r>
              <w:rPr>
                <w:rFonts w:hint="eastAsia" w:ascii="宋体" w:hAnsi="宋体" w:cs="宋体"/>
                <w:color w:val="000000" w:themeColor="text1"/>
                <w:kern w:val="0"/>
                <w:sz w:val="18"/>
                <w:szCs w:val="18"/>
                <w:highlight w:val="none"/>
                <w14:textFill>
                  <w14:solidFill>
                    <w14:schemeClr w14:val="tx1"/>
                  </w14:solidFill>
                </w14:textFill>
              </w:rPr>
              <w:t>≤</w:t>
            </w:r>
            <w:r>
              <w:rPr>
                <w:rFonts w:ascii="宋体" w:hAnsi="宋体" w:cs="宋体"/>
                <w:color w:val="000000" w:themeColor="text1"/>
                <w:kern w:val="0"/>
                <w:sz w:val="18"/>
                <w:szCs w:val="18"/>
                <w:highlight w:val="none"/>
                <w14:textFill>
                  <w14:solidFill>
                    <w14:schemeClr w14:val="tx1"/>
                  </w14:solidFill>
                </w14:textFill>
              </w:rPr>
              <w:t>X</w:t>
            </w:r>
            <w:r>
              <w:rPr>
                <w:rFonts w:hint="eastAsia" w:ascii="宋体" w:hAnsi="宋体" w:cs="宋体"/>
                <w:color w:val="000000" w:themeColor="text1"/>
                <w:kern w:val="0"/>
                <w:sz w:val="18"/>
                <w:szCs w:val="18"/>
                <w:highlight w:val="none"/>
                <w14:textFill>
                  <w14:solidFill>
                    <w14:schemeClr w14:val="tx1"/>
                  </w14:solidFill>
                </w14:textFill>
              </w:rPr>
              <w:t>＜</w:t>
            </w:r>
            <w:r>
              <w:rPr>
                <w:rFonts w:ascii="宋体" w:hAnsi="宋体" w:cs="宋体"/>
                <w:color w:val="000000" w:themeColor="text1"/>
                <w:kern w:val="0"/>
                <w:sz w:val="18"/>
                <w:szCs w:val="18"/>
                <w:highlight w:val="none"/>
                <w14:textFill>
                  <w14:solidFill>
                    <w14:schemeClr w14:val="tx1"/>
                  </w14:solidFill>
                </w14:textFill>
              </w:rPr>
              <w:t>1000</w:t>
            </w:r>
          </w:p>
        </w:tc>
        <w:tc>
          <w:tcPr>
            <w:tcW w:w="1440" w:type="dxa"/>
            <w:tcBorders>
              <w:top w:val="nil"/>
              <w:left w:val="nil"/>
              <w:bottom w:val="single" w:color="auto" w:sz="4" w:space="0"/>
              <w:right w:val="single" w:color="auto" w:sz="4" w:space="0"/>
            </w:tcBorders>
            <w:vAlign w:val="center"/>
          </w:tcPr>
          <w:p w14:paraId="43FBC2F6">
            <w:pPr>
              <w:widowControl/>
              <w:jc w:val="left"/>
              <w:rPr>
                <w:rFonts w:ascii="宋体"/>
                <w:color w:val="000000" w:themeColor="text1"/>
                <w:kern w:val="0"/>
                <w:sz w:val="18"/>
                <w:szCs w:val="18"/>
                <w:highlight w:val="none"/>
                <w14:textFill>
                  <w14:solidFill>
                    <w14:schemeClr w14:val="tx1"/>
                  </w14:solidFill>
                </w14:textFill>
              </w:rPr>
            </w:pPr>
            <w:r>
              <w:rPr>
                <w:rFonts w:ascii="宋体" w:hAnsi="宋体" w:cs="宋体"/>
                <w:color w:val="000000" w:themeColor="text1"/>
                <w:kern w:val="0"/>
                <w:sz w:val="18"/>
                <w:szCs w:val="18"/>
                <w:highlight w:val="none"/>
                <w14:textFill>
                  <w14:solidFill>
                    <w14:schemeClr w14:val="tx1"/>
                  </w14:solidFill>
                </w14:textFill>
              </w:rPr>
              <w:t>20</w:t>
            </w:r>
            <w:r>
              <w:rPr>
                <w:rFonts w:hint="eastAsia" w:ascii="宋体" w:hAnsi="宋体" w:cs="宋体"/>
                <w:color w:val="000000" w:themeColor="text1"/>
                <w:kern w:val="0"/>
                <w:sz w:val="18"/>
                <w:szCs w:val="18"/>
                <w:highlight w:val="none"/>
                <w14:textFill>
                  <w14:solidFill>
                    <w14:schemeClr w14:val="tx1"/>
                  </w14:solidFill>
                </w14:textFill>
              </w:rPr>
              <w:t>≤</w:t>
            </w:r>
            <w:r>
              <w:rPr>
                <w:rFonts w:ascii="宋体" w:hAnsi="宋体" w:cs="宋体"/>
                <w:color w:val="000000" w:themeColor="text1"/>
                <w:kern w:val="0"/>
                <w:sz w:val="18"/>
                <w:szCs w:val="18"/>
                <w:highlight w:val="none"/>
                <w14:textFill>
                  <w14:solidFill>
                    <w14:schemeClr w14:val="tx1"/>
                  </w14:solidFill>
                </w14:textFill>
              </w:rPr>
              <w:t>X</w:t>
            </w:r>
            <w:r>
              <w:rPr>
                <w:rFonts w:hint="eastAsia" w:ascii="宋体" w:hAnsi="宋体" w:cs="宋体"/>
                <w:color w:val="000000" w:themeColor="text1"/>
                <w:kern w:val="0"/>
                <w:sz w:val="18"/>
                <w:szCs w:val="18"/>
                <w:highlight w:val="none"/>
                <w14:textFill>
                  <w14:solidFill>
                    <w14:schemeClr w14:val="tx1"/>
                  </w14:solidFill>
                </w14:textFill>
              </w:rPr>
              <w:t>＜</w:t>
            </w:r>
            <w:r>
              <w:rPr>
                <w:rFonts w:ascii="宋体" w:hAnsi="宋体" w:cs="宋体"/>
                <w:color w:val="000000" w:themeColor="text1"/>
                <w:kern w:val="0"/>
                <w:sz w:val="18"/>
                <w:szCs w:val="18"/>
                <w:highlight w:val="none"/>
                <w14:textFill>
                  <w14:solidFill>
                    <w14:schemeClr w14:val="tx1"/>
                  </w14:solidFill>
                </w14:textFill>
              </w:rPr>
              <w:t>300</w:t>
            </w:r>
          </w:p>
        </w:tc>
        <w:tc>
          <w:tcPr>
            <w:tcW w:w="1532" w:type="dxa"/>
            <w:tcBorders>
              <w:top w:val="nil"/>
              <w:left w:val="nil"/>
              <w:bottom w:val="single" w:color="auto" w:sz="4" w:space="0"/>
              <w:right w:val="single" w:color="auto" w:sz="4" w:space="0"/>
            </w:tcBorders>
            <w:vAlign w:val="center"/>
          </w:tcPr>
          <w:p w14:paraId="0079472F">
            <w:pPr>
              <w:widowControl/>
              <w:jc w:val="left"/>
              <w:rPr>
                <w:rFonts w:ascii="宋体"/>
                <w:color w:val="000000" w:themeColor="text1"/>
                <w:kern w:val="0"/>
                <w:sz w:val="18"/>
                <w:szCs w:val="18"/>
                <w:highlight w:val="none"/>
                <w14:textFill>
                  <w14:solidFill>
                    <w14:schemeClr w14:val="tx1"/>
                  </w14:solidFill>
                </w14:textFill>
              </w:rPr>
            </w:pPr>
            <w:r>
              <w:rPr>
                <w:rFonts w:ascii="宋体" w:hAnsi="宋体" w:cs="宋体"/>
                <w:color w:val="000000" w:themeColor="text1"/>
                <w:kern w:val="0"/>
                <w:sz w:val="18"/>
                <w:szCs w:val="18"/>
                <w:highlight w:val="none"/>
                <w14:textFill>
                  <w14:solidFill>
                    <w14:schemeClr w14:val="tx1"/>
                  </w14:solidFill>
                </w14:textFill>
              </w:rPr>
              <w:t>X</w:t>
            </w:r>
            <w:r>
              <w:rPr>
                <w:rFonts w:hint="eastAsia" w:ascii="宋体" w:hAnsi="宋体" w:cs="宋体"/>
                <w:color w:val="000000" w:themeColor="text1"/>
                <w:kern w:val="0"/>
                <w:sz w:val="18"/>
                <w:szCs w:val="18"/>
                <w:highlight w:val="none"/>
                <w14:textFill>
                  <w14:solidFill>
                    <w14:schemeClr w14:val="tx1"/>
                  </w14:solidFill>
                </w14:textFill>
              </w:rPr>
              <w:t>＜</w:t>
            </w:r>
            <w:r>
              <w:rPr>
                <w:rFonts w:ascii="宋体" w:hAnsi="宋体" w:cs="宋体"/>
                <w:color w:val="000000" w:themeColor="text1"/>
                <w:kern w:val="0"/>
                <w:sz w:val="18"/>
                <w:szCs w:val="18"/>
                <w:highlight w:val="none"/>
                <w14:textFill>
                  <w14:solidFill>
                    <w14:schemeClr w14:val="tx1"/>
                  </w14:solidFill>
                </w14:textFill>
              </w:rPr>
              <w:t>20</w:t>
            </w:r>
          </w:p>
        </w:tc>
      </w:tr>
      <w:tr w14:paraId="761B07CD">
        <w:tblPrEx>
          <w:tblCellMar>
            <w:top w:w="0" w:type="dxa"/>
            <w:left w:w="108" w:type="dxa"/>
            <w:bottom w:w="0" w:type="dxa"/>
            <w:right w:w="108" w:type="dxa"/>
          </w:tblCellMar>
        </w:tblPrEx>
        <w:trPr>
          <w:trHeight w:val="340" w:hRule="atLeast"/>
          <w:jc w:val="center"/>
        </w:trPr>
        <w:tc>
          <w:tcPr>
            <w:tcW w:w="2004" w:type="dxa"/>
            <w:vMerge w:val="continue"/>
            <w:tcBorders>
              <w:top w:val="nil"/>
              <w:left w:val="single" w:color="auto" w:sz="4" w:space="0"/>
              <w:bottom w:val="single" w:color="auto" w:sz="4" w:space="0"/>
              <w:right w:val="single" w:color="auto" w:sz="4" w:space="0"/>
            </w:tcBorders>
            <w:vAlign w:val="center"/>
          </w:tcPr>
          <w:p w14:paraId="5AD0EA1C">
            <w:pPr>
              <w:widowControl/>
              <w:jc w:val="center"/>
              <w:rPr>
                <w:rFonts w:ascii="宋体"/>
                <w:b/>
                <w:bCs/>
                <w:color w:val="000000" w:themeColor="text1"/>
                <w:kern w:val="0"/>
                <w:sz w:val="18"/>
                <w:szCs w:val="18"/>
                <w:highlight w:val="none"/>
                <w14:textFill>
                  <w14:solidFill>
                    <w14:schemeClr w14:val="tx1"/>
                  </w14:solidFill>
                </w14:textFill>
              </w:rPr>
            </w:pPr>
          </w:p>
        </w:tc>
        <w:tc>
          <w:tcPr>
            <w:tcW w:w="1384" w:type="dxa"/>
            <w:tcBorders>
              <w:top w:val="nil"/>
              <w:left w:val="nil"/>
              <w:bottom w:val="single" w:color="auto" w:sz="4" w:space="0"/>
              <w:right w:val="single" w:color="auto" w:sz="4" w:space="0"/>
            </w:tcBorders>
            <w:vAlign w:val="center"/>
          </w:tcPr>
          <w:p w14:paraId="6BAEF461">
            <w:pPr>
              <w:widowControl/>
              <w:jc w:val="left"/>
              <w:rPr>
                <w:rFonts w:ascii="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营业收入（</w:t>
            </w:r>
            <w:r>
              <w:rPr>
                <w:rFonts w:ascii="宋体" w:hAnsi="宋体" w:cs="宋体"/>
                <w:color w:val="000000" w:themeColor="text1"/>
                <w:kern w:val="0"/>
                <w:sz w:val="18"/>
                <w:szCs w:val="18"/>
                <w:highlight w:val="none"/>
                <w14:textFill>
                  <w14:solidFill>
                    <w14:schemeClr w14:val="tx1"/>
                  </w14:solidFill>
                </w14:textFill>
              </w:rPr>
              <w:t>Y</w:t>
            </w:r>
            <w:r>
              <w:rPr>
                <w:rFonts w:hint="eastAsia" w:ascii="宋体" w:hAnsi="宋体" w:cs="宋体"/>
                <w:color w:val="000000" w:themeColor="text1"/>
                <w:kern w:val="0"/>
                <w:sz w:val="18"/>
                <w:szCs w:val="18"/>
                <w:highlight w:val="none"/>
                <w14:textFill>
                  <w14:solidFill>
                    <w14:schemeClr w14:val="tx1"/>
                  </w14:solidFill>
                </w14:textFill>
              </w:rPr>
              <w:t>）</w:t>
            </w:r>
          </w:p>
        </w:tc>
        <w:tc>
          <w:tcPr>
            <w:tcW w:w="913" w:type="dxa"/>
            <w:tcBorders>
              <w:top w:val="nil"/>
              <w:left w:val="nil"/>
              <w:bottom w:val="single" w:color="auto" w:sz="4" w:space="0"/>
              <w:right w:val="single" w:color="auto" w:sz="4" w:space="0"/>
            </w:tcBorders>
            <w:vAlign w:val="center"/>
          </w:tcPr>
          <w:p w14:paraId="4812C038">
            <w:pPr>
              <w:widowControl/>
              <w:jc w:val="left"/>
              <w:rPr>
                <w:rFonts w:ascii="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万元</w:t>
            </w:r>
          </w:p>
        </w:tc>
        <w:tc>
          <w:tcPr>
            <w:tcW w:w="1620" w:type="dxa"/>
            <w:tcBorders>
              <w:top w:val="nil"/>
              <w:left w:val="nil"/>
              <w:bottom w:val="single" w:color="auto" w:sz="4" w:space="0"/>
              <w:right w:val="single" w:color="auto" w:sz="4" w:space="0"/>
            </w:tcBorders>
            <w:vAlign w:val="center"/>
          </w:tcPr>
          <w:p w14:paraId="3573E531">
            <w:pPr>
              <w:widowControl/>
              <w:jc w:val="left"/>
              <w:rPr>
                <w:rFonts w:ascii="宋体"/>
                <w:color w:val="000000" w:themeColor="text1"/>
                <w:kern w:val="0"/>
                <w:sz w:val="18"/>
                <w:szCs w:val="18"/>
                <w:highlight w:val="none"/>
                <w14:textFill>
                  <w14:solidFill>
                    <w14:schemeClr w14:val="tx1"/>
                  </w14:solidFill>
                </w14:textFill>
              </w:rPr>
            </w:pPr>
            <w:r>
              <w:rPr>
                <w:rFonts w:ascii="宋体" w:hAnsi="宋体" w:cs="宋体"/>
                <w:color w:val="000000" w:themeColor="text1"/>
                <w:kern w:val="0"/>
                <w:sz w:val="18"/>
                <w:szCs w:val="18"/>
                <w:highlight w:val="none"/>
                <w14:textFill>
                  <w14:solidFill>
                    <w14:schemeClr w14:val="tx1"/>
                  </w14:solidFill>
                </w14:textFill>
              </w:rPr>
              <w:t>2000</w:t>
            </w:r>
            <w:r>
              <w:rPr>
                <w:rFonts w:hint="eastAsia" w:ascii="宋体" w:hAnsi="宋体" w:cs="宋体"/>
                <w:color w:val="000000" w:themeColor="text1"/>
                <w:kern w:val="0"/>
                <w:sz w:val="18"/>
                <w:szCs w:val="18"/>
                <w:highlight w:val="none"/>
                <w14:textFill>
                  <w14:solidFill>
                    <w14:schemeClr w14:val="tx1"/>
                  </w14:solidFill>
                </w14:textFill>
              </w:rPr>
              <w:t>≤</w:t>
            </w:r>
            <w:r>
              <w:rPr>
                <w:rFonts w:ascii="宋体" w:hAnsi="宋体" w:cs="宋体"/>
                <w:color w:val="000000" w:themeColor="text1"/>
                <w:kern w:val="0"/>
                <w:sz w:val="18"/>
                <w:szCs w:val="18"/>
                <w:highlight w:val="none"/>
                <w14:textFill>
                  <w14:solidFill>
                    <w14:schemeClr w14:val="tx1"/>
                  </w14:solidFill>
                </w14:textFill>
              </w:rPr>
              <w:t>Y</w:t>
            </w:r>
            <w:r>
              <w:rPr>
                <w:rFonts w:hint="eastAsia" w:ascii="宋体" w:hAnsi="宋体" w:cs="宋体"/>
                <w:color w:val="000000" w:themeColor="text1"/>
                <w:kern w:val="0"/>
                <w:sz w:val="18"/>
                <w:szCs w:val="18"/>
                <w:highlight w:val="none"/>
                <w14:textFill>
                  <w14:solidFill>
                    <w14:schemeClr w14:val="tx1"/>
                  </w14:solidFill>
                </w14:textFill>
              </w:rPr>
              <w:t>＜</w:t>
            </w:r>
            <w:r>
              <w:rPr>
                <w:rFonts w:ascii="宋体" w:hAnsi="宋体" w:cs="宋体"/>
                <w:color w:val="000000" w:themeColor="text1"/>
                <w:kern w:val="0"/>
                <w:sz w:val="18"/>
                <w:szCs w:val="18"/>
                <w:highlight w:val="none"/>
                <w14:textFill>
                  <w14:solidFill>
                    <w14:schemeClr w14:val="tx1"/>
                  </w14:solidFill>
                </w14:textFill>
              </w:rPr>
              <w:t>30000</w:t>
            </w:r>
          </w:p>
        </w:tc>
        <w:tc>
          <w:tcPr>
            <w:tcW w:w="1440" w:type="dxa"/>
            <w:tcBorders>
              <w:top w:val="nil"/>
              <w:left w:val="nil"/>
              <w:bottom w:val="single" w:color="auto" w:sz="4" w:space="0"/>
              <w:right w:val="single" w:color="auto" w:sz="4" w:space="0"/>
            </w:tcBorders>
            <w:vAlign w:val="center"/>
          </w:tcPr>
          <w:p w14:paraId="6AE758E9">
            <w:pPr>
              <w:widowControl/>
              <w:jc w:val="left"/>
              <w:rPr>
                <w:rFonts w:ascii="宋体"/>
                <w:color w:val="000000" w:themeColor="text1"/>
                <w:kern w:val="0"/>
                <w:sz w:val="18"/>
                <w:szCs w:val="18"/>
                <w:highlight w:val="none"/>
                <w14:textFill>
                  <w14:solidFill>
                    <w14:schemeClr w14:val="tx1"/>
                  </w14:solidFill>
                </w14:textFill>
              </w:rPr>
            </w:pPr>
            <w:r>
              <w:rPr>
                <w:rFonts w:ascii="宋体" w:hAnsi="宋体" w:cs="宋体"/>
                <w:color w:val="000000" w:themeColor="text1"/>
                <w:kern w:val="0"/>
                <w:sz w:val="18"/>
                <w:szCs w:val="18"/>
                <w:highlight w:val="none"/>
                <w14:textFill>
                  <w14:solidFill>
                    <w14:schemeClr w14:val="tx1"/>
                  </w14:solidFill>
                </w14:textFill>
              </w:rPr>
              <w:t>100</w:t>
            </w:r>
            <w:r>
              <w:rPr>
                <w:rFonts w:hint="eastAsia" w:ascii="宋体" w:hAnsi="宋体" w:cs="宋体"/>
                <w:color w:val="000000" w:themeColor="text1"/>
                <w:kern w:val="0"/>
                <w:sz w:val="18"/>
                <w:szCs w:val="18"/>
                <w:highlight w:val="none"/>
                <w14:textFill>
                  <w14:solidFill>
                    <w14:schemeClr w14:val="tx1"/>
                  </w14:solidFill>
                </w14:textFill>
              </w:rPr>
              <w:t>≤</w:t>
            </w:r>
            <w:r>
              <w:rPr>
                <w:rFonts w:ascii="宋体" w:hAnsi="宋体" w:cs="宋体"/>
                <w:color w:val="000000" w:themeColor="text1"/>
                <w:kern w:val="0"/>
                <w:sz w:val="18"/>
                <w:szCs w:val="18"/>
                <w:highlight w:val="none"/>
                <w14:textFill>
                  <w14:solidFill>
                    <w14:schemeClr w14:val="tx1"/>
                  </w14:solidFill>
                </w14:textFill>
              </w:rPr>
              <w:t>Y</w:t>
            </w:r>
            <w:r>
              <w:rPr>
                <w:rFonts w:hint="eastAsia" w:ascii="宋体" w:hAnsi="宋体" w:cs="宋体"/>
                <w:color w:val="000000" w:themeColor="text1"/>
                <w:kern w:val="0"/>
                <w:sz w:val="18"/>
                <w:szCs w:val="18"/>
                <w:highlight w:val="none"/>
                <w14:textFill>
                  <w14:solidFill>
                    <w14:schemeClr w14:val="tx1"/>
                  </w14:solidFill>
                </w14:textFill>
              </w:rPr>
              <w:t>＜</w:t>
            </w:r>
            <w:r>
              <w:rPr>
                <w:rFonts w:ascii="宋体" w:hAnsi="宋体" w:cs="宋体"/>
                <w:color w:val="000000" w:themeColor="text1"/>
                <w:kern w:val="0"/>
                <w:sz w:val="18"/>
                <w:szCs w:val="18"/>
                <w:highlight w:val="none"/>
                <w14:textFill>
                  <w14:solidFill>
                    <w14:schemeClr w14:val="tx1"/>
                  </w14:solidFill>
                </w14:textFill>
              </w:rPr>
              <w:t>2000</w:t>
            </w:r>
          </w:p>
        </w:tc>
        <w:tc>
          <w:tcPr>
            <w:tcW w:w="1532" w:type="dxa"/>
            <w:tcBorders>
              <w:top w:val="nil"/>
              <w:left w:val="nil"/>
              <w:bottom w:val="single" w:color="auto" w:sz="4" w:space="0"/>
              <w:right w:val="single" w:color="auto" w:sz="4" w:space="0"/>
            </w:tcBorders>
            <w:vAlign w:val="center"/>
          </w:tcPr>
          <w:p w14:paraId="2DDE9442">
            <w:pPr>
              <w:widowControl/>
              <w:jc w:val="left"/>
              <w:rPr>
                <w:rFonts w:ascii="宋体"/>
                <w:color w:val="000000" w:themeColor="text1"/>
                <w:kern w:val="0"/>
                <w:sz w:val="18"/>
                <w:szCs w:val="18"/>
                <w:highlight w:val="none"/>
                <w14:textFill>
                  <w14:solidFill>
                    <w14:schemeClr w14:val="tx1"/>
                  </w14:solidFill>
                </w14:textFill>
              </w:rPr>
            </w:pPr>
            <w:r>
              <w:rPr>
                <w:rFonts w:ascii="宋体" w:hAnsi="宋体" w:cs="宋体"/>
                <w:color w:val="000000" w:themeColor="text1"/>
                <w:kern w:val="0"/>
                <w:sz w:val="18"/>
                <w:szCs w:val="18"/>
                <w:highlight w:val="none"/>
                <w14:textFill>
                  <w14:solidFill>
                    <w14:schemeClr w14:val="tx1"/>
                  </w14:solidFill>
                </w14:textFill>
              </w:rPr>
              <w:t>Y</w:t>
            </w:r>
            <w:r>
              <w:rPr>
                <w:rFonts w:hint="eastAsia" w:ascii="宋体" w:hAnsi="宋体" w:cs="宋体"/>
                <w:color w:val="000000" w:themeColor="text1"/>
                <w:kern w:val="0"/>
                <w:sz w:val="18"/>
                <w:szCs w:val="18"/>
                <w:highlight w:val="none"/>
                <w14:textFill>
                  <w14:solidFill>
                    <w14:schemeClr w14:val="tx1"/>
                  </w14:solidFill>
                </w14:textFill>
              </w:rPr>
              <w:t>＜</w:t>
            </w:r>
            <w:r>
              <w:rPr>
                <w:rFonts w:ascii="宋体" w:hAnsi="宋体" w:cs="宋体"/>
                <w:color w:val="000000" w:themeColor="text1"/>
                <w:kern w:val="0"/>
                <w:sz w:val="18"/>
                <w:szCs w:val="18"/>
                <w:highlight w:val="none"/>
                <w14:textFill>
                  <w14:solidFill>
                    <w14:schemeClr w14:val="tx1"/>
                  </w14:solidFill>
                </w14:textFill>
              </w:rPr>
              <w:t>100</w:t>
            </w:r>
          </w:p>
        </w:tc>
      </w:tr>
      <w:tr w14:paraId="3A4D692C">
        <w:tblPrEx>
          <w:tblCellMar>
            <w:top w:w="0" w:type="dxa"/>
            <w:left w:w="108" w:type="dxa"/>
            <w:bottom w:w="0" w:type="dxa"/>
            <w:right w:w="108" w:type="dxa"/>
          </w:tblCellMar>
        </w:tblPrEx>
        <w:trPr>
          <w:trHeight w:val="340" w:hRule="atLeast"/>
          <w:jc w:val="center"/>
        </w:trPr>
        <w:tc>
          <w:tcPr>
            <w:tcW w:w="2004" w:type="dxa"/>
            <w:vMerge w:val="restart"/>
            <w:tcBorders>
              <w:top w:val="nil"/>
              <w:left w:val="single" w:color="auto" w:sz="4" w:space="0"/>
              <w:bottom w:val="single" w:color="auto" w:sz="4" w:space="0"/>
              <w:right w:val="single" w:color="auto" w:sz="4" w:space="0"/>
            </w:tcBorders>
            <w:vAlign w:val="center"/>
          </w:tcPr>
          <w:p w14:paraId="0C775C00">
            <w:pPr>
              <w:widowControl/>
              <w:jc w:val="center"/>
              <w:rPr>
                <w:rFonts w:ascii="宋体"/>
                <w:b/>
                <w:bCs/>
                <w:color w:val="000000" w:themeColor="text1"/>
                <w:kern w:val="0"/>
                <w:sz w:val="18"/>
                <w:szCs w:val="18"/>
                <w:highlight w:val="none"/>
                <w14:textFill>
                  <w14:solidFill>
                    <w14:schemeClr w14:val="tx1"/>
                  </w14:solidFill>
                </w14:textFill>
              </w:rPr>
            </w:pPr>
            <w:r>
              <w:rPr>
                <w:rFonts w:hint="eastAsia" w:ascii="宋体" w:hAnsi="宋体" w:cs="宋体"/>
                <w:b/>
                <w:bCs/>
                <w:color w:val="000000" w:themeColor="text1"/>
                <w:kern w:val="0"/>
                <w:sz w:val="18"/>
                <w:szCs w:val="18"/>
                <w:highlight w:val="none"/>
                <w14:textFill>
                  <w14:solidFill>
                    <w14:schemeClr w14:val="tx1"/>
                  </w14:solidFill>
                </w14:textFill>
              </w:rPr>
              <w:t>住宿业</w:t>
            </w:r>
          </w:p>
        </w:tc>
        <w:tc>
          <w:tcPr>
            <w:tcW w:w="1384" w:type="dxa"/>
            <w:tcBorders>
              <w:top w:val="nil"/>
              <w:left w:val="nil"/>
              <w:bottom w:val="single" w:color="auto" w:sz="4" w:space="0"/>
              <w:right w:val="single" w:color="auto" w:sz="4" w:space="0"/>
            </w:tcBorders>
            <w:vAlign w:val="center"/>
          </w:tcPr>
          <w:p w14:paraId="79A8BB3F">
            <w:pPr>
              <w:widowControl/>
              <w:jc w:val="left"/>
              <w:rPr>
                <w:rFonts w:ascii="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从业人员（</w:t>
            </w:r>
            <w:r>
              <w:rPr>
                <w:rFonts w:ascii="宋体" w:hAnsi="宋体" w:cs="宋体"/>
                <w:color w:val="000000" w:themeColor="text1"/>
                <w:kern w:val="0"/>
                <w:sz w:val="18"/>
                <w:szCs w:val="18"/>
                <w:highlight w:val="none"/>
                <w14:textFill>
                  <w14:solidFill>
                    <w14:schemeClr w14:val="tx1"/>
                  </w14:solidFill>
                </w14:textFill>
              </w:rPr>
              <w:t>X</w:t>
            </w:r>
            <w:r>
              <w:rPr>
                <w:rFonts w:hint="eastAsia" w:ascii="宋体" w:hAnsi="宋体" w:cs="宋体"/>
                <w:color w:val="000000" w:themeColor="text1"/>
                <w:kern w:val="0"/>
                <w:sz w:val="18"/>
                <w:szCs w:val="18"/>
                <w:highlight w:val="none"/>
                <w14:textFill>
                  <w14:solidFill>
                    <w14:schemeClr w14:val="tx1"/>
                  </w14:solidFill>
                </w14:textFill>
              </w:rPr>
              <w:t>）</w:t>
            </w:r>
          </w:p>
        </w:tc>
        <w:tc>
          <w:tcPr>
            <w:tcW w:w="913" w:type="dxa"/>
            <w:tcBorders>
              <w:top w:val="nil"/>
              <w:left w:val="nil"/>
              <w:bottom w:val="single" w:color="auto" w:sz="4" w:space="0"/>
              <w:right w:val="single" w:color="auto" w:sz="4" w:space="0"/>
            </w:tcBorders>
            <w:vAlign w:val="center"/>
          </w:tcPr>
          <w:p w14:paraId="73EB326B">
            <w:pPr>
              <w:widowControl/>
              <w:jc w:val="left"/>
              <w:rPr>
                <w:rFonts w:ascii="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人</w:t>
            </w:r>
          </w:p>
        </w:tc>
        <w:tc>
          <w:tcPr>
            <w:tcW w:w="1620" w:type="dxa"/>
            <w:tcBorders>
              <w:top w:val="nil"/>
              <w:left w:val="nil"/>
              <w:bottom w:val="single" w:color="auto" w:sz="4" w:space="0"/>
              <w:right w:val="single" w:color="auto" w:sz="4" w:space="0"/>
            </w:tcBorders>
            <w:vAlign w:val="center"/>
          </w:tcPr>
          <w:p w14:paraId="7BE0B5F0">
            <w:pPr>
              <w:widowControl/>
              <w:jc w:val="left"/>
              <w:rPr>
                <w:rFonts w:ascii="宋体"/>
                <w:color w:val="000000" w:themeColor="text1"/>
                <w:kern w:val="0"/>
                <w:sz w:val="18"/>
                <w:szCs w:val="18"/>
                <w:highlight w:val="none"/>
                <w14:textFill>
                  <w14:solidFill>
                    <w14:schemeClr w14:val="tx1"/>
                  </w14:solidFill>
                </w14:textFill>
              </w:rPr>
            </w:pPr>
            <w:r>
              <w:rPr>
                <w:rFonts w:ascii="宋体" w:hAnsi="宋体" w:cs="宋体"/>
                <w:color w:val="000000" w:themeColor="text1"/>
                <w:kern w:val="0"/>
                <w:sz w:val="18"/>
                <w:szCs w:val="18"/>
                <w:highlight w:val="none"/>
                <w14:textFill>
                  <w14:solidFill>
                    <w14:schemeClr w14:val="tx1"/>
                  </w14:solidFill>
                </w14:textFill>
              </w:rPr>
              <w:t>100</w:t>
            </w:r>
            <w:r>
              <w:rPr>
                <w:rFonts w:hint="eastAsia" w:ascii="宋体" w:hAnsi="宋体" w:cs="宋体"/>
                <w:color w:val="000000" w:themeColor="text1"/>
                <w:kern w:val="0"/>
                <w:sz w:val="18"/>
                <w:szCs w:val="18"/>
                <w:highlight w:val="none"/>
                <w14:textFill>
                  <w14:solidFill>
                    <w14:schemeClr w14:val="tx1"/>
                  </w14:solidFill>
                </w14:textFill>
              </w:rPr>
              <w:t>≤</w:t>
            </w:r>
            <w:r>
              <w:rPr>
                <w:rFonts w:ascii="宋体" w:hAnsi="宋体" w:cs="宋体"/>
                <w:color w:val="000000" w:themeColor="text1"/>
                <w:kern w:val="0"/>
                <w:sz w:val="18"/>
                <w:szCs w:val="18"/>
                <w:highlight w:val="none"/>
                <w14:textFill>
                  <w14:solidFill>
                    <w14:schemeClr w14:val="tx1"/>
                  </w14:solidFill>
                </w14:textFill>
              </w:rPr>
              <w:t>X</w:t>
            </w:r>
            <w:r>
              <w:rPr>
                <w:rFonts w:hint="eastAsia" w:ascii="宋体" w:hAnsi="宋体" w:cs="宋体"/>
                <w:color w:val="000000" w:themeColor="text1"/>
                <w:kern w:val="0"/>
                <w:sz w:val="18"/>
                <w:szCs w:val="18"/>
                <w:highlight w:val="none"/>
                <w14:textFill>
                  <w14:solidFill>
                    <w14:schemeClr w14:val="tx1"/>
                  </w14:solidFill>
                </w14:textFill>
              </w:rPr>
              <w:t>＜</w:t>
            </w:r>
            <w:r>
              <w:rPr>
                <w:rFonts w:ascii="宋体" w:hAnsi="宋体" w:cs="宋体"/>
                <w:color w:val="000000" w:themeColor="text1"/>
                <w:kern w:val="0"/>
                <w:sz w:val="18"/>
                <w:szCs w:val="18"/>
                <w:highlight w:val="none"/>
                <w14:textFill>
                  <w14:solidFill>
                    <w14:schemeClr w14:val="tx1"/>
                  </w14:solidFill>
                </w14:textFill>
              </w:rPr>
              <w:t>300</w:t>
            </w:r>
          </w:p>
        </w:tc>
        <w:tc>
          <w:tcPr>
            <w:tcW w:w="1440" w:type="dxa"/>
            <w:tcBorders>
              <w:top w:val="nil"/>
              <w:left w:val="nil"/>
              <w:bottom w:val="single" w:color="auto" w:sz="4" w:space="0"/>
              <w:right w:val="single" w:color="auto" w:sz="4" w:space="0"/>
            </w:tcBorders>
            <w:vAlign w:val="center"/>
          </w:tcPr>
          <w:p w14:paraId="4186C1C9">
            <w:pPr>
              <w:widowControl/>
              <w:jc w:val="left"/>
              <w:rPr>
                <w:rFonts w:ascii="宋体"/>
                <w:color w:val="000000" w:themeColor="text1"/>
                <w:kern w:val="0"/>
                <w:sz w:val="18"/>
                <w:szCs w:val="18"/>
                <w:highlight w:val="none"/>
                <w14:textFill>
                  <w14:solidFill>
                    <w14:schemeClr w14:val="tx1"/>
                  </w14:solidFill>
                </w14:textFill>
              </w:rPr>
            </w:pPr>
            <w:r>
              <w:rPr>
                <w:rFonts w:ascii="宋体" w:hAnsi="宋体" w:cs="宋体"/>
                <w:color w:val="000000" w:themeColor="text1"/>
                <w:kern w:val="0"/>
                <w:sz w:val="18"/>
                <w:szCs w:val="18"/>
                <w:highlight w:val="none"/>
                <w14:textFill>
                  <w14:solidFill>
                    <w14:schemeClr w14:val="tx1"/>
                  </w14:solidFill>
                </w14:textFill>
              </w:rPr>
              <w:t>10</w:t>
            </w:r>
            <w:r>
              <w:rPr>
                <w:rFonts w:hint="eastAsia" w:ascii="宋体" w:hAnsi="宋体" w:cs="宋体"/>
                <w:color w:val="000000" w:themeColor="text1"/>
                <w:kern w:val="0"/>
                <w:sz w:val="18"/>
                <w:szCs w:val="18"/>
                <w:highlight w:val="none"/>
                <w14:textFill>
                  <w14:solidFill>
                    <w14:schemeClr w14:val="tx1"/>
                  </w14:solidFill>
                </w14:textFill>
              </w:rPr>
              <w:t>≤</w:t>
            </w:r>
            <w:r>
              <w:rPr>
                <w:rFonts w:ascii="宋体" w:hAnsi="宋体" w:cs="宋体"/>
                <w:color w:val="000000" w:themeColor="text1"/>
                <w:kern w:val="0"/>
                <w:sz w:val="18"/>
                <w:szCs w:val="18"/>
                <w:highlight w:val="none"/>
                <w14:textFill>
                  <w14:solidFill>
                    <w14:schemeClr w14:val="tx1"/>
                  </w14:solidFill>
                </w14:textFill>
              </w:rPr>
              <w:t>X</w:t>
            </w:r>
            <w:r>
              <w:rPr>
                <w:rFonts w:hint="eastAsia" w:ascii="宋体" w:hAnsi="宋体" w:cs="宋体"/>
                <w:color w:val="000000" w:themeColor="text1"/>
                <w:kern w:val="0"/>
                <w:sz w:val="18"/>
                <w:szCs w:val="18"/>
                <w:highlight w:val="none"/>
                <w14:textFill>
                  <w14:solidFill>
                    <w14:schemeClr w14:val="tx1"/>
                  </w14:solidFill>
                </w14:textFill>
              </w:rPr>
              <w:t>＜</w:t>
            </w:r>
            <w:r>
              <w:rPr>
                <w:rFonts w:ascii="宋体" w:hAnsi="宋体" w:cs="宋体"/>
                <w:color w:val="000000" w:themeColor="text1"/>
                <w:kern w:val="0"/>
                <w:sz w:val="18"/>
                <w:szCs w:val="18"/>
                <w:highlight w:val="none"/>
                <w14:textFill>
                  <w14:solidFill>
                    <w14:schemeClr w14:val="tx1"/>
                  </w14:solidFill>
                </w14:textFill>
              </w:rPr>
              <w:t>100</w:t>
            </w:r>
          </w:p>
        </w:tc>
        <w:tc>
          <w:tcPr>
            <w:tcW w:w="1532" w:type="dxa"/>
            <w:tcBorders>
              <w:top w:val="nil"/>
              <w:left w:val="nil"/>
              <w:bottom w:val="single" w:color="auto" w:sz="4" w:space="0"/>
              <w:right w:val="single" w:color="auto" w:sz="4" w:space="0"/>
            </w:tcBorders>
            <w:vAlign w:val="center"/>
          </w:tcPr>
          <w:p w14:paraId="395996D8">
            <w:pPr>
              <w:widowControl/>
              <w:jc w:val="left"/>
              <w:rPr>
                <w:rFonts w:ascii="宋体"/>
                <w:color w:val="000000" w:themeColor="text1"/>
                <w:kern w:val="0"/>
                <w:sz w:val="18"/>
                <w:szCs w:val="18"/>
                <w:highlight w:val="none"/>
                <w14:textFill>
                  <w14:solidFill>
                    <w14:schemeClr w14:val="tx1"/>
                  </w14:solidFill>
                </w14:textFill>
              </w:rPr>
            </w:pPr>
            <w:r>
              <w:rPr>
                <w:rFonts w:ascii="宋体" w:hAnsi="宋体" w:cs="宋体"/>
                <w:color w:val="000000" w:themeColor="text1"/>
                <w:kern w:val="0"/>
                <w:sz w:val="18"/>
                <w:szCs w:val="18"/>
                <w:highlight w:val="none"/>
                <w14:textFill>
                  <w14:solidFill>
                    <w14:schemeClr w14:val="tx1"/>
                  </w14:solidFill>
                </w14:textFill>
              </w:rPr>
              <w:t>X</w:t>
            </w:r>
            <w:r>
              <w:rPr>
                <w:rFonts w:hint="eastAsia" w:ascii="宋体" w:hAnsi="宋体" w:cs="宋体"/>
                <w:color w:val="000000" w:themeColor="text1"/>
                <w:kern w:val="0"/>
                <w:sz w:val="18"/>
                <w:szCs w:val="18"/>
                <w:highlight w:val="none"/>
                <w14:textFill>
                  <w14:solidFill>
                    <w14:schemeClr w14:val="tx1"/>
                  </w14:solidFill>
                </w14:textFill>
              </w:rPr>
              <w:t>＜</w:t>
            </w:r>
            <w:r>
              <w:rPr>
                <w:rFonts w:ascii="宋体" w:hAnsi="宋体" w:cs="宋体"/>
                <w:color w:val="000000" w:themeColor="text1"/>
                <w:kern w:val="0"/>
                <w:sz w:val="18"/>
                <w:szCs w:val="18"/>
                <w:highlight w:val="none"/>
                <w14:textFill>
                  <w14:solidFill>
                    <w14:schemeClr w14:val="tx1"/>
                  </w14:solidFill>
                </w14:textFill>
              </w:rPr>
              <w:t>10</w:t>
            </w:r>
          </w:p>
        </w:tc>
      </w:tr>
      <w:tr w14:paraId="53FD4E73">
        <w:tblPrEx>
          <w:tblCellMar>
            <w:top w:w="0" w:type="dxa"/>
            <w:left w:w="108" w:type="dxa"/>
            <w:bottom w:w="0" w:type="dxa"/>
            <w:right w:w="108" w:type="dxa"/>
          </w:tblCellMar>
        </w:tblPrEx>
        <w:trPr>
          <w:trHeight w:val="340" w:hRule="atLeast"/>
          <w:jc w:val="center"/>
        </w:trPr>
        <w:tc>
          <w:tcPr>
            <w:tcW w:w="2004" w:type="dxa"/>
            <w:vMerge w:val="continue"/>
            <w:tcBorders>
              <w:top w:val="nil"/>
              <w:left w:val="single" w:color="auto" w:sz="4" w:space="0"/>
              <w:bottom w:val="single" w:color="auto" w:sz="4" w:space="0"/>
              <w:right w:val="single" w:color="auto" w:sz="4" w:space="0"/>
            </w:tcBorders>
            <w:vAlign w:val="center"/>
          </w:tcPr>
          <w:p w14:paraId="62B6B8EF">
            <w:pPr>
              <w:widowControl/>
              <w:jc w:val="center"/>
              <w:rPr>
                <w:rFonts w:ascii="宋体"/>
                <w:b/>
                <w:bCs/>
                <w:color w:val="000000" w:themeColor="text1"/>
                <w:kern w:val="0"/>
                <w:sz w:val="18"/>
                <w:szCs w:val="18"/>
                <w:highlight w:val="none"/>
                <w14:textFill>
                  <w14:solidFill>
                    <w14:schemeClr w14:val="tx1"/>
                  </w14:solidFill>
                </w14:textFill>
              </w:rPr>
            </w:pPr>
          </w:p>
        </w:tc>
        <w:tc>
          <w:tcPr>
            <w:tcW w:w="1384" w:type="dxa"/>
            <w:tcBorders>
              <w:top w:val="nil"/>
              <w:left w:val="nil"/>
              <w:bottom w:val="single" w:color="auto" w:sz="4" w:space="0"/>
              <w:right w:val="single" w:color="auto" w:sz="4" w:space="0"/>
            </w:tcBorders>
            <w:vAlign w:val="center"/>
          </w:tcPr>
          <w:p w14:paraId="39463016">
            <w:pPr>
              <w:widowControl/>
              <w:jc w:val="left"/>
              <w:rPr>
                <w:rFonts w:ascii="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营业收入（</w:t>
            </w:r>
            <w:r>
              <w:rPr>
                <w:rFonts w:ascii="宋体" w:hAnsi="宋体" w:cs="宋体"/>
                <w:color w:val="000000" w:themeColor="text1"/>
                <w:kern w:val="0"/>
                <w:sz w:val="18"/>
                <w:szCs w:val="18"/>
                <w:highlight w:val="none"/>
                <w14:textFill>
                  <w14:solidFill>
                    <w14:schemeClr w14:val="tx1"/>
                  </w14:solidFill>
                </w14:textFill>
              </w:rPr>
              <w:t>Y</w:t>
            </w:r>
            <w:r>
              <w:rPr>
                <w:rFonts w:hint="eastAsia" w:ascii="宋体" w:hAnsi="宋体" w:cs="宋体"/>
                <w:color w:val="000000" w:themeColor="text1"/>
                <w:kern w:val="0"/>
                <w:sz w:val="18"/>
                <w:szCs w:val="18"/>
                <w:highlight w:val="none"/>
                <w14:textFill>
                  <w14:solidFill>
                    <w14:schemeClr w14:val="tx1"/>
                  </w14:solidFill>
                </w14:textFill>
              </w:rPr>
              <w:t>）</w:t>
            </w:r>
          </w:p>
        </w:tc>
        <w:tc>
          <w:tcPr>
            <w:tcW w:w="913" w:type="dxa"/>
            <w:tcBorders>
              <w:top w:val="nil"/>
              <w:left w:val="nil"/>
              <w:bottom w:val="single" w:color="auto" w:sz="4" w:space="0"/>
              <w:right w:val="single" w:color="auto" w:sz="4" w:space="0"/>
            </w:tcBorders>
            <w:vAlign w:val="center"/>
          </w:tcPr>
          <w:p w14:paraId="7AE0F4EF">
            <w:pPr>
              <w:widowControl/>
              <w:jc w:val="left"/>
              <w:rPr>
                <w:rFonts w:ascii="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万元</w:t>
            </w:r>
          </w:p>
        </w:tc>
        <w:tc>
          <w:tcPr>
            <w:tcW w:w="1620" w:type="dxa"/>
            <w:tcBorders>
              <w:top w:val="nil"/>
              <w:left w:val="nil"/>
              <w:bottom w:val="single" w:color="auto" w:sz="4" w:space="0"/>
              <w:right w:val="single" w:color="auto" w:sz="4" w:space="0"/>
            </w:tcBorders>
            <w:vAlign w:val="center"/>
          </w:tcPr>
          <w:p w14:paraId="2DB66F92">
            <w:pPr>
              <w:widowControl/>
              <w:jc w:val="left"/>
              <w:rPr>
                <w:rFonts w:ascii="宋体"/>
                <w:color w:val="000000" w:themeColor="text1"/>
                <w:kern w:val="0"/>
                <w:sz w:val="18"/>
                <w:szCs w:val="18"/>
                <w:highlight w:val="none"/>
                <w14:textFill>
                  <w14:solidFill>
                    <w14:schemeClr w14:val="tx1"/>
                  </w14:solidFill>
                </w14:textFill>
              </w:rPr>
            </w:pPr>
            <w:r>
              <w:rPr>
                <w:rFonts w:ascii="宋体" w:hAnsi="宋体" w:cs="宋体"/>
                <w:color w:val="000000" w:themeColor="text1"/>
                <w:kern w:val="0"/>
                <w:sz w:val="18"/>
                <w:szCs w:val="18"/>
                <w:highlight w:val="none"/>
                <w14:textFill>
                  <w14:solidFill>
                    <w14:schemeClr w14:val="tx1"/>
                  </w14:solidFill>
                </w14:textFill>
              </w:rPr>
              <w:t>2000</w:t>
            </w:r>
            <w:r>
              <w:rPr>
                <w:rFonts w:hint="eastAsia" w:ascii="宋体" w:hAnsi="宋体" w:cs="宋体"/>
                <w:color w:val="000000" w:themeColor="text1"/>
                <w:kern w:val="0"/>
                <w:sz w:val="18"/>
                <w:szCs w:val="18"/>
                <w:highlight w:val="none"/>
                <w14:textFill>
                  <w14:solidFill>
                    <w14:schemeClr w14:val="tx1"/>
                  </w14:solidFill>
                </w14:textFill>
              </w:rPr>
              <w:t>≤</w:t>
            </w:r>
            <w:r>
              <w:rPr>
                <w:rFonts w:ascii="宋体" w:hAnsi="宋体" w:cs="宋体"/>
                <w:color w:val="000000" w:themeColor="text1"/>
                <w:kern w:val="0"/>
                <w:sz w:val="18"/>
                <w:szCs w:val="18"/>
                <w:highlight w:val="none"/>
                <w14:textFill>
                  <w14:solidFill>
                    <w14:schemeClr w14:val="tx1"/>
                  </w14:solidFill>
                </w14:textFill>
              </w:rPr>
              <w:t>Y</w:t>
            </w:r>
            <w:r>
              <w:rPr>
                <w:rFonts w:hint="eastAsia" w:ascii="宋体" w:hAnsi="宋体" w:cs="宋体"/>
                <w:color w:val="000000" w:themeColor="text1"/>
                <w:kern w:val="0"/>
                <w:sz w:val="18"/>
                <w:szCs w:val="18"/>
                <w:highlight w:val="none"/>
                <w14:textFill>
                  <w14:solidFill>
                    <w14:schemeClr w14:val="tx1"/>
                  </w14:solidFill>
                </w14:textFill>
              </w:rPr>
              <w:t>＜</w:t>
            </w:r>
            <w:r>
              <w:rPr>
                <w:rFonts w:ascii="宋体" w:hAnsi="宋体" w:cs="宋体"/>
                <w:color w:val="000000" w:themeColor="text1"/>
                <w:kern w:val="0"/>
                <w:sz w:val="18"/>
                <w:szCs w:val="18"/>
                <w:highlight w:val="none"/>
                <w14:textFill>
                  <w14:solidFill>
                    <w14:schemeClr w14:val="tx1"/>
                  </w14:solidFill>
                </w14:textFill>
              </w:rPr>
              <w:t>10000</w:t>
            </w:r>
          </w:p>
        </w:tc>
        <w:tc>
          <w:tcPr>
            <w:tcW w:w="1440" w:type="dxa"/>
            <w:tcBorders>
              <w:top w:val="nil"/>
              <w:left w:val="nil"/>
              <w:bottom w:val="single" w:color="auto" w:sz="4" w:space="0"/>
              <w:right w:val="single" w:color="auto" w:sz="4" w:space="0"/>
            </w:tcBorders>
            <w:vAlign w:val="center"/>
          </w:tcPr>
          <w:p w14:paraId="7C1D07F0">
            <w:pPr>
              <w:widowControl/>
              <w:jc w:val="left"/>
              <w:rPr>
                <w:rFonts w:ascii="宋体"/>
                <w:color w:val="000000" w:themeColor="text1"/>
                <w:kern w:val="0"/>
                <w:sz w:val="18"/>
                <w:szCs w:val="18"/>
                <w:highlight w:val="none"/>
                <w14:textFill>
                  <w14:solidFill>
                    <w14:schemeClr w14:val="tx1"/>
                  </w14:solidFill>
                </w14:textFill>
              </w:rPr>
            </w:pPr>
            <w:r>
              <w:rPr>
                <w:rFonts w:ascii="宋体" w:hAnsi="宋体" w:cs="宋体"/>
                <w:color w:val="000000" w:themeColor="text1"/>
                <w:kern w:val="0"/>
                <w:sz w:val="18"/>
                <w:szCs w:val="18"/>
                <w:highlight w:val="none"/>
                <w14:textFill>
                  <w14:solidFill>
                    <w14:schemeClr w14:val="tx1"/>
                  </w14:solidFill>
                </w14:textFill>
              </w:rPr>
              <w:t>100</w:t>
            </w:r>
            <w:r>
              <w:rPr>
                <w:rFonts w:hint="eastAsia" w:ascii="宋体" w:hAnsi="宋体" w:cs="宋体"/>
                <w:color w:val="000000" w:themeColor="text1"/>
                <w:kern w:val="0"/>
                <w:sz w:val="18"/>
                <w:szCs w:val="18"/>
                <w:highlight w:val="none"/>
                <w14:textFill>
                  <w14:solidFill>
                    <w14:schemeClr w14:val="tx1"/>
                  </w14:solidFill>
                </w14:textFill>
              </w:rPr>
              <w:t>≤</w:t>
            </w:r>
            <w:r>
              <w:rPr>
                <w:rFonts w:ascii="宋体" w:hAnsi="宋体" w:cs="宋体"/>
                <w:color w:val="000000" w:themeColor="text1"/>
                <w:kern w:val="0"/>
                <w:sz w:val="18"/>
                <w:szCs w:val="18"/>
                <w:highlight w:val="none"/>
                <w14:textFill>
                  <w14:solidFill>
                    <w14:schemeClr w14:val="tx1"/>
                  </w14:solidFill>
                </w14:textFill>
              </w:rPr>
              <w:t>Y</w:t>
            </w:r>
            <w:r>
              <w:rPr>
                <w:rFonts w:hint="eastAsia" w:ascii="宋体" w:hAnsi="宋体" w:cs="宋体"/>
                <w:color w:val="000000" w:themeColor="text1"/>
                <w:kern w:val="0"/>
                <w:sz w:val="18"/>
                <w:szCs w:val="18"/>
                <w:highlight w:val="none"/>
                <w14:textFill>
                  <w14:solidFill>
                    <w14:schemeClr w14:val="tx1"/>
                  </w14:solidFill>
                </w14:textFill>
              </w:rPr>
              <w:t>＜</w:t>
            </w:r>
            <w:r>
              <w:rPr>
                <w:rFonts w:ascii="宋体" w:hAnsi="宋体" w:cs="宋体"/>
                <w:color w:val="000000" w:themeColor="text1"/>
                <w:kern w:val="0"/>
                <w:sz w:val="18"/>
                <w:szCs w:val="18"/>
                <w:highlight w:val="none"/>
                <w14:textFill>
                  <w14:solidFill>
                    <w14:schemeClr w14:val="tx1"/>
                  </w14:solidFill>
                </w14:textFill>
              </w:rPr>
              <w:t>2000</w:t>
            </w:r>
          </w:p>
        </w:tc>
        <w:tc>
          <w:tcPr>
            <w:tcW w:w="1532" w:type="dxa"/>
            <w:tcBorders>
              <w:top w:val="nil"/>
              <w:left w:val="nil"/>
              <w:bottom w:val="single" w:color="auto" w:sz="4" w:space="0"/>
              <w:right w:val="single" w:color="auto" w:sz="4" w:space="0"/>
            </w:tcBorders>
            <w:vAlign w:val="center"/>
          </w:tcPr>
          <w:p w14:paraId="0A86D53A">
            <w:pPr>
              <w:widowControl/>
              <w:jc w:val="left"/>
              <w:rPr>
                <w:rFonts w:ascii="宋体"/>
                <w:color w:val="000000" w:themeColor="text1"/>
                <w:kern w:val="0"/>
                <w:sz w:val="18"/>
                <w:szCs w:val="18"/>
                <w:highlight w:val="none"/>
                <w14:textFill>
                  <w14:solidFill>
                    <w14:schemeClr w14:val="tx1"/>
                  </w14:solidFill>
                </w14:textFill>
              </w:rPr>
            </w:pPr>
            <w:r>
              <w:rPr>
                <w:rFonts w:ascii="宋体" w:hAnsi="宋体" w:cs="宋体"/>
                <w:color w:val="000000" w:themeColor="text1"/>
                <w:kern w:val="0"/>
                <w:sz w:val="18"/>
                <w:szCs w:val="18"/>
                <w:highlight w:val="none"/>
                <w14:textFill>
                  <w14:solidFill>
                    <w14:schemeClr w14:val="tx1"/>
                  </w14:solidFill>
                </w14:textFill>
              </w:rPr>
              <w:t>Y</w:t>
            </w:r>
            <w:r>
              <w:rPr>
                <w:rFonts w:hint="eastAsia" w:ascii="宋体" w:hAnsi="宋体" w:cs="宋体"/>
                <w:color w:val="000000" w:themeColor="text1"/>
                <w:kern w:val="0"/>
                <w:sz w:val="18"/>
                <w:szCs w:val="18"/>
                <w:highlight w:val="none"/>
                <w14:textFill>
                  <w14:solidFill>
                    <w14:schemeClr w14:val="tx1"/>
                  </w14:solidFill>
                </w14:textFill>
              </w:rPr>
              <w:t>＜</w:t>
            </w:r>
            <w:r>
              <w:rPr>
                <w:rFonts w:ascii="宋体" w:hAnsi="宋体" w:cs="宋体"/>
                <w:color w:val="000000" w:themeColor="text1"/>
                <w:kern w:val="0"/>
                <w:sz w:val="18"/>
                <w:szCs w:val="18"/>
                <w:highlight w:val="none"/>
                <w14:textFill>
                  <w14:solidFill>
                    <w14:schemeClr w14:val="tx1"/>
                  </w14:solidFill>
                </w14:textFill>
              </w:rPr>
              <w:t>100</w:t>
            </w:r>
          </w:p>
        </w:tc>
      </w:tr>
      <w:tr w14:paraId="37D2C732">
        <w:tblPrEx>
          <w:tblCellMar>
            <w:top w:w="0" w:type="dxa"/>
            <w:left w:w="108" w:type="dxa"/>
            <w:bottom w:w="0" w:type="dxa"/>
            <w:right w:w="108" w:type="dxa"/>
          </w:tblCellMar>
        </w:tblPrEx>
        <w:trPr>
          <w:trHeight w:val="340" w:hRule="atLeast"/>
          <w:jc w:val="center"/>
        </w:trPr>
        <w:tc>
          <w:tcPr>
            <w:tcW w:w="2004" w:type="dxa"/>
            <w:vMerge w:val="restart"/>
            <w:tcBorders>
              <w:top w:val="nil"/>
              <w:left w:val="single" w:color="auto" w:sz="4" w:space="0"/>
              <w:bottom w:val="single" w:color="auto" w:sz="4" w:space="0"/>
              <w:right w:val="single" w:color="auto" w:sz="4" w:space="0"/>
            </w:tcBorders>
            <w:vAlign w:val="center"/>
          </w:tcPr>
          <w:p w14:paraId="692E5EF6">
            <w:pPr>
              <w:widowControl/>
              <w:jc w:val="center"/>
              <w:rPr>
                <w:rFonts w:ascii="宋体"/>
                <w:b/>
                <w:bCs/>
                <w:color w:val="000000" w:themeColor="text1"/>
                <w:kern w:val="0"/>
                <w:sz w:val="18"/>
                <w:szCs w:val="18"/>
                <w:highlight w:val="none"/>
                <w14:textFill>
                  <w14:solidFill>
                    <w14:schemeClr w14:val="tx1"/>
                  </w14:solidFill>
                </w14:textFill>
              </w:rPr>
            </w:pPr>
            <w:r>
              <w:rPr>
                <w:rFonts w:hint="eastAsia" w:ascii="宋体" w:hAnsi="宋体" w:cs="宋体"/>
                <w:b/>
                <w:bCs/>
                <w:color w:val="000000" w:themeColor="text1"/>
                <w:kern w:val="0"/>
                <w:sz w:val="18"/>
                <w:szCs w:val="18"/>
                <w:highlight w:val="none"/>
                <w14:textFill>
                  <w14:solidFill>
                    <w14:schemeClr w14:val="tx1"/>
                  </w14:solidFill>
                </w14:textFill>
              </w:rPr>
              <w:t>餐饮业</w:t>
            </w:r>
          </w:p>
        </w:tc>
        <w:tc>
          <w:tcPr>
            <w:tcW w:w="1384" w:type="dxa"/>
            <w:tcBorders>
              <w:top w:val="nil"/>
              <w:left w:val="nil"/>
              <w:bottom w:val="single" w:color="auto" w:sz="4" w:space="0"/>
              <w:right w:val="single" w:color="auto" w:sz="4" w:space="0"/>
            </w:tcBorders>
            <w:vAlign w:val="center"/>
          </w:tcPr>
          <w:p w14:paraId="50BBD8C7">
            <w:pPr>
              <w:widowControl/>
              <w:jc w:val="left"/>
              <w:rPr>
                <w:rFonts w:ascii="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从业人员（</w:t>
            </w:r>
            <w:r>
              <w:rPr>
                <w:rFonts w:ascii="宋体" w:hAnsi="宋体" w:cs="宋体"/>
                <w:color w:val="000000" w:themeColor="text1"/>
                <w:kern w:val="0"/>
                <w:sz w:val="18"/>
                <w:szCs w:val="18"/>
                <w:highlight w:val="none"/>
                <w14:textFill>
                  <w14:solidFill>
                    <w14:schemeClr w14:val="tx1"/>
                  </w14:solidFill>
                </w14:textFill>
              </w:rPr>
              <w:t>X</w:t>
            </w:r>
            <w:r>
              <w:rPr>
                <w:rFonts w:hint="eastAsia" w:ascii="宋体" w:hAnsi="宋体" w:cs="宋体"/>
                <w:color w:val="000000" w:themeColor="text1"/>
                <w:kern w:val="0"/>
                <w:sz w:val="18"/>
                <w:szCs w:val="18"/>
                <w:highlight w:val="none"/>
                <w14:textFill>
                  <w14:solidFill>
                    <w14:schemeClr w14:val="tx1"/>
                  </w14:solidFill>
                </w14:textFill>
              </w:rPr>
              <w:t>）</w:t>
            </w:r>
          </w:p>
        </w:tc>
        <w:tc>
          <w:tcPr>
            <w:tcW w:w="913" w:type="dxa"/>
            <w:tcBorders>
              <w:top w:val="nil"/>
              <w:left w:val="nil"/>
              <w:bottom w:val="single" w:color="auto" w:sz="4" w:space="0"/>
              <w:right w:val="single" w:color="auto" w:sz="4" w:space="0"/>
            </w:tcBorders>
            <w:vAlign w:val="center"/>
          </w:tcPr>
          <w:p w14:paraId="7196FE9D">
            <w:pPr>
              <w:widowControl/>
              <w:jc w:val="left"/>
              <w:rPr>
                <w:rFonts w:ascii="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人</w:t>
            </w:r>
          </w:p>
        </w:tc>
        <w:tc>
          <w:tcPr>
            <w:tcW w:w="1620" w:type="dxa"/>
            <w:tcBorders>
              <w:top w:val="nil"/>
              <w:left w:val="nil"/>
              <w:bottom w:val="single" w:color="auto" w:sz="4" w:space="0"/>
              <w:right w:val="single" w:color="auto" w:sz="4" w:space="0"/>
            </w:tcBorders>
            <w:vAlign w:val="center"/>
          </w:tcPr>
          <w:p w14:paraId="57D03F32">
            <w:pPr>
              <w:widowControl/>
              <w:jc w:val="left"/>
              <w:rPr>
                <w:rFonts w:ascii="宋体"/>
                <w:color w:val="000000" w:themeColor="text1"/>
                <w:kern w:val="0"/>
                <w:sz w:val="18"/>
                <w:szCs w:val="18"/>
                <w:highlight w:val="none"/>
                <w14:textFill>
                  <w14:solidFill>
                    <w14:schemeClr w14:val="tx1"/>
                  </w14:solidFill>
                </w14:textFill>
              </w:rPr>
            </w:pPr>
            <w:r>
              <w:rPr>
                <w:rFonts w:ascii="宋体" w:hAnsi="宋体" w:cs="宋体"/>
                <w:color w:val="000000" w:themeColor="text1"/>
                <w:kern w:val="0"/>
                <w:sz w:val="18"/>
                <w:szCs w:val="18"/>
                <w:highlight w:val="none"/>
                <w14:textFill>
                  <w14:solidFill>
                    <w14:schemeClr w14:val="tx1"/>
                  </w14:solidFill>
                </w14:textFill>
              </w:rPr>
              <w:t>100</w:t>
            </w:r>
            <w:r>
              <w:rPr>
                <w:rFonts w:hint="eastAsia" w:ascii="宋体" w:hAnsi="宋体" w:cs="宋体"/>
                <w:color w:val="000000" w:themeColor="text1"/>
                <w:kern w:val="0"/>
                <w:sz w:val="18"/>
                <w:szCs w:val="18"/>
                <w:highlight w:val="none"/>
                <w14:textFill>
                  <w14:solidFill>
                    <w14:schemeClr w14:val="tx1"/>
                  </w14:solidFill>
                </w14:textFill>
              </w:rPr>
              <w:t>≤</w:t>
            </w:r>
            <w:r>
              <w:rPr>
                <w:rFonts w:ascii="宋体" w:hAnsi="宋体" w:cs="宋体"/>
                <w:color w:val="000000" w:themeColor="text1"/>
                <w:kern w:val="0"/>
                <w:sz w:val="18"/>
                <w:szCs w:val="18"/>
                <w:highlight w:val="none"/>
                <w14:textFill>
                  <w14:solidFill>
                    <w14:schemeClr w14:val="tx1"/>
                  </w14:solidFill>
                </w14:textFill>
              </w:rPr>
              <w:t>X</w:t>
            </w:r>
            <w:r>
              <w:rPr>
                <w:rFonts w:hint="eastAsia" w:ascii="宋体" w:hAnsi="宋体" w:cs="宋体"/>
                <w:color w:val="000000" w:themeColor="text1"/>
                <w:kern w:val="0"/>
                <w:sz w:val="18"/>
                <w:szCs w:val="18"/>
                <w:highlight w:val="none"/>
                <w14:textFill>
                  <w14:solidFill>
                    <w14:schemeClr w14:val="tx1"/>
                  </w14:solidFill>
                </w14:textFill>
              </w:rPr>
              <w:t>＜</w:t>
            </w:r>
            <w:r>
              <w:rPr>
                <w:rFonts w:ascii="宋体" w:hAnsi="宋体" w:cs="宋体"/>
                <w:color w:val="000000" w:themeColor="text1"/>
                <w:kern w:val="0"/>
                <w:sz w:val="18"/>
                <w:szCs w:val="18"/>
                <w:highlight w:val="none"/>
                <w14:textFill>
                  <w14:solidFill>
                    <w14:schemeClr w14:val="tx1"/>
                  </w14:solidFill>
                </w14:textFill>
              </w:rPr>
              <w:t>300</w:t>
            </w:r>
          </w:p>
        </w:tc>
        <w:tc>
          <w:tcPr>
            <w:tcW w:w="1440" w:type="dxa"/>
            <w:tcBorders>
              <w:top w:val="nil"/>
              <w:left w:val="nil"/>
              <w:bottom w:val="single" w:color="auto" w:sz="4" w:space="0"/>
              <w:right w:val="single" w:color="auto" w:sz="4" w:space="0"/>
            </w:tcBorders>
            <w:vAlign w:val="center"/>
          </w:tcPr>
          <w:p w14:paraId="1B3F4386">
            <w:pPr>
              <w:widowControl/>
              <w:jc w:val="left"/>
              <w:rPr>
                <w:rFonts w:ascii="宋体"/>
                <w:color w:val="000000" w:themeColor="text1"/>
                <w:kern w:val="0"/>
                <w:sz w:val="18"/>
                <w:szCs w:val="18"/>
                <w:highlight w:val="none"/>
                <w14:textFill>
                  <w14:solidFill>
                    <w14:schemeClr w14:val="tx1"/>
                  </w14:solidFill>
                </w14:textFill>
              </w:rPr>
            </w:pPr>
            <w:r>
              <w:rPr>
                <w:rFonts w:ascii="宋体" w:hAnsi="宋体" w:cs="宋体"/>
                <w:color w:val="000000" w:themeColor="text1"/>
                <w:kern w:val="0"/>
                <w:sz w:val="18"/>
                <w:szCs w:val="18"/>
                <w:highlight w:val="none"/>
                <w14:textFill>
                  <w14:solidFill>
                    <w14:schemeClr w14:val="tx1"/>
                  </w14:solidFill>
                </w14:textFill>
              </w:rPr>
              <w:t>10</w:t>
            </w:r>
            <w:r>
              <w:rPr>
                <w:rFonts w:hint="eastAsia" w:ascii="宋体" w:hAnsi="宋体" w:cs="宋体"/>
                <w:color w:val="000000" w:themeColor="text1"/>
                <w:kern w:val="0"/>
                <w:sz w:val="18"/>
                <w:szCs w:val="18"/>
                <w:highlight w:val="none"/>
                <w14:textFill>
                  <w14:solidFill>
                    <w14:schemeClr w14:val="tx1"/>
                  </w14:solidFill>
                </w14:textFill>
              </w:rPr>
              <w:t>≤</w:t>
            </w:r>
            <w:r>
              <w:rPr>
                <w:rFonts w:ascii="宋体" w:hAnsi="宋体" w:cs="宋体"/>
                <w:color w:val="000000" w:themeColor="text1"/>
                <w:kern w:val="0"/>
                <w:sz w:val="18"/>
                <w:szCs w:val="18"/>
                <w:highlight w:val="none"/>
                <w14:textFill>
                  <w14:solidFill>
                    <w14:schemeClr w14:val="tx1"/>
                  </w14:solidFill>
                </w14:textFill>
              </w:rPr>
              <w:t>X</w:t>
            </w:r>
            <w:r>
              <w:rPr>
                <w:rFonts w:hint="eastAsia" w:ascii="宋体" w:hAnsi="宋体" w:cs="宋体"/>
                <w:color w:val="000000" w:themeColor="text1"/>
                <w:kern w:val="0"/>
                <w:sz w:val="18"/>
                <w:szCs w:val="18"/>
                <w:highlight w:val="none"/>
                <w14:textFill>
                  <w14:solidFill>
                    <w14:schemeClr w14:val="tx1"/>
                  </w14:solidFill>
                </w14:textFill>
              </w:rPr>
              <w:t>＜</w:t>
            </w:r>
            <w:r>
              <w:rPr>
                <w:rFonts w:ascii="宋体" w:hAnsi="宋体" w:cs="宋体"/>
                <w:color w:val="000000" w:themeColor="text1"/>
                <w:kern w:val="0"/>
                <w:sz w:val="18"/>
                <w:szCs w:val="18"/>
                <w:highlight w:val="none"/>
                <w14:textFill>
                  <w14:solidFill>
                    <w14:schemeClr w14:val="tx1"/>
                  </w14:solidFill>
                </w14:textFill>
              </w:rPr>
              <w:t>100</w:t>
            </w:r>
          </w:p>
        </w:tc>
        <w:tc>
          <w:tcPr>
            <w:tcW w:w="1532" w:type="dxa"/>
            <w:tcBorders>
              <w:top w:val="nil"/>
              <w:left w:val="nil"/>
              <w:bottom w:val="single" w:color="auto" w:sz="4" w:space="0"/>
              <w:right w:val="single" w:color="auto" w:sz="4" w:space="0"/>
            </w:tcBorders>
            <w:vAlign w:val="center"/>
          </w:tcPr>
          <w:p w14:paraId="3AE36430">
            <w:pPr>
              <w:widowControl/>
              <w:jc w:val="left"/>
              <w:rPr>
                <w:rFonts w:ascii="宋体"/>
                <w:color w:val="000000" w:themeColor="text1"/>
                <w:kern w:val="0"/>
                <w:sz w:val="18"/>
                <w:szCs w:val="18"/>
                <w:highlight w:val="none"/>
                <w14:textFill>
                  <w14:solidFill>
                    <w14:schemeClr w14:val="tx1"/>
                  </w14:solidFill>
                </w14:textFill>
              </w:rPr>
            </w:pPr>
            <w:r>
              <w:rPr>
                <w:rFonts w:ascii="宋体" w:hAnsi="宋体" w:cs="宋体"/>
                <w:color w:val="000000" w:themeColor="text1"/>
                <w:kern w:val="0"/>
                <w:sz w:val="18"/>
                <w:szCs w:val="18"/>
                <w:highlight w:val="none"/>
                <w14:textFill>
                  <w14:solidFill>
                    <w14:schemeClr w14:val="tx1"/>
                  </w14:solidFill>
                </w14:textFill>
              </w:rPr>
              <w:t>X</w:t>
            </w:r>
            <w:r>
              <w:rPr>
                <w:rFonts w:hint="eastAsia" w:ascii="宋体" w:hAnsi="宋体" w:cs="宋体"/>
                <w:color w:val="000000" w:themeColor="text1"/>
                <w:kern w:val="0"/>
                <w:sz w:val="18"/>
                <w:szCs w:val="18"/>
                <w:highlight w:val="none"/>
                <w14:textFill>
                  <w14:solidFill>
                    <w14:schemeClr w14:val="tx1"/>
                  </w14:solidFill>
                </w14:textFill>
              </w:rPr>
              <w:t>＜</w:t>
            </w:r>
            <w:r>
              <w:rPr>
                <w:rFonts w:ascii="宋体" w:hAnsi="宋体" w:cs="宋体"/>
                <w:color w:val="000000" w:themeColor="text1"/>
                <w:kern w:val="0"/>
                <w:sz w:val="18"/>
                <w:szCs w:val="18"/>
                <w:highlight w:val="none"/>
                <w14:textFill>
                  <w14:solidFill>
                    <w14:schemeClr w14:val="tx1"/>
                  </w14:solidFill>
                </w14:textFill>
              </w:rPr>
              <w:t>10</w:t>
            </w:r>
          </w:p>
        </w:tc>
      </w:tr>
      <w:tr w14:paraId="379B37F8">
        <w:tblPrEx>
          <w:tblCellMar>
            <w:top w:w="0" w:type="dxa"/>
            <w:left w:w="108" w:type="dxa"/>
            <w:bottom w:w="0" w:type="dxa"/>
            <w:right w:w="108" w:type="dxa"/>
          </w:tblCellMar>
        </w:tblPrEx>
        <w:trPr>
          <w:trHeight w:val="340" w:hRule="atLeast"/>
          <w:jc w:val="center"/>
        </w:trPr>
        <w:tc>
          <w:tcPr>
            <w:tcW w:w="2004" w:type="dxa"/>
            <w:vMerge w:val="continue"/>
            <w:tcBorders>
              <w:top w:val="nil"/>
              <w:left w:val="single" w:color="auto" w:sz="4" w:space="0"/>
              <w:bottom w:val="single" w:color="auto" w:sz="4" w:space="0"/>
              <w:right w:val="single" w:color="auto" w:sz="4" w:space="0"/>
            </w:tcBorders>
            <w:vAlign w:val="center"/>
          </w:tcPr>
          <w:p w14:paraId="4372BE55">
            <w:pPr>
              <w:widowControl/>
              <w:jc w:val="center"/>
              <w:rPr>
                <w:rFonts w:ascii="宋体"/>
                <w:b/>
                <w:bCs/>
                <w:color w:val="000000" w:themeColor="text1"/>
                <w:kern w:val="0"/>
                <w:sz w:val="18"/>
                <w:szCs w:val="18"/>
                <w:highlight w:val="none"/>
                <w14:textFill>
                  <w14:solidFill>
                    <w14:schemeClr w14:val="tx1"/>
                  </w14:solidFill>
                </w14:textFill>
              </w:rPr>
            </w:pPr>
          </w:p>
        </w:tc>
        <w:tc>
          <w:tcPr>
            <w:tcW w:w="1384" w:type="dxa"/>
            <w:tcBorders>
              <w:top w:val="nil"/>
              <w:left w:val="nil"/>
              <w:bottom w:val="single" w:color="auto" w:sz="4" w:space="0"/>
              <w:right w:val="single" w:color="auto" w:sz="4" w:space="0"/>
            </w:tcBorders>
            <w:vAlign w:val="center"/>
          </w:tcPr>
          <w:p w14:paraId="43C6FAE8">
            <w:pPr>
              <w:widowControl/>
              <w:jc w:val="left"/>
              <w:rPr>
                <w:rFonts w:ascii="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营业收入（</w:t>
            </w:r>
            <w:r>
              <w:rPr>
                <w:rFonts w:ascii="宋体" w:hAnsi="宋体" w:cs="宋体"/>
                <w:color w:val="000000" w:themeColor="text1"/>
                <w:kern w:val="0"/>
                <w:sz w:val="18"/>
                <w:szCs w:val="18"/>
                <w:highlight w:val="none"/>
                <w14:textFill>
                  <w14:solidFill>
                    <w14:schemeClr w14:val="tx1"/>
                  </w14:solidFill>
                </w14:textFill>
              </w:rPr>
              <w:t>Y</w:t>
            </w:r>
            <w:r>
              <w:rPr>
                <w:rFonts w:hint="eastAsia" w:ascii="宋体" w:hAnsi="宋体" w:cs="宋体"/>
                <w:color w:val="000000" w:themeColor="text1"/>
                <w:kern w:val="0"/>
                <w:sz w:val="18"/>
                <w:szCs w:val="18"/>
                <w:highlight w:val="none"/>
                <w14:textFill>
                  <w14:solidFill>
                    <w14:schemeClr w14:val="tx1"/>
                  </w14:solidFill>
                </w14:textFill>
              </w:rPr>
              <w:t>）</w:t>
            </w:r>
          </w:p>
        </w:tc>
        <w:tc>
          <w:tcPr>
            <w:tcW w:w="913" w:type="dxa"/>
            <w:tcBorders>
              <w:top w:val="nil"/>
              <w:left w:val="nil"/>
              <w:bottom w:val="single" w:color="auto" w:sz="4" w:space="0"/>
              <w:right w:val="single" w:color="auto" w:sz="4" w:space="0"/>
            </w:tcBorders>
            <w:vAlign w:val="center"/>
          </w:tcPr>
          <w:p w14:paraId="7E92F2D8">
            <w:pPr>
              <w:widowControl/>
              <w:jc w:val="left"/>
              <w:rPr>
                <w:rFonts w:ascii="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万元</w:t>
            </w:r>
          </w:p>
        </w:tc>
        <w:tc>
          <w:tcPr>
            <w:tcW w:w="1620" w:type="dxa"/>
            <w:tcBorders>
              <w:top w:val="nil"/>
              <w:left w:val="nil"/>
              <w:bottom w:val="single" w:color="auto" w:sz="4" w:space="0"/>
              <w:right w:val="single" w:color="auto" w:sz="4" w:space="0"/>
            </w:tcBorders>
            <w:vAlign w:val="center"/>
          </w:tcPr>
          <w:p w14:paraId="36863581">
            <w:pPr>
              <w:widowControl/>
              <w:jc w:val="left"/>
              <w:rPr>
                <w:rFonts w:ascii="宋体"/>
                <w:color w:val="000000" w:themeColor="text1"/>
                <w:kern w:val="0"/>
                <w:sz w:val="18"/>
                <w:szCs w:val="18"/>
                <w:highlight w:val="none"/>
                <w14:textFill>
                  <w14:solidFill>
                    <w14:schemeClr w14:val="tx1"/>
                  </w14:solidFill>
                </w14:textFill>
              </w:rPr>
            </w:pPr>
            <w:r>
              <w:rPr>
                <w:rFonts w:ascii="宋体" w:hAnsi="宋体" w:cs="宋体"/>
                <w:color w:val="000000" w:themeColor="text1"/>
                <w:kern w:val="0"/>
                <w:sz w:val="18"/>
                <w:szCs w:val="18"/>
                <w:highlight w:val="none"/>
                <w14:textFill>
                  <w14:solidFill>
                    <w14:schemeClr w14:val="tx1"/>
                  </w14:solidFill>
                </w14:textFill>
              </w:rPr>
              <w:t>2000</w:t>
            </w:r>
            <w:r>
              <w:rPr>
                <w:rFonts w:hint="eastAsia" w:ascii="宋体" w:hAnsi="宋体" w:cs="宋体"/>
                <w:color w:val="000000" w:themeColor="text1"/>
                <w:kern w:val="0"/>
                <w:sz w:val="18"/>
                <w:szCs w:val="18"/>
                <w:highlight w:val="none"/>
                <w14:textFill>
                  <w14:solidFill>
                    <w14:schemeClr w14:val="tx1"/>
                  </w14:solidFill>
                </w14:textFill>
              </w:rPr>
              <w:t>≤</w:t>
            </w:r>
            <w:r>
              <w:rPr>
                <w:rFonts w:ascii="宋体" w:hAnsi="宋体" w:cs="宋体"/>
                <w:color w:val="000000" w:themeColor="text1"/>
                <w:kern w:val="0"/>
                <w:sz w:val="18"/>
                <w:szCs w:val="18"/>
                <w:highlight w:val="none"/>
                <w14:textFill>
                  <w14:solidFill>
                    <w14:schemeClr w14:val="tx1"/>
                  </w14:solidFill>
                </w14:textFill>
              </w:rPr>
              <w:t>Y</w:t>
            </w:r>
            <w:r>
              <w:rPr>
                <w:rFonts w:hint="eastAsia" w:ascii="宋体" w:hAnsi="宋体" w:cs="宋体"/>
                <w:color w:val="000000" w:themeColor="text1"/>
                <w:kern w:val="0"/>
                <w:sz w:val="18"/>
                <w:szCs w:val="18"/>
                <w:highlight w:val="none"/>
                <w14:textFill>
                  <w14:solidFill>
                    <w14:schemeClr w14:val="tx1"/>
                  </w14:solidFill>
                </w14:textFill>
              </w:rPr>
              <w:t>＜</w:t>
            </w:r>
            <w:r>
              <w:rPr>
                <w:rFonts w:ascii="宋体" w:hAnsi="宋体" w:cs="宋体"/>
                <w:color w:val="000000" w:themeColor="text1"/>
                <w:kern w:val="0"/>
                <w:sz w:val="18"/>
                <w:szCs w:val="18"/>
                <w:highlight w:val="none"/>
                <w14:textFill>
                  <w14:solidFill>
                    <w14:schemeClr w14:val="tx1"/>
                  </w14:solidFill>
                </w14:textFill>
              </w:rPr>
              <w:t>10000</w:t>
            </w:r>
          </w:p>
        </w:tc>
        <w:tc>
          <w:tcPr>
            <w:tcW w:w="1440" w:type="dxa"/>
            <w:tcBorders>
              <w:top w:val="nil"/>
              <w:left w:val="nil"/>
              <w:bottom w:val="single" w:color="auto" w:sz="4" w:space="0"/>
              <w:right w:val="single" w:color="auto" w:sz="4" w:space="0"/>
            </w:tcBorders>
            <w:vAlign w:val="center"/>
          </w:tcPr>
          <w:p w14:paraId="4052BDAF">
            <w:pPr>
              <w:widowControl/>
              <w:jc w:val="left"/>
              <w:rPr>
                <w:rFonts w:ascii="宋体"/>
                <w:color w:val="000000" w:themeColor="text1"/>
                <w:kern w:val="0"/>
                <w:sz w:val="18"/>
                <w:szCs w:val="18"/>
                <w:highlight w:val="none"/>
                <w14:textFill>
                  <w14:solidFill>
                    <w14:schemeClr w14:val="tx1"/>
                  </w14:solidFill>
                </w14:textFill>
              </w:rPr>
            </w:pPr>
            <w:r>
              <w:rPr>
                <w:rFonts w:ascii="宋体" w:hAnsi="宋体" w:cs="宋体"/>
                <w:color w:val="000000" w:themeColor="text1"/>
                <w:kern w:val="0"/>
                <w:sz w:val="18"/>
                <w:szCs w:val="18"/>
                <w:highlight w:val="none"/>
                <w14:textFill>
                  <w14:solidFill>
                    <w14:schemeClr w14:val="tx1"/>
                  </w14:solidFill>
                </w14:textFill>
              </w:rPr>
              <w:t>100</w:t>
            </w:r>
            <w:r>
              <w:rPr>
                <w:rFonts w:hint="eastAsia" w:ascii="宋体" w:hAnsi="宋体" w:cs="宋体"/>
                <w:color w:val="000000" w:themeColor="text1"/>
                <w:kern w:val="0"/>
                <w:sz w:val="18"/>
                <w:szCs w:val="18"/>
                <w:highlight w:val="none"/>
                <w14:textFill>
                  <w14:solidFill>
                    <w14:schemeClr w14:val="tx1"/>
                  </w14:solidFill>
                </w14:textFill>
              </w:rPr>
              <w:t>≤</w:t>
            </w:r>
            <w:r>
              <w:rPr>
                <w:rFonts w:ascii="宋体" w:hAnsi="宋体" w:cs="宋体"/>
                <w:color w:val="000000" w:themeColor="text1"/>
                <w:kern w:val="0"/>
                <w:sz w:val="18"/>
                <w:szCs w:val="18"/>
                <w:highlight w:val="none"/>
                <w14:textFill>
                  <w14:solidFill>
                    <w14:schemeClr w14:val="tx1"/>
                  </w14:solidFill>
                </w14:textFill>
              </w:rPr>
              <w:t>Y</w:t>
            </w:r>
            <w:r>
              <w:rPr>
                <w:rFonts w:hint="eastAsia" w:ascii="宋体" w:hAnsi="宋体" w:cs="宋体"/>
                <w:color w:val="000000" w:themeColor="text1"/>
                <w:kern w:val="0"/>
                <w:sz w:val="18"/>
                <w:szCs w:val="18"/>
                <w:highlight w:val="none"/>
                <w14:textFill>
                  <w14:solidFill>
                    <w14:schemeClr w14:val="tx1"/>
                  </w14:solidFill>
                </w14:textFill>
              </w:rPr>
              <w:t>＜</w:t>
            </w:r>
            <w:r>
              <w:rPr>
                <w:rFonts w:ascii="宋体" w:hAnsi="宋体" w:cs="宋体"/>
                <w:color w:val="000000" w:themeColor="text1"/>
                <w:kern w:val="0"/>
                <w:sz w:val="18"/>
                <w:szCs w:val="18"/>
                <w:highlight w:val="none"/>
                <w14:textFill>
                  <w14:solidFill>
                    <w14:schemeClr w14:val="tx1"/>
                  </w14:solidFill>
                </w14:textFill>
              </w:rPr>
              <w:t>2000</w:t>
            </w:r>
          </w:p>
        </w:tc>
        <w:tc>
          <w:tcPr>
            <w:tcW w:w="1532" w:type="dxa"/>
            <w:tcBorders>
              <w:top w:val="nil"/>
              <w:left w:val="nil"/>
              <w:bottom w:val="single" w:color="auto" w:sz="4" w:space="0"/>
              <w:right w:val="single" w:color="auto" w:sz="4" w:space="0"/>
            </w:tcBorders>
            <w:vAlign w:val="center"/>
          </w:tcPr>
          <w:p w14:paraId="3B85FFFB">
            <w:pPr>
              <w:widowControl/>
              <w:jc w:val="left"/>
              <w:rPr>
                <w:rFonts w:ascii="宋体"/>
                <w:color w:val="000000" w:themeColor="text1"/>
                <w:kern w:val="0"/>
                <w:sz w:val="18"/>
                <w:szCs w:val="18"/>
                <w:highlight w:val="none"/>
                <w14:textFill>
                  <w14:solidFill>
                    <w14:schemeClr w14:val="tx1"/>
                  </w14:solidFill>
                </w14:textFill>
              </w:rPr>
            </w:pPr>
            <w:r>
              <w:rPr>
                <w:rFonts w:ascii="宋体" w:hAnsi="宋体" w:cs="宋体"/>
                <w:color w:val="000000" w:themeColor="text1"/>
                <w:kern w:val="0"/>
                <w:sz w:val="18"/>
                <w:szCs w:val="18"/>
                <w:highlight w:val="none"/>
                <w14:textFill>
                  <w14:solidFill>
                    <w14:schemeClr w14:val="tx1"/>
                  </w14:solidFill>
                </w14:textFill>
              </w:rPr>
              <w:t>Y</w:t>
            </w:r>
            <w:r>
              <w:rPr>
                <w:rFonts w:hint="eastAsia" w:ascii="宋体" w:hAnsi="宋体" w:cs="宋体"/>
                <w:color w:val="000000" w:themeColor="text1"/>
                <w:kern w:val="0"/>
                <w:sz w:val="18"/>
                <w:szCs w:val="18"/>
                <w:highlight w:val="none"/>
                <w14:textFill>
                  <w14:solidFill>
                    <w14:schemeClr w14:val="tx1"/>
                  </w14:solidFill>
                </w14:textFill>
              </w:rPr>
              <w:t>＜</w:t>
            </w:r>
            <w:r>
              <w:rPr>
                <w:rFonts w:ascii="宋体" w:hAnsi="宋体" w:cs="宋体"/>
                <w:color w:val="000000" w:themeColor="text1"/>
                <w:kern w:val="0"/>
                <w:sz w:val="18"/>
                <w:szCs w:val="18"/>
                <w:highlight w:val="none"/>
                <w14:textFill>
                  <w14:solidFill>
                    <w14:schemeClr w14:val="tx1"/>
                  </w14:solidFill>
                </w14:textFill>
              </w:rPr>
              <w:t>100</w:t>
            </w:r>
          </w:p>
        </w:tc>
      </w:tr>
      <w:tr w14:paraId="1E8EBB2B">
        <w:tblPrEx>
          <w:tblCellMar>
            <w:top w:w="0" w:type="dxa"/>
            <w:left w:w="108" w:type="dxa"/>
            <w:bottom w:w="0" w:type="dxa"/>
            <w:right w:w="108" w:type="dxa"/>
          </w:tblCellMar>
        </w:tblPrEx>
        <w:trPr>
          <w:trHeight w:val="340" w:hRule="atLeast"/>
          <w:jc w:val="center"/>
        </w:trPr>
        <w:tc>
          <w:tcPr>
            <w:tcW w:w="2004" w:type="dxa"/>
            <w:vMerge w:val="restart"/>
            <w:tcBorders>
              <w:top w:val="nil"/>
              <w:left w:val="single" w:color="auto" w:sz="4" w:space="0"/>
              <w:bottom w:val="single" w:color="auto" w:sz="4" w:space="0"/>
              <w:right w:val="single" w:color="auto" w:sz="4" w:space="0"/>
            </w:tcBorders>
            <w:vAlign w:val="center"/>
          </w:tcPr>
          <w:p w14:paraId="5C19B098">
            <w:pPr>
              <w:widowControl/>
              <w:jc w:val="center"/>
              <w:rPr>
                <w:rFonts w:ascii="宋体"/>
                <w:b/>
                <w:bCs/>
                <w:color w:val="000000" w:themeColor="text1"/>
                <w:kern w:val="0"/>
                <w:sz w:val="18"/>
                <w:szCs w:val="18"/>
                <w:highlight w:val="none"/>
                <w14:textFill>
                  <w14:solidFill>
                    <w14:schemeClr w14:val="tx1"/>
                  </w14:solidFill>
                </w14:textFill>
              </w:rPr>
            </w:pPr>
            <w:r>
              <w:rPr>
                <w:rFonts w:hint="eastAsia" w:ascii="宋体" w:hAnsi="宋体" w:cs="宋体"/>
                <w:b/>
                <w:bCs/>
                <w:color w:val="000000" w:themeColor="text1"/>
                <w:kern w:val="0"/>
                <w:sz w:val="18"/>
                <w:szCs w:val="18"/>
                <w:highlight w:val="none"/>
                <w14:textFill>
                  <w14:solidFill>
                    <w14:schemeClr w14:val="tx1"/>
                  </w14:solidFill>
                </w14:textFill>
              </w:rPr>
              <w:t>信息传输业</w:t>
            </w:r>
          </w:p>
        </w:tc>
        <w:tc>
          <w:tcPr>
            <w:tcW w:w="1384" w:type="dxa"/>
            <w:tcBorders>
              <w:top w:val="nil"/>
              <w:left w:val="nil"/>
              <w:bottom w:val="single" w:color="auto" w:sz="4" w:space="0"/>
              <w:right w:val="single" w:color="auto" w:sz="4" w:space="0"/>
            </w:tcBorders>
            <w:vAlign w:val="center"/>
          </w:tcPr>
          <w:p w14:paraId="4D7799E4">
            <w:pPr>
              <w:widowControl/>
              <w:jc w:val="left"/>
              <w:rPr>
                <w:rFonts w:ascii="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从业人员（</w:t>
            </w:r>
            <w:r>
              <w:rPr>
                <w:rFonts w:ascii="宋体" w:hAnsi="宋体" w:cs="宋体"/>
                <w:color w:val="000000" w:themeColor="text1"/>
                <w:kern w:val="0"/>
                <w:sz w:val="18"/>
                <w:szCs w:val="18"/>
                <w:highlight w:val="none"/>
                <w14:textFill>
                  <w14:solidFill>
                    <w14:schemeClr w14:val="tx1"/>
                  </w14:solidFill>
                </w14:textFill>
              </w:rPr>
              <w:t>X</w:t>
            </w:r>
            <w:r>
              <w:rPr>
                <w:rFonts w:hint="eastAsia" w:ascii="宋体" w:hAnsi="宋体" w:cs="宋体"/>
                <w:color w:val="000000" w:themeColor="text1"/>
                <w:kern w:val="0"/>
                <w:sz w:val="18"/>
                <w:szCs w:val="18"/>
                <w:highlight w:val="none"/>
                <w14:textFill>
                  <w14:solidFill>
                    <w14:schemeClr w14:val="tx1"/>
                  </w14:solidFill>
                </w14:textFill>
              </w:rPr>
              <w:t>）</w:t>
            </w:r>
          </w:p>
        </w:tc>
        <w:tc>
          <w:tcPr>
            <w:tcW w:w="913" w:type="dxa"/>
            <w:tcBorders>
              <w:top w:val="nil"/>
              <w:left w:val="nil"/>
              <w:bottom w:val="single" w:color="auto" w:sz="4" w:space="0"/>
              <w:right w:val="single" w:color="auto" w:sz="4" w:space="0"/>
            </w:tcBorders>
            <w:vAlign w:val="center"/>
          </w:tcPr>
          <w:p w14:paraId="7DFEC78A">
            <w:pPr>
              <w:widowControl/>
              <w:jc w:val="left"/>
              <w:rPr>
                <w:rFonts w:ascii="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人</w:t>
            </w:r>
          </w:p>
        </w:tc>
        <w:tc>
          <w:tcPr>
            <w:tcW w:w="1620" w:type="dxa"/>
            <w:tcBorders>
              <w:top w:val="nil"/>
              <w:left w:val="nil"/>
              <w:bottom w:val="single" w:color="auto" w:sz="4" w:space="0"/>
              <w:right w:val="single" w:color="auto" w:sz="4" w:space="0"/>
            </w:tcBorders>
            <w:vAlign w:val="center"/>
          </w:tcPr>
          <w:p w14:paraId="3AB5C61A">
            <w:pPr>
              <w:widowControl/>
              <w:jc w:val="left"/>
              <w:rPr>
                <w:rFonts w:ascii="宋体"/>
                <w:color w:val="000000" w:themeColor="text1"/>
                <w:kern w:val="0"/>
                <w:sz w:val="18"/>
                <w:szCs w:val="18"/>
                <w:highlight w:val="none"/>
                <w14:textFill>
                  <w14:solidFill>
                    <w14:schemeClr w14:val="tx1"/>
                  </w14:solidFill>
                </w14:textFill>
              </w:rPr>
            </w:pPr>
            <w:r>
              <w:rPr>
                <w:rFonts w:ascii="宋体" w:hAnsi="宋体" w:cs="宋体"/>
                <w:color w:val="000000" w:themeColor="text1"/>
                <w:kern w:val="0"/>
                <w:sz w:val="18"/>
                <w:szCs w:val="18"/>
                <w:highlight w:val="none"/>
                <w14:textFill>
                  <w14:solidFill>
                    <w14:schemeClr w14:val="tx1"/>
                  </w14:solidFill>
                </w14:textFill>
              </w:rPr>
              <w:t>100</w:t>
            </w:r>
            <w:r>
              <w:rPr>
                <w:rFonts w:hint="eastAsia" w:ascii="宋体" w:hAnsi="宋体" w:cs="宋体"/>
                <w:color w:val="000000" w:themeColor="text1"/>
                <w:kern w:val="0"/>
                <w:sz w:val="18"/>
                <w:szCs w:val="18"/>
                <w:highlight w:val="none"/>
                <w14:textFill>
                  <w14:solidFill>
                    <w14:schemeClr w14:val="tx1"/>
                  </w14:solidFill>
                </w14:textFill>
              </w:rPr>
              <w:t>≤</w:t>
            </w:r>
            <w:r>
              <w:rPr>
                <w:rFonts w:ascii="宋体" w:hAnsi="宋体" w:cs="宋体"/>
                <w:color w:val="000000" w:themeColor="text1"/>
                <w:kern w:val="0"/>
                <w:sz w:val="18"/>
                <w:szCs w:val="18"/>
                <w:highlight w:val="none"/>
                <w14:textFill>
                  <w14:solidFill>
                    <w14:schemeClr w14:val="tx1"/>
                  </w14:solidFill>
                </w14:textFill>
              </w:rPr>
              <w:t>X</w:t>
            </w:r>
            <w:r>
              <w:rPr>
                <w:rFonts w:hint="eastAsia" w:ascii="宋体" w:hAnsi="宋体" w:cs="宋体"/>
                <w:color w:val="000000" w:themeColor="text1"/>
                <w:kern w:val="0"/>
                <w:sz w:val="18"/>
                <w:szCs w:val="18"/>
                <w:highlight w:val="none"/>
                <w14:textFill>
                  <w14:solidFill>
                    <w14:schemeClr w14:val="tx1"/>
                  </w14:solidFill>
                </w14:textFill>
              </w:rPr>
              <w:t>＜</w:t>
            </w:r>
            <w:r>
              <w:rPr>
                <w:rFonts w:ascii="宋体" w:hAnsi="宋体" w:cs="宋体"/>
                <w:color w:val="000000" w:themeColor="text1"/>
                <w:kern w:val="0"/>
                <w:sz w:val="18"/>
                <w:szCs w:val="18"/>
                <w:highlight w:val="none"/>
                <w14:textFill>
                  <w14:solidFill>
                    <w14:schemeClr w14:val="tx1"/>
                  </w14:solidFill>
                </w14:textFill>
              </w:rPr>
              <w:t>2000</w:t>
            </w:r>
          </w:p>
        </w:tc>
        <w:tc>
          <w:tcPr>
            <w:tcW w:w="1440" w:type="dxa"/>
            <w:tcBorders>
              <w:top w:val="nil"/>
              <w:left w:val="nil"/>
              <w:bottom w:val="single" w:color="auto" w:sz="4" w:space="0"/>
              <w:right w:val="single" w:color="auto" w:sz="4" w:space="0"/>
            </w:tcBorders>
            <w:vAlign w:val="center"/>
          </w:tcPr>
          <w:p w14:paraId="26ADC989">
            <w:pPr>
              <w:widowControl/>
              <w:jc w:val="left"/>
              <w:rPr>
                <w:rFonts w:ascii="宋体"/>
                <w:color w:val="000000" w:themeColor="text1"/>
                <w:kern w:val="0"/>
                <w:sz w:val="18"/>
                <w:szCs w:val="18"/>
                <w:highlight w:val="none"/>
                <w14:textFill>
                  <w14:solidFill>
                    <w14:schemeClr w14:val="tx1"/>
                  </w14:solidFill>
                </w14:textFill>
              </w:rPr>
            </w:pPr>
            <w:r>
              <w:rPr>
                <w:rFonts w:ascii="宋体" w:hAnsi="宋体" w:cs="宋体"/>
                <w:color w:val="000000" w:themeColor="text1"/>
                <w:kern w:val="0"/>
                <w:sz w:val="18"/>
                <w:szCs w:val="18"/>
                <w:highlight w:val="none"/>
                <w14:textFill>
                  <w14:solidFill>
                    <w14:schemeClr w14:val="tx1"/>
                  </w14:solidFill>
                </w14:textFill>
              </w:rPr>
              <w:t>10</w:t>
            </w:r>
            <w:r>
              <w:rPr>
                <w:rFonts w:hint="eastAsia" w:ascii="宋体" w:hAnsi="宋体" w:cs="宋体"/>
                <w:color w:val="000000" w:themeColor="text1"/>
                <w:kern w:val="0"/>
                <w:sz w:val="18"/>
                <w:szCs w:val="18"/>
                <w:highlight w:val="none"/>
                <w14:textFill>
                  <w14:solidFill>
                    <w14:schemeClr w14:val="tx1"/>
                  </w14:solidFill>
                </w14:textFill>
              </w:rPr>
              <w:t>≤</w:t>
            </w:r>
            <w:r>
              <w:rPr>
                <w:rFonts w:ascii="宋体" w:hAnsi="宋体" w:cs="宋体"/>
                <w:color w:val="000000" w:themeColor="text1"/>
                <w:kern w:val="0"/>
                <w:sz w:val="18"/>
                <w:szCs w:val="18"/>
                <w:highlight w:val="none"/>
                <w14:textFill>
                  <w14:solidFill>
                    <w14:schemeClr w14:val="tx1"/>
                  </w14:solidFill>
                </w14:textFill>
              </w:rPr>
              <w:t>X</w:t>
            </w:r>
            <w:r>
              <w:rPr>
                <w:rFonts w:hint="eastAsia" w:ascii="宋体" w:hAnsi="宋体" w:cs="宋体"/>
                <w:color w:val="000000" w:themeColor="text1"/>
                <w:kern w:val="0"/>
                <w:sz w:val="18"/>
                <w:szCs w:val="18"/>
                <w:highlight w:val="none"/>
                <w14:textFill>
                  <w14:solidFill>
                    <w14:schemeClr w14:val="tx1"/>
                  </w14:solidFill>
                </w14:textFill>
              </w:rPr>
              <w:t>＜</w:t>
            </w:r>
            <w:r>
              <w:rPr>
                <w:rFonts w:ascii="宋体" w:hAnsi="宋体" w:cs="宋体"/>
                <w:color w:val="000000" w:themeColor="text1"/>
                <w:kern w:val="0"/>
                <w:sz w:val="18"/>
                <w:szCs w:val="18"/>
                <w:highlight w:val="none"/>
                <w14:textFill>
                  <w14:solidFill>
                    <w14:schemeClr w14:val="tx1"/>
                  </w14:solidFill>
                </w14:textFill>
              </w:rPr>
              <w:t>100</w:t>
            </w:r>
          </w:p>
        </w:tc>
        <w:tc>
          <w:tcPr>
            <w:tcW w:w="1532" w:type="dxa"/>
            <w:tcBorders>
              <w:top w:val="nil"/>
              <w:left w:val="nil"/>
              <w:bottom w:val="single" w:color="auto" w:sz="4" w:space="0"/>
              <w:right w:val="single" w:color="auto" w:sz="4" w:space="0"/>
            </w:tcBorders>
            <w:vAlign w:val="center"/>
          </w:tcPr>
          <w:p w14:paraId="37C78ED7">
            <w:pPr>
              <w:widowControl/>
              <w:jc w:val="left"/>
              <w:rPr>
                <w:rFonts w:ascii="宋体"/>
                <w:color w:val="000000" w:themeColor="text1"/>
                <w:kern w:val="0"/>
                <w:sz w:val="18"/>
                <w:szCs w:val="18"/>
                <w:highlight w:val="none"/>
                <w14:textFill>
                  <w14:solidFill>
                    <w14:schemeClr w14:val="tx1"/>
                  </w14:solidFill>
                </w14:textFill>
              </w:rPr>
            </w:pPr>
            <w:r>
              <w:rPr>
                <w:rFonts w:ascii="宋体" w:hAnsi="宋体" w:cs="宋体"/>
                <w:color w:val="000000" w:themeColor="text1"/>
                <w:kern w:val="0"/>
                <w:sz w:val="18"/>
                <w:szCs w:val="18"/>
                <w:highlight w:val="none"/>
                <w14:textFill>
                  <w14:solidFill>
                    <w14:schemeClr w14:val="tx1"/>
                  </w14:solidFill>
                </w14:textFill>
              </w:rPr>
              <w:t>X</w:t>
            </w:r>
            <w:r>
              <w:rPr>
                <w:rFonts w:hint="eastAsia" w:ascii="宋体" w:hAnsi="宋体" w:cs="宋体"/>
                <w:color w:val="000000" w:themeColor="text1"/>
                <w:kern w:val="0"/>
                <w:sz w:val="18"/>
                <w:szCs w:val="18"/>
                <w:highlight w:val="none"/>
                <w14:textFill>
                  <w14:solidFill>
                    <w14:schemeClr w14:val="tx1"/>
                  </w14:solidFill>
                </w14:textFill>
              </w:rPr>
              <w:t>＜</w:t>
            </w:r>
            <w:r>
              <w:rPr>
                <w:rFonts w:ascii="宋体" w:hAnsi="宋体" w:cs="宋体"/>
                <w:color w:val="000000" w:themeColor="text1"/>
                <w:kern w:val="0"/>
                <w:sz w:val="18"/>
                <w:szCs w:val="18"/>
                <w:highlight w:val="none"/>
                <w14:textFill>
                  <w14:solidFill>
                    <w14:schemeClr w14:val="tx1"/>
                  </w14:solidFill>
                </w14:textFill>
              </w:rPr>
              <w:t>10</w:t>
            </w:r>
          </w:p>
        </w:tc>
      </w:tr>
      <w:tr w14:paraId="78AE0799">
        <w:tblPrEx>
          <w:tblCellMar>
            <w:top w:w="0" w:type="dxa"/>
            <w:left w:w="108" w:type="dxa"/>
            <w:bottom w:w="0" w:type="dxa"/>
            <w:right w:w="108" w:type="dxa"/>
          </w:tblCellMar>
        </w:tblPrEx>
        <w:trPr>
          <w:trHeight w:val="340" w:hRule="atLeast"/>
          <w:jc w:val="center"/>
        </w:trPr>
        <w:tc>
          <w:tcPr>
            <w:tcW w:w="2004" w:type="dxa"/>
            <w:vMerge w:val="continue"/>
            <w:tcBorders>
              <w:top w:val="nil"/>
              <w:left w:val="single" w:color="auto" w:sz="4" w:space="0"/>
              <w:bottom w:val="single" w:color="auto" w:sz="4" w:space="0"/>
              <w:right w:val="single" w:color="auto" w:sz="4" w:space="0"/>
            </w:tcBorders>
            <w:vAlign w:val="center"/>
          </w:tcPr>
          <w:p w14:paraId="3F57E641">
            <w:pPr>
              <w:widowControl/>
              <w:jc w:val="center"/>
              <w:rPr>
                <w:rFonts w:ascii="宋体"/>
                <w:b/>
                <w:bCs/>
                <w:color w:val="000000" w:themeColor="text1"/>
                <w:kern w:val="0"/>
                <w:sz w:val="18"/>
                <w:szCs w:val="18"/>
                <w:highlight w:val="none"/>
                <w14:textFill>
                  <w14:solidFill>
                    <w14:schemeClr w14:val="tx1"/>
                  </w14:solidFill>
                </w14:textFill>
              </w:rPr>
            </w:pPr>
          </w:p>
        </w:tc>
        <w:tc>
          <w:tcPr>
            <w:tcW w:w="1384" w:type="dxa"/>
            <w:tcBorders>
              <w:top w:val="nil"/>
              <w:left w:val="nil"/>
              <w:bottom w:val="single" w:color="auto" w:sz="4" w:space="0"/>
              <w:right w:val="single" w:color="auto" w:sz="4" w:space="0"/>
            </w:tcBorders>
            <w:vAlign w:val="center"/>
          </w:tcPr>
          <w:p w14:paraId="7D5E07F5">
            <w:pPr>
              <w:widowControl/>
              <w:jc w:val="left"/>
              <w:rPr>
                <w:rFonts w:ascii="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营业收入（</w:t>
            </w:r>
            <w:r>
              <w:rPr>
                <w:rFonts w:ascii="宋体" w:hAnsi="宋体" w:cs="宋体"/>
                <w:color w:val="000000" w:themeColor="text1"/>
                <w:kern w:val="0"/>
                <w:sz w:val="18"/>
                <w:szCs w:val="18"/>
                <w:highlight w:val="none"/>
                <w14:textFill>
                  <w14:solidFill>
                    <w14:schemeClr w14:val="tx1"/>
                  </w14:solidFill>
                </w14:textFill>
              </w:rPr>
              <w:t>Y</w:t>
            </w:r>
            <w:r>
              <w:rPr>
                <w:rFonts w:hint="eastAsia" w:ascii="宋体" w:hAnsi="宋体" w:cs="宋体"/>
                <w:color w:val="000000" w:themeColor="text1"/>
                <w:kern w:val="0"/>
                <w:sz w:val="18"/>
                <w:szCs w:val="18"/>
                <w:highlight w:val="none"/>
                <w14:textFill>
                  <w14:solidFill>
                    <w14:schemeClr w14:val="tx1"/>
                  </w14:solidFill>
                </w14:textFill>
              </w:rPr>
              <w:t>）</w:t>
            </w:r>
          </w:p>
        </w:tc>
        <w:tc>
          <w:tcPr>
            <w:tcW w:w="913" w:type="dxa"/>
            <w:tcBorders>
              <w:top w:val="nil"/>
              <w:left w:val="nil"/>
              <w:bottom w:val="single" w:color="auto" w:sz="4" w:space="0"/>
              <w:right w:val="single" w:color="auto" w:sz="4" w:space="0"/>
            </w:tcBorders>
            <w:vAlign w:val="center"/>
          </w:tcPr>
          <w:p w14:paraId="61C2A961">
            <w:pPr>
              <w:widowControl/>
              <w:jc w:val="left"/>
              <w:rPr>
                <w:rFonts w:ascii="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万元</w:t>
            </w:r>
          </w:p>
        </w:tc>
        <w:tc>
          <w:tcPr>
            <w:tcW w:w="1620" w:type="dxa"/>
            <w:tcBorders>
              <w:top w:val="nil"/>
              <w:left w:val="nil"/>
              <w:bottom w:val="single" w:color="auto" w:sz="4" w:space="0"/>
              <w:right w:val="single" w:color="auto" w:sz="4" w:space="0"/>
            </w:tcBorders>
            <w:vAlign w:val="center"/>
          </w:tcPr>
          <w:p w14:paraId="6F38ACCA">
            <w:pPr>
              <w:widowControl/>
              <w:jc w:val="left"/>
              <w:rPr>
                <w:rFonts w:ascii="宋体"/>
                <w:color w:val="000000" w:themeColor="text1"/>
                <w:kern w:val="0"/>
                <w:sz w:val="18"/>
                <w:szCs w:val="18"/>
                <w:highlight w:val="none"/>
                <w14:textFill>
                  <w14:solidFill>
                    <w14:schemeClr w14:val="tx1"/>
                  </w14:solidFill>
                </w14:textFill>
              </w:rPr>
            </w:pPr>
            <w:r>
              <w:rPr>
                <w:rFonts w:ascii="宋体" w:hAnsi="宋体" w:cs="宋体"/>
                <w:color w:val="000000" w:themeColor="text1"/>
                <w:kern w:val="0"/>
                <w:sz w:val="18"/>
                <w:szCs w:val="18"/>
                <w:highlight w:val="none"/>
                <w14:textFill>
                  <w14:solidFill>
                    <w14:schemeClr w14:val="tx1"/>
                  </w14:solidFill>
                </w14:textFill>
              </w:rPr>
              <w:t>1000</w:t>
            </w:r>
            <w:r>
              <w:rPr>
                <w:rFonts w:hint="eastAsia" w:ascii="宋体" w:hAnsi="宋体" w:cs="宋体"/>
                <w:color w:val="000000" w:themeColor="text1"/>
                <w:kern w:val="0"/>
                <w:sz w:val="18"/>
                <w:szCs w:val="18"/>
                <w:highlight w:val="none"/>
                <w14:textFill>
                  <w14:solidFill>
                    <w14:schemeClr w14:val="tx1"/>
                  </w14:solidFill>
                </w14:textFill>
              </w:rPr>
              <w:t>≤</w:t>
            </w:r>
            <w:r>
              <w:rPr>
                <w:rFonts w:ascii="宋体" w:hAnsi="宋体" w:cs="宋体"/>
                <w:color w:val="000000" w:themeColor="text1"/>
                <w:kern w:val="0"/>
                <w:sz w:val="18"/>
                <w:szCs w:val="18"/>
                <w:highlight w:val="none"/>
                <w14:textFill>
                  <w14:solidFill>
                    <w14:schemeClr w14:val="tx1"/>
                  </w14:solidFill>
                </w14:textFill>
              </w:rPr>
              <w:t>Y</w:t>
            </w:r>
            <w:r>
              <w:rPr>
                <w:rFonts w:hint="eastAsia" w:ascii="宋体" w:hAnsi="宋体" w:cs="宋体"/>
                <w:color w:val="000000" w:themeColor="text1"/>
                <w:kern w:val="0"/>
                <w:sz w:val="18"/>
                <w:szCs w:val="18"/>
                <w:highlight w:val="none"/>
                <w14:textFill>
                  <w14:solidFill>
                    <w14:schemeClr w14:val="tx1"/>
                  </w14:solidFill>
                </w14:textFill>
              </w:rPr>
              <w:t>＜</w:t>
            </w:r>
            <w:r>
              <w:rPr>
                <w:rFonts w:ascii="宋体" w:hAnsi="宋体" w:cs="宋体"/>
                <w:color w:val="000000" w:themeColor="text1"/>
                <w:kern w:val="0"/>
                <w:sz w:val="18"/>
                <w:szCs w:val="18"/>
                <w:highlight w:val="none"/>
                <w14:textFill>
                  <w14:solidFill>
                    <w14:schemeClr w14:val="tx1"/>
                  </w14:solidFill>
                </w14:textFill>
              </w:rPr>
              <w:t>100000</w:t>
            </w:r>
          </w:p>
        </w:tc>
        <w:tc>
          <w:tcPr>
            <w:tcW w:w="1440" w:type="dxa"/>
            <w:tcBorders>
              <w:top w:val="nil"/>
              <w:left w:val="nil"/>
              <w:bottom w:val="single" w:color="auto" w:sz="4" w:space="0"/>
              <w:right w:val="single" w:color="auto" w:sz="4" w:space="0"/>
            </w:tcBorders>
            <w:vAlign w:val="center"/>
          </w:tcPr>
          <w:p w14:paraId="7DA6D71A">
            <w:pPr>
              <w:widowControl/>
              <w:jc w:val="left"/>
              <w:rPr>
                <w:rFonts w:ascii="宋体"/>
                <w:color w:val="000000" w:themeColor="text1"/>
                <w:kern w:val="0"/>
                <w:sz w:val="18"/>
                <w:szCs w:val="18"/>
                <w:highlight w:val="none"/>
                <w14:textFill>
                  <w14:solidFill>
                    <w14:schemeClr w14:val="tx1"/>
                  </w14:solidFill>
                </w14:textFill>
              </w:rPr>
            </w:pPr>
            <w:r>
              <w:rPr>
                <w:rFonts w:ascii="宋体" w:hAnsi="宋体" w:cs="宋体"/>
                <w:color w:val="000000" w:themeColor="text1"/>
                <w:kern w:val="0"/>
                <w:sz w:val="18"/>
                <w:szCs w:val="18"/>
                <w:highlight w:val="none"/>
                <w14:textFill>
                  <w14:solidFill>
                    <w14:schemeClr w14:val="tx1"/>
                  </w14:solidFill>
                </w14:textFill>
              </w:rPr>
              <w:t>100</w:t>
            </w:r>
            <w:r>
              <w:rPr>
                <w:rFonts w:hint="eastAsia" w:ascii="宋体" w:hAnsi="宋体" w:cs="宋体"/>
                <w:color w:val="000000" w:themeColor="text1"/>
                <w:kern w:val="0"/>
                <w:sz w:val="18"/>
                <w:szCs w:val="18"/>
                <w:highlight w:val="none"/>
                <w14:textFill>
                  <w14:solidFill>
                    <w14:schemeClr w14:val="tx1"/>
                  </w14:solidFill>
                </w14:textFill>
              </w:rPr>
              <w:t>≤</w:t>
            </w:r>
            <w:r>
              <w:rPr>
                <w:rFonts w:ascii="宋体" w:hAnsi="宋体" w:cs="宋体"/>
                <w:color w:val="000000" w:themeColor="text1"/>
                <w:kern w:val="0"/>
                <w:sz w:val="18"/>
                <w:szCs w:val="18"/>
                <w:highlight w:val="none"/>
                <w14:textFill>
                  <w14:solidFill>
                    <w14:schemeClr w14:val="tx1"/>
                  </w14:solidFill>
                </w14:textFill>
              </w:rPr>
              <w:t>Y</w:t>
            </w:r>
            <w:r>
              <w:rPr>
                <w:rFonts w:hint="eastAsia" w:ascii="宋体" w:hAnsi="宋体" w:cs="宋体"/>
                <w:color w:val="000000" w:themeColor="text1"/>
                <w:kern w:val="0"/>
                <w:sz w:val="18"/>
                <w:szCs w:val="18"/>
                <w:highlight w:val="none"/>
                <w14:textFill>
                  <w14:solidFill>
                    <w14:schemeClr w14:val="tx1"/>
                  </w14:solidFill>
                </w14:textFill>
              </w:rPr>
              <w:t>＜</w:t>
            </w:r>
            <w:r>
              <w:rPr>
                <w:rFonts w:ascii="宋体" w:hAnsi="宋体" w:cs="宋体"/>
                <w:color w:val="000000" w:themeColor="text1"/>
                <w:kern w:val="0"/>
                <w:sz w:val="18"/>
                <w:szCs w:val="18"/>
                <w:highlight w:val="none"/>
                <w14:textFill>
                  <w14:solidFill>
                    <w14:schemeClr w14:val="tx1"/>
                  </w14:solidFill>
                </w14:textFill>
              </w:rPr>
              <w:t>1000</w:t>
            </w:r>
          </w:p>
        </w:tc>
        <w:tc>
          <w:tcPr>
            <w:tcW w:w="1532" w:type="dxa"/>
            <w:tcBorders>
              <w:top w:val="nil"/>
              <w:left w:val="nil"/>
              <w:bottom w:val="single" w:color="auto" w:sz="4" w:space="0"/>
              <w:right w:val="single" w:color="auto" w:sz="4" w:space="0"/>
            </w:tcBorders>
            <w:vAlign w:val="center"/>
          </w:tcPr>
          <w:p w14:paraId="47ABEE60">
            <w:pPr>
              <w:widowControl/>
              <w:jc w:val="left"/>
              <w:rPr>
                <w:rFonts w:ascii="宋体"/>
                <w:color w:val="000000" w:themeColor="text1"/>
                <w:kern w:val="0"/>
                <w:sz w:val="18"/>
                <w:szCs w:val="18"/>
                <w:highlight w:val="none"/>
                <w14:textFill>
                  <w14:solidFill>
                    <w14:schemeClr w14:val="tx1"/>
                  </w14:solidFill>
                </w14:textFill>
              </w:rPr>
            </w:pPr>
            <w:r>
              <w:rPr>
                <w:rFonts w:ascii="宋体" w:hAnsi="宋体" w:cs="宋体"/>
                <w:color w:val="000000" w:themeColor="text1"/>
                <w:kern w:val="0"/>
                <w:sz w:val="18"/>
                <w:szCs w:val="18"/>
                <w:highlight w:val="none"/>
                <w14:textFill>
                  <w14:solidFill>
                    <w14:schemeClr w14:val="tx1"/>
                  </w14:solidFill>
                </w14:textFill>
              </w:rPr>
              <w:t>Y</w:t>
            </w:r>
            <w:r>
              <w:rPr>
                <w:rFonts w:hint="eastAsia" w:ascii="宋体" w:hAnsi="宋体" w:cs="宋体"/>
                <w:color w:val="000000" w:themeColor="text1"/>
                <w:kern w:val="0"/>
                <w:sz w:val="18"/>
                <w:szCs w:val="18"/>
                <w:highlight w:val="none"/>
                <w14:textFill>
                  <w14:solidFill>
                    <w14:schemeClr w14:val="tx1"/>
                  </w14:solidFill>
                </w14:textFill>
              </w:rPr>
              <w:t>＜</w:t>
            </w:r>
            <w:r>
              <w:rPr>
                <w:rFonts w:ascii="宋体" w:hAnsi="宋体" w:cs="宋体"/>
                <w:color w:val="000000" w:themeColor="text1"/>
                <w:kern w:val="0"/>
                <w:sz w:val="18"/>
                <w:szCs w:val="18"/>
                <w:highlight w:val="none"/>
                <w14:textFill>
                  <w14:solidFill>
                    <w14:schemeClr w14:val="tx1"/>
                  </w14:solidFill>
                </w14:textFill>
              </w:rPr>
              <w:t>100</w:t>
            </w:r>
          </w:p>
        </w:tc>
      </w:tr>
      <w:tr w14:paraId="7F47ED48">
        <w:tblPrEx>
          <w:tblCellMar>
            <w:top w:w="0" w:type="dxa"/>
            <w:left w:w="108" w:type="dxa"/>
            <w:bottom w:w="0" w:type="dxa"/>
            <w:right w:w="108" w:type="dxa"/>
          </w:tblCellMar>
        </w:tblPrEx>
        <w:trPr>
          <w:trHeight w:val="340" w:hRule="atLeast"/>
          <w:jc w:val="center"/>
        </w:trPr>
        <w:tc>
          <w:tcPr>
            <w:tcW w:w="2004" w:type="dxa"/>
            <w:vMerge w:val="restart"/>
            <w:tcBorders>
              <w:top w:val="nil"/>
              <w:left w:val="single" w:color="auto" w:sz="4" w:space="0"/>
              <w:bottom w:val="single" w:color="auto" w:sz="4" w:space="0"/>
              <w:right w:val="single" w:color="auto" w:sz="4" w:space="0"/>
            </w:tcBorders>
            <w:vAlign w:val="center"/>
          </w:tcPr>
          <w:p w14:paraId="462717AA">
            <w:pPr>
              <w:widowControl/>
              <w:jc w:val="center"/>
              <w:rPr>
                <w:rFonts w:ascii="宋体"/>
                <w:b/>
                <w:bCs/>
                <w:color w:val="000000" w:themeColor="text1"/>
                <w:kern w:val="0"/>
                <w:sz w:val="18"/>
                <w:szCs w:val="18"/>
                <w:highlight w:val="none"/>
                <w14:textFill>
                  <w14:solidFill>
                    <w14:schemeClr w14:val="tx1"/>
                  </w14:solidFill>
                </w14:textFill>
              </w:rPr>
            </w:pPr>
            <w:r>
              <w:rPr>
                <w:rFonts w:hint="eastAsia" w:ascii="宋体" w:hAnsi="宋体" w:cs="宋体"/>
                <w:b/>
                <w:bCs/>
                <w:color w:val="000000" w:themeColor="text1"/>
                <w:kern w:val="0"/>
                <w:sz w:val="18"/>
                <w:szCs w:val="18"/>
                <w:highlight w:val="none"/>
                <w14:textFill>
                  <w14:solidFill>
                    <w14:schemeClr w14:val="tx1"/>
                  </w14:solidFill>
                </w14:textFill>
              </w:rPr>
              <w:t>软件和信息技术服务业</w:t>
            </w:r>
          </w:p>
        </w:tc>
        <w:tc>
          <w:tcPr>
            <w:tcW w:w="1384" w:type="dxa"/>
            <w:tcBorders>
              <w:top w:val="nil"/>
              <w:left w:val="nil"/>
              <w:bottom w:val="single" w:color="auto" w:sz="4" w:space="0"/>
              <w:right w:val="single" w:color="auto" w:sz="4" w:space="0"/>
            </w:tcBorders>
            <w:vAlign w:val="center"/>
          </w:tcPr>
          <w:p w14:paraId="281F233B">
            <w:pPr>
              <w:widowControl/>
              <w:jc w:val="left"/>
              <w:rPr>
                <w:rFonts w:ascii="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从业人员（</w:t>
            </w:r>
            <w:r>
              <w:rPr>
                <w:rFonts w:ascii="宋体" w:hAnsi="宋体" w:cs="宋体"/>
                <w:color w:val="000000" w:themeColor="text1"/>
                <w:kern w:val="0"/>
                <w:sz w:val="18"/>
                <w:szCs w:val="18"/>
                <w:highlight w:val="none"/>
                <w14:textFill>
                  <w14:solidFill>
                    <w14:schemeClr w14:val="tx1"/>
                  </w14:solidFill>
                </w14:textFill>
              </w:rPr>
              <w:t>X</w:t>
            </w:r>
            <w:r>
              <w:rPr>
                <w:rFonts w:hint="eastAsia" w:ascii="宋体" w:hAnsi="宋体" w:cs="宋体"/>
                <w:color w:val="000000" w:themeColor="text1"/>
                <w:kern w:val="0"/>
                <w:sz w:val="18"/>
                <w:szCs w:val="18"/>
                <w:highlight w:val="none"/>
                <w14:textFill>
                  <w14:solidFill>
                    <w14:schemeClr w14:val="tx1"/>
                  </w14:solidFill>
                </w14:textFill>
              </w:rPr>
              <w:t>）</w:t>
            </w:r>
          </w:p>
        </w:tc>
        <w:tc>
          <w:tcPr>
            <w:tcW w:w="913" w:type="dxa"/>
            <w:tcBorders>
              <w:top w:val="nil"/>
              <w:left w:val="nil"/>
              <w:bottom w:val="single" w:color="auto" w:sz="4" w:space="0"/>
              <w:right w:val="single" w:color="auto" w:sz="4" w:space="0"/>
            </w:tcBorders>
            <w:vAlign w:val="center"/>
          </w:tcPr>
          <w:p w14:paraId="582E04D7">
            <w:pPr>
              <w:widowControl/>
              <w:jc w:val="left"/>
              <w:rPr>
                <w:rFonts w:ascii="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人</w:t>
            </w:r>
          </w:p>
        </w:tc>
        <w:tc>
          <w:tcPr>
            <w:tcW w:w="1620" w:type="dxa"/>
            <w:tcBorders>
              <w:top w:val="nil"/>
              <w:left w:val="nil"/>
              <w:bottom w:val="single" w:color="auto" w:sz="4" w:space="0"/>
              <w:right w:val="single" w:color="auto" w:sz="4" w:space="0"/>
            </w:tcBorders>
            <w:vAlign w:val="center"/>
          </w:tcPr>
          <w:p w14:paraId="660D73D0">
            <w:pPr>
              <w:widowControl/>
              <w:jc w:val="left"/>
              <w:rPr>
                <w:rFonts w:ascii="宋体"/>
                <w:color w:val="000000" w:themeColor="text1"/>
                <w:kern w:val="0"/>
                <w:sz w:val="18"/>
                <w:szCs w:val="18"/>
                <w:highlight w:val="none"/>
                <w14:textFill>
                  <w14:solidFill>
                    <w14:schemeClr w14:val="tx1"/>
                  </w14:solidFill>
                </w14:textFill>
              </w:rPr>
            </w:pPr>
            <w:r>
              <w:rPr>
                <w:rFonts w:ascii="宋体" w:hAnsi="宋体" w:cs="宋体"/>
                <w:color w:val="000000" w:themeColor="text1"/>
                <w:kern w:val="0"/>
                <w:sz w:val="18"/>
                <w:szCs w:val="18"/>
                <w:highlight w:val="none"/>
                <w14:textFill>
                  <w14:solidFill>
                    <w14:schemeClr w14:val="tx1"/>
                  </w14:solidFill>
                </w14:textFill>
              </w:rPr>
              <w:t>100</w:t>
            </w:r>
            <w:r>
              <w:rPr>
                <w:rFonts w:hint="eastAsia" w:ascii="宋体" w:hAnsi="宋体" w:cs="宋体"/>
                <w:color w:val="000000" w:themeColor="text1"/>
                <w:kern w:val="0"/>
                <w:sz w:val="18"/>
                <w:szCs w:val="18"/>
                <w:highlight w:val="none"/>
                <w14:textFill>
                  <w14:solidFill>
                    <w14:schemeClr w14:val="tx1"/>
                  </w14:solidFill>
                </w14:textFill>
              </w:rPr>
              <w:t>≤</w:t>
            </w:r>
            <w:r>
              <w:rPr>
                <w:rFonts w:ascii="宋体" w:hAnsi="宋体" w:cs="宋体"/>
                <w:color w:val="000000" w:themeColor="text1"/>
                <w:kern w:val="0"/>
                <w:sz w:val="18"/>
                <w:szCs w:val="18"/>
                <w:highlight w:val="none"/>
                <w14:textFill>
                  <w14:solidFill>
                    <w14:schemeClr w14:val="tx1"/>
                  </w14:solidFill>
                </w14:textFill>
              </w:rPr>
              <w:t>X</w:t>
            </w:r>
            <w:r>
              <w:rPr>
                <w:rFonts w:hint="eastAsia" w:ascii="宋体" w:hAnsi="宋体" w:cs="宋体"/>
                <w:color w:val="000000" w:themeColor="text1"/>
                <w:kern w:val="0"/>
                <w:sz w:val="18"/>
                <w:szCs w:val="18"/>
                <w:highlight w:val="none"/>
                <w14:textFill>
                  <w14:solidFill>
                    <w14:schemeClr w14:val="tx1"/>
                  </w14:solidFill>
                </w14:textFill>
              </w:rPr>
              <w:t>＜</w:t>
            </w:r>
            <w:r>
              <w:rPr>
                <w:rFonts w:ascii="宋体" w:hAnsi="宋体" w:cs="宋体"/>
                <w:color w:val="000000" w:themeColor="text1"/>
                <w:kern w:val="0"/>
                <w:sz w:val="18"/>
                <w:szCs w:val="18"/>
                <w:highlight w:val="none"/>
                <w14:textFill>
                  <w14:solidFill>
                    <w14:schemeClr w14:val="tx1"/>
                  </w14:solidFill>
                </w14:textFill>
              </w:rPr>
              <w:t>300</w:t>
            </w:r>
          </w:p>
        </w:tc>
        <w:tc>
          <w:tcPr>
            <w:tcW w:w="1440" w:type="dxa"/>
            <w:tcBorders>
              <w:top w:val="nil"/>
              <w:left w:val="nil"/>
              <w:bottom w:val="single" w:color="auto" w:sz="4" w:space="0"/>
              <w:right w:val="single" w:color="auto" w:sz="4" w:space="0"/>
            </w:tcBorders>
            <w:vAlign w:val="center"/>
          </w:tcPr>
          <w:p w14:paraId="6003A1CF">
            <w:pPr>
              <w:widowControl/>
              <w:jc w:val="left"/>
              <w:rPr>
                <w:rFonts w:ascii="宋体"/>
                <w:color w:val="000000" w:themeColor="text1"/>
                <w:kern w:val="0"/>
                <w:sz w:val="18"/>
                <w:szCs w:val="18"/>
                <w:highlight w:val="none"/>
                <w14:textFill>
                  <w14:solidFill>
                    <w14:schemeClr w14:val="tx1"/>
                  </w14:solidFill>
                </w14:textFill>
              </w:rPr>
            </w:pPr>
            <w:r>
              <w:rPr>
                <w:rFonts w:ascii="宋体" w:hAnsi="宋体" w:cs="宋体"/>
                <w:color w:val="000000" w:themeColor="text1"/>
                <w:kern w:val="0"/>
                <w:sz w:val="18"/>
                <w:szCs w:val="18"/>
                <w:highlight w:val="none"/>
                <w14:textFill>
                  <w14:solidFill>
                    <w14:schemeClr w14:val="tx1"/>
                  </w14:solidFill>
                </w14:textFill>
              </w:rPr>
              <w:t>10</w:t>
            </w:r>
            <w:r>
              <w:rPr>
                <w:rFonts w:hint="eastAsia" w:ascii="宋体" w:hAnsi="宋体" w:cs="宋体"/>
                <w:color w:val="000000" w:themeColor="text1"/>
                <w:kern w:val="0"/>
                <w:sz w:val="18"/>
                <w:szCs w:val="18"/>
                <w:highlight w:val="none"/>
                <w14:textFill>
                  <w14:solidFill>
                    <w14:schemeClr w14:val="tx1"/>
                  </w14:solidFill>
                </w14:textFill>
              </w:rPr>
              <w:t>≤</w:t>
            </w:r>
            <w:r>
              <w:rPr>
                <w:rFonts w:ascii="宋体" w:hAnsi="宋体" w:cs="宋体"/>
                <w:color w:val="000000" w:themeColor="text1"/>
                <w:kern w:val="0"/>
                <w:sz w:val="18"/>
                <w:szCs w:val="18"/>
                <w:highlight w:val="none"/>
                <w14:textFill>
                  <w14:solidFill>
                    <w14:schemeClr w14:val="tx1"/>
                  </w14:solidFill>
                </w14:textFill>
              </w:rPr>
              <w:t>X</w:t>
            </w:r>
            <w:r>
              <w:rPr>
                <w:rFonts w:hint="eastAsia" w:ascii="宋体" w:hAnsi="宋体" w:cs="宋体"/>
                <w:color w:val="000000" w:themeColor="text1"/>
                <w:kern w:val="0"/>
                <w:sz w:val="18"/>
                <w:szCs w:val="18"/>
                <w:highlight w:val="none"/>
                <w14:textFill>
                  <w14:solidFill>
                    <w14:schemeClr w14:val="tx1"/>
                  </w14:solidFill>
                </w14:textFill>
              </w:rPr>
              <w:t>＜</w:t>
            </w:r>
            <w:r>
              <w:rPr>
                <w:rFonts w:ascii="宋体" w:hAnsi="宋体" w:cs="宋体"/>
                <w:color w:val="000000" w:themeColor="text1"/>
                <w:kern w:val="0"/>
                <w:sz w:val="18"/>
                <w:szCs w:val="18"/>
                <w:highlight w:val="none"/>
                <w14:textFill>
                  <w14:solidFill>
                    <w14:schemeClr w14:val="tx1"/>
                  </w14:solidFill>
                </w14:textFill>
              </w:rPr>
              <w:t>100</w:t>
            </w:r>
          </w:p>
        </w:tc>
        <w:tc>
          <w:tcPr>
            <w:tcW w:w="1532" w:type="dxa"/>
            <w:tcBorders>
              <w:top w:val="nil"/>
              <w:left w:val="nil"/>
              <w:bottom w:val="single" w:color="auto" w:sz="4" w:space="0"/>
              <w:right w:val="single" w:color="auto" w:sz="4" w:space="0"/>
            </w:tcBorders>
            <w:vAlign w:val="center"/>
          </w:tcPr>
          <w:p w14:paraId="6F659E8E">
            <w:pPr>
              <w:widowControl/>
              <w:jc w:val="left"/>
              <w:rPr>
                <w:rFonts w:ascii="宋体"/>
                <w:color w:val="000000" w:themeColor="text1"/>
                <w:kern w:val="0"/>
                <w:sz w:val="18"/>
                <w:szCs w:val="18"/>
                <w:highlight w:val="none"/>
                <w14:textFill>
                  <w14:solidFill>
                    <w14:schemeClr w14:val="tx1"/>
                  </w14:solidFill>
                </w14:textFill>
              </w:rPr>
            </w:pPr>
            <w:r>
              <w:rPr>
                <w:rFonts w:ascii="宋体" w:hAnsi="宋体" w:cs="宋体"/>
                <w:color w:val="000000" w:themeColor="text1"/>
                <w:kern w:val="0"/>
                <w:sz w:val="18"/>
                <w:szCs w:val="18"/>
                <w:highlight w:val="none"/>
                <w14:textFill>
                  <w14:solidFill>
                    <w14:schemeClr w14:val="tx1"/>
                  </w14:solidFill>
                </w14:textFill>
              </w:rPr>
              <w:t>X</w:t>
            </w:r>
            <w:r>
              <w:rPr>
                <w:rFonts w:hint="eastAsia" w:ascii="宋体" w:hAnsi="宋体" w:cs="宋体"/>
                <w:color w:val="000000" w:themeColor="text1"/>
                <w:kern w:val="0"/>
                <w:sz w:val="18"/>
                <w:szCs w:val="18"/>
                <w:highlight w:val="none"/>
                <w14:textFill>
                  <w14:solidFill>
                    <w14:schemeClr w14:val="tx1"/>
                  </w14:solidFill>
                </w14:textFill>
              </w:rPr>
              <w:t>＜</w:t>
            </w:r>
            <w:r>
              <w:rPr>
                <w:rFonts w:ascii="宋体" w:hAnsi="宋体" w:cs="宋体"/>
                <w:color w:val="000000" w:themeColor="text1"/>
                <w:kern w:val="0"/>
                <w:sz w:val="18"/>
                <w:szCs w:val="18"/>
                <w:highlight w:val="none"/>
                <w14:textFill>
                  <w14:solidFill>
                    <w14:schemeClr w14:val="tx1"/>
                  </w14:solidFill>
                </w14:textFill>
              </w:rPr>
              <w:t>10</w:t>
            </w:r>
          </w:p>
        </w:tc>
      </w:tr>
      <w:tr w14:paraId="32157FB8">
        <w:tblPrEx>
          <w:tblCellMar>
            <w:top w:w="0" w:type="dxa"/>
            <w:left w:w="108" w:type="dxa"/>
            <w:bottom w:w="0" w:type="dxa"/>
            <w:right w:w="108" w:type="dxa"/>
          </w:tblCellMar>
        </w:tblPrEx>
        <w:trPr>
          <w:trHeight w:val="340" w:hRule="atLeast"/>
          <w:jc w:val="center"/>
        </w:trPr>
        <w:tc>
          <w:tcPr>
            <w:tcW w:w="2004" w:type="dxa"/>
            <w:vMerge w:val="continue"/>
            <w:tcBorders>
              <w:top w:val="nil"/>
              <w:left w:val="single" w:color="auto" w:sz="4" w:space="0"/>
              <w:bottom w:val="single" w:color="auto" w:sz="4" w:space="0"/>
              <w:right w:val="single" w:color="auto" w:sz="4" w:space="0"/>
            </w:tcBorders>
            <w:vAlign w:val="center"/>
          </w:tcPr>
          <w:p w14:paraId="148EF5E1">
            <w:pPr>
              <w:widowControl/>
              <w:jc w:val="center"/>
              <w:rPr>
                <w:rFonts w:ascii="宋体"/>
                <w:b/>
                <w:bCs/>
                <w:color w:val="000000" w:themeColor="text1"/>
                <w:kern w:val="0"/>
                <w:sz w:val="18"/>
                <w:szCs w:val="18"/>
                <w:highlight w:val="none"/>
                <w14:textFill>
                  <w14:solidFill>
                    <w14:schemeClr w14:val="tx1"/>
                  </w14:solidFill>
                </w14:textFill>
              </w:rPr>
            </w:pPr>
          </w:p>
        </w:tc>
        <w:tc>
          <w:tcPr>
            <w:tcW w:w="1384" w:type="dxa"/>
            <w:tcBorders>
              <w:top w:val="nil"/>
              <w:left w:val="nil"/>
              <w:bottom w:val="single" w:color="auto" w:sz="4" w:space="0"/>
              <w:right w:val="single" w:color="auto" w:sz="4" w:space="0"/>
            </w:tcBorders>
            <w:vAlign w:val="center"/>
          </w:tcPr>
          <w:p w14:paraId="7FCF383E">
            <w:pPr>
              <w:widowControl/>
              <w:jc w:val="left"/>
              <w:rPr>
                <w:rFonts w:ascii="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营业收入（</w:t>
            </w:r>
            <w:r>
              <w:rPr>
                <w:rFonts w:ascii="宋体" w:hAnsi="宋体" w:cs="宋体"/>
                <w:color w:val="000000" w:themeColor="text1"/>
                <w:kern w:val="0"/>
                <w:sz w:val="18"/>
                <w:szCs w:val="18"/>
                <w:highlight w:val="none"/>
                <w14:textFill>
                  <w14:solidFill>
                    <w14:schemeClr w14:val="tx1"/>
                  </w14:solidFill>
                </w14:textFill>
              </w:rPr>
              <w:t>Y</w:t>
            </w:r>
            <w:r>
              <w:rPr>
                <w:rFonts w:hint="eastAsia" w:ascii="宋体" w:hAnsi="宋体" w:cs="宋体"/>
                <w:color w:val="000000" w:themeColor="text1"/>
                <w:kern w:val="0"/>
                <w:sz w:val="18"/>
                <w:szCs w:val="18"/>
                <w:highlight w:val="none"/>
                <w14:textFill>
                  <w14:solidFill>
                    <w14:schemeClr w14:val="tx1"/>
                  </w14:solidFill>
                </w14:textFill>
              </w:rPr>
              <w:t>）</w:t>
            </w:r>
          </w:p>
        </w:tc>
        <w:tc>
          <w:tcPr>
            <w:tcW w:w="913" w:type="dxa"/>
            <w:tcBorders>
              <w:top w:val="nil"/>
              <w:left w:val="nil"/>
              <w:bottom w:val="single" w:color="auto" w:sz="4" w:space="0"/>
              <w:right w:val="single" w:color="auto" w:sz="4" w:space="0"/>
            </w:tcBorders>
            <w:vAlign w:val="center"/>
          </w:tcPr>
          <w:p w14:paraId="79C698B5">
            <w:pPr>
              <w:widowControl/>
              <w:jc w:val="left"/>
              <w:rPr>
                <w:rFonts w:ascii="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万元</w:t>
            </w:r>
          </w:p>
        </w:tc>
        <w:tc>
          <w:tcPr>
            <w:tcW w:w="1620" w:type="dxa"/>
            <w:tcBorders>
              <w:top w:val="nil"/>
              <w:left w:val="nil"/>
              <w:bottom w:val="single" w:color="auto" w:sz="4" w:space="0"/>
              <w:right w:val="single" w:color="auto" w:sz="4" w:space="0"/>
            </w:tcBorders>
            <w:vAlign w:val="center"/>
          </w:tcPr>
          <w:p w14:paraId="01DFC2CA">
            <w:pPr>
              <w:widowControl/>
              <w:jc w:val="left"/>
              <w:rPr>
                <w:rFonts w:ascii="宋体"/>
                <w:color w:val="000000" w:themeColor="text1"/>
                <w:kern w:val="0"/>
                <w:sz w:val="18"/>
                <w:szCs w:val="18"/>
                <w:highlight w:val="none"/>
                <w14:textFill>
                  <w14:solidFill>
                    <w14:schemeClr w14:val="tx1"/>
                  </w14:solidFill>
                </w14:textFill>
              </w:rPr>
            </w:pPr>
            <w:r>
              <w:rPr>
                <w:rFonts w:ascii="宋体" w:hAnsi="宋体" w:cs="宋体"/>
                <w:color w:val="000000" w:themeColor="text1"/>
                <w:kern w:val="0"/>
                <w:sz w:val="18"/>
                <w:szCs w:val="18"/>
                <w:highlight w:val="none"/>
                <w14:textFill>
                  <w14:solidFill>
                    <w14:schemeClr w14:val="tx1"/>
                  </w14:solidFill>
                </w14:textFill>
              </w:rPr>
              <w:t>1000</w:t>
            </w:r>
            <w:r>
              <w:rPr>
                <w:rFonts w:hint="eastAsia" w:ascii="宋体" w:hAnsi="宋体" w:cs="宋体"/>
                <w:color w:val="000000" w:themeColor="text1"/>
                <w:kern w:val="0"/>
                <w:sz w:val="18"/>
                <w:szCs w:val="18"/>
                <w:highlight w:val="none"/>
                <w14:textFill>
                  <w14:solidFill>
                    <w14:schemeClr w14:val="tx1"/>
                  </w14:solidFill>
                </w14:textFill>
              </w:rPr>
              <w:t>≤</w:t>
            </w:r>
            <w:r>
              <w:rPr>
                <w:rFonts w:ascii="宋体" w:hAnsi="宋体" w:cs="宋体"/>
                <w:color w:val="000000" w:themeColor="text1"/>
                <w:kern w:val="0"/>
                <w:sz w:val="18"/>
                <w:szCs w:val="18"/>
                <w:highlight w:val="none"/>
                <w14:textFill>
                  <w14:solidFill>
                    <w14:schemeClr w14:val="tx1"/>
                  </w14:solidFill>
                </w14:textFill>
              </w:rPr>
              <w:t>Y</w:t>
            </w:r>
            <w:r>
              <w:rPr>
                <w:rFonts w:hint="eastAsia" w:ascii="宋体" w:hAnsi="宋体" w:cs="宋体"/>
                <w:color w:val="000000" w:themeColor="text1"/>
                <w:kern w:val="0"/>
                <w:sz w:val="18"/>
                <w:szCs w:val="18"/>
                <w:highlight w:val="none"/>
                <w14:textFill>
                  <w14:solidFill>
                    <w14:schemeClr w14:val="tx1"/>
                  </w14:solidFill>
                </w14:textFill>
              </w:rPr>
              <w:t>＜</w:t>
            </w:r>
            <w:r>
              <w:rPr>
                <w:rFonts w:ascii="宋体" w:hAnsi="宋体" w:cs="宋体"/>
                <w:color w:val="000000" w:themeColor="text1"/>
                <w:kern w:val="0"/>
                <w:sz w:val="18"/>
                <w:szCs w:val="18"/>
                <w:highlight w:val="none"/>
                <w14:textFill>
                  <w14:solidFill>
                    <w14:schemeClr w14:val="tx1"/>
                  </w14:solidFill>
                </w14:textFill>
              </w:rPr>
              <w:t>10000</w:t>
            </w:r>
          </w:p>
        </w:tc>
        <w:tc>
          <w:tcPr>
            <w:tcW w:w="1440" w:type="dxa"/>
            <w:tcBorders>
              <w:top w:val="nil"/>
              <w:left w:val="nil"/>
              <w:bottom w:val="single" w:color="auto" w:sz="4" w:space="0"/>
              <w:right w:val="single" w:color="auto" w:sz="4" w:space="0"/>
            </w:tcBorders>
            <w:vAlign w:val="center"/>
          </w:tcPr>
          <w:p w14:paraId="4F5F1AC9">
            <w:pPr>
              <w:widowControl/>
              <w:jc w:val="left"/>
              <w:rPr>
                <w:rFonts w:ascii="宋体"/>
                <w:color w:val="000000" w:themeColor="text1"/>
                <w:kern w:val="0"/>
                <w:sz w:val="18"/>
                <w:szCs w:val="18"/>
                <w:highlight w:val="none"/>
                <w14:textFill>
                  <w14:solidFill>
                    <w14:schemeClr w14:val="tx1"/>
                  </w14:solidFill>
                </w14:textFill>
              </w:rPr>
            </w:pPr>
            <w:r>
              <w:rPr>
                <w:rFonts w:ascii="宋体" w:hAnsi="宋体" w:cs="宋体"/>
                <w:color w:val="000000" w:themeColor="text1"/>
                <w:kern w:val="0"/>
                <w:sz w:val="18"/>
                <w:szCs w:val="18"/>
                <w:highlight w:val="none"/>
                <w14:textFill>
                  <w14:solidFill>
                    <w14:schemeClr w14:val="tx1"/>
                  </w14:solidFill>
                </w14:textFill>
              </w:rPr>
              <w:t>50</w:t>
            </w:r>
            <w:r>
              <w:rPr>
                <w:rFonts w:hint="eastAsia" w:ascii="宋体" w:hAnsi="宋体" w:cs="宋体"/>
                <w:color w:val="000000" w:themeColor="text1"/>
                <w:kern w:val="0"/>
                <w:sz w:val="18"/>
                <w:szCs w:val="18"/>
                <w:highlight w:val="none"/>
                <w14:textFill>
                  <w14:solidFill>
                    <w14:schemeClr w14:val="tx1"/>
                  </w14:solidFill>
                </w14:textFill>
              </w:rPr>
              <w:t>≤</w:t>
            </w:r>
            <w:r>
              <w:rPr>
                <w:rFonts w:ascii="宋体" w:hAnsi="宋体" w:cs="宋体"/>
                <w:color w:val="000000" w:themeColor="text1"/>
                <w:kern w:val="0"/>
                <w:sz w:val="18"/>
                <w:szCs w:val="18"/>
                <w:highlight w:val="none"/>
                <w14:textFill>
                  <w14:solidFill>
                    <w14:schemeClr w14:val="tx1"/>
                  </w14:solidFill>
                </w14:textFill>
              </w:rPr>
              <w:t>Y</w:t>
            </w:r>
            <w:r>
              <w:rPr>
                <w:rFonts w:hint="eastAsia" w:ascii="宋体" w:hAnsi="宋体" w:cs="宋体"/>
                <w:color w:val="000000" w:themeColor="text1"/>
                <w:kern w:val="0"/>
                <w:sz w:val="18"/>
                <w:szCs w:val="18"/>
                <w:highlight w:val="none"/>
                <w14:textFill>
                  <w14:solidFill>
                    <w14:schemeClr w14:val="tx1"/>
                  </w14:solidFill>
                </w14:textFill>
              </w:rPr>
              <w:t>＜</w:t>
            </w:r>
            <w:r>
              <w:rPr>
                <w:rFonts w:ascii="宋体" w:hAnsi="宋体" w:cs="宋体"/>
                <w:color w:val="000000" w:themeColor="text1"/>
                <w:kern w:val="0"/>
                <w:sz w:val="18"/>
                <w:szCs w:val="18"/>
                <w:highlight w:val="none"/>
                <w14:textFill>
                  <w14:solidFill>
                    <w14:schemeClr w14:val="tx1"/>
                  </w14:solidFill>
                </w14:textFill>
              </w:rPr>
              <w:t>1000</w:t>
            </w:r>
          </w:p>
        </w:tc>
        <w:tc>
          <w:tcPr>
            <w:tcW w:w="1532" w:type="dxa"/>
            <w:tcBorders>
              <w:top w:val="nil"/>
              <w:left w:val="nil"/>
              <w:bottom w:val="single" w:color="auto" w:sz="4" w:space="0"/>
              <w:right w:val="single" w:color="auto" w:sz="4" w:space="0"/>
            </w:tcBorders>
            <w:vAlign w:val="center"/>
          </w:tcPr>
          <w:p w14:paraId="0331FF71">
            <w:pPr>
              <w:widowControl/>
              <w:jc w:val="left"/>
              <w:rPr>
                <w:rFonts w:ascii="宋体"/>
                <w:color w:val="000000" w:themeColor="text1"/>
                <w:kern w:val="0"/>
                <w:sz w:val="18"/>
                <w:szCs w:val="18"/>
                <w:highlight w:val="none"/>
                <w14:textFill>
                  <w14:solidFill>
                    <w14:schemeClr w14:val="tx1"/>
                  </w14:solidFill>
                </w14:textFill>
              </w:rPr>
            </w:pPr>
            <w:r>
              <w:rPr>
                <w:rFonts w:ascii="宋体" w:hAnsi="宋体" w:cs="宋体"/>
                <w:color w:val="000000" w:themeColor="text1"/>
                <w:kern w:val="0"/>
                <w:sz w:val="18"/>
                <w:szCs w:val="18"/>
                <w:highlight w:val="none"/>
                <w14:textFill>
                  <w14:solidFill>
                    <w14:schemeClr w14:val="tx1"/>
                  </w14:solidFill>
                </w14:textFill>
              </w:rPr>
              <w:t>Y</w:t>
            </w:r>
            <w:r>
              <w:rPr>
                <w:rFonts w:hint="eastAsia" w:ascii="宋体" w:hAnsi="宋体" w:cs="宋体"/>
                <w:color w:val="000000" w:themeColor="text1"/>
                <w:kern w:val="0"/>
                <w:sz w:val="18"/>
                <w:szCs w:val="18"/>
                <w:highlight w:val="none"/>
                <w14:textFill>
                  <w14:solidFill>
                    <w14:schemeClr w14:val="tx1"/>
                  </w14:solidFill>
                </w14:textFill>
              </w:rPr>
              <w:t>＜</w:t>
            </w:r>
            <w:r>
              <w:rPr>
                <w:rFonts w:ascii="宋体" w:hAnsi="宋体" w:cs="宋体"/>
                <w:color w:val="000000" w:themeColor="text1"/>
                <w:kern w:val="0"/>
                <w:sz w:val="18"/>
                <w:szCs w:val="18"/>
                <w:highlight w:val="none"/>
                <w14:textFill>
                  <w14:solidFill>
                    <w14:schemeClr w14:val="tx1"/>
                  </w14:solidFill>
                </w14:textFill>
              </w:rPr>
              <w:t>50</w:t>
            </w:r>
          </w:p>
        </w:tc>
      </w:tr>
      <w:tr w14:paraId="691E935D">
        <w:tblPrEx>
          <w:tblCellMar>
            <w:top w:w="0" w:type="dxa"/>
            <w:left w:w="108" w:type="dxa"/>
            <w:bottom w:w="0" w:type="dxa"/>
            <w:right w:w="108" w:type="dxa"/>
          </w:tblCellMar>
        </w:tblPrEx>
        <w:trPr>
          <w:trHeight w:val="340" w:hRule="atLeast"/>
          <w:jc w:val="center"/>
        </w:trPr>
        <w:tc>
          <w:tcPr>
            <w:tcW w:w="2004" w:type="dxa"/>
            <w:vMerge w:val="restart"/>
            <w:tcBorders>
              <w:top w:val="nil"/>
              <w:left w:val="single" w:color="auto" w:sz="4" w:space="0"/>
              <w:bottom w:val="single" w:color="auto" w:sz="4" w:space="0"/>
              <w:right w:val="single" w:color="auto" w:sz="4" w:space="0"/>
            </w:tcBorders>
            <w:vAlign w:val="center"/>
          </w:tcPr>
          <w:p w14:paraId="1BA6F123">
            <w:pPr>
              <w:widowControl/>
              <w:jc w:val="center"/>
              <w:rPr>
                <w:rFonts w:ascii="宋体"/>
                <w:b/>
                <w:bCs/>
                <w:color w:val="000000" w:themeColor="text1"/>
                <w:kern w:val="0"/>
                <w:sz w:val="18"/>
                <w:szCs w:val="18"/>
                <w:highlight w:val="none"/>
                <w14:textFill>
                  <w14:solidFill>
                    <w14:schemeClr w14:val="tx1"/>
                  </w14:solidFill>
                </w14:textFill>
              </w:rPr>
            </w:pPr>
            <w:r>
              <w:rPr>
                <w:rFonts w:hint="eastAsia" w:ascii="宋体" w:hAnsi="宋体" w:cs="宋体"/>
                <w:b/>
                <w:bCs/>
                <w:color w:val="000000" w:themeColor="text1"/>
                <w:kern w:val="0"/>
                <w:sz w:val="18"/>
                <w:szCs w:val="18"/>
                <w:highlight w:val="none"/>
                <w14:textFill>
                  <w14:solidFill>
                    <w14:schemeClr w14:val="tx1"/>
                  </w14:solidFill>
                </w14:textFill>
              </w:rPr>
              <w:t>房地产开发经营</w:t>
            </w:r>
          </w:p>
        </w:tc>
        <w:tc>
          <w:tcPr>
            <w:tcW w:w="1384" w:type="dxa"/>
            <w:tcBorders>
              <w:top w:val="nil"/>
              <w:left w:val="nil"/>
              <w:bottom w:val="single" w:color="auto" w:sz="4" w:space="0"/>
              <w:right w:val="single" w:color="auto" w:sz="4" w:space="0"/>
            </w:tcBorders>
            <w:vAlign w:val="center"/>
          </w:tcPr>
          <w:p w14:paraId="24567BA7">
            <w:pPr>
              <w:widowControl/>
              <w:jc w:val="left"/>
              <w:rPr>
                <w:rFonts w:ascii="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营业收入（</w:t>
            </w:r>
            <w:r>
              <w:rPr>
                <w:rFonts w:ascii="宋体" w:hAnsi="宋体" w:cs="宋体"/>
                <w:color w:val="000000" w:themeColor="text1"/>
                <w:kern w:val="0"/>
                <w:sz w:val="18"/>
                <w:szCs w:val="18"/>
                <w:highlight w:val="none"/>
                <w14:textFill>
                  <w14:solidFill>
                    <w14:schemeClr w14:val="tx1"/>
                  </w14:solidFill>
                </w14:textFill>
              </w:rPr>
              <w:t>Y</w:t>
            </w:r>
            <w:r>
              <w:rPr>
                <w:rFonts w:hint="eastAsia" w:ascii="宋体" w:hAnsi="宋体" w:cs="宋体"/>
                <w:color w:val="000000" w:themeColor="text1"/>
                <w:kern w:val="0"/>
                <w:sz w:val="18"/>
                <w:szCs w:val="18"/>
                <w:highlight w:val="none"/>
                <w14:textFill>
                  <w14:solidFill>
                    <w14:schemeClr w14:val="tx1"/>
                  </w14:solidFill>
                </w14:textFill>
              </w:rPr>
              <w:t>）</w:t>
            </w:r>
          </w:p>
        </w:tc>
        <w:tc>
          <w:tcPr>
            <w:tcW w:w="913" w:type="dxa"/>
            <w:tcBorders>
              <w:top w:val="nil"/>
              <w:left w:val="nil"/>
              <w:bottom w:val="single" w:color="auto" w:sz="4" w:space="0"/>
              <w:right w:val="single" w:color="auto" w:sz="4" w:space="0"/>
            </w:tcBorders>
            <w:vAlign w:val="center"/>
          </w:tcPr>
          <w:p w14:paraId="0CF9A3AF">
            <w:pPr>
              <w:widowControl/>
              <w:jc w:val="left"/>
              <w:rPr>
                <w:rFonts w:ascii="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万元</w:t>
            </w:r>
          </w:p>
        </w:tc>
        <w:tc>
          <w:tcPr>
            <w:tcW w:w="1620" w:type="dxa"/>
            <w:tcBorders>
              <w:top w:val="nil"/>
              <w:left w:val="nil"/>
              <w:bottom w:val="single" w:color="auto" w:sz="4" w:space="0"/>
              <w:right w:val="single" w:color="auto" w:sz="4" w:space="0"/>
            </w:tcBorders>
            <w:vAlign w:val="center"/>
          </w:tcPr>
          <w:p w14:paraId="1EC8D9F3">
            <w:pPr>
              <w:widowControl/>
              <w:jc w:val="left"/>
              <w:rPr>
                <w:rFonts w:ascii="宋体"/>
                <w:color w:val="000000" w:themeColor="text1"/>
                <w:kern w:val="0"/>
                <w:sz w:val="18"/>
                <w:szCs w:val="18"/>
                <w:highlight w:val="none"/>
                <w14:textFill>
                  <w14:solidFill>
                    <w14:schemeClr w14:val="tx1"/>
                  </w14:solidFill>
                </w14:textFill>
              </w:rPr>
            </w:pPr>
            <w:r>
              <w:rPr>
                <w:rFonts w:ascii="宋体" w:hAnsi="宋体" w:cs="宋体"/>
                <w:color w:val="000000" w:themeColor="text1"/>
                <w:kern w:val="0"/>
                <w:sz w:val="18"/>
                <w:szCs w:val="18"/>
                <w:highlight w:val="none"/>
                <w14:textFill>
                  <w14:solidFill>
                    <w14:schemeClr w14:val="tx1"/>
                  </w14:solidFill>
                </w14:textFill>
              </w:rPr>
              <w:t>1000</w:t>
            </w:r>
            <w:r>
              <w:rPr>
                <w:rFonts w:hint="eastAsia" w:ascii="宋体" w:hAnsi="宋体" w:cs="宋体"/>
                <w:color w:val="000000" w:themeColor="text1"/>
                <w:kern w:val="0"/>
                <w:sz w:val="18"/>
                <w:szCs w:val="18"/>
                <w:highlight w:val="none"/>
                <w14:textFill>
                  <w14:solidFill>
                    <w14:schemeClr w14:val="tx1"/>
                  </w14:solidFill>
                </w14:textFill>
              </w:rPr>
              <w:t>≤</w:t>
            </w:r>
            <w:r>
              <w:rPr>
                <w:rFonts w:ascii="宋体" w:hAnsi="宋体" w:cs="宋体"/>
                <w:color w:val="000000" w:themeColor="text1"/>
                <w:kern w:val="0"/>
                <w:sz w:val="18"/>
                <w:szCs w:val="18"/>
                <w:highlight w:val="none"/>
                <w14:textFill>
                  <w14:solidFill>
                    <w14:schemeClr w14:val="tx1"/>
                  </w14:solidFill>
                </w14:textFill>
              </w:rPr>
              <w:t>Y</w:t>
            </w:r>
            <w:r>
              <w:rPr>
                <w:rFonts w:hint="eastAsia" w:ascii="宋体" w:hAnsi="宋体" w:cs="宋体"/>
                <w:color w:val="000000" w:themeColor="text1"/>
                <w:kern w:val="0"/>
                <w:sz w:val="18"/>
                <w:szCs w:val="18"/>
                <w:highlight w:val="none"/>
                <w14:textFill>
                  <w14:solidFill>
                    <w14:schemeClr w14:val="tx1"/>
                  </w14:solidFill>
                </w14:textFill>
              </w:rPr>
              <w:t>＜</w:t>
            </w:r>
            <w:r>
              <w:rPr>
                <w:rFonts w:ascii="宋体" w:hAnsi="宋体" w:cs="宋体"/>
                <w:color w:val="000000" w:themeColor="text1"/>
                <w:kern w:val="0"/>
                <w:sz w:val="18"/>
                <w:szCs w:val="18"/>
                <w:highlight w:val="none"/>
                <w14:textFill>
                  <w14:solidFill>
                    <w14:schemeClr w14:val="tx1"/>
                  </w14:solidFill>
                </w14:textFill>
              </w:rPr>
              <w:t>200000</w:t>
            </w:r>
          </w:p>
        </w:tc>
        <w:tc>
          <w:tcPr>
            <w:tcW w:w="1440" w:type="dxa"/>
            <w:tcBorders>
              <w:top w:val="nil"/>
              <w:left w:val="nil"/>
              <w:bottom w:val="single" w:color="auto" w:sz="4" w:space="0"/>
              <w:right w:val="single" w:color="auto" w:sz="4" w:space="0"/>
            </w:tcBorders>
            <w:vAlign w:val="center"/>
          </w:tcPr>
          <w:p w14:paraId="05853FFC">
            <w:pPr>
              <w:widowControl/>
              <w:jc w:val="left"/>
              <w:rPr>
                <w:rFonts w:ascii="宋体"/>
                <w:color w:val="000000" w:themeColor="text1"/>
                <w:kern w:val="0"/>
                <w:sz w:val="18"/>
                <w:szCs w:val="18"/>
                <w:highlight w:val="none"/>
                <w14:textFill>
                  <w14:solidFill>
                    <w14:schemeClr w14:val="tx1"/>
                  </w14:solidFill>
                </w14:textFill>
              </w:rPr>
            </w:pPr>
            <w:r>
              <w:rPr>
                <w:rFonts w:ascii="宋体" w:hAnsi="宋体" w:cs="宋体"/>
                <w:color w:val="000000" w:themeColor="text1"/>
                <w:kern w:val="0"/>
                <w:sz w:val="18"/>
                <w:szCs w:val="18"/>
                <w:highlight w:val="none"/>
                <w14:textFill>
                  <w14:solidFill>
                    <w14:schemeClr w14:val="tx1"/>
                  </w14:solidFill>
                </w14:textFill>
              </w:rPr>
              <w:t>100</w:t>
            </w:r>
            <w:r>
              <w:rPr>
                <w:rFonts w:hint="eastAsia" w:ascii="宋体" w:hAnsi="宋体" w:cs="宋体"/>
                <w:color w:val="000000" w:themeColor="text1"/>
                <w:kern w:val="0"/>
                <w:sz w:val="18"/>
                <w:szCs w:val="18"/>
                <w:highlight w:val="none"/>
                <w14:textFill>
                  <w14:solidFill>
                    <w14:schemeClr w14:val="tx1"/>
                  </w14:solidFill>
                </w14:textFill>
              </w:rPr>
              <w:t>≤</w:t>
            </w:r>
            <w:r>
              <w:rPr>
                <w:rFonts w:ascii="宋体" w:hAnsi="宋体" w:cs="宋体"/>
                <w:color w:val="000000" w:themeColor="text1"/>
                <w:kern w:val="0"/>
                <w:sz w:val="18"/>
                <w:szCs w:val="18"/>
                <w:highlight w:val="none"/>
                <w14:textFill>
                  <w14:solidFill>
                    <w14:schemeClr w14:val="tx1"/>
                  </w14:solidFill>
                </w14:textFill>
              </w:rPr>
              <w:t>X</w:t>
            </w:r>
            <w:r>
              <w:rPr>
                <w:rFonts w:hint="eastAsia" w:ascii="宋体" w:hAnsi="宋体" w:cs="宋体"/>
                <w:color w:val="000000" w:themeColor="text1"/>
                <w:kern w:val="0"/>
                <w:sz w:val="18"/>
                <w:szCs w:val="18"/>
                <w:highlight w:val="none"/>
                <w14:textFill>
                  <w14:solidFill>
                    <w14:schemeClr w14:val="tx1"/>
                  </w14:solidFill>
                </w14:textFill>
              </w:rPr>
              <w:t>＜</w:t>
            </w:r>
            <w:r>
              <w:rPr>
                <w:rFonts w:ascii="宋体" w:hAnsi="宋体" w:cs="宋体"/>
                <w:color w:val="000000" w:themeColor="text1"/>
                <w:kern w:val="0"/>
                <w:sz w:val="18"/>
                <w:szCs w:val="18"/>
                <w:highlight w:val="none"/>
                <w14:textFill>
                  <w14:solidFill>
                    <w14:schemeClr w14:val="tx1"/>
                  </w14:solidFill>
                </w14:textFill>
              </w:rPr>
              <w:t>1000</w:t>
            </w:r>
          </w:p>
        </w:tc>
        <w:tc>
          <w:tcPr>
            <w:tcW w:w="1532" w:type="dxa"/>
            <w:tcBorders>
              <w:top w:val="nil"/>
              <w:left w:val="nil"/>
              <w:bottom w:val="single" w:color="auto" w:sz="4" w:space="0"/>
              <w:right w:val="single" w:color="auto" w:sz="4" w:space="0"/>
            </w:tcBorders>
            <w:vAlign w:val="center"/>
          </w:tcPr>
          <w:p w14:paraId="1664CFB1">
            <w:pPr>
              <w:widowControl/>
              <w:jc w:val="left"/>
              <w:rPr>
                <w:rFonts w:ascii="宋体"/>
                <w:color w:val="000000" w:themeColor="text1"/>
                <w:kern w:val="0"/>
                <w:sz w:val="18"/>
                <w:szCs w:val="18"/>
                <w:highlight w:val="none"/>
                <w14:textFill>
                  <w14:solidFill>
                    <w14:schemeClr w14:val="tx1"/>
                  </w14:solidFill>
                </w14:textFill>
              </w:rPr>
            </w:pPr>
            <w:r>
              <w:rPr>
                <w:rFonts w:ascii="宋体" w:hAnsi="宋体" w:cs="宋体"/>
                <w:color w:val="000000" w:themeColor="text1"/>
                <w:kern w:val="0"/>
                <w:sz w:val="18"/>
                <w:szCs w:val="18"/>
                <w:highlight w:val="none"/>
                <w14:textFill>
                  <w14:solidFill>
                    <w14:schemeClr w14:val="tx1"/>
                  </w14:solidFill>
                </w14:textFill>
              </w:rPr>
              <w:t>X</w:t>
            </w:r>
            <w:r>
              <w:rPr>
                <w:rFonts w:hint="eastAsia" w:ascii="宋体" w:hAnsi="宋体" w:cs="宋体"/>
                <w:color w:val="000000" w:themeColor="text1"/>
                <w:kern w:val="0"/>
                <w:sz w:val="18"/>
                <w:szCs w:val="18"/>
                <w:highlight w:val="none"/>
                <w14:textFill>
                  <w14:solidFill>
                    <w14:schemeClr w14:val="tx1"/>
                  </w14:solidFill>
                </w14:textFill>
              </w:rPr>
              <w:t>＜</w:t>
            </w:r>
            <w:r>
              <w:rPr>
                <w:rFonts w:ascii="宋体" w:hAnsi="宋体" w:cs="宋体"/>
                <w:color w:val="000000" w:themeColor="text1"/>
                <w:kern w:val="0"/>
                <w:sz w:val="18"/>
                <w:szCs w:val="18"/>
                <w:highlight w:val="none"/>
                <w14:textFill>
                  <w14:solidFill>
                    <w14:schemeClr w14:val="tx1"/>
                  </w14:solidFill>
                </w14:textFill>
              </w:rPr>
              <w:t>100</w:t>
            </w:r>
          </w:p>
        </w:tc>
      </w:tr>
      <w:tr w14:paraId="0BDDD090">
        <w:tblPrEx>
          <w:tblCellMar>
            <w:top w:w="0" w:type="dxa"/>
            <w:left w:w="108" w:type="dxa"/>
            <w:bottom w:w="0" w:type="dxa"/>
            <w:right w:w="108" w:type="dxa"/>
          </w:tblCellMar>
        </w:tblPrEx>
        <w:trPr>
          <w:trHeight w:val="340" w:hRule="atLeast"/>
          <w:jc w:val="center"/>
        </w:trPr>
        <w:tc>
          <w:tcPr>
            <w:tcW w:w="2004" w:type="dxa"/>
            <w:vMerge w:val="continue"/>
            <w:tcBorders>
              <w:top w:val="nil"/>
              <w:left w:val="single" w:color="auto" w:sz="4" w:space="0"/>
              <w:bottom w:val="single" w:color="auto" w:sz="4" w:space="0"/>
              <w:right w:val="single" w:color="auto" w:sz="4" w:space="0"/>
            </w:tcBorders>
            <w:vAlign w:val="center"/>
          </w:tcPr>
          <w:p w14:paraId="52936F21">
            <w:pPr>
              <w:widowControl/>
              <w:jc w:val="center"/>
              <w:rPr>
                <w:rFonts w:ascii="宋体"/>
                <w:b/>
                <w:bCs/>
                <w:color w:val="000000" w:themeColor="text1"/>
                <w:kern w:val="0"/>
                <w:sz w:val="18"/>
                <w:szCs w:val="18"/>
                <w:highlight w:val="none"/>
                <w14:textFill>
                  <w14:solidFill>
                    <w14:schemeClr w14:val="tx1"/>
                  </w14:solidFill>
                </w14:textFill>
              </w:rPr>
            </w:pPr>
          </w:p>
        </w:tc>
        <w:tc>
          <w:tcPr>
            <w:tcW w:w="1384" w:type="dxa"/>
            <w:tcBorders>
              <w:top w:val="nil"/>
              <w:left w:val="nil"/>
              <w:bottom w:val="single" w:color="auto" w:sz="4" w:space="0"/>
              <w:right w:val="single" w:color="auto" w:sz="4" w:space="0"/>
            </w:tcBorders>
            <w:vAlign w:val="center"/>
          </w:tcPr>
          <w:p w14:paraId="584BC9C6">
            <w:pPr>
              <w:widowControl/>
              <w:jc w:val="left"/>
              <w:rPr>
                <w:rFonts w:ascii="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资产总额（</w:t>
            </w:r>
            <w:r>
              <w:rPr>
                <w:rFonts w:ascii="宋体" w:hAnsi="宋体" w:cs="宋体"/>
                <w:color w:val="000000" w:themeColor="text1"/>
                <w:kern w:val="0"/>
                <w:sz w:val="18"/>
                <w:szCs w:val="18"/>
                <w:highlight w:val="none"/>
                <w14:textFill>
                  <w14:solidFill>
                    <w14:schemeClr w14:val="tx1"/>
                  </w14:solidFill>
                </w14:textFill>
              </w:rPr>
              <w:t>Z</w:t>
            </w:r>
            <w:r>
              <w:rPr>
                <w:rFonts w:hint="eastAsia" w:ascii="宋体" w:hAnsi="宋体" w:cs="宋体"/>
                <w:color w:val="000000" w:themeColor="text1"/>
                <w:kern w:val="0"/>
                <w:sz w:val="18"/>
                <w:szCs w:val="18"/>
                <w:highlight w:val="none"/>
                <w14:textFill>
                  <w14:solidFill>
                    <w14:schemeClr w14:val="tx1"/>
                  </w14:solidFill>
                </w14:textFill>
              </w:rPr>
              <w:t>）</w:t>
            </w:r>
          </w:p>
        </w:tc>
        <w:tc>
          <w:tcPr>
            <w:tcW w:w="913" w:type="dxa"/>
            <w:tcBorders>
              <w:top w:val="nil"/>
              <w:left w:val="nil"/>
              <w:bottom w:val="single" w:color="auto" w:sz="4" w:space="0"/>
              <w:right w:val="single" w:color="auto" w:sz="4" w:space="0"/>
            </w:tcBorders>
            <w:vAlign w:val="center"/>
          </w:tcPr>
          <w:p w14:paraId="068D4530">
            <w:pPr>
              <w:widowControl/>
              <w:jc w:val="left"/>
              <w:rPr>
                <w:rFonts w:ascii="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万元</w:t>
            </w:r>
          </w:p>
        </w:tc>
        <w:tc>
          <w:tcPr>
            <w:tcW w:w="1620" w:type="dxa"/>
            <w:tcBorders>
              <w:top w:val="nil"/>
              <w:left w:val="nil"/>
              <w:bottom w:val="single" w:color="auto" w:sz="4" w:space="0"/>
              <w:right w:val="single" w:color="auto" w:sz="4" w:space="0"/>
            </w:tcBorders>
            <w:vAlign w:val="center"/>
          </w:tcPr>
          <w:p w14:paraId="7CC59F00">
            <w:pPr>
              <w:widowControl/>
              <w:jc w:val="left"/>
              <w:rPr>
                <w:rFonts w:ascii="宋体"/>
                <w:color w:val="000000" w:themeColor="text1"/>
                <w:kern w:val="0"/>
                <w:sz w:val="18"/>
                <w:szCs w:val="18"/>
                <w:highlight w:val="none"/>
                <w14:textFill>
                  <w14:solidFill>
                    <w14:schemeClr w14:val="tx1"/>
                  </w14:solidFill>
                </w14:textFill>
              </w:rPr>
            </w:pPr>
            <w:r>
              <w:rPr>
                <w:rFonts w:ascii="宋体" w:hAnsi="宋体" w:cs="宋体"/>
                <w:color w:val="000000" w:themeColor="text1"/>
                <w:kern w:val="0"/>
                <w:sz w:val="18"/>
                <w:szCs w:val="18"/>
                <w:highlight w:val="none"/>
                <w14:textFill>
                  <w14:solidFill>
                    <w14:schemeClr w14:val="tx1"/>
                  </w14:solidFill>
                </w14:textFill>
              </w:rPr>
              <w:t>5000</w:t>
            </w:r>
            <w:r>
              <w:rPr>
                <w:rFonts w:hint="eastAsia" w:ascii="宋体" w:hAnsi="宋体" w:cs="宋体"/>
                <w:color w:val="000000" w:themeColor="text1"/>
                <w:kern w:val="0"/>
                <w:sz w:val="18"/>
                <w:szCs w:val="18"/>
                <w:highlight w:val="none"/>
                <w14:textFill>
                  <w14:solidFill>
                    <w14:schemeClr w14:val="tx1"/>
                  </w14:solidFill>
                </w14:textFill>
              </w:rPr>
              <w:t>≤</w:t>
            </w:r>
            <w:r>
              <w:rPr>
                <w:rFonts w:ascii="宋体" w:hAnsi="宋体" w:cs="宋体"/>
                <w:color w:val="000000" w:themeColor="text1"/>
                <w:kern w:val="0"/>
                <w:sz w:val="18"/>
                <w:szCs w:val="18"/>
                <w:highlight w:val="none"/>
                <w14:textFill>
                  <w14:solidFill>
                    <w14:schemeClr w14:val="tx1"/>
                  </w14:solidFill>
                </w14:textFill>
              </w:rPr>
              <w:t>Z</w:t>
            </w:r>
            <w:r>
              <w:rPr>
                <w:rFonts w:hint="eastAsia" w:ascii="宋体" w:hAnsi="宋体" w:cs="宋体"/>
                <w:color w:val="000000" w:themeColor="text1"/>
                <w:kern w:val="0"/>
                <w:sz w:val="18"/>
                <w:szCs w:val="18"/>
                <w:highlight w:val="none"/>
                <w14:textFill>
                  <w14:solidFill>
                    <w14:schemeClr w14:val="tx1"/>
                  </w14:solidFill>
                </w14:textFill>
              </w:rPr>
              <w:t>＜</w:t>
            </w:r>
            <w:r>
              <w:rPr>
                <w:rFonts w:ascii="宋体" w:hAnsi="宋体" w:cs="宋体"/>
                <w:color w:val="000000" w:themeColor="text1"/>
                <w:kern w:val="0"/>
                <w:sz w:val="18"/>
                <w:szCs w:val="18"/>
                <w:highlight w:val="none"/>
                <w14:textFill>
                  <w14:solidFill>
                    <w14:schemeClr w14:val="tx1"/>
                  </w14:solidFill>
                </w14:textFill>
              </w:rPr>
              <w:t>10000</w:t>
            </w:r>
          </w:p>
        </w:tc>
        <w:tc>
          <w:tcPr>
            <w:tcW w:w="1440" w:type="dxa"/>
            <w:tcBorders>
              <w:top w:val="nil"/>
              <w:left w:val="nil"/>
              <w:bottom w:val="single" w:color="auto" w:sz="4" w:space="0"/>
              <w:right w:val="single" w:color="auto" w:sz="4" w:space="0"/>
            </w:tcBorders>
            <w:vAlign w:val="center"/>
          </w:tcPr>
          <w:p w14:paraId="6CF4574E">
            <w:pPr>
              <w:widowControl/>
              <w:jc w:val="left"/>
              <w:rPr>
                <w:rFonts w:ascii="宋体"/>
                <w:color w:val="000000" w:themeColor="text1"/>
                <w:kern w:val="0"/>
                <w:sz w:val="18"/>
                <w:szCs w:val="18"/>
                <w:highlight w:val="none"/>
                <w14:textFill>
                  <w14:solidFill>
                    <w14:schemeClr w14:val="tx1"/>
                  </w14:solidFill>
                </w14:textFill>
              </w:rPr>
            </w:pPr>
            <w:r>
              <w:rPr>
                <w:rFonts w:ascii="宋体" w:hAnsi="宋体" w:cs="宋体"/>
                <w:color w:val="000000" w:themeColor="text1"/>
                <w:kern w:val="0"/>
                <w:sz w:val="18"/>
                <w:szCs w:val="18"/>
                <w:highlight w:val="none"/>
                <w14:textFill>
                  <w14:solidFill>
                    <w14:schemeClr w14:val="tx1"/>
                  </w14:solidFill>
                </w14:textFill>
              </w:rPr>
              <w:t>2000</w:t>
            </w:r>
            <w:r>
              <w:rPr>
                <w:rFonts w:hint="eastAsia" w:ascii="宋体" w:hAnsi="宋体" w:cs="宋体"/>
                <w:color w:val="000000" w:themeColor="text1"/>
                <w:kern w:val="0"/>
                <w:sz w:val="18"/>
                <w:szCs w:val="18"/>
                <w:highlight w:val="none"/>
                <w14:textFill>
                  <w14:solidFill>
                    <w14:schemeClr w14:val="tx1"/>
                  </w14:solidFill>
                </w14:textFill>
              </w:rPr>
              <w:t>≤</w:t>
            </w:r>
            <w:r>
              <w:rPr>
                <w:rFonts w:ascii="宋体" w:hAnsi="宋体" w:cs="宋体"/>
                <w:color w:val="000000" w:themeColor="text1"/>
                <w:kern w:val="0"/>
                <w:sz w:val="18"/>
                <w:szCs w:val="18"/>
                <w:highlight w:val="none"/>
                <w14:textFill>
                  <w14:solidFill>
                    <w14:schemeClr w14:val="tx1"/>
                  </w14:solidFill>
                </w14:textFill>
              </w:rPr>
              <w:t>Y</w:t>
            </w:r>
            <w:r>
              <w:rPr>
                <w:rFonts w:hint="eastAsia" w:ascii="宋体" w:hAnsi="宋体" w:cs="宋体"/>
                <w:color w:val="000000" w:themeColor="text1"/>
                <w:kern w:val="0"/>
                <w:sz w:val="18"/>
                <w:szCs w:val="18"/>
                <w:highlight w:val="none"/>
                <w14:textFill>
                  <w14:solidFill>
                    <w14:schemeClr w14:val="tx1"/>
                  </w14:solidFill>
                </w14:textFill>
              </w:rPr>
              <w:t>＜</w:t>
            </w:r>
            <w:r>
              <w:rPr>
                <w:rFonts w:ascii="宋体" w:hAnsi="宋体" w:cs="宋体"/>
                <w:color w:val="000000" w:themeColor="text1"/>
                <w:kern w:val="0"/>
                <w:sz w:val="18"/>
                <w:szCs w:val="18"/>
                <w:highlight w:val="none"/>
                <w14:textFill>
                  <w14:solidFill>
                    <w14:schemeClr w14:val="tx1"/>
                  </w14:solidFill>
                </w14:textFill>
              </w:rPr>
              <w:t>5000</w:t>
            </w:r>
          </w:p>
        </w:tc>
        <w:tc>
          <w:tcPr>
            <w:tcW w:w="1532" w:type="dxa"/>
            <w:tcBorders>
              <w:top w:val="nil"/>
              <w:left w:val="nil"/>
              <w:bottom w:val="single" w:color="auto" w:sz="4" w:space="0"/>
              <w:right w:val="single" w:color="auto" w:sz="4" w:space="0"/>
            </w:tcBorders>
            <w:vAlign w:val="center"/>
          </w:tcPr>
          <w:p w14:paraId="711DE4AF">
            <w:pPr>
              <w:widowControl/>
              <w:jc w:val="left"/>
              <w:rPr>
                <w:rFonts w:ascii="宋体"/>
                <w:color w:val="000000" w:themeColor="text1"/>
                <w:kern w:val="0"/>
                <w:sz w:val="18"/>
                <w:szCs w:val="18"/>
                <w:highlight w:val="none"/>
                <w14:textFill>
                  <w14:solidFill>
                    <w14:schemeClr w14:val="tx1"/>
                  </w14:solidFill>
                </w14:textFill>
              </w:rPr>
            </w:pPr>
            <w:r>
              <w:rPr>
                <w:rFonts w:ascii="宋体" w:hAnsi="宋体" w:cs="宋体"/>
                <w:color w:val="000000" w:themeColor="text1"/>
                <w:kern w:val="0"/>
                <w:sz w:val="18"/>
                <w:szCs w:val="18"/>
                <w:highlight w:val="none"/>
                <w14:textFill>
                  <w14:solidFill>
                    <w14:schemeClr w14:val="tx1"/>
                  </w14:solidFill>
                </w14:textFill>
              </w:rPr>
              <w:t>Y</w:t>
            </w:r>
            <w:r>
              <w:rPr>
                <w:rFonts w:hint="eastAsia" w:ascii="宋体" w:hAnsi="宋体" w:cs="宋体"/>
                <w:color w:val="000000" w:themeColor="text1"/>
                <w:kern w:val="0"/>
                <w:sz w:val="18"/>
                <w:szCs w:val="18"/>
                <w:highlight w:val="none"/>
                <w14:textFill>
                  <w14:solidFill>
                    <w14:schemeClr w14:val="tx1"/>
                  </w14:solidFill>
                </w14:textFill>
              </w:rPr>
              <w:t>＜</w:t>
            </w:r>
            <w:r>
              <w:rPr>
                <w:rFonts w:ascii="宋体" w:hAnsi="宋体" w:cs="宋体"/>
                <w:color w:val="000000" w:themeColor="text1"/>
                <w:kern w:val="0"/>
                <w:sz w:val="18"/>
                <w:szCs w:val="18"/>
                <w:highlight w:val="none"/>
                <w14:textFill>
                  <w14:solidFill>
                    <w14:schemeClr w14:val="tx1"/>
                  </w14:solidFill>
                </w14:textFill>
              </w:rPr>
              <w:t>2000</w:t>
            </w:r>
          </w:p>
        </w:tc>
      </w:tr>
      <w:tr w14:paraId="56783620">
        <w:tblPrEx>
          <w:tblCellMar>
            <w:top w:w="0" w:type="dxa"/>
            <w:left w:w="108" w:type="dxa"/>
            <w:bottom w:w="0" w:type="dxa"/>
            <w:right w:w="108" w:type="dxa"/>
          </w:tblCellMar>
        </w:tblPrEx>
        <w:trPr>
          <w:trHeight w:val="340" w:hRule="atLeast"/>
          <w:jc w:val="center"/>
        </w:trPr>
        <w:tc>
          <w:tcPr>
            <w:tcW w:w="2004" w:type="dxa"/>
            <w:vMerge w:val="restart"/>
            <w:tcBorders>
              <w:top w:val="nil"/>
              <w:left w:val="single" w:color="auto" w:sz="4" w:space="0"/>
              <w:bottom w:val="single" w:color="auto" w:sz="4" w:space="0"/>
              <w:right w:val="single" w:color="auto" w:sz="4" w:space="0"/>
            </w:tcBorders>
            <w:vAlign w:val="center"/>
          </w:tcPr>
          <w:p w14:paraId="3DD01DF0">
            <w:pPr>
              <w:widowControl/>
              <w:jc w:val="center"/>
              <w:rPr>
                <w:rFonts w:ascii="宋体"/>
                <w:b/>
                <w:bCs/>
                <w:color w:val="000000" w:themeColor="text1"/>
                <w:kern w:val="0"/>
                <w:sz w:val="18"/>
                <w:szCs w:val="18"/>
                <w:highlight w:val="none"/>
                <w14:textFill>
                  <w14:solidFill>
                    <w14:schemeClr w14:val="tx1"/>
                  </w14:solidFill>
                </w14:textFill>
              </w:rPr>
            </w:pPr>
            <w:r>
              <w:rPr>
                <w:rFonts w:hint="eastAsia" w:ascii="宋体" w:hAnsi="宋体" w:cs="宋体"/>
                <w:b/>
                <w:bCs/>
                <w:color w:val="000000" w:themeColor="text1"/>
                <w:kern w:val="0"/>
                <w:sz w:val="18"/>
                <w:szCs w:val="18"/>
                <w:highlight w:val="none"/>
                <w14:textFill>
                  <w14:solidFill>
                    <w14:schemeClr w14:val="tx1"/>
                  </w14:solidFill>
                </w14:textFill>
              </w:rPr>
              <w:t>物业管理</w:t>
            </w:r>
          </w:p>
        </w:tc>
        <w:tc>
          <w:tcPr>
            <w:tcW w:w="1384" w:type="dxa"/>
            <w:tcBorders>
              <w:top w:val="nil"/>
              <w:left w:val="nil"/>
              <w:bottom w:val="single" w:color="auto" w:sz="4" w:space="0"/>
              <w:right w:val="single" w:color="auto" w:sz="4" w:space="0"/>
            </w:tcBorders>
            <w:vAlign w:val="center"/>
          </w:tcPr>
          <w:p w14:paraId="734FB422">
            <w:pPr>
              <w:widowControl/>
              <w:jc w:val="left"/>
              <w:rPr>
                <w:rFonts w:ascii="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从业人员（</w:t>
            </w:r>
            <w:r>
              <w:rPr>
                <w:rFonts w:ascii="宋体" w:hAnsi="宋体" w:cs="宋体"/>
                <w:color w:val="000000" w:themeColor="text1"/>
                <w:kern w:val="0"/>
                <w:sz w:val="18"/>
                <w:szCs w:val="18"/>
                <w:highlight w:val="none"/>
                <w14:textFill>
                  <w14:solidFill>
                    <w14:schemeClr w14:val="tx1"/>
                  </w14:solidFill>
                </w14:textFill>
              </w:rPr>
              <w:t>X</w:t>
            </w:r>
            <w:r>
              <w:rPr>
                <w:rFonts w:hint="eastAsia" w:ascii="宋体" w:hAnsi="宋体" w:cs="宋体"/>
                <w:color w:val="000000" w:themeColor="text1"/>
                <w:kern w:val="0"/>
                <w:sz w:val="18"/>
                <w:szCs w:val="18"/>
                <w:highlight w:val="none"/>
                <w14:textFill>
                  <w14:solidFill>
                    <w14:schemeClr w14:val="tx1"/>
                  </w14:solidFill>
                </w14:textFill>
              </w:rPr>
              <w:t>）</w:t>
            </w:r>
          </w:p>
        </w:tc>
        <w:tc>
          <w:tcPr>
            <w:tcW w:w="913" w:type="dxa"/>
            <w:tcBorders>
              <w:top w:val="nil"/>
              <w:left w:val="nil"/>
              <w:bottom w:val="single" w:color="auto" w:sz="4" w:space="0"/>
              <w:right w:val="single" w:color="auto" w:sz="4" w:space="0"/>
            </w:tcBorders>
            <w:vAlign w:val="center"/>
          </w:tcPr>
          <w:p w14:paraId="6E9E4B7F">
            <w:pPr>
              <w:widowControl/>
              <w:jc w:val="left"/>
              <w:rPr>
                <w:rFonts w:ascii="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人</w:t>
            </w:r>
          </w:p>
        </w:tc>
        <w:tc>
          <w:tcPr>
            <w:tcW w:w="1620" w:type="dxa"/>
            <w:tcBorders>
              <w:top w:val="nil"/>
              <w:left w:val="nil"/>
              <w:bottom w:val="single" w:color="auto" w:sz="4" w:space="0"/>
              <w:right w:val="single" w:color="auto" w:sz="4" w:space="0"/>
            </w:tcBorders>
            <w:vAlign w:val="center"/>
          </w:tcPr>
          <w:p w14:paraId="7E9CEB81">
            <w:pPr>
              <w:widowControl/>
              <w:jc w:val="left"/>
              <w:rPr>
                <w:rFonts w:ascii="宋体"/>
                <w:color w:val="000000" w:themeColor="text1"/>
                <w:kern w:val="0"/>
                <w:sz w:val="18"/>
                <w:szCs w:val="18"/>
                <w:highlight w:val="none"/>
                <w14:textFill>
                  <w14:solidFill>
                    <w14:schemeClr w14:val="tx1"/>
                  </w14:solidFill>
                </w14:textFill>
              </w:rPr>
            </w:pPr>
            <w:r>
              <w:rPr>
                <w:rFonts w:ascii="宋体" w:hAnsi="宋体" w:cs="宋体"/>
                <w:color w:val="000000" w:themeColor="text1"/>
                <w:kern w:val="0"/>
                <w:sz w:val="18"/>
                <w:szCs w:val="18"/>
                <w:highlight w:val="none"/>
                <w14:textFill>
                  <w14:solidFill>
                    <w14:schemeClr w14:val="tx1"/>
                  </w14:solidFill>
                </w14:textFill>
              </w:rPr>
              <w:t>300</w:t>
            </w:r>
            <w:r>
              <w:rPr>
                <w:rFonts w:hint="eastAsia" w:ascii="宋体" w:hAnsi="宋体" w:cs="宋体"/>
                <w:color w:val="000000" w:themeColor="text1"/>
                <w:kern w:val="0"/>
                <w:sz w:val="18"/>
                <w:szCs w:val="18"/>
                <w:highlight w:val="none"/>
                <w14:textFill>
                  <w14:solidFill>
                    <w14:schemeClr w14:val="tx1"/>
                  </w14:solidFill>
                </w14:textFill>
              </w:rPr>
              <w:t>≤</w:t>
            </w:r>
            <w:r>
              <w:rPr>
                <w:rFonts w:ascii="宋体" w:hAnsi="宋体" w:cs="宋体"/>
                <w:color w:val="000000" w:themeColor="text1"/>
                <w:kern w:val="0"/>
                <w:sz w:val="18"/>
                <w:szCs w:val="18"/>
                <w:highlight w:val="none"/>
                <w14:textFill>
                  <w14:solidFill>
                    <w14:schemeClr w14:val="tx1"/>
                  </w14:solidFill>
                </w14:textFill>
              </w:rPr>
              <w:t>X</w:t>
            </w:r>
            <w:r>
              <w:rPr>
                <w:rFonts w:hint="eastAsia" w:ascii="宋体" w:hAnsi="宋体" w:cs="宋体"/>
                <w:color w:val="000000" w:themeColor="text1"/>
                <w:kern w:val="0"/>
                <w:sz w:val="18"/>
                <w:szCs w:val="18"/>
                <w:highlight w:val="none"/>
                <w14:textFill>
                  <w14:solidFill>
                    <w14:schemeClr w14:val="tx1"/>
                  </w14:solidFill>
                </w14:textFill>
              </w:rPr>
              <w:t>＜</w:t>
            </w:r>
            <w:r>
              <w:rPr>
                <w:rFonts w:ascii="宋体" w:hAnsi="宋体" w:cs="宋体"/>
                <w:color w:val="000000" w:themeColor="text1"/>
                <w:kern w:val="0"/>
                <w:sz w:val="18"/>
                <w:szCs w:val="18"/>
                <w:highlight w:val="none"/>
                <w14:textFill>
                  <w14:solidFill>
                    <w14:schemeClr w14:val="tx1"/>
                  </w14:solidFill>
                </w14:textFill>
              </w:rPr>
              <w:t>1000</w:t>
            </w:r>
          </w:p>
        </w:tc>
        <w:tc>
          <w:tcPr>
            <w:tcW w:w="1440" w:type="dxa"/>
            <w:tcBorders>
              <w:top w:val="nil"/>
              <w:left w:val="nil"/>
              <w:bottom w:val="single" w:color="auto" w:sz="4" w:space="0"/>
              <w:right w:val="single" w:color="auto" w:sz="4" w:space="0"/>
            </w:tcBorders>
            <w:vAlign w:val="center"/>
          </w:tcPr>
          <w:p w14:paraId="7600051A">
            <w:pPr>
              <w:widowControl/>
              <w:jc w:val="left"/>
              <w:rPr>
                <w:rFonts w:ascii="宋体"/>
                <w:color w:val="000000" w:themeColor="text1"/>
                <w:kern w:val="0"/>
                <w:sz w:val="18"/>
                <w:szCs w:val="18"/>
                <w:highlight w:val="none"/>
                <w14:textFill>
                  <w14:solidFill>
                    <w14:schemeClr w14:val="tx1"/>
                  </w14:solidFill>
                </w14:textFill>
              </w:rPr>
            </w:pPr>
            <w:r>
              <w:rPr>
                <w:rFonts w:ascii="宋体" w:hAnsi="宋体" w:cs="宋体"/>
                <w:color w:val="000000" w:themeColor="text1"/>
                <w:kern w:val="0"/>
                <w:sz w:val="18"/>
                <w:szCs w:val="18"/>
                <w:highlight w:val="none"/>
                <w14:textFill>
                  <w14:solidFill>
                    <w14:schemeClr w14:val="tx1"/>
                  </w14:solidFill>
                </w14:textFill>
              </w:rPr>
              <w:t>100</w:t>
            </w:r>
            <w:r>
              <w:rPr>
                <w:rFonts w:hint="eastAsia" w:ascii="宋体" w:hAnsi="宋体" w:cs="宋体"/>
                <w:color w:val="000000" w:themeColor="text1"/>
                <w:kern w:val="0"/>
                <w:sz w:val="18"/>
                <w:szCs w:val="18"/>
                <w:highlight w:val="none"/>
                <w14:textFill>
                  <w14:solidFill>
                    <w14:schemeClr w14:val="tx1"/>
                  </w14:solidFill>
                </w14:textFill>
              </w:rPr>
              <w:t>≤</w:t>
            </w:r>
            <w:r>
              <w:rPr>
                <w:rFonts w:ascii="宋体" w:hAnsi="宋体" w:cs="宋体"/>
                <w:color w:val="000000" w:themeColor="text1"/>
                <w:kern w:val="0"/>
                <w:sz w:val="18"/>
                <w:szCs w:val="18"/>
                <w:highlight w:val="none"/>
                <w14:textFill>
                  <w14:solidFill>
                    <w14:schemeClr w14:val="tx1"/>
                  </w14:solidFill>
                </w14:textFill>
              </w:rPr>
              <w:t>X</w:t>
            </w:r>
            <w:r>
              <w:rPr>
                <w:rFonts w:hint="eastAsia" w:ascii="宋体" w:hAnsi="宋体" w:cs="宋体"/>
                <w:color w:val="000000" w:themeColor="text1"/>
                <w:kern w:val="0"/>
                <w:sz w:val="18"/>
                <w:szCs w:val="18"/>
                <w:highlight w:val="none"/>
                <w14:textFill>
                  <w14:solidFill>
                    <w14:schemeClr w14:val="tx1"/>
                  </w14:solidFill>
                </w14:textFill>
              </w:rPr>
              <w:t>＜</w:t>
            </w:r>
            <w:r>
              <w:rPr>
                <w:rFonts w:ascii="宋体" w:hAnsi="宋体" w:cs="宋体"/>
                <w:color w:val="000000" w:themeColor="text1"/>
                <w:kern w:val="0"/>
                <w:sz w:val="18"/>
                <w:szCs w:val="18"/>
                <w:highlight w:val="none"/>
                <w14:textFill>
                  <w14:solidFill>
                    <w14:schemeClr w14:val="tx1"/>
                  </w14:solidFill>
                </w14:textFill>
              </w:rPr>
              <w:t>300</w:t>
            </w:r>
          </w:p>
        </w:tc>
        <w:tc>
          <w:tcPr>
            <w:tcW w:w="1532" w:type="dxa"/>
            <w:tcBorders>
              <w:top w:val="nil"/>
              <w:left w:val="nil"/>
              <w:bottom w:val="single" w:color="auto" w:sz="4" w:space="0"/>
              <w:right w:val="single" w:color="auto" w:sz="4" w:space="0"/>
            </w:tcBorders>
            <w:vAlign w:val="center"/>
          </w:tcPr>
          <w:p w14:paraId="7205D1DD">
            <w:pPr>
              <w:widowControl/>
              <w:jc w:val="left"/>
              <w:rPr>
                <w:rFonts w:ascii="宋体"/>
                <w:color w:val="000000" w:themeColor="text1"/>
                <w:kern w:val="0"/>
                <w:sz w:val="18"/>
                <w:szCs w:val="18"/>
                <w:highlight w:val="none"/>
                <w14:textFill>
                  <w14:solidFill>
                    <w14:schemeClr w14:val="tx1"/>
                  </w14:solidFill>
                </w14:textFill>
              </w:rPr>
            </w:pPr>
            <w:r>
              <w:rPr>
                <w:rFonts w:ascii="宋体" w:hAnsi="宋体" w:cs="宋体"/>
                <w:color w:val="000000" w:themeColor="text1"/>
                <w:kern w:val="0"/>
                <w:sz w:val="18"/>
                <w:szCs w:val="18"/>
                <w:highlight w:val="none"/>
                <w14:textFill>
                  <w14:solidFill>
                    <w14:schemeClr w14:val="tx1"/>
                  </w14:solidFill>
                </w14:textFill>
              </w:rPr>
              <w:t>X</w:t>
            </w:r>
            <w:r>
              <w:rPr>
                <w:rFonts w:hint="eastAsia" w:ascii="宋体" w:hAnsi="宋体" w:cs="宋体"/>
                <w:color w:val="000000" w:themeColor="text1"/>
                <w:kern w:val="0"/>
                <w:sz w:val="18"/>
                <w:szCs w:val="18"/>
                <w:highlight w:val="none"/>
                <w14:textFill>
                  <w14:solidFill>
                    <w14:schemeClr w14:val="tx1"/>
                  </w14:solidFill>
                </w14:textFill>
              </w:rPr>
              <w:t>＜</w:t>
            </w:r>
            <w:r>
              <w:rPr>
                <w:rFonts w:ascii="宋体" w:hAnsi="宋体" w:cs="宋体"/>
                <w:color w:val="000000" w:themeColor="text1"/>
                <w:kern w:val="0"/>
                <w:sz w:val="18"/>
                <w:szCs w:val="18"/>
                <w:highlight w:val="none"/>
                <w14:textFill>
                  <w14:solidFill>
                    <w14:schemeClr w14:val="tx1"/>
                  </w14:solidFill>
                </w14:textFill>
              </w:rPr>
              <w:t>100</w:t>
            </w:r>
          </w:p>
        </w:tc>
      </w:tr>
      <w:tr w14:paraId="481B55A2">
        <w:tblPrEx>
          <w:tblCellMar>
            <w:top w:w="0" w:type="dxa"/>
            <w:left w:w="108" w:type="dxa"/>
            <w:bottom w:w="0" w:type="dxa"/>
            <w:right w:w="108" w:type="dxa"/>
          </w:tblCellMar>
        </w:tblPrEx>
        <w:trPr>
          <w:trHeight w:val="340" w:hRule="atLeast"/>
          <w:jc w:val="center"/>
        </w:trPr>
        <w:tc>
          <w:tcPr>
            <w:tcW w:w="2004" w:type="dxa"/>
            <w:vMerge w:val="continue"/>
            <w:tcBorders>
              <w:top w:val="nil"/>
              <w:left w:val="single" w:color="auto" w:sz="4" w:space="0"/>
              <w:bottom w:val="single" w:color="auto" w:sz="4" w:space="0"/>
              <w:right w:val="single" w:color="auto" w:sz="4" w:space="0"/>
            </w:tcBorders>
            <w:vAlign w:val="center"/>
          </w:tcPr>
          <w:p w14:paraId="4013DDF5">
            <w:pPr>
              <w:widowControl/>
              <w:jc w:val="center"/>
              <w:rPr>
                <w:rFonts w:ascii="宋体"/>
                <w:b/>
                <w:bCs/>
                <w:color w:val="000000" w:themeColor="text1"/>
                <w:kern w:val="0"/>
                <w:sz w:val="18"/>
                <w:szCs w:val="18"/>
                <w:highlight w:val="none"/>
                <w14:textFill>
                  <w14:solidFill>
                    <w14:schemeClr w14:val="tx1"/>
                  </w14:solidFill>
                </w14:textFill>
              </w:rPr>
            </w:pPr>
          </w:p>
        </w:tc>
        <w:tc>
          <w:tcPr>
            <w:tcW w:w="1384" w:type="dxa"/>
            <w:tcBorders>
              <w:top w:val="nil"/>
              <w:left w:val="nil"/>
              <w:bottom w:val="single" w:color="auto" w:sz="4" w:space="0"/>
              <w:right w:val="single" w:color="auto" w:sz="4" w:space="0"/>
            </w:tcBorders>
            <w:vAlign w:val="center"/>
          </w:tcPr>
          <w:p w14:paraId="14F586A1">
            <w:pPr>
              <w:widowControl/>
              <w:jc w:val="left"/>
              <w:rPr>
                <w:rFonts w:ascii="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营业收入（</w:t>
            </w:r>
            <w:r>
              <w:rPr>
                <w:rFonts w:ascii="宋体" w:hAnsi="宋体" w:cs="宋体"/>
                <w:color w:val="000000" w:themeColor="text1"/>
                <w:kern w:val="0"/>
                <w:sz w:val="18"/>
                <w:szCs w:val="18"/>
                <w:highlight w:val="none"/>
                <w14:textFill>
                  <w14:solidFill>
                    <w14:schemeClr w14:val="tx1"/>
                  </w14:solidFill>
                </w14:textFill>
              </w:rPr>
              <w:t>Y</w:t>
            </w:r>
            <w:r>
              <w:rPr>
                <w:rFonts w:hint="eastAsia" w:ascii="宋体" w:hAnsi="宋体" w:cs="宋体"/>
                <w:color w:val="000000" w:themeColor="text1"/>
                <w:kern w:val="0"/>
                <w:sz w:val="18"/>
                <w:szCs w:val="18"/>
                <w:highlight w:val="none"/>
                <w14:textFill>
                  <w14:solidFill>
                    <w14:schemeClr w14:val="tx1"/>
                  </w14:solidFill>
                </w14:textFill>
              </w:rPr>
              <w:t>）</w:t>
            </w:r>
          </w:p>
        </w:tc>
        <w:tc>
          <w:tcPr>
            <w:tcW w:w="913" w:type="dxa"/>
            <w:tcBorders>
              <w:top w:val="nil"/>
              <w:left w:val="nil"/>
              <w:bottom w:val="single" w:color="auto" w:sz="4" w:space="0"/>
              <w:right w:val="single" w:color="auto" w:sz="4" w:space="0"/>
            </w:tcBorders>
            <w:vAlign w:val="center"/>
          </w:tcPr>
          <w:p w14:paraId="7E8AF65A">
            <w:pPr>
              <w:widowControl/>
              <w:jc w:val="left"/>
              <w:rPr>
                <w:rFonts w:ascii="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万元</w:t>
            </w:r>
          </w:p>
        </w:tc>
        <w:tc>
          <w:tcPr>
            <w:tcW w:w="1620" w:type="dxa"/>
            <w:tcBorders>
              <w:top w:val="nil"/>
              <w:left w:val="nil"/>
              <w:bottom w:val="single" w:color="auto" w:sz="4" w:space="0"/>
              <w:right w:val="single" w:color="auto" w:sz="4" w:space="0"/>
            </w:tcBorders>
            <w:vAlign w:val="center"/>
          </w:tcPr>
          <w:p w14:paraId="2783DE57">
            <w:pPr>
              <w:widowControl/>
              <w:jc w:val="left"/>
              <w:rPr>
                <w:rFonts w:ascii="宋体"/>
                <w:color w:val="000000" w:themeColor="text1"/>
                <w:kern w:val="0"/>
                <w:sz w:val="18"/>
                <w:szCs w:val="18"/>
                <w:highlight w:val="none"/>
                <w14:textFill>
                  <w14:solidFill>
                    <w14:schemeClr w14:val="tx1"/>
                  </w14:solidFill>
                </w14:textFill>
              </w:rPr>
            </w:pPr>
            <w:r>
              <w:rPr>
                <w:rFonts w:ascii="宋体" w:hAnsi="宋体" w:cs="宋体"/>
                <w:color w:val="000000" w:themeColor="text1"/>
                <w:kern w:val="0"/>
                <w:sz w:val="18"/>
                <w:szCs w:val="18"/>
                <w:highlight w:val="none"/>
                <w14:textFill>
                  <w14:solidFill>
                    <w14:schemeClr w14:val="tx1"/>
                  </w14:solidFill>
                </w14:textFill>
              </w:rPr>
              <w:t>1000</w:t>
            </w:r>
            <w:r>
              <w:rPr>
                <w:rFonts w:hint="eastAsia" w:ascii="宋体" w:hAnsi="宋体" w:cs="宋体"/>
                <w:color w:val="000000" w:themeColor="text1"/>
                <w:kern w:val="0"/>
                <w:sz w:val="18"/>
                <w:szCs w:val="18"/>
                <w:highlight w:val="none"/>
                <w14:textFill>
                  <w14:solidFill>
                    <w14:schemeClr w14:val="tx1"/>
                  </w14:solidFill>
                </w14:textFill>
              </w:rPr>
              <w:t>≤</w:t>
            </w:r>
            <w:r>
              <w:rPr>
                <w:rFonts w:ascii="宋体" w:hAnsi="宋体" w:cs="宋体"/>
                <w:color w:val="000000" w:themeColor="text1"/>
                <w:kern w:val="0"/>
                <w:sz w:val="18"/>
                <w:szCs w:val="18"/>
                <w:highlight w:val="none"/>
                <w14:textFill>
                  <w14:solidFill>
                    <w14:schemeClr w14:val="tx1"/>
                  </w14:solidFill>
                </w14:textFill>
              </w:rPr>
              <w:t>Y</w:t>
            </w:r>
            <w:r>
              <w:rPr>
                <w:rFonts w:hint="eastAsia" w:ascii="宋体" w:hAnsi="宋体" w:cs="宋体"/>
                <w:color w:val="000000" w:themeColor="text1"/>
                <w:kern w:val="0"/>
                <w:sz w:val="18"/>
                <w:szCs w:val="18"/>
                <w:highlight w:val="none"/>
                <w14:textFill>
                  <w14:solidFill>
                    <w14:schemeClr w14:val="tx1"/>
                  </w14:solidFill>
                </w14:textFill>
              </w:rPr>
              <w:t>＜</w:t>
            </w:r>
            <w:r>
              <w:rPr>
                <w:rFonts w:ascii="宋体" w:hAnsi="宋体" w:cs="宋体"/>
                <w:color w:val="000000" w:themeColor="text1"/>
                <w:kern w:val="0"/>
                <w:sz w:val="18"/>
                <w:szCs w:val="18"/>
                <w:highlight w:val="none"/>
                <w14:textFill>
                  <w14:solidFill>
                    <w14:schemeClr w14:val="tx1"/>
                  </w14:solidFill>
                </w14:textFill>
              </w:rPr>
              <w:t>5000</w:t>
            </w:r>
          </w:p>
        </w:tc>
        <w:tc>
          <w:tcPr>
            <w:tcW w:w="1440" w:type="dxa"/>
            <w:tcBorders>
              <w:top w:val="nil"/>
              <w:left w:val="nil"/>
              <w:bottom w:val="single" w:color="auto" w:sz="4" w:space="0"/>
              <w:right w:val="single" w:color="auto" w:sz="4" w:space="0"/>
            </w:tcBorders>
            <w:vAlign w:val="center"/>
          </w:tcPr>
          <w:p w14:paraId="07F91F3C">
            <w:pPr>
              <w:widowControl/>
              <w:jc w:val="left"/>
              <w:rPr>
                <w:rFonts w:ascii="宋体"/>
                <w:color w:val="000000" w:themeColor="text1"/>
                <w:kern w:val="0"/>
                <w:sz w:val="18"/>
                <w:szCs w:val="18"/>
                <w:highlight w:val="none"/>
                <w14:textFill>
                  <w14:solidFill>
                    <w14:schemeClr w14:val="tx1"/>
                  </w14:solidFill>
                </w14:textFill>
              </w:rPr>
            </w:pPr>
            <w:r>
              <w:rPr>
                <w:rFonts w:ascii="宋体" w:hAnsi="宋体" w:cs="宋体"/>
                <w:color w:val="000000" w:themeColor="text1"/>
                <w:kern w:val="0"/>
                <w:sz w:val="18"/>
                <w:szCs w:val="18"/>
                <w:highlight w:val="none"/>
                <w14:textFill>
                  <w14:solidFill>
                    <w14:schemeClr w14:val="tx1"/>
                  </w14:solidFill>
                </w14:textFill>
              </w:rPr>
              <w:t>500</w:t>
            </w:r>
            <w:r>
              <w:rPr>
                <w:rFonts w:hint="eastAsia" w:ascii="宋体" w:hAnsi="宋体" w:cs="宋体"/>
                <w:color w:val="000000" w:themeColor="text1"/>
                <w:kern w:val="0"/>
                <w:sz w:val="18"/>
                <w:szCs w:val="18"/>
                <w:highlight w:val="none"/>
                <w14:textFill>
                  <w14:solidFill>
                    <w14:schemeClr w14:val="tx1"/>
                  </w14:solidFill>
                </w14:textFill>
              </w:rPr>
              <w:t>≤</w:t>
            </w:r>
            <w:r>
              <w:rPr>
                <w:rFonts w:ascii="宋体" w:hAnsi="宋体" w:cs="宋体"/>
                <w:color w:val="000000" w:themeColor="text1"/>
                <w:kern w:val="0"/>
                <w:sz w:val="18"/>
                <w:szCs w:val="18"/>
                <w:highlight w:val="none"/>
                <w14:textFill>
                  <w14:solidFill>
                    <w14:schemeClr w14:val="tx1"/>
                  </w14:solidFill>
                </w14:textFill>
              </w:rPr>
              <w:t>Y</w:t>
            </w:r>
            <w:r>
              <w:rPr>
                <w:rFonts w:hint="eastAsia" w:ascii="宋体" w:hAnsi="宋体" w:cs="宋体"/>
                <w:color w:val="000000" w:themeColor="text1"/>
                <w:kern w:val="0"/>
                <w:sz w:val="18"/>
                <w:szCs w:val="18"/>
                <w:highlight w:val="none"/>
                <w14:textFill>
                  <w14:solidFill>
                    <w14:schemeClr w14:val="tx1"/>
                  </w14:solidFill>
                </w14:textFill>
              </w:rPr>
              <w:t>＜</w:t>
            </w:r>
            <w:r>
              <w:rPr>
                <w:rFonts w:ascii="宋体" w:hAnsi="宋体" w:cs="宋体"/>
                <w:color w:val="000000" w:themeColor="text1"/>
                <w:kern w:val="0"/>
                <w:sz w:val="18"/>
                <w:szCs w:val="18"/>
                <w:highlight w:val="none"/>
                <w14:textFill>
                  <w14:solidFill>
                    <w14:schemeClr w14:val="tx1"/>
                  </w14:solidFill>
                </w14:textFill>
              </w:rPr>
              <w:t>1000</w:t>
            </w:r>
          </w:p>
        </w:tc>
        <w:tc>
          <w:tcPr>
            <w:tcW w:w="1532" w:type="dxa"/>
            <w:tcBorders>
              <w:top w:val="nil"/>
              <w:left w:val="nil"/>
              <w:bottom w:val="single" w:color="auto" w:sz="4" w:space="0"/>
              <w:right w:val="single" w:color="auto" w:sz="4" w:space="0"/>
            </w:tcBorders>
            <w:vAlign w:val="center"/>
          </w:tcPr>
          <w:p w14:paraId="118CE090">
            <w:pPr>
              <w:widowControl/>
              <w:jc w:val="left"/>
              <w:rPr>
                <w:rFonts w:ascii="宋体"/>
                <w:color w:val="000000" w:themeColor="text1"/>
                <w:kern w:val="0"/>
                <w:sz w:val="18"/>
                <w:szCs w:val="18"/>
                <w:highlight w:val="none"/>
                <w14:textFill>
                  <w14:solidFill>
                    <w14:schemeClr w14:val="tx1"/>
                  </w14:solidFill>
                </w14:textFill>
              </w:rPr>
            </w:pPr>
            <w:r>
              <w:rPr>
                <w:rFonts w:ascii="宋体" w:hAnsi="宋体" w:cs="宋体"/>
                <w:color w:val="000000" w:themeColor="text1"/>
                <w:kern w:val="0"/>
                <w:sz w:val="18"/>
                <w:szCs w:val="18"/>
                <w:highlight w:val="none"/>
                <w14:textFill>
                  <w14:solidFill>
                    <w14:schemeClr w14:val="tx1"/>
                  </w14:solidFill>
                </w14:textFill>
              </w:rPr>
              <w:t>Y</w:t>
            </w:r>
            <w:r>
              <w:rPr>
                <w:rFonts w:hint="eastAsia" w:ascii="宋体" w:hAnsi="宋体" w:cs="宋体"/>
                <w:color w:val="000000" w:themeColor="text1"/>
                <w:kern w:val="0"/>
                <w:sz w:val="18"/>
                <w:szCs w:val="18"/>
                <w:highlight w:val="none"/>
                <w14:textFill>
                  <w14:solidFill>
                    <w14:schemeClr w14:val="tx1"/>
                  </w14:solidFill>
                </w14:textFill>
              </w:rPr>
              <w:t>＜</w:t>
            </w:r>
            <w:r>
              <w:rPr>
                <w:rFonts w:ascii="宋体" w:hAnsi="宋体" w:cs="宋体"/>
                <w:color w:val="000000" w:themeColor="text1"/>
                <w:kern w:val="0"/>
                <w:sz w:val="18"/>
                <w:szCs w:val="18"/>
                <w:highlight w:val="none"/>
                <w14:textFill>
                  <w14:solidFill>
                    <w14:schemeClr w14:val="tx1"/>
                  </w14:solidFill>
                </w14:textFill>
              </w:rPr>
              <w:t>500</w:t>
            </w:r>
          </w:p>
        </w:tc>
      </w:tr>
      <w:tr w14:paraId="3B5D6415">
        <w:tblPrEx>
          <w:tblCellMar>
            <w:top w:w="0" w:type="dxa"/>
            <w:left w:w="108" w:type="dxa"/>
            <w:bottom w:w="0" w:type="dxa"/>
            <w:right w:w="108" w:type="dxa"/>
          </w:tblCellMar>
        </w:tblPrEx>
        <w:trPr>
          <w:trHeight w:val="340" w:hRule="atLeast"/>
          <w:jc w:val="center"/>
        </w:trPr>
        <w:tc>
          <w:tcPr>
            <w:tcW w:w="2004" w:type="dxa"/>
            <w:vMerge w:val="restart"/>
            <w:tcBorders>
              <w:top w:val="nil"/>
              <w:left w:val="single" w:color="auto" w:sz="4" w:space="0"/>
              <w:bottom w:val="single" w:color="auto" w:sz="4" w:space="0"/>
              <w:right w:val="single" w:color="auto" w:sz="4" w:space="0"/>
            </w:tcBorders>
            <w:vAlign w:val="center"/>
          </w:tcPr>
          <w:p w14:paraId="3684A575">
            <w:pPr>
              <w:widowControl/>
              <w:jc w:val="center"/>
              <w:rPr>
                <w:rFonts w:ascii="宋体"/>
                <w:b/>
                <w:bCs/>
                <w:color w:val="000000" w:themeColor="text1"/>
                <w:kern w:val="0"/>
                <w:sz w:val="18"/>
                <w:szCs w:val="18"/>
                <w:highlight w:val="none"/>
                <w14:textFill>
                  <w14:solidFill>
                    <w14:schemeClr w14:val="tx1"/>
                  </w14:solidFill>
                </w14:textFill>
              </w:rPr>
            </w:pPr>
            <w:r>
              <w:rPr>
                <w:rFonts w:hint="eastAsia" w:ascii="宋体" w:hAnsi="宋体" w:cs="宋体"/>
                <w:b/>
                <w:bCs/>
                <w:color w:val="000000" w:themeColor="text1"/>
                <w:kern w:val="0"/>
                <w:sz w:val="18"/>
                <w:szCs w:val="18"/>
                <w:highlight w:val="none"/>
                <w14:textFill>
                  <w14:solidFill>
                    <w14:schemeClr w14:val="tx1"/>
                  </w14:solidFill>
                </w14:textFill>
              </w:rPr>
              <w:t>租赁和商务服务业</w:t>
            </w:r>
          </w:p>
        </w:tc>
        <w:tc>
          <w:tcPr>
            <w:tcW w:w="1384" w:type="dxa"/>
            <w:tcBorders>
              <w:top w:val="nil"/>
              <w:left w:val="nil"/>
              <w:bottom w:val="single" w:color="auto" w:sz="4" w:space="0"/>
              <w:right w:val="single" w:color="auto" w:sz="4" w:space="0"/>
            </w:tcBorders>
            <w:vAlign w:val="center"/>
          </w:tcPr>
          <w:p w14:paraId="2A2F59F1">
            <w:pPr>
              <w:widowControl/>
              <w:jc w:val="left"/>
              <w:rPr>
                <w:rFonts w:ascii="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从业人员（</w:t>
            </w:r>
            <w:r>
              <w:rPr>
                <w:rFonts w:ascii="宋体" w:hAnsi="宋体" w:cs="宋体"/>
                <w:color w:val="000000" w:themeColor="text1"/>
                <w:kern w:val="0"/>
                <w:sz w:val="18"/>
                <w:szCs w:val="18"/>
                <w:highlight w:val="none"/>
                <w14:textFill>
                  <w14:solidFill>
                    <w14:schemeClr w14:val="tx1"/>
                  </w14:solidFill>
                </w14:textFill>
              </w:rPr>
              <w:t>X</w:t>
            </w:r>
            <w:r>
              <w:rPr>
                <w:rFonts w:hint="eastAsia" w:ascii="宋体" w:hAnsi="宋体" w:cs="宋体"/>
                <w:color w:val="000000" w:themeColor="text1"/>
                <w:kern w:val="0"/>
                <w:sz w:val="18"/>
                <w:szCs w:val="18"/>
                <w:highlight w:val="none"/>
                <w14:textFill>
                  <w14:solidFill>
                    <w14:schemeClr w14:val="tx1"/>
                  </w14:solidFill>
                </w14:textFill>
              </w:rPr>
              <w:t>）</w:t>
            </w:r>
          </w:p>
        </w:tc>
        <w:tc>
          <w:tcPr>
            <w:tcW w:w="913" w:type="dxa"/>
            <w:tcBorders>
              <w:top w:val="nil"/>
              <w:left w:val="nil"/>
              <w:bottom w:val="single" w:color="auto" w:sz="4" w:space="0"/>
              <w:right w:val="single" w:color="auto" w:sz="4" w:space="0"/>
            </w:tcBorders>
            <w:vAlign w:val="center"/>
          </w:tcPr>
          <w:p w14:paraId="3293DC51">
            <w:pPr>
              <w:widowControl/>
              <w:jc w:val="left"/>
              <w:rPr>
                <w:rFonts w:ascii="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人</w:t>
            </w:r>
          </w:p>
        </w:tc>
        <w:tc>
          <w:tcPr>
            <w:tcW w:w="1620" w:type="dxa"/>
            <w:tcBorders>
              <w:top w:val="nil"/>
              <w:left w:val="nil"/>
              <w:bottom w:val="single" w:color="auto" w:sz="4" w:space="0"/>
              <w:right w:val="single" w:color="auto" w:sz="4" w:space="0"/>
            </w:tcBorders>
            <w:vAlign w:val="center"/>
          </w:tcPr>
          <w:p w14:paraId="1F5F43B7">
            <w:pPr>
              <w:widowControl/>
              <w:jc w:val="left"/>
              <w:rPr>
                <w:rFonts w:ascii="宋体"/>
                <w:color w:val="000000" w:themeColor="text1"/>
                <w:kern w:val="0"/>
                <w:sz w:val="18"/>
                <w:szCs w:val="18"/>
                <w:highlight w:val="none"/>
                <w14:textFill>
                  <w14:solidFill>
                    <w14:schemeClr w14:val="tx1"/>
                  </w14:solidFill>
                </w14:textFill>
              </w:rPr>
            </w:pPr>
            <w:r>
              <w:rPr>
                <w:rFonts w:ascii="宋体" w:hAnsi="宋体" w:cs="宋体"/>
                <w:color w:val="000000" w:themeColor="text1"/>
                <w:kern w:val="0"/>
                <w:sz w:val="18"/>
                <w:szCs w:val="18"/>
                <w:highlight w:val="none"/>
                <w14:textFill>
                  <w14:solidFill>
                    <w14:schemeClr w14:val="tx1"/>
                  </w14:solidFill>
                </w14:textFill>
              </w:rPr>
              <w:t>100</w:t>
            </w:r>
            <w:r>
              <w:rPr>
                <w:rFonts w:hint="eastAsia" w:ascii="宋体" w:hAnsi="宋体" w:cs="宋体"/>
                <w:color w:val="000000" w:themeColor="text1"/>
                <w:kern w:val="0"/>
                <w:sz w:val="18"/>
                <w:szCs w:val="18"/>
                <w:highlight w:val="none"/>
                <w14:textFill>
                  <w14:solidFill>
                    <w14:schemeClr w14:val="tx1"/>
                  </w14:solidFill>
                </w14:textFill>
              </w:rPr>
              <w:t>≤</w:t>
            </w:r>
            <w:r>
              <w:rPr>
                <w:rFonts w:ascii="宋体" w:hAnsi="宋体" w:cs="宋体"/>
                <w:color w:val="000000" w:themeColor="text1"/>
                <w:kern w:val="0"/>
                <w:sz w:val="18"/>
                <w:szCs w:val="18"/>
                <w:highlight w:val="none"/>
                <w14:textFill>
                  <w14:solidFill>
                    <w14:schemeClr w14:val="tx1"/>
                  </w14:solidFill>
                </w14:textFill>
              </w:rPr>
              <w:t>X</w:t>
            </w:r>
            <w:r>
              <w:rPr>
                <w:rFonts w:hint="eastAsia" w:ascii="宋体" w:hAnsi="宋体" w:cs="宋体"/>
                <w:color w:val="000000" w:themeColor="text1"/>
                <w:kern w:val="0"/>
                <w:sz w:val="18"/>
                <w:szCs w:val="18"/>
                <w:highlight w:val="none"/>
                <w14:textFill>
                  <w14:solidFill>
                    <w14:schemeClr w14:val="tx1"/>
                  </w14:solidFill>
                </w14:textFill>
              </w:rPr>
              <w:t>＜</w:t>
            </w:r>
            <w:r>
              <w:rPr>
                <w:rFonts w:ascii="宋体" w:hAnsi="宋体" w:cs="宋体"/>
                <w:color w:val="000000" w:themeColor="text1"/>
                <w:kern w:val="0"/>
                <w:sz w:val="18"/>
                <w:szCs w:val="18"/>
                <w:highlight w:val="none"/>
                <w14:textFill>
                  <w14:solidFill>
                    <w14:schemeClr w14:val="tx1"/>
                  </w14:solidFill>
                </w14:textFill>
              </w:rPr>
              <w:t>300</w:t>
            </w:r>
          </w:p>
        </w:tc>
        <w:tc>
          <w:tcPr>
            <w:tcW w:w="1440" w:type="dxa"/>
            <w:tcBorders>
              <w:top w:val="nil"/>
              <w:left w:val="nil"/>
              <w:bottom w:val="single" w:color="auto" w:sz="4" w:space="0"/>
              <w:right w:val="single" w:color="auto" w:sz="4" w:space="0"/>
            </w:tcBorders>
            <w:vAlign w:val="center"/>
          </w:tcPr>
          <w:p w14:paraId="10C54B1C">
            <w:pPr>
              <w:widowControl/>
              <w:jc w:val="left"/>
              <w:rPr>
                <w:rFonts w:ascii="宋体"/>
                <w:color w:val="000000" w:themeColor="text1"/>
                <w:kern w:val="0"/>
                <w:sz w:val="18"/>
                <w:szCs w:val="18"/>
                <w:highlight w:val="none"/>
                <w14:textFill>
                  <w14:solidFill>
                    <w14:schemeClr w14:val="tx1"/>
                  </w14:solidFill>
                </w14:textFill>
              </w:rPr>
            </w:pPr>
            <w:r>
              <w:rPr>
                <w:rFonts w:ascii="宋体" w:hAnsi="宋体" w:cs="宋体"/>
                <w:color w:val="000000" w:themeColor="text1"/>
                <w:kern w:val="0"/>
                <w:sz w:val="18"/>
                <w:szCs w:val="18"/>
                <w:highlight w:val="none"/>
                <w14:textFill>
                  <w14:solidFill>
                    <w14:schemeClr w14:val="tx1"/>
                  </w14:solidFill>
                </w14:textFill>
              </w:rPr>
              <w:t>10</w:t>
            </w:r>
            <w:r>
              <w:rPr>
                <w:rFonts w:hint="eastAsia" w:ascii="宋体" w:hAnsi="宋体" w:cs="宋体"/>
                <w:color w:val="000000" w:themeColor="text1"/>
                <w:kern w:val="0"/>
                <w:sz w:val="18"/>
                <w:szCs w:val="18"/>
                <w:highlight w:val="none"/>
                <w14:textFill>
                  <w14:solidFill>
                    <w14:schemeClr w14:val="tx1"/>
                  </w14:solidFill>
                </w14:textFill>
              </w:rPr>
              <w:t>≤</w:t>
            </w:r>
            <w:r>
              <w:rPr>
                <w:rFonts w:ascii="宋体" w:hAnsi="宋体" w:cs="宋体"/>
                <w:color w:val="000000" w:themeColor="text1"/>
                <w:kern w:val="0"/>
                <w:sz w:val="18"/>
                <w:szCs w:val="18"/>
                <w:highlight w:val="none"/>
                <w14:textFill>
                  <w14:solidFill>
                    <w14:schemeClr w14:val="tx1"/>
                  </w14:solidFill>
                </w14:textFill>
              </w:rPr>
              <w:t>X</w:t>
            </w:r>
            <w:r>
              <w:rPr>
                <w:rFonts w:hint="eastAsia" w:ascii="宋体" w:hAnsi="宋体" w:cs="宋体"/>
                <w:color w:val="000000" w:themeColor="text1"/>
                <w:kern w:val="0"/>
                <w:sz w:val="18"/>
                <w:szCs w:val="18"/>
                <w:highlight w:val="none"/>
                <w14:textFill>
                  <w14:solidFill>
                    <w14:schemeClr w14:val="tx1"/>
                  </w14:solidFill>
                </w14:textFill>
              </w:rPr>
              <w:t>＜</w:t>
            </w:r>
            <w:r>
              <w:rPr>
                <w:rFonts w:ascii="宋体" w:hAnsi="宋体" w:cs="宋体"/>
                <w:color w:val="000000" w:themeColor="text1"/>
                <w:kern w:val="0"/>
                <w:sz w:val="18"/>
                <w:szCs w:val="18"/>
                <w:highlight w:val="none"/>
                <w14:textFill>
                  <w14:solidFill>
                    <w14:schemeClr w14:val="tx1"/>
                  </w14:solidFill>
                </w14:textFill>
              </w:rPr>
              <w:t>100</w:t>
            </w:r>
          </w:p>
        </w:tc>
        <w:tc>
          <w:tcPr>
            <w:tcW w:w="1532" w:type="dxa"/>
            <w:tcBorders>
              <w:top w:val="nil"/>
              <w:left w:val="nil"/>
              <w:bottom w:val="single" w:color="auto" w:sz="4" w:space="0"/>
              <w:right w:val="single" w:color="auto" w:sz="4" w:space="0"/>
            </w:tcBorders>
            <w:vAlign w:val="center"/>
          </w:tcPr>
          <w:p w14:paraId="1125F8DF">
            <w:pPr>
              <w:widowControl/>
              <w:jc w:val="left"/>
              <w:rPr>
                <w:rFonts w:ascii="宋体"/>
                <w:color w:val="000000" w:themeColor="text1"/>
                <w:kern w:val="0"/>
                <w:sz w:val="18"/>
                <w:szCs w:val="18"/>
                <w:highlight w:val="none"/>
                <w14:textFill>
                  <w14:solidFill>
                    <w14:schemeClr w14:val="tx1"/>
                  </w14:solidFill>
                </w14:textFill>
              </w:rPr>
            </w:pPr>
            <w:r>
              <w:rPr>
                <w:rFonts w:ascii="宋体" w:hAnsi="宋体" w:cs="宋体"/>
                <w:color w:val="000000" w:themeColor="text1"/>
                <w:kern w:val="0"/>
                <w:sz w:val="18"/>
                <w:szCs w:val="18"/>
                <w:highlight w:val="none"/>
                <w14:textFill>
                  <w14:solidFill>
                    <w14:schemeClr w14:val="tx1"/>
                  </w14:solidFill>
                </w14:textFill>
              </w:rPr>
              <w:t>X</w:t>
            </w:r>
            <w:r>
              <w:rPr>
                <w:rFonts w:hint="eastAsia" w:ascii="宋体" w:hAnsi="宋体" w:cs="宋体"/>
                <w:color w:val="000000" w:themeColor="text1"/>
                <w:kern w:val="0"/>
                <w:sz w:val="18"/>
                <w:szCs w:val="18"/>
                <w:highlight w:val="none"/>
                <w14:textFill>
                  <w14:solidFill>
                    <w14:schemeClr w14:val="tx1"/>
                  </w14:solidFill>
                </w14:textFill>
              </w:rPr>
              <w:t>＜</w:t>
            </w:r>
            <w:r>
              <w:rPr>
                <w:rFonts w:ascii="宋体" w:hAnsi="宋体" w:cs="宋体"/>
                <w:color w:val="000000" w:themeColor="text1"/>
                <w:kern w:val="0"/>
                <w:sz w:val="18"/>
                <w:szCs w:val="18"/>
                <w:highlight w:val="none"/>
                <w14:textFill>
                  <w14:solidFill>
                    <w14:schemeClr w14:val="tx1"/>
                  </w14:solidFill>
                </w14:textFill>
              </w:rPr>
              <w:t>10</w:t>
            </w:r>
          </w:p>
        </w:tc>
      </w:tr>
      <w:tr w14:paraId="4748B0AB">
        <w:tblPrEx>
          <w:tblCellMar>
            <w:top w:w="0" w:type="dxa"/>
            <w:left w:w="108" w:type="dxa"/>
            <w:bottom w:w="0" w:type="dxa"/>
            <w:right w:w="108" w:type="dxa"/>
          </w:tblCellMar>
        </w:tblPrEx>
        <w:trPr>
          <w:trHeight w:val="340" w:hRule="atLeast"/>
          <w:jc w:val="center"/>
        </w:trPr>
        <w:tc>
          <w:tcPr>
            <w:tcW w:w="2004" w:type="dxa"/>
            <w:vMerge w:val="continue"/>
            <w:tcBorders>
              <w:top w:val="nil"/>
              <w:left w:val="single" w:color="auto" w:sz="4" w:space="0"/>
              <w:bottom w:val="single" w:color="auto" w:sz="4" w:space="0"/>
              <w:right w:val="single" w:color="auto" w:sz="4" w:space="0"/>
            </w:tcBorders>
            <w:vAlign w:val="center"/>
          </w:tcPr>
          <w:p w14:paraId="33068CE0">
            <w:pPr>
              <w:widowControl/>
              <w:jc w:val="center"/>
              <w:rPr>
                <w:rFonts w:ascii="宋体"/>
                <w:b/>
                <w:bCs/>
                <w:color w:val="000000" w:themeColor="text1"/>
                <w:kern w:val="0"/>
                <w:sz w:val="18"/>
                <w:szCs w:val="18"/>
                <w:highlight w:val="none"/>
                <w14:textFill>
                  <w14:solidFill>
                    <w14:schemeClr w14:val="tx1"/>
                  </w14:solidFill>
                </w14:textFill>
              </w:rPr>
            </w:pPr>
          </w:p>
        </w:tc>
        <w:tc>
          <w:tcPr>
            <w:tcW w:w="1384" w:type="dxa"/>
            <w:tcBorders>
              <w:top w:val="nil"/>
              <w:left w:val="nil"/>
              <w:bottom w:val="single" w:color="auto" w:sz="4" w:space="0"/>
              <w:right w:val="single" w:color="auto" w:sz="4" w:space="0"/>
            </w:tcBorders>
            <w:vAlign w:val="center"/>
          </w:tcPr>
          <w:p w14:paraId="667438A9">
            <w:pPr>
              <w:widowControl/>
              <w:jc w:val="left"/>
              <w:rPr>
                <w:rFonts w:ascii="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资产总额（</w:t>
            </w:r>
            <w:r>
              <w:rPr>
                <w:rFonts w:ascii="宋体" w:hAnsi="宋体" w:cs="宋体"/>
                <w:color w:val="000000" w:themeColor="text1"/>
                <w:kern w:val="0"/>
                <w:sz w:val="18"/>
                <w:szCs w:val="18"/>
                <w:highlight w:val="none"/>
                <w14:textFill>
                  <w14:solidFill>
                    <w14:schemeClr w14:val="tx1"/>
                  </w14:solidFill>
                </w14:textFill>
              </w:rPr>
              <w:t>Z</w:t>
            </w:r>
            <w:r>
              <w:rPr>
                <w:rFonts w:hint="eastAsia" w:ascii="宋体" w:hAnsi="宋体" w:cs="宋体"/>
                <w:color w:val="000000" w:themeColor="text1"/>
                <w:kern w:val="0"/>
                <w:sz w:val="18"/>
                <w:szCs w:val="18"/>
                <w:highlight w:val="none"/>
                <w14:textFill>
                  <w14:solidFill>
                    <w14:schemeClr w14:val="tx1"/>
                  </w14:solidFill>
                </w14:textFill>
              </w:rPr>
              <w:t>）</w:t>
            </w:r>
          </w:p>
        </w:tc>
        <w:tc>
          <w:tcPr>
            <w:tcW w:w="913" w:type="dxa"/>
            <w:tcBorders>
              <w:top w:val="nil"/>
              <w:left w:val="nil"/>
              <w:bottom w:val="single" w:color="auto" w:sz="4" w:space="0"/>
              <w:right w:val="single" w:color="auto" w:sz="4" w:space="0"/>
            </w:tcBorders>
            <w:vAlign w:val="center"/>
          </w:tcPr>
          <w:p w14:paraId="6E926BFD">
            <w:pPr>
              <w:widowControl/>
              <w:jc w:val="left"/>
              <w:rPr>
                <w:rFonts w:ascii="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万元</w:t>
            </w:r>
          </w:p>
        </w:tc>
        <w:tc>
          <w:tcPr>
            <w:tcW w:w="1620" w:type="dxa"/>
            <w:tcBorders>
              <w:top w:val="nil"/>
              <w:left w:val="nil"/>
              <w:bottom w:val="single" w:color="auto" w:sz="4" w:space="0"/>
              <w:right w:val="single" w:color="auto" w:sz="4" w:space="0"/>
            </w:tcBorders>
            <w:vAlign w:val="center"/>
          </w:tcPr>
          <w:p w14:paraId="05DA217C">
            <w:pPr>
              <w:widowControl/>
              <w:jc w:val="left"/>
              <w:rPr>
                <w:rFonts w:ascii="宋体"/>
                <w:color w:val="000000" w:themeColor="text1"/>
                <w:kern w:val="0"/>
                <w:sz w:val="18"/>
                <w:szCs w:val="18"/>
                <w:highlight w:val="none"/>
                <w14:textFill>
                  <w14:solidFill>
                    <w14:schemeClr w14:val="tx1"/>
                  </w14:solidFill>
                </w14:textFill>
              </w:rPr>
            </w:pPr>
            <w:r>
              <w:rPr>
                <w:rFonts w:ascii="宋体" w:hAnsi="宋体" w:cs="宋体"/>
                <w:color w:val="000000" w:themeColor="text1"/>
                <w:kern w:val="0"/>
                <w:sz w:val="18"/>
                <w:szCs w:val="18"/>
                <w:highlight w:val="none"/>
                <w14:textFill>
                  <w14:solidFill>
                    <w14:schemeClr w14:val="tx1"/>
                  </w14:solidFill>
                </w14:textFill>
              </w:rPr>
              <w:t>8000</w:t>
            </w:r>
            <w:r>
              <w:rPr>
                <w:rFonts w:hint="eastAsia" w:ascii="宋体" w:hAnsi="宋体" w:cs="宋体"/>
                <w:color w:val="000000" w:themeColor="text1"/>
                <w:kern w:val="0"/>
                <w:sz w:val="18"/>
                <w:szCs w:val="18"/>
                <w:highlight w:val="none"/>
                <w14:textFill>
                  <w14:solidFill>
                    <w14:schemeClr w14:val="tx1"/>
                  </w14:solidFill>
                </w14:textFill>
              </w:rPr>
              <w:t>≤</w:t>
            </w:r>
            <w:r>
              <w:rPr>
                <w:rFonts w:ascii="宋体" w:hAnsi="宋体" w:cs="宋体"/>
                <w:color w:val="000000" w:themeColor="text1"/>
                <w:kern w:val="0"/>
                <w:sz w:val="18"/>
                <w:szCs w:val="18"/>
                <w:highlight w:val="none"/>
                <w14:textFill>
                  <w14:solidFill>
                    <w14:schemeClr w14:val="tx1"/>
                  </w14:solidFill>
                </w14:textFill>
              </w:rPr>
              <w:t>Z</w:t>
            </w:r>
            <w:r>
              <w:rPr>
                <w:rFonts w:hint="eastAsia" w:ascii="宋体" w:hAnsi="宋体" w:cs="宋体"/>
                <w:color w:val="000000" w:themeColor="text1"/>
                <w:kern w:val="0"/>
                <w:sz w:val="18"/>
                <w:szCs w:val="18"/>
                <w:highlight w:val="none"/>
                <w14:textFill>
                  <w14:solidFill>
                    <w14:schemeClr w14:val="tx1"/>
                  </w14:solidFill>
                </w14:textFill>
              </w:rPr>
              <w:t>＜</w:t>
            </w:r>
            <w:r>
              <w:rPr>
                <w:rFonts w:ascii="宋体" w:hAnsi="宋体" w:cs="宋体"/>
                <w:color w:val="000000" w:themeColor="text1"/>
                <w:kern w:val="0"/>
                <w:sz w:val="18"/>
                <w:szCs w:val="18"/>
                <w:highlight w:val="none"/>
                <w14:textFill>
                  <w14:solidFill>
                    <w14:schemeClr w14:val="tx1"/>
                  </w14:solidFill>
                </w14:textFill>
              </w:rPr>
              <w:t>120000</w:t>
            </w:r>
          </w:p>
        </w:tc>
        <w:tc>
          <w:tcPr>
            <w:tcW w:w="1440" w:type="dxa"/>
            <w:tcBorders>
              <w:top w:val="nil"/>
              <w:left w:val="nil"/>
              <w:bottom w:val="single" w:color="auto" w:sz="4" w:space="0"/>
              <w:right w:val="single" w:color="auto" w:sz="4" w:space="0"/>
            </w:tcBorders>
            <w:vAlign w:val="center"/>
          </w:tcPr>
          <w:p w14:paraId="2EC97636">
            <w:pPr>
              <w:widowControl/>
              <w:jc w:val="left"/>
              <w:rPr>
                <w:rFonts w:ascii="宋体"/>
                <w:color w:val="000000" w:themeColor="text1"/>
                <w:kern w:val="0"/>
                <w:sz w:val="18"/>
                <w:szCs w:val="18"/>
                <w:highlight w:val="none"/>
                <w14:textFill>
                  <w14:solidFill>
                    <w14:schemeClr w14:val="tx1"/>
                  </w14:solidFill>
                </w14:textFill>
              </w:rPr>
            </w:pPr>
            <w:r>
              <w:rPr>
                <w:rFonts w:ascii="宋体" w:hAnsi="宋体" w:cs="宋体"/>
                <w:color w:val="000000" w:themeColor="text1"/>
                <w:kern w:val="0"/>
                <w:sz w:val="18"/>
                <w:szCs w:val="18"/>
                <w:highlight w:val="none"/>
                <w14:textFill>
                  <w14:solidFill>
                    <w14:schemeClr w14:val="tx1"/>
                  </w14:solidFill>
                </w14:textFill>
              </w:rPr>
              <w:t>100</w:t>
            </w:r>
            <w:r>
              <w:rPr>
                <w:rFonts w:hint="eastAsia" w:ascii="宋体" w:hAnsi="宋体" w:cs="宋体"/>
                <w:color w:val="000000" w:themeColor="text1"/>
                <w:kern w:val="0"/>
                <w:sz w:val="18"/>
                <w:szCs w:val="18"/>
                <w:highlight w:val="none"/>
                <w14:textFill>
                  <w14:solidFill>
                    <w14:schemeClr w14:val="tx1"/>
                  </w14:solidFill>
                </w14:textFill>
              </w:rPr>
              <w:t>≤</w:t>
            </w:r>
            <w:r>
              <w:rPr>
                <w:rFonts w:ascii="宋体" w:hAnsi="宋体" w:cs="宋体"/>
                <w:color w:val="000000" w:themeColor="text1"/>
                <w:kern w:val="0"/>
                <w:sz w:val="18"/>
                <w:szCs w:val="18"/>
                <w:highlight w:val="none"/>
                <w14:textFill>
                  <w14:solidFill>
                    <w14:schemeClr w14:val="tx1"/>
                  </w14:solidFill>
                </w14:textFill>
              </w:rPr>
              <w:t>Z</w:t>
            </w:r>
            <w:r>
              <w:rPr>
                <w:rFonts w:hint="eastAsia" w:ascii="宋体" w:hAnsi="宋体" w:cs="宋体"/>
                <w:color w:val="000000" w:themeColor="text1"/>
                <w:kern w:val="0"/>
                <w:sz w:val="18"/>
                <w:szCs w:val="18"/>
                <w:highlight w:val="none"/>
                <w14:textFill>
                  <w14:solidFill>
                    <w14:schemeClr w14:val="tx1"/>
                  </w14:solidFill>
                </w14:textFill>
              </w:rPr>
              <w:t>＜</w:t>
            </w:r>
            <w:r>
              <w:rPr>
                <w:rFonts w:ascii="宋体" w:hAnsi="宋体" w:cs="宋体"/>
                <w:color w:val="000000" w:themeColor="text1"/>
                <w:kern w:val="0"/>
                <w:sz w:val="18"/>
                <w:szCs w:val="18"/>
                <w:highlight w:val="none"/>
                <w14:textFill>
                  <w14:solidFill>
                    <w14:schemeClr w14:val="tx1"/>
                  </w14:solidFill>
                </w14:textFill>
              </w:rPr>
              <w:t>8000</w:t>
            </w:r>
          </w:p>
        </w:tc>
        <w:tc>
          <w:tcPr>
            <w:tcW w:w="1532" w:type="dxa"/>
            <w:tcBorders>
              <w:top w:val="nil"/>
              <w:left w:val="nil"/>
              <w:bottom w:val="single" w:color="auto" w:sz="4" w:space="0"/>
              <w:right w:val="single" w:color="auto" w:sz="4" w:space="0"/>
            </w:tcBorders>
            <w:vAlign w:val="center"/>
          </w:tcPr>
          <w:p w14:paraId="611CBA50">
            <w:pPr>
              <w:widowControl/>
              <w:jc w:val="left"/>
              <w:rPr>
                <w:rFonts w:ascii="宋体"/>
                <w:color w:val="000000" w:themeColor="text1"/>
                <w:kern w:val="0"/>
                <w:sz w:val="18"/>
                <w:szCs w:val="18"/>
                <w:highlight w:val="none"/>
                <w14:textFill>
                  <w14:solidFill>
                    <w14:schemeClr w14:val="tx1"/>
                  </w14:solidFill>
                </w14:textFill>
              </w:rPr>
            </w:pPr>
            <w:r>
              <w:rPr>
                <w:rFonts w:ascii="宋体" w:hAnsi="宋体" w:cs="宋体"/>
                <w:color w:val="000000" w:themeColor="text1"/>
                <w:kern w:val="0"/>
                <w:sz w:val="18"/>
                <w:szCs w:val="18"/>
                <w:highlight w:val="none"/>
                <w14:textFill>
                  <w14:solidFill>
                    <w14:schemeClr w14:val="tx1"/>
                  </w14:solidFill>
                </w14:textFill>
              </w:rPr>
              <w:t>Y</w:t>
            </w:r>
            <w:r>
              <w:rPr>
                <w:rFonts w:hint="eastAsia" w:ascii="宋体" w:hAnsi="宋体" w:cs="宋体"/>
                <w:color w:val="000000" w:themeColor="text1"/>
                <w:kern w:val="0"/>
                <w:sz w:val="18"/>
                <w:szCs w:val="18"/>
                <w:highlight w:val="none"/>
                <w14:textFill>
                  <w14:solidFill>
                    <w14:schemeClr w14:val="tx1"/>
                  </w14:solidFill>
                </w14:textFill>
              </w:rPr>
              <w:t>＜</w:t>
            </w:r>
            <w:r>
              <w:rPr>
                <w:rFonts w:ascii="宋体" w:hAnsi="宋体" w:cs="宋体"/>
                <w:color w:val="000000" w:themeColor="text1"/>
                <w:kern w:val="0"/>
                <w:sz w:val="18"/>
                <w:szCs w:val="18"/>
                <w:highlight w:val="none"/>
                <w14:textFill>
                  <w14:solidFill>
                    <w14:schemeClr w14:val="tx1"/>
                  </w14:solidFill>
                </w14:textFill>
              </w:rPr>
              <w:t>100</w:t>
            </w:r>
          </w:p>
        </w:tc>
      </w:tr>
      <w:tr w14:paraId="3FD9B386">
        <w:tblPrEx>
          <w:tblCellMar>
            <w:top w:w="0" w:type="dxa"/>
            <w:left w:w="108" w:type="dxa"/>
            <w:bottom w:w="0" w:type="dxa"/>
            <w:right w:w="108" w:type="dxa"/>
          </w:tblCellMar>
        </w:tblPrEx>
        <w:trPr>
          <w:trHeight w:val="340" w:hRule="atLeast"/>
          <w:jc w:val="center"/>
        </w:trPr>
        <w:tc>
          <w:tcPr>
            <w:tcW w:w="2004" w:type="dxa"/>
            <w:tcBorders>
              <w:top w:val="nil"/>
              <w:left w:val="single" w:color="auto" w:sz="4" w:space="0"/>
              <w:bottom w:val="single" w:color="auto" w:sz="4" w:space="0"/>
              <w:right w:val="single" w:color="auto" w:sz="4" w:space="0"/>
            </w:tcBorders>
            <w:vAlign w:val="center"/>
          </w:tcPr>
          <w:p w14:paraId="64F9D741">
            <w:pPr>
              <w:widowControl/>
              <w:jc w:val="center"/>
              <w:rPr>
                <w:rFonts w:ascii="宋体"/>
                <w:b/>
                <w:bCs/>
                <w:color w:val="000000" w:themeColor="text1"/>
                <w:kern w:val="0"/>
                <w:sz w:val="18"/>
                <w:szCs w:val="18"/>
                <w:highlight w:val="none"/>
                <w14:textFill>
                  <w14:solidFill>
                    <w14:schemeClr w14:val="tx1"/>
                  </w14:solidFill>
                </w14:textFill>
              </w:rPr>
            </w:pPr>
            <w:r>
              <w:rPr>
                <w:rFonts w:hint="eastAsia" w:ascii="宋体" w:hAnsi="宋体" w:cs="宋体"/>
                <w:b/>
                <w:bCs/>
                <w:color w:val="000000" w:themeColor="text1"/>
                <w:kern w:val="0"/>
                <w:sz w:val="18"/>
                <w:szCs w:val="18"/>
                <w:highlight w:val="none"/>
                <w14:textFill>
                  <w14:solidFill>
                    <w14:schemeClr w14:val="tx1"/>
                  </w14:solidFill>
                </w14:textFill>
              </w:rPr>
              <w:t>其他未列明行业</w:t>
            </w:r>
          </w:p>
        </w:tc>
        <w:tc>
          <w:tcPr>
            <w:tcW w:w="1384" w:type="dxa"/>
            <w:tcBorders>
              <w:top w:val="nil"/>
              <w:left w:val="nil"/>
              <w:bottom w:val="single" w:color="auto" w:sz="4" w:space="0"/>
              <w:right w:val="single" w:color="auto" w:sz="4" w:space="0"/>
            </w:tcBorders>
            <w:vAlign w:val="center"/>
          </w:tcPr>
          <w:p w14:paraId="56318573">
            <w:pPr>
              <w:widowControl/>
              <w:jc w:val="left"/>
              <w:rPr>
                <w:rFonts w:ascii="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从业人员（</w:t>
            </w:r>
            <w:r>
              <w:rPr>
                <w:rFonts w:ascii="宋体" w:hAnsi="宋体" w:cs="宋体"/>
                <w:color w:val="000000" w:themeColor="text1"/>
                <w:kern w:val="0"/>
                <w:sz w:val="18"/>
                <w:szCs w:val="18"/>
                <w:highlight w:val="none"/>
                <w14:textFill>
                  <w14:solidFill>
                    <w14:schemeClr w14:val="tx1"/>
                  </w14:solidFill>
                </w14:textFill>
              </w:rPr>
              <w:t>X</w:t>
            </w:r>
            <w:r>
              <w:rPr>
                <w:rFonts w:hint="eastAsia" w:ascii="宋体" w:hAnsi="宋体" w:cs="宋体"/>
                <w:color w:val="000000" w:themeColor="text1"/>
                <w:kern w:val="0"/>
                <w:sz w:val="18"/>
                <w:szCs w:val="18"/>
                <w:highlight w:val="none"/>
                <w14:textFill>
                  <w14:solidFill>
                    <w14:schemeClr w14:val="tx1"/>
                  </w14:solidFill>
                </w14:textFill>
              </w:rPr>
              <w:t>）</w:t>
            </w:r>
          </w:p>
        </w:tc>
        <w:tc>
          <w:tcPr>
            <w:tcW w:w="913" w:type="dxa"/>
            <w:tcBorders>
              <w:top w:val="nil"/>
              <w:left w:val="nil"/>
              <w:bottom w:val="single" w:color="auto" w:sz="4" w:space="0"/>
              <w:right w:val="single" w:color="auto" w:sz="4" w:space="0"/>
            </w:tcBorders>
            <w:vAlign w:val="center"/>
          </w:tcPr>
          <w:p w14:paraId="6D7BABB3">
            <w:pPr>
              <w:widowControl/>
              <w:jc w:val="left"/>
              <w:rPr>
                <w:rFonts w:ascii="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人</w:t>
            </w:r>
          </w:p>
        </w:tc>
        <w:tc>
          <w:tcPr>
            <w:tcW w:w="1620" w:type="dxa"/>
            <w:tcBorders>
              <w:top w:val="nil"/>
              <w:left w:val="nil"/>
              <w:bottom w:val="single" w:color="auto" w:sz="4" w:space="0"/>
              <w:right w:val="single" w:color="auto" w:sz="4" w:space="0"/>
            </w:tcBorders>
            <w:vAlign w:val="center"/>
          </w:tcPr>
          <w:p w14:paraId="7AEB971E">
            <w:pPr>
              <w:widowControl/>
              <w:jc w:val="left"/>
              <w:rPr>
                <w:rFonts w:ascii="宋体"/>
                <w:color w:val="000000" w:themeColor="text1"/>
                <w:kern w:val="0"/>
                <w:sz w:val="18"/>
                <w:szCs w:val="18"/>
                <w:highlight w:val="none"/>
                <w14:textFill>
                  <w14:solidFill>
                    <w14:schemeClr w14:val="tx1"/>
                  </w14:solidFill>
                </w14:textFill>
              </w:rPr>
            </w:pPr>
            <w:r>
              <w:rPr>
                <w:rFonts w:ascii="宋体" w:hAnsi="宋体" w:cs="宋体"/>
                <w:color w:val="000000" w:themeColor="text1"/>
                <w:kern w:val="0"/>
                <w:sz w:val="18"/>
                <w:szCs w:val="18"/>
                <w:highlight w:val="none"/>
                <w14:textFill>
                  <w14:solidFill>
                    <w14:schemeClr w14:val="tx1"/>
                  </w14:solidFill>
                </w14:textFill>
              </w:rPr>
              <w:t>100</w:t>
            </w:r>
            <w:r>
              <w:rPr>
                <w:rFonts w:hint="eastAsia" w:ascii="宋体" w:hAnsi="宋体" w:cs="宋体"/>
                <w:color w:val="000000" w:themeColor="text1"/>
                <w:kern w:val="0"/>
                <w:sz w:val="18"/>
                <w:szCs w:val="18"/>
                <w:highlight w:val="none"/>
                <w14:textFill>
                  <w14:solidFill>
                    <w14:schemeClr w14:val="tx1"/>
                  </w14:solidFill>
                </w14:textFill>
              </w:rPr>
              <w:t>≤</w:t>
            </w:r>
            <w:r>
              <w:rPr>
                <w:rFonts w:ascii="宋体" w:hAnsi="宋体" w:cs="宋体"/>
                <w:color w:val="000000" w:themeColor="text1"/>
                <w:kern w:val="0"/>
                <w:sz w:val="18"/>
                <w:szCs w:val="18"/>
                <w:highlight w:val="none"/>
                <w14:textFill>
                  <w14:solidFill>
                    <w14:schemeClr w14:val="tx1"/>
                  </w14:solidFill>
                </w14:textFill>
              </w:rPr>
              <w:t>X</w:t>
            </w:r>
            <w:r>
              <w:rPr>
                <w:rFonts w:hint="eastAsia" w:ascii="宋体" w:hAnsi="宋体" w:cs="宋体"/>
                <w:color w:val="000000" w:themeColor="text1"/>
                <w:kern w:val="0"/>
                <w:sz w:val="18"/>
                <w:szCs w:val="18"/>
                <w:highlight w:val="none"/>
                <w14:textFill>
                  <w14:solidFill>
                    <w14:schemeClr w14:val="tx1"/>
                  </w14:solidFill>
                </w14:textFill>
              </w:rPr>
              <w:t>＜</w:t>
            </w:r>
            <w:r>
              <w:rPr>
                <w:rFonts w:ascii="宋体" w:hAnsi="宋体" w:cs="宋体"/>
                <w:color w:val="000000" w:themeColor="text1"/>
                <w:kern w:val="0"/>
                <w:sz w:val="18"/>
                <w:szCs w:val="18"/>
                <w:highlight w:val="none"/>
                <w14:textFill>
                  <w14:solidFill>
                    <w14:schemeClr w14:val="tx1"/>
                  </w14:solidFill>
                </w14:textFill>
              </w:rPr>
              <w:t>300</w:t>
            </w:r>
          </w:p>
        </w:tc>
        <w:tc>
          <w:tcPr>
            <w:tcW w:w="1440" w:type="dxa"/>
            <w:tcBorders>
              <w:top w:val="nil"/>
              <w:left w:val="nil"/>
              <w:bottom w:val="single" w:color="auto" w:sz="4" w:space="0"/>
              <w:right w:val="single" w:color="auto" w:sz="4" w:space="0"/>
            </w:tcBorders>
            <w:vAlign w:val="center"/>
          </w:tcPr>
          <w:p w14:paraId="2E1A4BAF">
            <w:pPr>
              <w:widowControl/>
              <w:jc w:val="left"/>
              <w:rPr>
                <w:rFonts w:ascii="宋体"/>
                <w:color w:val="000000" w:themeColor="text1"/>
                <w:kern w:val="0"/>
                <w:sz w:val="18"/>
                <w:szCs w:val="18"/>
                <w:highlight w:val="none"/>
                <w14:textFill>
                  <w14:solidFill>
                    <w14:schemeClr w14:val="tx1"/>
                  </w14:solidFill>
                </w14:textFill>
              </w:rPr>
            </w:pPr>
            <w:r>
              <w:rPr>
                <w:rFonts w:ascii="宋体" w:hAnsi="宋体" w:cs="宋体"/>
                <w:color w:val="000000" w:themeColor="text1"/>
                <w:kern w:val="0"/>
                <w:sz w:val="18"/>
                <w:szCs w:val="18"/>
                <w:highlight w:val="none"/>
                <w14:textFill>
                  <w14:solidFill>
                    <w14:schemeClr w14:val="tx1"/>
                  </w14:solidFill>
                </w14:textFill>
              </w:rPr>
              <w:t>10</w:t>
            </w:r>
            <w:r>
              <w:rPr>
                <w:rFonts w:hint="eastAsia" w:ascii="宋体" w:hAnsi="宋体" w:cs="宋体"/>
                <w:color w:val="000000" w:themeColor="text1"/>
                <w:kern w:val="0"/>
                <w:sz w:val="18"/>
                <w:szCs w:val="18"/>
                <w:highlight w:val="none"/>
                <w14:textFill>
                  <w14:solidFill>
                    <w14:schemeClr w14:val="tx1"/>
                  </w14:solidFill>
                </w14:textFill>
              </w:rPr>
              <w:t>≤</w:t>
            </w:r>
            <w:r>
              <w:rPr>
                <w:rFonts w:ascii="宋体" w:hAnsi="宋体" w:cs="宋体"/>
                <w:color w:val="000000" w:themeColor="text1"/>
                <w:kern w:val="0"/>
                <w:sz w:val="18"/>
                <w:szCs w:val="18"/>
                <w:highlight w:val="none"/>
                <w14:textFill>
                  <w14:solidFill>
                    <w14:schemeClr w14:val="tx1"/>
                  </w14:solidFill>
                </w14:textFill>
              </w:rPr>
              <w:t>X</w:t>
            </w:r>
            <w:r>
              <w:rPr>
                <w:rFonts w:hint="eastAsia" w:ascii="宋体" w:hAnsi="宋体" w:cs="宋体"/>
                <w:color w:val="000000" w:themeColor="text1"/>
                <w:kern w:val="0"/>
                <w:sz w:val="18"/>
                <w:szCs w:val="18"/>
                <w:highlight w:val="none"/>
                <w14:textFill>
                  <w14:solidFill>
                    <w14:schemeClr w14:val="tx1"/>
                  </w14:solidFill>
                </w14:textFill>
              </w:rPr>
              <w:t>＜</w:t>
            </w:r>
            <w:r>
              <w:rPr>
                <w:rFonts w:ascii="宋体" w:hAnsi="宋体" w:cs="宋体"/>
                <w:color w:val="000000" w:themeColor="text1"/>
                <w:kern w:val="0"/>
                <w:sz w:val="18"/>
                <w:szCs w:val="18"/>
                <w:highlight w:val="none"/>
                <w14:textFill>
                  <w14:solidFill>
                    <w14:schemeClr w14:val="tx1"/>
                  </w14:solidFill>
                </w14:textFill>
              </w:rPr>
              <w:t>100</w:t>
            </w:r>
          </w:p>
        </w:tc>
        <w:tc>
          <w:tcPr>
            <w:tcW w:w="1532" w:type="dxa"/>
            <w:tcBorders>
              <w:top w:val="nil"/>
              <w:left w:val="nil"/>
              <w:bottom w:val="single" w:color="auto" w:sz="4" w:space="0"/>
              <w:right w:val="single" w:color="auto" w:sz="4" w:space="0"/>
            </w:tcBorders>
            <w:vAlign w:val="center"/>
          </w:tcPr>
          <w:p w14:paraId="213723C1">
            <w:pPr>
              <w:widowControl/>
              <w:jc w:val="left"/>
              <w:rPr>
                <w:rFonts w:ascii="宋体"/>
                <w:color w:val="000000" w:themeColor="text1"/>
                <w:kern w:val="0"/>
                <w:sz w:val="18"/>
                <w:szCs w:val="18"/>
                <w:highlight w:val="none"/>
                <w14:textFill>
                  <w14:solidFill>
                    <w14:schemeClr w14:val="tx1"/>
                  </w14:solidFill>
                </w14:textFill>
              </w:rPr>
            </w:pPr>
            <w:r>
              <w:rPr>
                <w:rFonts w:ascii="宋体" w:hAnsi="宋体" w:cs="宋体"/>
                <w:color w:val="000000" w:themeColor="text1"/>
                <w:kern w:val="0"/>
                <w:sz w:val="18"/>
                <w:szCs w:val="18"/>
                <w:highlight w:val="none"/>
                <w14:textFill>
                  <w14:solidFill>
                    <w14:schemeClr w14:val="tx1"/>
                  </w14:solidFill>
                </w14:textFill>
              </w:rPr>
              <w:t>X</w:t>
            </w:r>
            <w:r>
              <w:rPr>
                <w:rFonts w:hint="eastAsia" w:ascii="宋体" w:hAnsi="宋体" w:cs="宋体"/>
                <w:color w:val="000000" w:themeColor="text1"/>
                <w:kern w:val="0"/>
                <w:sz w:val="18"/>
                <w:szCs w:val="18"/>
                <w:highlight w:val="none"/>
                <w14:textFill>
                  <w14:solidFill>
                    <w14:schemeClr w14:val="tx1"/>
                  </w14:solidFill>
                </w14:textFill>
              </w:rPr>
              <w:t>＜</w:t>
            </w:r>
            <w:r>
              <w:rPr>
                <w:rFonts w:ascii="宋体" w:hAnsi="宋体" w:cs="宋体"/>
                <w:color w:val="000000" w:themeColor="text1"/>
                <w:kern w:val="0"/>
                <w:sz w:val="18"/>
                <w:szCs w:val="18"/>
                <w:highlight w:val="none"/>
                <w14:textFill>
                  <w14:solidFill>
                    <w14:schemeClr w14:val="tx1"/>
                  </w14:solidFill>
                </w14:textFill>
              </w:rPr>
              <w:t>10</w:t>
            </w:r>
          </w:p>
        </w:tc>
      </w:tr>
    </w:tbl>
    <w:p w14:paraId="7CA1C260">
      <w:pPr>
        <w:spacing w:line="360" w:lineRule="auto"/>
        <w:ind w:firstLine="525" w:firstLineChars="250"/>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说明：上述标准参照《关于印发中小企业划型标准规定的通知》（工信部联企业</w:t>
      </w:r>
      <w:r>
        <w:rPr>
          <w:rFonts w:ascii="宋体" w:hAnsi="宋体" w:cs="宋体"/>
          <w:color w:val="000000" w:themeColor="text1"/>
          <w:highlight w:val="none"/>
          <w14:textFill>
            <w14:solidFill>
              <w14:schemeClr w14:val="tx1"/>
            </w14:solidFill>
          </w14:textFill>
        </w:rPr>
        <w:t>[2011]300</w:t>
      </w:r>
      <w:r>
        <w:rPr>
          <w:rFonts w:hint="eastAsia" w:ascii="宋体" w:hAnsi="宋体" w:cs="宋体"/>
          <w:color w:val="000000" w:themeColor="text1"/>
          <w:highlight w:val="none"/>
          <w14:textFill>
            <w14:solidFill>
              <w14:schemeClr w14:val="tx1"/>
            </w14:solidFill>
          </w14:textFill>
        </w:rPr>
        <w:t>号），大型、中型和小型企业须同时满足所列指标的下限，否则下划一档；微型企业只须满足所列指标中的一项即可。</w:t>
      </w:r>
    </w:p>
    <w:p w14:paraId="71C844C8">
      <w:pPr>
        <w:pStyle w:val="21"/>
        <w:ind w:firstLine="420" w:firstLineChars="200"/>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备注：本项目属于建筑业</w:t>
      </w:r>
    </w:p>
    <w:p w14:paraId="1B38A225">
      <w:pPr>
        <w:spacing w:line="300" w:lineRule="auto"/>
        <w:jc w:val="center"/>
        <w:rPr>
          <w:rFonts w:hint="eastAsia" w:ascii="宋体" w:hAnsi="宋体" w:eastAsia="宋体" w:cs="宋体"/>
          <w:b/>
          <w:bCs/>
          <w:color w:val="000000" w:themeColor="text1"/>
          <w:sz w:val="44"/>
          <w:szCs w:val="44"/>
          <w:highlight w:val="none"/>
          <w14:textFill>
            <w14:solidFill>
              <w14:schemeClr w14:val="tx1"/>
            </w14:solidFill>
          </w14:textFill>
        </w:rPr>
      </w:pPr>
      <w:r>
        <w:rPr>
          <w:rFonts w:hint="eastAsia" w:ascii="宋体" w:hAnsi="宋体" w:eastAsia="宋体" w:cs="宋体"/>
          <w:b/>
          <w:bCs/>
          <w:color w:val="000000" w:themeColor="text1"/>
          <w:sz w:val="44"/>
          <w:szCs w:val="44"/>
          <w:highlight w:val="none"/>
          <w14:textFill>
            <w14:solidFill>
              <w14:schemeClr w14:val="tx1"/>
            </w14:solidFill>
          </w14:textFill>
        </w:rPr>
        <w:t>监狱企业声明函</w:t>
      </w:r>
    </w:p>
    <w:p w14:paraId="0C8B0579">
      <w:pPr>
        <w:spacing w:line="588" w:lineRule="exact"/>
        <w:rPr>
          <w:rFonts w:hint="eastAsia" w:ascii="宋体" w:hAnsi="宋体"/>
          <w:b/>
          <w:color w:val="000000"/>
          <w:spacing w:val="6"/>
          <w:sz w:val="24"/>
        </w:rPr>
      </w:pPr>
    </w:p>
    <w:p w14:paraId="51F61CEB">
      <w:pPr>
        <w:spacing w:line="360" w:lineRule="exact"/>
        <w:ind w:firstLine="504" w:firstLineChars="200"/>
        <w:rPr>
          <w:rFonts w:hint="eastAsia" w:ascii="宋体" w:hAnsi="宋体"/>
          <w:color w:val="000000"/>
          <w:spacing w:val="6"/>
          <w:sz w:val="24"/>
        </w:rPr>
      </w:pPr>
      <w:r>
        <w:rPr>
          <w:rFonts w:hint="eastAsia" w:ascii="宋体" w:hAnsi="宋体"/>
          <w:color w:val="000000"/>
          <w:spacing w:val="6"/>
          <w:sz w:val="24"/>
        </w:rPr>
        <w:t>本公司郑重声明，根据</w:t>
      </w:r>
      <w:r>
        <w:rPr>
          <w:rFonts w:hint="eastAsia" w:ascii="宋体" w:hAnsi="宋体" w:cs="Arial"/>
          <w:color w:val="000000"/>
          <w:sz w:val="24"/>
        </w:rPr>
        <w:t>《财政部、司法部关于政府采购支持监狱企业发展有关问题的通知》（财库〔2014〕68号）</w:t>
      </w:r>
      <w:r>
        <w:rPr>
          <w:rFonts w:hint="eastAsia" w:ascii="宋体" w:hAnsi="宋体"/>
          <w:color w:val="000000"/>
          <w:spacing w:val="6"/>
          <w:sz w:val="24"/>
        </w:rPr>
        <w:t>的规定，本公司为</w:t>
      </w:r>
      <w:r>
        <w:rPr>
          <w:rFonts w:hint="eastAsia" w:ascii="宋体" w:hAnsi="宋体"/>
          <w:color w:val="000000"/>
          <w:spacing w:val="6"/>
          <w:sz w:val="24"/>
          <w:u w:val="single"/>
        </w:rPr>
        <w:t xml:space="preserve">                 </w:t>
      </w:r>
      <w:r>
        <w:rPr>
          <w:rFonts w:hint="eastAsia" w:ascii="宋体" w:hAnsi="宋体"/>
          <w:color w:val="000000"/>
          <w:spacing w:val="6"/>
          <w:sz w:val="24"/>
        </w:rPr>
        <w:t>（请填写：监狱）企业。即本公司同时满足以下条件：</w:t>
      </w:r>
    </w:p>
    <w:p w14:paraId="1108562C">
      <w:pPr>
        <w:spacing w:line="360" w:lineRule="exact"/>
        <w:ind w:firstLine="480" w:firstLineChars="200"/>
        <w:rPr>
          <w:rFonts w:hint="eastAsia" w:ascii="宋体" w:hAnsi="宋体" w:cs="Arial"/>
          <w:color w:val="000000"/>
          <w:sz w:val="24"/>
        </w:rPr>
      </w:pPr>
      <w:r>
        <w:rPr>
          <w:rFonts w:hint="eastAsia" w:ascii="宋体" w:hAnsi="宋体" w:cs="Arial"/>
          <w:color w:val="000000"/>
          <w:sz w:val="24"/>
        </w:rPr>
        <w:t>1、我公司为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6951F966">
      <w:pPr>
        <w:spacing w:line="360" w:lineRule="exact"/>
        <w:ind w:firstLine="480" w:firstLineChars="200"/>
        <w:rPr>
          <w:rFonts w:hint="eastAsia" w:ascii="宋体" w:hAnsi="宋体" w:cs="Arial"/>
          <w:color w:val="000000"/>
          <w:sz w:val="24"/>
        </w:rPr>
      </w:pPr>
      <w:r>
        <w:rPr>
          <w:rFonts w:hint="eastAsia" w:ascii="宋体" w:hAnsi="宋体" w:cs="Arial"/>
          <w:color w:val="000000"/>
          <w:sz w:val="24"/>
        </w:rPr>
        <w:t>2、我公司参加政府采购活动时，视同小型、微型企业，提供由省级以上监狱管理局、戒毒管理局（含新疆生产建设兵团）出具的属于监狱企业的证明文件。</w:t>
      </w:r>
    </w:p>
    <w:p w14:paraId="5D79B5B6">
      <w:pPr>
        <w:spacing w:line="360" w:lineRule="exact"/>
        <w:ind w:firstLine="480" w:firstLineChars="200"/>
        <w:rPr>
          <w:rFonts w:hint="eastAsia" w:ascii="宋体" w:hAnsi="宋体" w:cs="Arial"/>
          <w:color w:val="000000"/>
          <w:sz w:val="24"/>
        </w:rPr>
      </w:pPr>
      <w:r>
        <w:rPr>
          <w:rFonts w:hint="eastAsia" w:ascii="宋体" w:hAnsi="宋体" w:cs="Arial"/>
          <w:color w:val="000000"/>
          <w:sz w:val="24"/>
        </w:rPr>
        <w:t>本公司对上述声明的真实性负责。如有虚假，将依法承担相应责任。</w:t>
      </w:r>
    </w:p>
    <w:p w14:paraId="522629EC">
      <w:pPr>
        <w:spacing w:line="588" w:lineRule="exact"/>
        <w:ind w:firstLine="504" w:firstLineChars="200"/>
        <w:rPr>
          <w:rFonts w:hint="eastAsia" w:ascii="宋体" w:hAnsi="宋体"/>
          <w:color w:val="000000"/>
          <w:spacing w:val="6"/>
          <w:sz w:val="24"/>
        </w:rPr>
      </w:pPr>
    </w:p>
    <w:p w14:paraId="44B7FBAF">
      <w:pPr>
        <w:spacing w:line="588" w:lineRule="exact"/>
        <w:ind w:firstLine="504" w:firstLineChars="200"/>
        <w:rPr>
          <w:rFonts w:hint="eastAsia" w:ascii="宋体" w:hAnsi="宋体"/>
          <w:color w:val="000000"/>
          <w:spacing w:val="6"/>
          <w:sz w:val="24"/>
        </w:rPr>
      </w:pPr>
    </w:p>
    <w:p w14:paraId="4C986912">
      <w:pPr>
        <w:tabs>
          <w:tab w:val="left" w:pos="4860"/>
        </w:tabs>
        <w:spacing w:line="588" w:lineRule="exact"/>
        <w:ind w:right="1560" w:firstLine="504" w:firstLineChars="200"/>
        <w:rPr>
          <w:rFonts w:hint="eastAsia" w:ascii="宋体" w:hAnsi="宋体"/>
          <w:color w:val="000000"/>
          <w:spacing w:val="6"/>
          <w:sz w:val="24"/>
        </w:rPr>
      </w:pPr>
      <w:r>
        <w:rPr>
          <w:rFonts w:hint="eastAsia" w:ascii="宋体" w:hAnsi="宋体"/>
          <w:color w:val="000000"/>
          <w:spacing w:val="6"/>
          <w:sz w:val="24"/>
        </w:rPr>
        <w:t>企业名称</w:t>
      </w:r>
      <w:r>
        <w:rPr>
          <w:rFonts w:hint="eastAsia" w:ascii="宋体" w:hAnsi="宋体" w:cs="仿宋_GB2312"/>
          <w:color w:val="000000"/>
          <w:sz w:val="24"/>
        </w:rPr>
        <w:t>（电子签章）</w:t>
      </w:r>
      <w:r>
        <w:rPr>
          <w:rFonts w:hint="eastAsia" w:ascii="宋体" w:hAnsi="宋体"/>
          <w:color w:val="000000"/>
          <w:spacing w:val="6"/>
          <w:sz w:val="24"/>
        </w:rPr>
        <w:t xml:space="preserve">： </w:t>
      </w:r>
    </w:p>
    <w:p w14:paraId="2E4C105C">
      <w:pPr>
        <w:tabs>
          <w:tab w:val="left" w:pos="4860"/>
        </w:tabs>
        <w:spacing w:line="588" w:lineRule="exact"/>
        <w:ind w:right="1560" w:firstLine="504" w:firstLineChars="200"/>
        <w:rPr>
          <w:rFonts w:hint="eastAsia" w:ascii="宋体" w:hAnsi="宋体"/>
          <w:color w:val="000000"/>
          <w:spacing w:val="6"/>
          <w:sz w:val="24"/>
        </w:rPr>
      </w:pPr>
      <w:r>
        <w:rPr>
          <w:rFonts w:hint="eastAsia" w:ascii="宋体" w:hAnsi="宋体"/>
          <w:color w:val="000000"/>
          <w:spacing w:val="6"/>
          <w:sz w:val="24"/>
        </w:rPr>
        <w:t xml:space="preserve">日  期：  年   月   日              </w:t>
      </w:r>
    </w:p>
    <w:p w14:paraId="37DF3C01">
      <w:pPr>
        <w:rPr>
          <w:rFonts w:hint="eastAsia" w:ascii="宋体" w:hAnsi="宋体"/>
          <w:color w:val="000000"/>
          <w:spacing w:val="6"/>
          <w:sz w:val="24"/>
        </w:rPr>
      </w:pPr>
    </w:p>
    <w:p w14:paraId="4DED8A50">
      <w:pPr>
        <w:spacing w:line="440" w:lineRule="exact"/>
        <w:rPr>
          <w:rFonts w:hAnsi="宋体" w:cs="Arial"/>
          <w:b/>
          <w:color w:val="000000"/>
          <w:szCs w:val="21"/>
        </w:rPr>
      </w:pPr>
    </w:p>
    <w:p w14:paraId="010853C3">
      <w:pPr>
        <w:spacing w:line="440" w:lineRule="exact"/>
        <w:rPr>
          <w:rFonts w:hAnsi="宋体" w:cs="Arial"/>
          <w:b/>
          <w:color w:val="000000"/>
          <w:szCs w:val="21"/>
        </w:rPr>
      </w:pPr>
    </w:p>
    <w:p w14:paraId="2ED2121D">
      <w:pPr>
        <w:spacing w:line="300" w:lineRule="auto"/>
        <w:jc w:val="center"/>
        <w:rPr>
          <w:rFonts w:hint="eastAsia" w:ascii="宋体" w:hAnsi="宋体" w:cs="宋体"/>
          <w:b/>
          <w:bCs/>
          <w:color w:val="000000" w:themeColor="text1"/>
          <w:sz w:val="44"/>
          <w:szCs w:val="44"/>
          <w:highlight w:val="none"/>
          <w14:textFill>
            <w14:solidFill>
              <w14:schemeClr w14:val="tx1"/>
            </w14:solidFill>
          </w14:textFill>
        </w:rPr>
      </w:pPr>
      <w:r>
        <w:rPr>
          <w:rFonts w:hint="eastAsia" w:ascii="宋体" w:hAnsi="宋体"/>
          <w:color w:val="000000"/>
          <w:spacing w:val="6"/>
          <w:sz w:val="24"/>
        </w:rPr>
        <w:t>注：供应商符合监狱标准的，按</w:t>
      </w:r>
      <w:r>
        <w:rPr>
          <w:rFonts w:hint="eastAsia" w:ascii="宋体" w:hAnsi="宋体" w:cs="Arial"/>
          <w:color w:val="000000"/>
          <w:sz w:val="24"/>
        </w:rPr>
        <w:t>财库〔2014〕68号的</w:t>
      </w:r>
      <w:r>
        <w:rPr>
          <w:rFonts w:hint="eastAsia" w:ascii="宋体" w:hAnsi="宋体"/>
          <w:color w:val="000000"/>
          <w:spacing w:val="6"/>
          <w:sz w:val="24"/>
        </w:rPr>
        <w:t>要求，必须</w:t>
      </w:r>
      <w:r>
        <w:rPr>
          <w:rFonts w:hint="eastAsia" w:hAnsi="宋体" w:cs="Arial"/>
          <w:color w:val="000000"/>
          <w:sz w:val="24"/>
        </w:rPr>
        <w:t>应当提供省级以上监狱管理局、戒毒管理局（含新疆生产建设兵团）出具的属于监狱企业的证明文件。</w:t>
      </w:r>
      <w:r>
        <w:rPr>
          <w:rFonts w:hint="eastAsia" w:ascii="宋体" w:hAnsi="宋体"/>
          <w:color w:val="000000"/>
          <w:spacing w:val="6"/>
          <w:sz w:val="24"/>
        </w:rPr>
        <w:t>供磋商小组评审。（如有请提供，原件备查）</w:t>
      </w:r>
    </w:p>
    <w:p w14:paraId="4C0C5760">
      <w:pPr>
        <w:spacing w:line="300" w:lineRule="auto"/>
        <w:jc w:val="center"/>
        <w:rPr>
          <w:rFonts w:hint="eastAsia" w:ascii="宋体" w:hAnsi="宋体" w:cs="宋体"/>
          <w:b/>
          <w:bCs/>
          <w:color w:val="000000" w:themeColor="text1"/>
          <w:sz w:val="44"/>
          <w:szCs w:val="44"/>
          <w:highlight w:val="none"/>
          <w14:textFill>
            <w14:solidFill>
              <w14:schemeClr w14:val="tx1"/>
            </w14:solidFill>
          </w14:textFill>
        </w:rPr>
      </w:pPr>
    </w:p>
    <w:p w14:paraId="73549C3F">
      <w:pPr>
        <w:spacing w:line="300" w:lineRule="auto"/>
        <w:jc w:val="center"/>
        <w:rPr>
          <w:rFonts w:hint="eastAsia" w:ascii="宋体" w:hAnsi="宋体" w:cs="宋体"/>
          <w:b/>
          <w:bCs/>
          <w:color w:val="000000" w:themeColor="text1"/>
          <w:sz w:val="44"/>
          <w:szCs w:val="44"/>
          <w:highlight w:val="none"/>
          <w14:textFill>
            <w14:solidFill>
              <w14:schemeClr w14:val="tx1"/>
            </w14:solidFill>
          </w14:textFill>
        </w:rPr>
      </w:pPr>
    </w:p>
    <w:p w14:paraId="4928ADB6">
      <w:pPr>
        <w:spacing w:line="300" w:lineRule="auto"/>
        <w:jc w:val="center"/>
        <w:rPr>
          <w:rFonts w:hint="eastAsia" w:ascii="宋体" w:hAnsi="宋体" w:cs="宋体"/>
          <w:b/>
          <w:bCs/>
          <w:color w:val="000000" w:themeColor="text1"/>
          <w:sz w:val="44"/>
          <w:szCs w:val="44"/>
          <w:highlight w:val="none"/>
          <w14:textFill>
            <w14:solidFill>
              <w14:schemeClr w14:val="tx1"/>
            </w14:solidFill>
          </w14:textFill>
        </w:rPr>
      </w:pPr>
    </w:p>
    <w:p w14:paraId="6ABCB8D7">
      <w:pPr>
        <w:spacing w:line="300" w:lineRule="auto"/>
        <w:jc w:val="center"/>
        <w:rPr>
          <w:rFonts w:hint="eastAsia" w:ascii="宋体" w:hAnsi="宋体" w:cs="宋体"/>
          <w:b/>
          <w:bCs/>
          <w:color w:val="000000" w:themeColor="text1"/>
          <w:sz w:val="44"/>
          <w:szCs w:val="44"/>
          <w:highlight w:val="none"/>
          <w14:textFill>
            <w14:solidFill>
              <w14:schemeClr w14:val="tx1"/>
            </w14:solidFill>
          </w14:textFill>
        </w:rPr>
      </w:pPr>
    </w:p>
    <w:p w14:paraId="43A02CCB">
      <w:pPr>
        <w:spacing w:line="300" w:lineRule="auto"/>
        <w:jc w:val="center"/>
        <w:rPr>
          <w:rFonts w:hint="eastAsia" w:ascii="宋体" w:hAnsi="宋体" w:cs="宋体"/>
          <w:b/>
          <w:bCs/>
          <w:color w:val="000000" w:themeColor="text1"/>
          <w:sz w:val="44"/>
          <w:szCs w:val="44"/>
          <w:highlight w:val="none"/>
          <w14:textFill>
            <w14:solidFill>
              <w14:schemeClr w14:val="tx1"/>
            </w14:solidFill>
          </w14:textFill>
        </w:rPr>
      </w:pPr>
    </w:p>
    <w:p w14:paraId="200DAA56">
      <w:pPr>
        <w:spacing w:line="300" w:lineRule="auto"/>
        <w:jc w:val="center"/>
        <w:rPr>
          <w:rFonts w:hint="eastAsia" w:ascii="宋体" w:hAnsi="宋体" w:cs="宋体"/>
          <w:b/>
          <w:bCs/>
          <w:color w:val="000000" w:themeColor="text1"/>
          <w:sz w:val="44"/>
          <w:szCs w:val="44"/>
          <w:highlight w:val="none"/>
          <w14:textFill>
            <w14:solidFill>
              <w14:schemeClr w14:val="tx1"/>
            </w14:solidFill>
          </w14:textFill>
        </w:rPr>
      </w:pPr>
    </w:p>
    <w:p w14:paraId="11431D20">
      <w:pPr>
        <w:spacing w:line="300" w:lineRule="auto"/>
        <w:jc w:val="center"/>
        <w:rPr>
          <w:rFonts w:hint="eastAsia" w:ascii="宋体" w:hAnsi="宋体" w:cs="宋体"/>
          <w:b/>
          <w:bCs/>
          <w:color w:val="000000" w:themeColor="text1"/>
          <w:sz w:val="44"/>
          <w:szCs w:val="44"/>
          <w:highlight w:val="none"/>
          <w14:textFill>
            <w14:solidFill>
              <w14:schemeClr w14:val="tx1"/>
            </w14:solidFill>
          </w14:textFill>
        </w:rPr>
      </w:pPr>
    </w:p>
    <w:p w14:paraId="2725A471">
      <w:pPr>
        <w:spacing w:line="300" w:lineRule="auto"/>
        <w:jc w:val="center"/>
        <w:rPr>
          <w:rFonts w:ascii="宋体"/>
          <w:b/>
          <w:bCs/>
          <w:color w:val="000000" w:themeColor="text1"/>
          <w:sz w:val="32"/>
          <w:szCs w:val="32"/>
          <w:highlight w:val="none"/>
          <w14:textFill>
            <w14:solidFill>
              <w14:schemeClr w14:val="tx1"/>
            </w14:solidFill>
          </w14:textFill>
        </w:rPr>
      </w:pPr>
      <w:r>
        <w:rPr>
          <w:rFonts w:hint="eastAsia" w:ascii="宋体" w:hAnsi="宋体" w:cs="宋体"/>
          <w:b/>
          <w:bCs/>
          <w:color w:val="000000" w:themeColor="text1"/>
          <w:sz w:val="44"/>
          <w:szCs w:val="44"/>
          <w:highlight w:val="none"/>
          <w14:textFill>
            <w14:solidFill>
              <w14:schemeClr w14:val="tx1"/>
            </w14:solidFill>
          </w14:textFill>
        </w:rPr>
        <w:t>残疾人福利性单位声明函</w:t>
      </w:r>
    </w:p>
    <w:p w14:paraId="2CD99552">
      <w:pPr>
        <w:spacing w:line="360" w:lineRule="auto"/>
        <w:rPr>
          <w:rFonts w:ascii="宋体"/>
          <w:color w:val="000000" w:themeColor="text1"/>
          <w:sz w:val="32"/>
          <w:szCs w:val="32"/>
          <w:highlight w:val="none"/>
          <w14:textFill>
            <w14:solidFill>
              <w14:schemeClr w14:val="tx1"/>
            </w14:solidFill>
          </w14:textFill>
        </w:rPr>
      </w:pPr>
    </w:p>
    <w:p w14:paraId="6D628FD3">
      <w:pPr>
        <w:spacing w:line="360" w:lineRule="auto"/>
        <w:ind w:firstLine="420" w:firstLineChars="200"/>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本单位郑重声明，根据《财政部</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民政部</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中国残疾人联合会关于促进残疾人就业政府采购政策的通知》（财库〔</w:t>
      </w:r>
      <w:r>
        <w:rPr>
          <w:rFonts w:ascii="宋体" w:hAnsi="宋体" w:cs="宋体"/>
          <w:color w:val="000000" w:themeColor="text1"/>
          <w:highlight w:val="none"/>
          <w14:textFill>
            <w14:solidFill>
              <w14:schemeClr w14:val="tx1"/>
            </w14:solidFill>
          </w14:textFill>
        </w:rPr>
        <w:t>2017</w:t>
      </w:r>
      <w:r>
        <w:rPr>
          <w:rFonts w:hint="eastAsia" w:ascii="宋体" w:hAnsi="宋体" w:cs="宋体"/>
          <w:color w:val="000000" w:themeColor="text1"/>
          <w:highlight w:val="none"/>
          <w14:textFill>
            <w14:solidFill>
              <w14:schemeClr w14:val="tx1"/>
            </w14:solidFill>
          </w14:textFill>
        </w:rPr>
        <w:t>〕</w:t>
      </w:r>
      <w:r>
        <w:rPr>
          <w:rFonts w:ascii="宋体" w:hAnsi="宋体" w:cs="宋体"/>
          <w:color w:val="000000" w:themeColor="text1"/>
          <w:highlight w:val="none"/>
          <w14:textFill>
            <w14:solidFill>
              <w14:schemeClr w14:val="tx1"/>
            </w14:solidFill>
          </w14:textFill>
        </w:rPr>
        <w:t>141</w:t>
      </w:r>
      <w:r>
        <w:rPr>
          <w:rFonts w:hint="eastAsia" w:ascii="宋体" w:hAnsi="宋体" w:cs="宋体"/>
          <w:color w:val="000000" w:themeColor="text1"/>
          <w:highlight w:val="none"/>
          <w14:textFill>
            <w14:solidFill>
              <w14:schemeClr w14:val="tx1"/>
            </w14:solidFill>
          </w14:textFill>
        </w:rPr>
        <w:t>号）的规定，本单位为符合条件的残疾人福利性单位，且本单位参加</w:t>
      </w:r>
      <w:r>
        <w:rPr>
          <w:rFonts w:ascii="宋体" w:hAnsi="宋体" w:cs="宋体"/>
          <w:color w:val="000000" w:themeColor="text1"/>
          <w:highlight w:val="none"/>
          <w:u w:val="singl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单位的</w:t>
      </w:r>
      <w:r>
        <w:rPr>
          <w:rFonts w:ascii="宋体" w:hAnsi="宋体" w:cs="宋体"/>
          <w:color w:val="000000" w:themeColor="text1"/>
          <w:highlight w:val="none"/>
          <w:u w:val="singl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项目采购活动提供本单位制造的货物（由本单位承担工程</w:t>
      </w:r>
      <w:r>
        <w:rPr>
          <w:rFonts w:ascii="宋体" w:hAnsi="宋体" w:cs="宋体"/>
          <w:color w:val="000000" w:themeColor="text1"/>
          <w:highlight w:val="none"/>
          <w14:textFill>
            <w14:solidFill>
              <w14:schemeClr w14:val="tx1"/>
            </w14:solidFill>
          </w14:textFill>
        </w:rPr>
        <w:t>/</w:t>
      </w:r>
      <w:r>
        <w:rPr>
          <w:rFonts w:hint="eastAsia" w:ascii="宋体" w:hAnsi="宋体" w:cs="宋体"/>
          <w:color w:val="000000" w:themeColor="text1"/>
          <w:highlight w:val="none"/>
          <w14:textFill>
            <w14:solidFill>
              <w14:schemeClr w14:val="tx1"/>
            </w14:solidFill>
          </w14:textFill>
        </w:rPr>
        <w:t>提供服务），或者提供其他残疾人福利性单位制造的货物（不包括使用非残疾人福利性单位注册商标的货物）。</w:t>
      </w:r>
    </w:p>
    <w:p w14:paraId="3A0E8B6C">
      <w:pPr>
        <w:spacing w:line="360" w:lineRule="auto"/>
        <w:ind w:firstLine="420" w:firstLineChars="200"/>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本单位对上述声明的真实性负责。如有虚假，将依法承担相应责任。</w:t>
      </w:r>
    </w:p>
    <w:p w14:paraId="16AA30A4">
      <w:pPr>
        <w:spacing w:line="360" w:lineRule="auto"/>
        <w:rPr>
          <w:rFonts w:ascii="宋体"/>
          <w:color w:val="000000" w:themeColor="text1"/>
          <w:highlight w:val="none"/>
          <w14:textFill>
            <w14:solidFill>
              <w14:schemeClr w14:val="tx1"/>
            </w14:solidFill>
          </w14:textFill>
        </w:rPr>
      </w:pPr>
    </w:p>
    <w:p w14:paraId="29129EE3">
      <w:pPr>
        <w:spacing w:line="360" w:lineRule="auto"/>
        <w:rPr>
          <w:rFonts w:ascii="宋体"/>
          <w:color w:val="000000" w:themeColor="text1"/>
          <w:highlight w:val="none"/>
          <w14:textFill>
            <w14:solidFill>
              <w14:schemeClr w14:val="tx1"/>
            </w14:solidFill>
          </w14:textFill>
        </w:rPr>
      </w:pPr>
    </w:p>
    <w:p w14:paraId="573C0AAA">
      <w:pPr>
        <w:spacing w:line="360" w:lineRule="auto"/>
        <w:rPr>
          <w:rFonts w:ascii="宋体"/>
          <w:color w:val="000000" w:themeColor="text1"/>
          <w:highlight w:val="none"/>
          <w14:textFill>
            <w14:solidFill>
              <w14:schemeClr w14:val="tx1"/>
            </w14:solidFill>
          </w14:textFill>
        </w:rPr>
      </w:pPr>
    </w:p>
    <w:p w14:paraId="2D2F4278">
      <w:pPr>
        <w:spacing w:line="360" w:lineRule="auto"/>
        <w:ind w:firstLine="2100" w:firstLineChars="1000"/>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单位名称（盖章）：</w:t>
      </w:r>
    </w:p>
    <w:p w14:paraId="73D000EA">
      <w:pPr>
        <w:spacing w:line="360" w:lineRule="auto"/>
        <w:ind w:firstLine="3150" w:firstLineChars="1500"/>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日</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期：</w:t>
      </w:r>
    </w:p>
    <w:p w14:paraId="20DA95B8">
      <w:pPr>
        <w:spacing w:line="360" w:lineRule="auto"/>
        <w:rPr>
          <w:rFonts w:ascii="宋体"/>
          <w:color w:val="000000" w:themeColor="text1"/>
          <w:highlight w:val="none"/>
          <w14:textFill>
            <w14:solidFill>
              <w14:schemeClr w14:val="tx1"/>
            </w14:solidFill>
          </w14:textFill>
        </w:rPr>
      </w:pPr>
    </w:p>
    <w:p w14:paraId="6AABF655">
      <w:pPr>
        <w:spacing w:line="360" w:lineRule="auto"/>
        <w:rPr>
          <w:rFonts w:ascii="宋体"/>
          <w:color w:val="000000" w:themeColor="text1"/>
          <w:highlight w:val="none"/>
          <w14:textFill>
            <w14:solidFill>
              <w14:schemeClr w14:val="tx1"/>
            </w14:solidFill>
          </w14:textFill>
        </w:rPr>
      </w:pPr>
    </w:p>
    <w:p w14:paraId="20F62E6E">
      <w:pPr>
        <w:spacing w:line="360" w:lineRule="auto"/>
        <w:rPr>
          <w:rFonts w:ascii="宋体"/>
          <w:color w:val="000000" w:themeColor="text1"/>
          <w:highlight w:val="none"/>
          <w14:textFill>
            <w14:solidFill>
              <w14:schemeClr w14:val="tx1"/>
            </w14:solidFill>
          </w14:textFill>
        </w:rPr>
      </w:pPr>
    </w:p>
    <w:p w14:paraId="792428E6">
      <w:pPr>
        <w:spacing w:line="360" w:lineRule="auto"/>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注：请根据自己的真实情况出具《残疾人福利性单位声明函》。依法享受中小企业优惠政策的，采购人或者采购代理机构在公告中标结果时，同时公告其《残疾人福利性单位声明函》，接受社会监督。</w:t>
      </w:r>
    </w:p>
    <w:p w14:paraId="0F111B7C">
      <w:pPr>
        <w:spacing w:line="360" w:lineRule="auto"/>
        <w:rPr>
          <w:rFonts w:ascii="宋体"/>
          <w:color w:val="000000" w:themeColor="text1"/>
          <w:highlight w:val="none"/>
          <w14:textFill>
            <w14:solidFill>
              <w14:schemeClr w14:val="tx1"/>
            </w14:solidFill>
          </w14:textFill>
        </w:rPr>
      </w:pPr>
    </w:p>
    <w:p w14:paraId="13916114">
      <w:pPr>
        <w:snapToGrid w:val="0"/>
        <w:spacing w:beforeLines="50" w:after="50" w:line="360" w:lineRule="auto"/>
        <w:ind w:right="480"/>
        <w:rPr>
          <w:rFonts w:ascii="宋体"/>
          <w:b/>
          <w:bCs/>
          <w:color w:val="000000" w:themeColor="text1"/>
          <w:highlight w:val="none"/>
          <w14:textFill>
            <w14:solidFill>
              <w14:schemeClr w14:val="tx1"/>
            </w14:solidFill>
          </w14:textFill>
        </w:rPr>
      </w:pPr>
    </w:p>
    <w:p w14:paraId="1752941B">
      <w:pPr>
        <w:snapToGrid w:val="0"/>
        <w:spacing w:beforeLines="50" w:after="50" w:line="360" w:lineRule="auto"/>
        <w:ind w:right="480"/>
        <w:rPr>
          <w:rFonts w:ascii="宋体"/>
          <w:b/>
          <w:bCs/>
          <w:color w:val="000000" w:themeColor="text1"/>
          <w:sz w:val="32"/>
          <w:szCs w:val="32"/>
          <w:highlight w:val="none"/>
          <w14:textFill>
            <w14:solidFill>
              <w14:schemeClr w14:val="tx1"/>
            </w14:solidFill>
          </w14:textFill>
        </w:rPr>
      </w:pPr>
    </w:p>
    <w:p w14:paraId="040BDDE5">
      <w:pPr>
        <w:snapToGrid w:val="0"/>
        <w:spacing w:beforeLines="50" w:after="50" w:line="360" w:lineRule="auto"/>
        <w:ind w:right="480"/>
        <w:rPr>
          <w:rFonts w:ascii="宋体"/>
          <w:b/>
          <w:bCs/>
          <w:color w:val="000000" w:themeColor="text1"/>
          <w:sz w:val="32"/>
          <w:szCs w:val="32"/>
          <w:highlight w:val="none"/>
          <w14:textFill>
            <w14:solidFill>
              <w14:schemeClr w14:val="tx1"/>
            </w14:solidFill>
          </w14:textFill>
        </w:rPr>
      </w:pPr>
    </w:p>
    <w:p w14:paraId="1D08FAA1">
      <w:pPr>
        <w:snapToGrid w:val="0"/>
        <w:spacing w:beforeLines="50" w:after="50" w:line="360" w:lineRule="auto"/>
        <w:ind w:right="480"/>
        <w:rPr>
          <w:rFonts w:ascii="宋体"/>
          <w:b/>
          <w:bCs/>
          <w:color w:val="000000" w:themeColor="text1"/>
          <w:sz w:val="32"/>
          <w:szCs w:val="32"/>
          <w:highlight w:val="none"/>
          <w14:textFill>
            <w14:solidFill>
              <w14:schemeClr w14:val="tx1"/>
            </w14:solidFill>
          </w14:textFill>
        </w:rPr>
      </w:pPr>
    </w:p>
    <w:p w14:paraId="7F4384F3">
      <w:pPr>
        <w:snapToGrid w:val="0"/>
        <w:spacing w:beforeLines="50" w:after="50" w:line="360" w:lineRule="auto"/>
        <w:ind w:right="480"/>
        <w:rPr>
          <w:rFonts w:ascii="宋体"/>
          <w:b/>
          <w:bCs/>
          <w:color w:val="000000" w:themeColor="text1"/>
          <w:sz w:val="32"/>
          <w:szCs w:val="32"/>
          <w:highlight w:val="none"/>
          <w14:textFill>
            <w14:solidFill>
              <w14:schemeClr w14:val="tx1"/>
            </w14:solidFill>
          </w14:textFill>
        </w:rPr>
      </w:pPr>
    </w:p>
    <w:p w14:paraId="0866248B">
      <w:pPr>
        <w:pStyle w:val="21"/>
        <w:rPr>
          <w:rFonts w:ascii="宋体"/>
          <w:b/>
          <w:bCs/>
          <w:color w:val="000000" w:themeColor="text1"/>
          <w:sz w:val="32"/>
          <w:szCs w:val="32"/>
          <w:highlight w:val="none"/>
          <w14:textFill>
            <w14:solidFill>
              <w14:schemeClr w14:val="tx1"/>
            </w14:solidFill>
          </w14:textFill>
        </w:rPr>
      </w:pPr>
    </w:p>
    <w:p w14:paraId="1643170B">
      <w:pPr>
        <w:rPr>
          <w:rFonts w:ascii="宋体"/>
          <w:b/>
          <w:bCs/>
          <w:color w:val="000000" w:themeColor="text1"/>
          <w:sz w:val="32"/>
          <w:szCs w:val="32"/>
          <w:highlight w:val="none"/>
          <w14:textFill>
            <w14:solidFill>
              <w14:schemeClr w14:val="tx1"/>
            </w14:solidFill>
          </w14:textFill>
        </w:rPr>
      </w:pPr>
    </w:p>
    <w:p w14:paraId="0225C959">
      <w:pPr>
        <w:pStyle w:val="21"/>
        <w:rPr>
          <w:rFonts w:ascii="宋体"/>
          <w:b/>
          <w:bCs/>
          <w:color w:val="000000" w:themeColor="text1"/>
          <w:sz w:val="32"/>
          <w:szCs w:val="32"/>
          <w:highlight w:val="none"/>
          <w14:textFill>
            <w14:solidFill>
              <w14:schemeClr w14:val="tx1"/>
            </w14:solidFill>
          </w14:textFill>
        </w:rPr>
      </w:pPr>
    </w:p>
    <w:p w14:paraId="7C7F88DD">
      <w:pPr>
        <w:rPr>
          <w:rFonts w:ascii="宋体"/>
          <w:b/>
          <w:bCs/>
          <w:color w:val="000000" w:themeColor="text1"/>
          <w:sz w:val="32"/>
          <w:szCs w:val="32"/>
          <w:highlight w:val="none"/>
          <w14:textFill>
            <w14:solidFill>
              <w14:schemeClr w14:val="tx1"/>
            </w14:solidFill>
          </w14:textFill>
        </w:rPr>
      </w:pPr>
    </w:p>
    <w:p w14:paraId="23F494A4">
      <w:pPr>
        <w:pStyle w:val="21"/>
        <w:rPr>
          <w:color w:val="000000" w:themeColor="text1"/>
          <w:highlight w:val="none"/>
          <w14:textFill>
            <w14:solidFill>
              <w14:schemeClr w14:val="tx1"/>
            </w14:solidFill>
          </w14:textFill>
        </w:rPr>
      </w:pPr>
    </w:p>
    <w:p w14:paraId="1D22FCBF">
      <w:pPr>
        <w:snapToGrid w:val="0"/>
        <w:spacing w:beforeLines="50" w:after="50" w:line="360" w:lineRule="auto"/>
        <w:ind w:right="480"/>
        <w:rPr>
          <w:rFonts w:ascii="宋体"/>
          <w:b/>
          <w:bCs/>
          <w:color w:val="000000" w:themeColor="text1"/>
          <w:sz w:val="32"/>
          <w:szCs w:val="32"/>
          <w:highlight w:val="none"/>
          <w14:textFill>
            <w14:solidFill>
              <w14:schemeClr w14:val="tx1"/>
            </w14:solidFill>
          </w14:textFill>
        </w:rPr>
      </w:pPr>
    </w:p>
    <w:p w14:paraId="0492BB5F">
      <w:pPr>
        <w:snapToGrid w:val="0"/>
        <w:spacing w:beforeLines="50" w:after="50" w:line="360" w:lineRule="auto"/>
        <w:ind w:right="480"/>
        <w:rPr>
          <w:rFonts w:ascii="宋体"/>
          <w:b/>
          <w:bCs/>
          <w:color w:val="000000" w:themeColor="text1"/>
          <w:sz w:val="32"/>
          <w:szCs w:val="32"/>
          <w:highlight w:val="none"/>
          <w14:textFill>
            <w14:solidFill>
              <w14:schemeClr w14:val="tx1"/>
            </w14:solidFill>
          </w14:textFill>
        </w:rPr>
      </w:pPr>
      <w:r>
        <w:rPr>
          <w:rFonts w:hint="eastAsia" w:ascii="宋体" w:hAnsi="宋体" w:cs="宋体"/>
          <w:b/>
          <w:bCs/>
          <w:color w:val="000000" w:themeColor="text1"/>
          <w:sz w:val="32"/>
          <w:szCs w:val="32"/>
          <w:highlight w:val="none"/>
          <w14:textFill>
            <w14:solidFill>
              <w14:schemeClr w14:val="tx1"/>
            </w14:solidFill>
          </w14:textFill>
        </w:rPr>
        <w:t>二、报价文件格式</w:t>
      </w:r>
    </w:p>
    <w:p w14:paraId="72D67ACA">
      <w:pPr>
        <w:snapToGrid w:val="0"/>
        <w:spacing w:beforeLines="50" w:after="50" w:line="360" w:lineRule="auto"/>
        <w:jc w:val="left"/>
        <w:rPr>
          <w:rFonts w:ascii="宋体"/>
          <w:b/>
          <w:bCs/>
          <w:color w:val="000000" w:themeColor="text1"/>
          <w:sz w:val="32"/>
          <w:szCs w:val="32"/>
          <w:highlight w:val="none"/>
          <w14:textFill>
            <w14:solidFill>
              <w14:schemeClr w14:val="tx1"/>
            </w14:solidFill>
          </w14:textFill>
        </w:rPr>
      </w:pPr>
      <w:r>
        <w:rPr>
          <w:rFonts w:ascii="宋体" w:hAnsi="宋体" w:cs="宋体"/>
          <w:b/>
          <w:bCs/>
          <w:color w:val="000000" w:themeColor="text1"/>
          <w:sz w:val="32"/>
          <w:szCs w:val="32"/>
          <w:highlight w:val="none"/>
          <w14:textFill>
            <w14:solidFill>
              <w14:schemeClr w14:val="tx1"/>
            </w14:solidFill>
          </w14:textFill>
        </w:rPr>
        <w:t>1.</w:t>
      </w:r>
      <w:r>
        <w:rPr>
          <w:rFonts w:hint="eastAsia" w:ascii="宋体" w:hAnsi="宋体" w:cs="宋体"/>
          <w:b/>
          <w:bCs/>
          <w:color w:val="000000" w:themeColor="text1"/>
          <w:sz w:val="32"/>
          <w:szCs w:val="32"/>
          <w:highlight w:val="none"/>
          <w14:textFill>
            <w14:solidFill>
              <w14:schemeClr w14:val="tx1"/>
            </w14:solidFill>
          </w14:textFill>
        </w:rPr>
        <w:t>报价文件封面格式</w:t>
      </w:r>
    </w:p>
    <w:p w14:paraId="2D8FCA52">
      <w:pPr>
        <w:snapToGrid w:val="0"/>
        <w:spacing w:beforeLines="50" w:after="50"/>
        <w:rPr>
          <w:rFonts w:ascii="宋体"/>
          <w:color w:val="000000" w:themeColor="text1"/>
          <w:sz w:val="32"/>
          <w:szCs w:val="32"/>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 xml:space="preserve">                                                   </w:t>
      </w:r>
    </w:p>
    <w:p w14:paraId="3F21A566">
      <w:pPr>
        <w:snapToGrid w:val="0"/>
        <w:spacing w:beforeLines="50" w:after="50"/>
        <w:rPr>
          <w:rFonts w:ascii="宋体"/>
          <w:color w:val="000000" w:themeColor="text1"/>
          <w:sz w:val="24"/>
          <w:szCs w:val="24"/>
          <w:highlight w:val="none"/>
          <w14:textFill>
            <w14:solidFill>
              <w14:schemeClr w14:val="tx1"/>
            </w14:solidFill>
          </w14:textFill>
        </w:rPr>
      </w:pPr>
    </w:p>
    <w:p w14:paraId="61904CAC">
      <w:pPr>
        <w:snapToGrid w:val="0"/>
        <w:spacing w:beforeLines="50" w:after="50"/>
        <w:jc w:val="center"/>
        <w:rPr>
          <w:rFonts w:ascii="宋体"/>
          <w:color w:val="000000" w:themeColor="text1"/>
          <w:sz w:val="84"/>
          <w:szCs w:val="84"/>
          <w:highlight w:val="none"/>
          <w14:textFill>
            <w14:solidFill>
              <w14:schemeClr w14:val="tx1"/>
            </w14:solidFill>
          </w14:textFill>
        </w:rPr>
      </w:pPr>
      <w:r>
        <w:rPr>
          <w:rFonts w:hint="eastAsia" w:ascii="宋体" w:hAnsi="宋体" w:cs="宋体"/>
          <w:color w:val="000000" w:themeColor="text1"/>
          <w:sz w:val="84"/>
          <w:szCs w:val="84"/>
          <w:highlight w:val="none"/>
          <w14:textFill>
            <w14:solidFill>
              <w14:schemeClr w14:val="tx1"/>
            </w14:solidFill>
          </w14:textFill>
        </w:rPr>
        <w:t>响</w:t>
      </w:r>
      <w:r>
        <w:rPr>
          <w:rFonts w:ascii="宋体" w:hAnsi="宋体" w:cs="宋体"/>
          <w:color w:val="000000" w:themeColor="text1"/>
          <w:sz w:val="84"/>
          <w:szCs w:val="84"/>
          <w:highlight w:val="none"/>
          <w14:textFill>
            <w14:solidFill>
              <w14:schemeClr w14:val="tx1"/>
            </w14:solidFill>
          </w14:textFill>
        </w:rPr>
        <w:t xml:space="preserve">  </w:t>
      </w:r>
      <w:r>
        <w:rPr>
          <w:rFonts w:hint="eastAsia" w:ascii="宋体" w:hAnsi="宋体" w:cs="宋体"/>
          <w:color w:val="000000" w:themeColor="text1"/>
          <w:sz w:val="84"/>
          <w:szCs w:val="84"/>
          <w:highlight w:val="none"/>
          <w14:textFill>
            <w14:solidFill>
              <w14:schemeClr w14:val="tx1"/>
            </w14:solidFill>
          </w14:textFill>
        </w:rPr>
        <w:t>应</w:t>
      </w:r>
      <w:r>
        <w:rPr>
          <w:rFonts w:ascii="宋体" w:hAnsi="宋体" w:cs="宋体"/>
          <w:color w:val="000000" w:themeColor="text1"/>
          <w:sz w:val="84"/>
          <w:szCs w:val="84"/>
          <w:highlight w:val="none"/>
          <w14:textFill>
            <w14:solidFill>
              <w14:schemeClr w14:val="tx1"/>
            </w14:solidFill>
          </w14:textFill>
        </w:rPr>
        <w:t xml:space="preserve">  </w:t>
      </w:r>
      <w:r>
        <w:rPr>
          <w:rFonts w:hint="eastAsia" w:ascii="宋体" w:hAnsi="宋体" w:cs="宋体"/>
          <w:color w:val="000000" w:themeColor="text1"/>
          <w:sz w:val="84"/>
          <w:szCs w:val="84"/>
          <w:highlight w:val="none"/>
          <w14:textFill>
            <w14:solidFill>
              <w14:schemeClr w14:val="tx1"/>
            </w14:solidFill>
          </w14:textFill>
        </w:rPr>
        <w:t>文</w:t>
      </w:r>
      <w:r>
        <w:rPr>
          <w:rFonts w:ascii="宋体" w:hAnsi="宋体" w:cs="宋体"/>
          <w:color w:val="000000" w:themeColor="text1"/>
          <w:sz w:val="84"/>
          <w:szCs w:val="84"/>
          <w:highlight w:val="none"/>
          <w14:textFill>
            <w14:solidFill>
              <w14:schemeClr w14:val="tx1"/>
            </w14:solidFill>
          </w14:textFill>
        </w:rPr>
        <w:t xml:space="preserve">  </w:t>
      </w:r>
      <w:r>
        <w:rPr>
          <w:rFonts w:hint="eastAsia" w:ascii="宋体" w:hAnsi="宋体" w:cs="宋体"/>
          <w:color w:val="000000" w:themeColor="text1"/>
          <w:sz w:val="84"/>
          <w:szCs w:val="84"/>
          <w:highlight w:val="none"/>
          <w14:textFill>
            <w14:solidFill>
              <w14:schemeClr w14:val="tx1"/>
            </w14:solidFill>
          </w14:textFill>
        </w:rPr>
        <w:t>件</w:t>
      </w:r>
    </w:p>
    <w:p w14:paraId="72524571">
      <w:pPr>
        <w:snapToGrid w:val="0"/>
        <w:spacing w:beforeLines="50" w:after="50"/>
        <w:jc w:val="center"/>
        <w:rPr>
          <w:rFonts w:ascii="宋体" w:hAnsi="宋体" w:cs="宋体"/>
          <w:color w:val="000000" w:themeColor="text1"/>
          <w:sz w:val="32"/>
          <w:szCs w:val="32"/>
          <w:highlight w:val="none"/>
          <w14:textFill>
            <w14:solidFill>
              <w14:schemeClr w14:val="tx1"/>
            </w14:solidFill>
          </w14:textFill>
        </w:rPr>
      </w:pPr>
    </w:p>
    <w:p w14:paraId="309D5638">
      <w:pPr>
        <w:snapToGrid w:val="0"/>
        <w:spacing w:beforeLines="50" w:after="50"/>
        <w:jc w:val="center"/>
        <w:rPr>
          <w:rFonts w:ascii="宋体" w:hAnsi="宋体" w:cs="宋体"/>
          <w:color w:val="000000" w:themeColor="text1"/>
          <w:sz w:val="32"/>
          <w:szCs w:val="32"/>
          <w:highlight w:val="none"/>
          <w14:textFill>
            <w14:solidFill>
              <w14:schemeClr w14:val="tx1"/>
            </w14:solidFill>
          </w14:textFill>
        </w:rPr>
      </w:pPr>
    </w:p>
    <w:p w14:paraId="2B4E3914">
      <w:pPr>
        <w:snapToGrid w:val="0"/>
        <w:spacing w:beforeLines="50" w:after="50"/>
        <w:jc w:val="center"/>
        <w:rPr>
          <w:rFonts w:ascii="宋体"/>
          <w:color w:val="000000" w:themeColor="text1"/>
          <w:sz w:val="32"/>
          <w:szCs w:val="32"/>
          <w:highlight w:val="none"/>
          <w14:textFill>
            <w14:solidFill>
              <w14:schemeClr w14:val="tx1"/>
            </w14:solidFill>
          </w14:textFill>
        </w:rPr>
      </w:pPr>
      <w:r>
        <w:rPr>
          <w:rFonts w:hint="eastAsia" w:ascii="宋体" w:hAnsi="宋体" w:cs="宋体"/>
          <w:color w:val="000000" w:themeColor="text1"/>
          <w:sz w:val="32"/>
          <w:szCs w:val="32"/>
          <w:highlight w:val="none"/>
          <w14:textFill>
            <w14:solidFill>
              <w14:schemeClr w14:val="tx1"/>
            </w14:solidFill>
          </w14:textFill>
        </w:rPr>
        <w:t>报</w:t>
      </w:r>
      <w:r>
        <w:rPr>
          <w:rFonts w:ascii="宋体" w:hAnsi="宋体" w:cs="宋体"/>
          <w:color w:val="000000" w:themeColor="text1"/>
          <w:sz w:val="32"/>
          <w:szCs w:val="32"/>
          <w:highlight w:val="none"/>
          <w14:textFill>
            <w14:solidFill>
              <w14:schemeClr w14:val="tx1"/>
            </w14:solidFill>
          </w14:textFill>
        </w:rPr>
        <w:t xml:space="preserve">  </w:t>
      </w:r>
      <w:r>
        <w:rPr>
          <w:rFonts w:hint="eastAsia" w:ascii="宋体" w:hAnsi="宋体" w:cs="宋体"/>
          <w:color w:val="000000" w:themeColor="text1"/>
          <w:sz w:val="32"/>
          <w:szCs w:val="32"/>
          <w:highlight w:val="none"/>
          <w14:textFill>
            <w14:solidFill>
              <w14:schemeClr w14:val="tx1"/>
            </w14:solidFill>
          </w14:textFill>
        </w:rPr>
        <w:t>价</w:t>
      </w:r>
      <w:r>
        <w:rPr>
          <w:rFonts w:ascii="宋体" w:hAnsi="宋体" w:cs="宋体"/>
          <w:color w:val="000000" w:themeColor="text1"/>
          <w:sz w:val="32"/>
          <w:szCs w:val="32"/>
          <w:highlight w:val="none"/>
          <w14:textFill>
            <w14:solidFill>
              <w14:schemeClr w14:val="tx1"/>
            </w14:solidFill>
          </w14:textFill>
        </w:rPr>
        <w:t xml:space="preserve">  </w:t>
      </w:r>
      <w:r>
        <w:rPr>
          <w:rFonts w:hint="eastAsia" w:ascii="宋体" w:hAnsi="宋体" w:cs="宋体"/>
          <w:color w:val="000000" w:themeColor="text1"/>
          <w:sz w:val="32"/>
          <w:szCs w:val="32"/>
          <w:highlight w:val="none"/>
          <w14:textFill>
            <w14:solidFill>
              <w14:schemeClr w14:val="tx1"/>
            </w14:solidFill>
          </w14:textFill>
        </w:rPr>
        <w:t>文</w:t>
      </w:r>
      <w:r>
        <w:rPr>
          <w:rFonts w:ascii="宋体" w:hAnsi="宋体" w:cs="宋体"/>
          <w:color w:val="000000" w:themeColor="text1"/>
          <w:sz w:val="32"/>
          <w:szCs w:val="32"/>
          <w:highlight w:val="none"/>
          <w14:textFill>
            <w14:solidFill>
              <w14:schemeClr w14:val="tx1"/>
            </w14:solidFill>
          </w14:textFill>
        </w:rPr>
        <w:t xml:space="preserve">  </w:t>
      </w:r>
      <w:r>
        <w:rPr>
          <w:rFonts w:hint="eastAsia" w:ascii="宋体" w:hAnsi="宋体" w:cs="宋体"/>
          <w:color w:val="000000" w:themeColor="text1"/>
          <w:sz w:val="32"/>
          <w:szCs w:val="32"/>
          <w:highlight w:val="none"/>
          <w14:textFill>
            <w14:solidFill>
              <w14:schemeClr w14:val="tx1"/>
            </w14:solidFill>
          </w14:textFill>
        </w:rPr>
        <w:t>件</w:t>
      </w:r>
    </w:p>
    <w:p w14:paraId="49351209">
      <w:pPr>
        <w:snapToGrid w:val="0"/>
        <w:spacing w:beforeLines="50" w:after="50"/>
        <w:rPr>
          <w:rFonts w:ascii="宋体"/>
          <w:color w:val="000000" w:themeColor="text1"/>
          <w:sz w:val="24"/>
          <w:szCs w:val="24"/>
          <w:highlight w:val="none"/>
          <w14:textFill>
            <w14:solidFill>
              <w14:schemeClr w14:val="tx1"/>
            </w14:solidFill>
          </w14:textFill>
        </w:rPr>
      </w:pPr>
    </w:p>
    <w:p w14:paraId="46D09BCE">
      <w:pPr>
        <w:snapToGrid w:val="0"/>
        <w:spacing w:beforeLines="50" w:after="50"/>
        <w:rPr>
          <w:rFonts w:ascii="宋体"/>
          <w:color w:val="000000" w:themeColor="text1"/>
          <w:sz w:val="24"/>
          <w:szCs w:val="24"/>
          <w:highlight w:val="none"/>
          <w14:textFill>
            <w14:solidFill>
              <w14:schemeClr w14:val="tx1"/>
            </w14:solidFill>
          </w14:textFill>
        </w:rPr>
      </w:pPr>
    </w:p>
    <w:p w14:paraId="3B688A60">
      <w:pPr>
        <w:snapToGrid w:val="0"/>
        <w:spacing w:beforeLines="50" w:after="50"/>
        <w:rPr>
          <w:rFonts w:ascii="宋体"/>
          <w:color w:val="000000" w:themeColor="text1"/>
          <w:sz w:val="24"/>
          <w:szCs w:val="24"/>
          <w:highlight w:val="none"/>
          <w14:textFill>
            <w14:solidFill>
              <w14:schemeClr w14:val="tx1"/>
            </w14:solidFill>
          </w14:textFill>
        </w:rPr>
      </w:pPr>
    </w:p>
    <w:p w14:paraId="1A28715A">
      <w:pPr>
        <w:snapToGrid w:val="0"/>
        <w:spacing w:beforeLines="50" w:after="50"/>
        <w:rPr>
          <w:rFonts w:ascii="宋体"/>
          <w:color w:val="000000" w:themeColor="text1"/>
          <w:sz w:val="24"/>
          <w:szCs w:val="24"/>
          <w:highlight w:val="none"/>
          <w14:textFill>
            <w14:solidFill>
              <w14:schemeClr w14:val="tx1"/>
            </w14:solidFill>
          </w14:textFill>
        </w:rPr>
      </w:pPr>
    </w:p>
    <w:p w14:paraId="48D2E714">
      <w:pPr>
        <w:snapToGrid w:val="0"/>
        <w:spacing w:beforeLines="50" w:after="50"/>
        <w:rPr>
          <w:rFonts w:ascii="宋体"/>
          <w:color w:val="000000" w:themeColor="text1"/>
          <w:sz w:val="24"/>
          <w:szCs w:val="24"/>
          <w:highlight w:val="none"/>
          <w14:textFill>
            <w14:solidFill>
              <w14:schemeClr w14:val="tx1"/>
            </w14:solidFill>
          </w14:textFill>
        </w:rPr>
      </w:pPr>
    </w:p>
    <w:p w14:paraId="0C5A3587">
      <w:pPr>
        <w:snapToGrid w:val="0"/>
        <w:spacing w:beforeLines="50" w:after="50"/>
        <w:ind w:firstLine="640" w:firstLineChars="200"/>
        <w:rPr>
          <w:rFonts w:ascii="宋体"/>
          <w:color w:val="000000" w:themeColor="text1"/>
          <w:sz w:val="32"/>
          <w:szCs w:val="32"/>
          <w:highlight w:val="none"/>
          <w14:textFill>
            <w14:solidFill>
              <w14:schemeClr w14:val="tx1"/>
            </w14:solidFill>
          </w14:textFill>
        </w:rPr>
      </w:pPr>
      <w:r>
        <w:rPr>
          <w:rFonts w:hint="eastAsia" w:ascii="宋体" w:hAnsi="宋体" w:cs="宋体"/>
          <w:color w:val="000000" w:themeColor="text1"/>
          <w:sz w:val="32"/>
          <w:szCs w:val="32"/>
          <w:highlight w:val="none"/>
          <w14:textFill>
            <w14:solidFill>
              <w14:schemeClr w14:val="tx1"/>
            </w14:solidFill>
          </w14:textFill>
        </w:rPr>
        <w:t>项目名称：</w:t>
      </w:r>
    </w:p>
    <w:p w14:paraId="2E317BCB">
      <w:pPr>
        <w:snapToGrid w:val="0"/>
        <w:spacing w:beforeLines="50" w:after="50"/>
        <w:ind w:firstLine="720" w:firstLineChars="225"/>
        <w:rPr>
          <w:rFonts w:ascii="宋体"/>
          <w:color w:val="000000" w:themeColor="text1"/>
          <w:sz w:val="32"/>
          <w:szCs w:val="32"/>
          <w:highlight w:val="none"/>
          <w14:textFill>
            <w14:solidFill>
              <w14:schemeClr w14:val="tx1"/>
            </w14:solidFill>
          </w14:textFill>
        </w:rPr>
      </w:pPr>
    </w:p>
    <w:p w14:paraId="42CE0D7D">
      <w:pPr>
        <w:snapToGrid w:val="0"/>
        <w:spacing w:beforeLines="50" w:after="50"/>
        <w:ind w:firstLine="640" w:firstLineChars="200"/>
        <w:rPr>
          <w:rFonts w:ascii="宋体"/>
          <w:color w:val="000000" w:themeColor="text1"/>
          <w:sz w:val="32"/>
          <w:szCs w:val="32"/>
          <w:highlight w:val="none"/>
          <w14:textFill>
            <w14:solidFill>
              <w14:schemeClr w14:val="tx1"/>
            </w14:solidFill>
          </w14:textFill>
        </w:rPr>
      </w:pPr>
      <w:r>
        <w:rPr>
          <w:rFonts w:hint="eastAsia" w:ascii="宋体" w:hAnsi="宋体" w:cs="宋体"/>
          <w:color w:val="000000" w:themeColor="text1"/>
          <w:sz w:val="32"/>
          <w:szCs w:val="32"/>
          <w:highlight w:val="none"/>
          <w14:textFill>
            <w14:solidFill>
              <w14:schemeClr w14:val="tx1"/>
            </w14:solidFill>
          </w14:textFill>
        </w:rPr>
        <w:t>项目编号：</w:t>
      </w:r>
    </w:p>
    <w:p w14:paraId="597194D4">
      <w:pPr>
        <w:snapToGrid w:val="0"/>
        <w:spacing w:beforeLines="50" w:after="50"/>
        <w:ind w:firstLine="720" w:firstLineChars="225"/>
        <w:rPr>
          <w:rFonts w:ascii="宋体"/>
          <w:color w:val="000000" w:themeColor="text1"/>
          <w:sz w:val="32"/>
          <w:szCs w:val="32"/>
          <w:highlight w:val="none"/>
          <w14:textFill>
            <w14:solidFill>
              <w14:schemeClr w14:val="tx1"/>
            </w14:solidFill>
          </w14:textFill>
        </w:rPr>
      </w:pPr>
      <w:r>
        <w:rPr>
          <w:rFonts w:ascii="宋体" w:hAnsi="宋体" w:cs="宋体"/>
          <w:color w:val="000000" w:themeColor="text1"/>
          <w:sz w:val="32"/>
          <w:szCs w:val="32"/>
          <w:highlight w:val="none"/>
          <w14:textFill>
            <w14:solidFill>
              <w14:schemeClr w14:val="tx1"/>
            </w14:solidFill>
          </w14:textFill>
        </w:rPr>
        <w:t xml:space="preserve"> </w:t>
      </w:r>
    </w:p>
    <w:p w14:paraId="439C032B">
      <w:pPr>
        <w:pStyle w:val="8"/>
        <w:snapToGrid w:val="0"/>
        <w:spacing w:before="50" w:after="50"/>
        <w:ind w:firstLine="640" w:firstLineChars="200"/>
        <w:rPr>
          <w:rFonts w:ascii="宋体"/>
          <w:color w:val="000000" w:themeColor="text1"/>
          <w:sz w:val="32"/>
          <w:szCs w:val="32"/>
          <w:highlight w:val="none"/>
          <w14:textFill>
            <w14:solidFill>
              <w14:schemeClr w14:val="tx1"/>
            </w14:solidFill>
          </w14:textFill>
        </w:rPr>
      </w:pPr>
      <w:r>
        <w:rPr>
          <w:rFonts w:hint="eastAsia" w:ascii="宋体" w:hAnsi="宋体" w:cs="宋体"/>
          <w:color w:val="000000" w:themeColor="text1"/>
          <w:sz w:val="32"/>
          <w:szCs w:val="32"/>
          <w:highlight w:val="none"/>
          <w14:textFill>
            <w14:solidFill>
              <w14:schemeClr w14:val="tx1"/>
            </w14:solidFill>
          </w14:textFill>
        </w:rPr>
        <w:t>供应商名称：</w:t>
      </w:r>
    </w:p>
    <w:p w14:paraId="2EC6031F">
      <w:pPr>
        <w:pStyle w:val="8"/>
        <w:snapToGrid w:val="0"/>
        <w:spacing w:before="50" w:after="50"/>
        <w:ind w:firstLine="720" w:firstLineChars="225"/>
        <w:rPr>
          <w:rFonts w:ascii="宋体"/>
          <w:color w:val="000000" w:themeColor="text1"/>
          <w:sz w:val="32"/>
          <w:szCs w:val="32"/>
          <w:highlight w:val="none"/>
          <w14:textFill>
            <w14:solidFill>
              <w14:schemeClr w14:val="tx1"/>
            </w14:solidFill>
          </w14:textFill>
        </w:rPr>
      </w:pPr>
    </w:p>
    <w:p w14:paraId="7A6D1C26">
      <w:pPr>
        <w:pStyle w:val="8"/>
        <w:snapToGrid w:val="0"/>
        <w:spacing w:before="50" w:after="50"/>
        <w:ind w:firstLine="720" w:firstLineChars="225"/>
        <w:rPr>
          <w:rFonts w:ascii="宋体"/>
          <w:color w:val="000000" w:themeColor="text1"/>
          <w:sz w:val="32"/>
          <w:szCs w:val="32"/>
          <w:highlight w:val="none"/>
          <w14:textFill>
            <w14:solidFill>
              <w14:schemeClr w14:val="tx1"/>
            </w14:solidFill>
          </w14:textFill>
        </w:rPr>
      </w:pPr>
    </w:p>
    <w:p w14:paraId="1D59775A">
      <w:pPr>
        <w:pStyle w:val="8"/>
        <w:snapToGrid w:val="0"/>
        <w:spacing w:before="50" w:after="50"/>
        <w:ind w:firstLine="1280" w:firstLineChars="400"/>
        <w:rPr>
          <w:rFonts w:ascii="宋体"/>
          <w:color w:val="000000" w:themeColor="text1"/>
          <w:sz w:val="32"/>
          <w:szCs w:val="32"/>
          <w:highlight w:val="none"/>
          <w14:textFill>
            <w14:solidFill>
              <w14:schemeClr w14:val="tx1"/>
            </w14:solidFill>
          </w14:textFill>
        </w:rPr>
      </w:pPr>
    </w:p>
    <w:p w14:paraId="39005B1D">
      <w:pPr>
        <w:snapToGrid w:val="0"/>
        <w:spacing w:beforeLines="50" w:after="50"/>
        <w:jc w:val="center"/>
        <w:rPr>
          <w:rFonts w:ascii="宋体"/>
          <w:color w:val="000000" w:themeColor="text1"/>
          <w:sz w:val="32"/>
          <w:szCs w:val="32"/>
          <w:highlight w:val="none"/>
          <w14:textFill>
            <w14:solidFill>
              <w14:schemeClr w14:val="tx1"/>
            </w14:solidFill>
          </w14:textFill>
        </w:rPr>
      </w:pPr>
      <w:r>
        <w:rPr>
          <w:rFonts w:hint="eastAsia" w:ascii="宋体" w:hAnsi="宋体" w:cs="宋体"/>
          <w:color w:val="000000" w:themeColor="text1"/>
          <w:sz w:val="32"/>
          <w:szCs w:val="32"/>
          <w:highlight w:val="none"/>
          <w14:textFill>
            <w14:solidFill>
              <w14:schemeClr w14:val="tx1"/>
            </w14:solidFill>
          </w14:textFill>
        </w:rPr>
        <w:t>年</w:t>
      </w:r>
      <w:r>
        <w:rPr>
          <w:rFonts w:ascii="宋体" w:hAnsi="宋体" w:cs="宋体"/>
          <w:color w:val="000000" w:themeColor="text1"/>
          <w:sz w:val="32"/>
          <w:szCs w:val="32"/>
          <w:highlight w:val="none"/>
          <w14:textFill>
            <w14:solidFill>
              <w14:schemeClr w14:val="tx1"/>
            </w14:solidFill>
          </w14:textFill>
        </w:rPr>
        <w:t xml:space="preserve">    </w:t>
      </w:r>
      <w:r>
        <w:rPr>
          <w:rFonts w:hint="eastAsia" w:ascii="宋体" w:hAnsi="宋体" w:cs="宋体"/>
          <w:color w:val="000000" w:themeColor="text1"/>
          <w:sz w:val="32"/>
          <w:szCs w:val="32"/>
          <w:highlight w:val="none"/>
          <w14:textFill>
            <w14:solidFill>
              <w14:schemeClr w14:val="tx1"/>
            </w14:solidFill>
          </w14:textFill>
        </w:rPr>
        <w:t>月</w:t>
      </w:r>
      <w:r>
        <w:rPr>
          <w:rFonts w:ascii="宋体" w:hAnsi="宋体" w:cs="宋体"/>
          <w:color w:val="000000" w:themeColor="text1"/>
          <w:sz w:val="32"/>
          <w:szCs w:val="32"/>
          <w:highlight w:val="none"/>
          <w14:textFill>
            <w14:solidFill>
              <w14:schemeClr w14:val="tx1"/>
            </w14:solidFill>
          </w14:textFill>
        </w:rPr>
        <w:t xml:space="preserve">    </w:t>
      </w:r>
      <w:r>
        <w:rPr>
          <w:rFonts w:hint="eastAsia" w:ascii="宋体" w:hAnsi="宋体" w:cs="宋体"/>
          <w:color w:val="000000" w:themeColor="text1"/>
          <w:sz w:val="32"/>
          <w:szCs w:val="32"/>
          <w:highlight w:val="none"/>
          <w14:textFill>
            <w14:solidFill>
              <w14:schemeClr w14:val="tx1"/>
            </w14:solidFill>
          </w14:textFill>
        </w:rPr>
        <w:t>日</w:t>
      </w:r>
    </w:p>
    <w:p w14:paraId="6CD1A668">
      <w:pPr>
        <w:snapToGrid w:val="0"/>
        <w:spacing w:beforeLines="50" w:after="50" w:line="360" w:lineRule="auto"/>
        <w:ind w:left="142"/>
        <w:jc w:val="left"/>
        <w:rPr>
          <w:rFonts w:ascii="宋体"/>
          <w:b/>
          <w:bCs/>
          <w:color w:val="000000" w:themeColor="text1"/>
          <w:sz w:val="24"/>
          <w:szCs w:val="24"/>
          <w:highlight w:val="none"/>
          <w14:textFill>
            <w14:solidFill>
              <w14:schemeClr w14:val="tx1"/>
            </w14:solidFill>
          </w14:textFill>
        </w:rPr>
      </w:pPr>
      <w:r>
        <w:rPr>
          <w:rFonts w:ascii="宋体"/>
          <w:color w:val="000000" w:themeColor="text1"/>
          <w:sz w:val="24"/>
          <w:szCs w:val="24"/>
          <w:highlight w:val="none"/>
          <w14:textFill>
            <w14:solidFill>
              <w14:schemeClr w14:val="tx1"/>
            </w14:solidFill>
          </w14:textFill>
        </w:rPr>
        <w:br w:type="page"/>
      </w:r>
      <w:r>
        <w:rPr>
          <w:rFonts w:ascii="宋体" w:hAnsi="宋体" w:cs="宋体"/>
          <w:b/>
          <w:bCs/>
          <w:color w:val="000000" w:themeColor="text1"/>
          <w:sz w:val="32"/>
          <w:szCs w:val="32"/>
          <w:highlight w:val="none"/>
          <w14:textFill>
            <w14:solidFill>
              <w14:schemeClr w14:val="tx1"/>
            </w14:solidFill>
          </w14:textFill>
        </w:rPr>
        <w:t>2.</w:t>
      </w:r>
      <w:r>
        <w:rPr>
          <w:rFonts w:hint="eastAsia" w:ascii="宋体" w:hAnsi="宋体" w:cs="宋体"/>
          <w:b/>
          <w:bCs/>
          <w:color w:val="000000" w:themeColor="text1"/>
          <w:sz w:val="32"/>
          <w:szCs w:val="32"/>
          <w:highlight w:val="none"/>
          <w14:textFill>
            <w14:solidFill>
              <w14:schemeClr w14:val="tx1"/>
            </w14:solidFill>
          </w14:textFill>
        </w:rPr>
        <w:t>报价文件目录</w:t>
      </w:r>
    </w:p>
    <w:p w14:paraId="77B36AD2">
      <w:pPr>
        <w:snapToGrid w:val="0"/>
        <w:spacing w:beforeLines="50" w:after="50" w:line="360" w:lineRule="auto"/>
        <w:ind w:firstLine="560" w:firstLineChars="200"/>
        <w:rPr>
          <w:rFonts w:ascii="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根据磋商文件规定及供应商提供的材料自行编写目录（部分格式后附）。</w:t>
      </w:r>
    </w:p>
    <w:p w14:paraId="6397092C">
      <w:pPr>
        <w:spacing w:line="400" w:lineRule="exact"/>
        <w:rPr>
          <w:rFonts w:ascii="宋体"/>
          <w:color w:val="000000" w:themeColor="text1"/>
          <w:sz w:val="32"/>
          <w:szCs w:val="32"/>
          <w:highlight w:val="none"/>
          <w14:textFill>
            <w14:solidFill>
              <w14:schemeClr w14:val="tx1"/>
            </w14:solidFill>
          </w14:textFill>
        </w:rPr>
      </w:pPr>
    </w:p>
    <w:p w14:paraId="02984CB7">
      <w:pPr>
        <w:spacing w:line="520" w:lineRule="exact"/>
        <w:jc w:val="center"/>
        <w:rPr>
          <w:rFonts w:ascii="宋体"/>
          <w:color w:val="000000" w:themeColor="text1"/>
          <w:sz w:val="44"/>
          <w:szCs w:val="44"/>
          <w:highlight w:val="none"/>
          <w14:textFill>
            <w14:solidFill>
              <w14:schemeClr w14:val="tx1"/>
            </w14:solidFill>
          </w14:textFill>
        </w:rPr>
      </w:pPr>
    </w:p>
    <w:p w14:paraId="343A04A4">
      <w:pPr>
        <w:spacing w:line="520" w:lineRule="exact"/>
        <w:jc w:val="center"/>
        <w:rPr>
          <w:rFonts w:ascii="宋体"/>
          <w:color w:val="000000" w:themeColor="text1"/>
          <w:sz w:val="44"/>
          <w:szCs w:val="44"/>
          <w:highlight w:val="none"/>
          <w14:textFill>
            <w14:solidFill>
              <w14:schemeClr w14:val="tx1"/>
            </w14:solidFill>
          </w14:textFill>
        </w:rPr>
      </w:pPr>
    </w:p>
    <w:p w14:paraId="14D26E47">
      <w:pPr>
        <w:spacing w:line="520" w:lineRule="exact"/>
        <w:jc w:val="center"/>
        <w:rPr>
          <w:rFonts w:ascii="宋体"/>
          <w:color w:val="000000" w:themeColor="text1"/>
          <w:sz w:val="44"/>
          <w:szCs w:val="44"/>
          <w:highlight w:val="none"/>
          <w14:textFill>
            <w14:solidFill>
              <w14:schemeClr w14:val="tx1"/>
            </w14:solidFill>
          </w14:textFill>
        </w:rPr>
      </w:pPr>
    </w:p>
    <w:p w14:paraId="3914FBBF">
      <w:pPr>
        <w:spacing w:line="520" w:lineRule="exact"/>
        <w:jc w:val="center"/>
        <w:rPr>
          <w:rFonts w:ascii="宋体"/>
          <w:color w:val="000000" w:themeColor="text1"/>
          <w:sz w:val="44"/>
          <w:szCs w:val="44"/>
          <w:highlight w:val="none"/>
          <w14:textFill>
            <w14:solidFill>
              <w14:schemeClr w14:val="tx1"/>
            </w14:solidFill>
          </w14:textFill>
        </w:rPr>
      </w:pPr>
    </w:p>
    <w:p w14:paraId="0787C2BA">
      <w:pPr>
        <w:spacing w:line="520" w:lineRule="exact"/>
        <w:jc w:val="center"/>
        <w:rPr>
          <w:rFonts w:ascii="宋体"/>
          <w:color w:val="000000" w:themeColor="text1"/>
          <w:sz w:val="44"/>
          <w:szCs w:val="44"/>
          <w:highlight w:val="none"/>
          <w14:textFill>
            <w14:solidFill>
              <w14:schemeClr w14:val="tx1"/>
            </w14:solidFill>
          </w14:textFill>
        </w:rPr>
      </w:pPr>
    </w:p>
    <w:p w14:paraId="7513FD6A">
      <w:pPr>
        <w:spacing w:line="520" w:lineRule="exact"/>
        <w:jc w:val="center"/>
        <w:rPr>
          <w:rFonts w:ascii="宋体"/>
          <w:color w:val="000000" w:themeColor="text1"/>
          <w:sz w:val="44"/>
          <w:szCs w:val="44"/>
          <w:highlight w:val="none"/>
          <w14:textFill>
            <w14:solidFill>
              <w14:schemeClr w14:val="tx1"/>
            </w14:solidFill>
          </w14:textFill>
        </w:rPr>
      </w:pPr>
    </w:p>
    <w:p w14:paraId="5B1B008C">
      <w:pPr>
        <w:spacing w:line="520" w:lineRule="exact"/>
        <w:jc w:val="center"/>
        <w:rPr>
          <w:rFonts w:ascii="宋体"/>
          <w:color w:val="000000" w:themeColor="text1"/>
          <w:sz w:val="44"/>
          <w:szCs w:val="44"/>
          <w:highlight w:val="none"/>
          <w14:textFill>
            <w14:solidFill>
              <w14:schemeClr w14:val="tx1"/>
            </w14:solidFill>
          </w14:textFill>
        </w:rPr>
      </w:pPr>
    </w:p>
    <w:p w14:paraId="0BF89918">
      <w:pPr>
        <w:spacing w:line="520" w:lineRule="exact"/>
        <w:jc w:val="center"/>
        <w:rPr>
          <w:rFonts w:ascii="宋体"/>
          <w:color w:val="000000" w:themeColor="text1"/>
          <w:sz w:val="44"/>
          <w:szCs w:val="44"/>
          <w:highlight w:val="none"/>
          <w14:textFill>
            <w14:solidFill>
              <w14:schemeClr w14:val="tx1"/>
            </w14:solidFill>
          </w14:textFill>
        </w:rPr>
      </w:pPr>
    </w:p>
    <w:p w14:paraId="2E0D97CE">
      <w:pPr>
        <w:spacing w:line="520" w:lineRule="exact"/>
        <w:jc w:val="center"/>
        <w:rPr>
          <w:rFonts w:ascii="宋体"/>
          <w:color w:val="000000" w:themeColor="text1"/>
          <w:sz w:val="44"/>
          <w:szCs w:val="44"/>
          <w:highlight w:val="none"/>
          <w14:textFill>
            <w14:solidFill>
              <w14:schemeClr w14:val="tx1"/>
            </w14:solidFill>
          </w14:textFill>
        </w:rPr>
      </w:pPr>
    </w:p>
    <w:p w14:paraId="1A9C0F27">
      <w:pPr>
        <w:spacing w:line="520" w:lineRule="exact"/>
        <w:jc w:val="center"/>
        <w:rPr>
          <w:rFonts w:ascii="宋体"/>
          <w:color w:val="000000" w:themeColor="text1"/>
          <w:sz w:val="44"/>
          <w:szCs w:val="44"/>
          <w:highlight w:val="none"/>
          <w14:textFill>
            <w14:solidFill>
              <w14:schemeClr w14:val="tx1"/>
            </w14:solidFill>
          </w14:textFill>
        </w:rPr>
      </w:pPr>
    </w:p>
    <w:p w14:paraId="6B9FA6E3">
      <w:pPr>
        <w:spacing w:line="520" w:lineRule="exact"/>
        <w:jc w:val="center"/>
        <w:rPr>
          <w:rFonts w:ascii="宋体"/>
          <w:color w:val="000000" w:themeColor="text1"/>
          <w:sz w:val="44"/>
          <w:szCs w:val="44"/>
          <w:highlight w:val="none"/>
          <w14:textFill>
            <w14:solidFill>
              <w14:schemeClr w14:val="tx1"/>
            </w14:solidFill>
          </w14:textFill>
        </w:rPr>
      </w:pPr>
    </w:p>
    <w:p w14:paraId="11B9CDEF">
      <w:pPr>
        <w:spacing w:line="520" w:lineRule="exact"/>
        <w:jc w:val="center"/>
        <w:rPr>
          <w:rFonts w:ascii="宋体"/>
          <w:color w:val="000000" w:themeColor="text1"/>
          <w:sz w:val="44"/>
          <w:szCs w:val="44"/>
          <w:highlight w:val="none"/>
          <w14:textFill>
            <w14:solidFill>
              <w14:schemeClr w14:val="tx1"/>
            </w14:solidFill>
          </w14:textFill>
        </w:rPr>
      </w:pPr>
    </w:p>
    <w:p w14:paraId="1000AAAC">
      <w:pPr>
        <w:spacing w:line="520" w:lineRule="exact"/>
        <w:jc w:val="center"/>
        <w:rPr>
          <w:rFonts w:ascii="宋体"/>
          <w:color w:val="000000" w:themeColor="text1"/>
          <w:sz w:val="44"/>
          <w:szCs w:val="44"/>
          <w:highlight w:val="none"/>
          <w14:textFill>
            <w14:solidFill>
              <w14:schemeClr w14:val="tx1"/>
            </w14:solidFill>
          </w14:textFill>
        </w:rPr>
      </w:pPr>
    </w:p>
    <w:p w14:paraId="5550B03F">
      <w:pPr>
        <w:spacing w:line="520" w:lineRule="exact"/>
        <w:jc w:val="center"/>
        <w:rPr>
          <w:rFonts w:ascii="宋体"/>
          <w:color w:val="000000" w:themeColor="text1"/>
          <w:sz w:val="44"/>
          <w:szCs w:val="44"/>
          <w:highlight w:val="none"/>
          <w14:textFill>
            <w14:solidFill>
              <w14:schemeClr w14:val="tx1"/>
            </w14:solidFill>
          </w14:textFill>
        </w:rPr>
      </w:pPr>
    </w:p>
    <w:p w14:paraId="67FD0812">
      <w:pPr>
        <w:spacing w:line="520" w:lineRule="exact"/>
        <w:jc w:val="center"/>
        <w:rPr>
          <w:rFonts w:ascii="宋体"/>
          <w:color w:val="000000" w:themeColor="text1"/>
          <w:sz w:val="44"/>
          <w:szCs w:val="44"/>
          <w:highlight w:val="none"/>
          <w14:textFill>
            <w14:solidFill>
              <w14:schemeClr w14:val="tx1"/>
            </w14:solidFill>
          </w14:textFill>
        </w:rPr>
      </w:pPr>
    </w:p>
    <w:p w14:paraId="16F9C788">
      <w:pPr>
        <w:spacing w:line="520" w:lineRule="exact"/>
        <w:jc w:val="center"/>
        <w:rPr>
          <w:rFonts w:ascii="宋体"/>
          <w:color w:val="000000" w:themeColor="text1"/>
          <w:sz w:val="44"/>
          <w:szCs w:val="44"/>
          <w:highlight w:val="none"/>
          <w14:textFill>
            <w14:solidFill>
              <w14:schemeClr w14:val="tx1"/>
            </w14:solidFill>
          </w14:textFill>
        </w:rPr>
      </w:pPr>
    </w:p>
    <w:p w14:paraId="2BA9AEFC">
      <w:pPr>
        <w:spacing w:line="520" w:lineRule="exact"/>
        <w:jc w:val="center"/>
        <w:rPr>
          <w:rFonts w:ascii="宋体"/>
          <w:color w:val="000000" w:themeColor="text1"/>
          <w:sz w:val="44"/>
          <w:szCs w:val="44"/>
          <w:highlight w:val="none"/>
          <w14:textFill>
            <w14:solidFill>
              <w14:schemeClr w14:val="tx1"/>
            </w14:solidFill>
          </w14:textFill>
        </w:rPr>
      </w:pPr>
    </w:p>
    <w:p w14:paraId="154B3345">
      <w:pPr>
        <w:spacing w:line="520" w:lineRule="exact"/>
        <w:jc w:val="center"/>
        <w:rPr>
          <w:rFonts w:ascii="宋体"/>
          <w:color w:val="000000" w:themeColor="text1"/>
          <w:sz w:val="44"/>
          <w:szCs w:val="44"/>
          <w:highlight w:val="none"/>
          <w14:textFill>
            <w14:solidFill>
              <w14:schemeClr w14:val="tx1"/>
            </w14:solidFill>
          </w14:textFill>
        </w:rPr>
      </w:pPr>
    </w:p>
    <w:p w14:paraId="36D44FC1">
      <w:pPr>
        <w:spacing w:line="520" w:lineRule="exact"/>
        <w:jc w:val="center"/>
        <w:rPr>
          <w:rFonts w:ascii="宋体"/>
          <w:color w:val="000000" w:themeColor="text1"/>
          <w:sz w:val="44"/>
          <w:szCs w:val="44"/>
          <w:highlight w:val="none"/>
          <w14:textFill>
            <w14:solidFill>
              <w14:schemeClr w14:val="tx1"/>
            </w14:solidFill>
          </w14:textFill>
        </w:rPr>
      </w:pPr>
    </w:p>
    <w:p w14:paraId="77CD32B4">
      <w:pPr>
        <w:spacing w:line="520" w:lineRule="exact"/>
        <w:jc w:val="center"/>
        <w:rPr>
          <w:rFonts w:ascii="宋体"/>
          <w:color w:val="000000" w:themeColor="text1"/>
          <w:sz w:val="44"/>
          <w:szCs w:val="44"/>
          <w:highlight w:val="none"/>
          <w14:textFill>
            <w14:solidFill>
              <w14:schemeClr w14:val="tx1"/>
            </w14:solidFill>
          </w14:textFill>
        </w:rPr>
      </w:pPr>
    </w:p>
    <w:p w14:paraId="4C97112B">
      <w:pPr>
        <w:pStyle w:val="21"/>
        <w:rPr>
          <w:color w:val="000000" w:themeColor="text1"/>
          <w:highlight w:val="none"/>
          <w14:textFill>
            <w14:solidFill>
              <w14:schemeClr w14:val="tx1"/>
            </w14:solidFill>
          </w14:textFill>
        </w:rPr>
      </w:pPr>
    </w:p>
    <w:p w14:paraId="68CD5D43">
      <w:pPr>
        <w:rPr>
          <w:color w:val="000000" w:themeColor="text1"/>
          <w:highlight w:val="none"/>
          <w14:textFill>
            <w14:solidFill>
              <w14:schemeClr w14:val="tx1"/>
            </w14:solidFill>
          </w14:textFill>
        </w:rPr>
      </w:pPr>
    </w:p>
    <w:p w14:paraId="65356183">
      <w:pPr>
        <w:pStyle w:val="21"/>
        <w:rPr>
          <w:color w:val="000000" w:themeColor="text1"/>
          <w:highlight w:val="none"/>
          <w14:textFill>
            <w14:solidFill>
              <w14:schemeClr w14:val="tx1"/>
            </w14:solidFill>
          </w14:textFill>
        </w:rPr>
      </w:pPr>
    </w:p>
    <w:p w14:paraId="2F33F5F2">
      <w:pPr>
        <w:spacing w:line="520" w:lineRule="exact"/>
        <w:jc w:val="center"/>
        <w:rPr>
          <w:rFonts w:ascii="宋体"/>
          <w:color w:val="000000" w:themeColor="text1"/>
          <w:sz w:val="44"/>
          <w:szCs w:val="44"/>
          <w:highlight w:val="none"/>
          <w14:textFill>
            <w14:solidFill>
              <w14:schemeClr w14:val="tx1"/>
            </w14:solidFill>
          </w14:textFill>
        </w:rPr>
      </w:pPr>
    </w:p>
    <w:p w14:paraId="4F984640">
      <w:pPr>
        <w:spacing w:line="520" w:lineRule="exact"/>
        <w:jc w:val="center"/>
        <w:rPr>
          <w:rFonts w:ascii="宋体"/>
          <w:color w:val="000000" w:themeColor="text1"/>
          <w:sz w:val="44"/>
          <w:szCs w:val="44"/>
          <w:highlight w:val="none"/>
          <w14:textFill>
            <w14:solidFill>
              <w14:schemeClr w14:val="tx1"/>
            </w14:solidFill>
          </w14:textFill>
        </w:rPr>
      </w:pPr>
    </w:p>
    <w:p w14:paraId="7A5CC172">
      <w:pPr>
        <w:spacing w:line="520" w:lineRule="exact"/>
        <w:jc w:val="center"/>
        <w:rPr>
          <w:rFonts w:ascii="宋体"/>
          <w:color w:val="000000" w:themeColor="text1"/>
          <w:sz w:val="32"/>
          <w:szCs w:val="32"/>
          <w:highlight w:val="none"/>
          <w14:textFill>
            <w14:solidFill>
              <w14:schemeClr w14:val="tx1"/>
            </w14:solidFill>
          </w14:textFill>
        </w:rPr>
      </w:pPr>
      <w:r>
        <w:rPr>
          <w:rFonts w:hint="eastAsia" w:ascii="宋体" w:hAnsi="宋体" w:cs="宋体"/>
          <w:b/>
          <w:bCs/>
          <w:color w:val="000000" w:themeColor="text1"/>
          <w:sz w:val="36"/>
          <w:szCs w:val="36"/>
          <w:highlight w:val="none"/>
          <w14:textFill>
            <w14:solidFill>
              <w14:schemeClr w14:val="tx1"/>
            </w14:solidFill>
          </w14:textFill>
        </w:rPr>
        <w:t>磋商函</w:t>
      </w:r>
    </w:p>
    <w:p w14:paraId="353AAE21">
      <w:pPr>
        <w:spacing w:line="440" w:lineRule="exact"/>
        <w:jc w:val="center"/>
        <w:rPr>
          <w:rFonts w:ascii="宋体"/>
          <w:color w:val="000000" w:themeColor="text1"/>
          <w:sz w:val="32"/>
          <w:szCs w:val="32"/>
          <w:highlight w:val="none"/>
          <w14:textFill>
            <w14:solidFill>
              <w14:schemeClr w14:val="tx1"/>
            </w14:solidFill>
          </w14:textFill>
        </w:rPr>
      </w:pPr>
    </w:p>
    <w:p w14:paraId="5035FC6B">
      <w:pPr>
        <w:autoSpaceDE w:val="0"/>
        <w:autoSpaceDN w:val="0"/>
        <w:spacing w:line="360" w:lineRule="auto"/>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致：</w:t>
      </w:r>
      <w:r>
        <w:rPr>
          <w:rFonts w:ascii="宋体" w:hAnsi="宋体" w:cs="宋体"/>
          <w:color w:val="000000" w:themeColor="text1"/>
          <w:highlight w:val="none"/>
          <w:u w:val="single"/>
          <w14:textFill>
            <w14:solidFill>
              <w14:schemeClr w14:val="tx1"/>
            </w14:solidFill>
          </w14:textFill>
        </w:rPr>
        <w:t xml:space="preserve">        </w:t>
      </w:r>
      <w:r>
        <w:rPr>
          <w:rFonts w:hint="eastAsia" w:ascii="宋体" w:hAnsi="宋体" w:cs="宋体"/>
          <w:color w:val="000000" w:themeColor="text1"/>
          <w:highlight w:val="none"/>
          <w:u w:val="single"/>
          <w14:textFill>
            <w14:solidFill>
              <w14:schemeClr w14:val="tx1"/>
            </w14:solidFill>
          </w14:textFill>
        </w:rPr>
        <w:t>（采购代理机构）</w:t>
      </w:r>
      <w:r>
        <w:rPr>
          <w:rFonts w:ascii="宋体" w:hAnsi="宋体" w:cs="宋体"/>
          <w:color w:val="000000" w:themeColor="text1"/>
          <w:highlight w:val="none"/>
          <w:u w:val="single"/>
          <w14:textFill>
            <w14:solidFill>
              <w14:schemeClr w14:val="tx1"/>
            </w14:solidFill>
          </w14:textFill>
        </w:rPr>
        <w:t xml:space="preserve">      </w:t>
      </w:r>
      <w:r>
        <w:rPr>
          <w:rFonts w:ascii="宋体" w:hAnsi="宋体" w:cs="宋体"/>
          <w:color w:val="000000" w:themeColor="text1"/>
          <w:highlight w:val="none"/>
          <w14:textFill>
            <w14:solidFill>
              <w14:schemeClr w14:val="tx1"/>
            </w14:solidFill>
          </w14:textFill>
        </w:rPr>
        <w:t xml:space="preserve"> </w:t>
      </w:r>
    </w:p>
    <w:p w14:paraId="73ABA7E6">
      <w:pPr>
        <w:widowControl/>
        <w:snapToGrid w:val="0"/>
        <w:spacing w:line="420" w:lineRule="exact"/>
        <w:ind w:firstLine="420"/>
        <w:textAlignment w:val="baseline"/>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1</w:t>
      </w:r>
      <w:r>
        <w:rPr>
          <w:rFonts w:hint="eastAsia" w:ascii="宋体" w:hAnsi="宋体" w:cs="宋体"/>
          <w:color w:val="000000" w:themeColor="text1"/>
          <w:highlight w:val="none"/>
          <w14:textFill>
            <w14:solidFill>
              <w14:schemeClr w14:val="tx1"/>
            </w14:solidFill>
          </w14:textFill>
        </w:rPr>
        <w:t>、根据你方采购编号为</w:t>
      </w:r>
      <w:r>
        <w:rPr>
          <w:rFonts w:hint="eastAsia" w:ascii="宋体" w:hAnsi="宋体" w:cs="宋体"/>
          <w:color w:val="000000" w:themeColor="text1"/>
          <w:highlight w:val="none"/>
          <w:u w:val="single" w:color="000000"/>
          <w14:textFill>
            <w14:solidFill>
              <w14:schemeClr w14:val="tx1"/>
            </w14:solidFill>
          </w14:textFill>
        </w:rPr>
        <w:t>（项目编号）</w:t>
      </w:r>
      <w:r>
        <w:rPr>
          <w:rFonts w:hint="eastAsia" w:ascii="宋体" w:hAnsi="宋体" w:cs="宋体"/>
          <w:color w:val="000000" w:themeColor="text1"/>
          <w:highlight w:val="none"/>
          <w14:textFill>
            <w14:solidFill>
              <w14:schemeClr w14:val="tx1"/>
            </w14:solidFill>
          </w14:textFill>
        </w:rPr>
        <w:t>的</w:t>
      </w:r>
      <w:r>
        <w:rPr>
          <w:rFonts w:hint="eastAsia" w:ascii="宋体" w:hAnsi="宋体" w:cs="宋体"/>
          <w:color w:val="000000" w:themeColor="text1"/>
          <w:highlight w:val="none"/>
          <w:u w:val="single" w:color="000000"/>
          <w14:textFill>
            <w14:solidFill>
              <w14:schemeClr w14:val="tx1"/>
            </w14:solidFill>
          </w14:textFill>
        </w:rPr>
        <w:t>（项目名称）</w:t>
      </w:r>
      <w:r>
        <w:rPr>
          <w:rFonts w:hint="eastAsia" w:ascii="宋体" w:hAnsi="宋体" w:cs="宋体"/>
          <w:color w:val="000000" w:themeColor="text1"/>
          <w:highlight w:val="none"/>
          <w14:textFill>
            <w14:solidFill>
              <w14:schemeClr w14:val="tx1"/>
            </w14:solidFill>
          </w14:textFill>
        </w:rPr>
        <w:t>采购文件，遵照相关法律法规规定，经踏勘项目现场和研究上述采购文件的磋商须知、合同条款、图纸、工程建设标准和工程量清单及其他有关文件后，我方愿以人民币（大写</w:t>
      </w:r>
      <w:r>
        <w:rPr>
          <w:rFonts w:ascii="宋体" w:hAnsi="宋体" w:cs="宋体"/>
          <w:color w:val="000000" w:themeColor="text1"/>
          <w:highlight w:val="none"/>
          <w:u w:val="single" w:color="000000"/>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）元（</w:t>
      </w:r>
      <w:r>
        <w:rPr>
          <w:rFonts w:hint="eastAsia" w:ascii="宋体" w:cs="宋体"/>
          <w:color w:val="000000" w:themeColor="text1"/>
          <w:highlight w:val="none"/>
          <w14:textFill>
            <w14:solidFill>
              <w14:schemeClr w14:val="tx1"/>
            </w14:solidFill>
          </w14:textFill>
        </w:rPr>
        <w:t>¥</w:t>
      </w:r>
      <w:r>
        <w:rPr>
          <w:rFonts w:ascii="宋体" w:hAnsi="宋体" w:cs="宋体"/>
          <w:color w:val="000000" w:themeColor="text1"/>
          <w:highlight w:val="none"/>
          <w:u w:val="single" w:color="000000"/>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元）</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的磋商报价并按上述图纸、合同条款、工程建设标准和工程量清单（如有时）的条件要求承包上述工程的施工、</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竣工，并承担任何质量缺陷保修责任。我方保证工程质量</w:t>
      </w:r>
      <w:r>
        <w:rPr>
          <w:rFonts w:hint="eastAsia" w:ascii="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w:t>
      </w:r>
    </w:p>
    <w:p w14:paraId="4A8F09E0">
      <w:pPr>
        <w:widowControl/>
        <w:snapToGrid w:val="0"/>
        <w:spacing w:line="420" w:lineRule="exact"/>
        <w:ind w:firstLine="420"/>
        <w:textAlignment w:val="baseline"/>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2</w:t>
      </w:r>
      <w:r>
        <w:rPr>
          <w:rFonts w:hint="eastAsia" w:ascii="宋体" w:hAnsi="宋体" w:cs="宋体"/>
          <w:color w:val="000000" w:themeColor="text1"/>
          <w:highlight w:val="none"/>
          <w14:textFill>
            <w14:solidFill>
              <w14:schemeClr w14:val="tx1"/>
            </w14:solidFill>
          </w14:textFill>
        </w:rPr>
        <w:t>、我方已详细审核全部采购文件，包括修改文件（如有时）及有关附件。</w:t>
      </w:r>
    </w:p>
    <w:p w14:paraId="5A427990">
      <w:pPr>
        <w:widowControl/>
        <w:snapToGrid w:val="0"/>
        <w:spacing w:line="420" w:lineRule="exact"/>
        <w:ind w:firstLine="420"/>
        <w:textAlignment w:val="baseline"/>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3</w:t>
      </w:r>
      <w:r>
        <w:rPr>
          <w:rFonts w:hint="eastAsia" w:ascii="宋体" w:hAnsi="宋体" w:cs="宋体"/>
          <w:color w:val="000000" w:themeColor="text1"/>
          <w:highlight w:val="none"/>
          <w14:textFill>
            <w14:solidFill>
              <w14:schemeClr w14:val="tx1"/>
            </w14:solidFill>
          </w14:textFill>
        </w:rPr>
        <w:t>、我方承认磋商书附录是我方磋商书的组成部分。</w:t>
      </w:r>
    </w:p>
    <w:p w14:paraId="691479FE">
      <w:pPr>
        <w:widowControl/>
        <w:snapToGrid w:val="0"/>
        <w:spacing w:line="420" w:lineRule="exact"/>
        <w:ind w:firstLine="420"/>
        <w:textAlignment w:val="baseline"/>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4</w:t>
      </w:r>
      <w:r>
        <w:rPr>
          <w:rFonts w:hint="eastAsia" w:ascii="宋体" w:hAnsi="宋体" w:cs="宋体"/>
          <w:color w:val="000000" w:themeColor="text1"/>
          <w:highlight w:val="none"/>
          <w14:textFill>
            <w14:solidFill>
              <w14:schemeClr w14:val="tx1"/>
            </w14:solidFill>
          </w14:textFill>
        </w:rPr>
        <w:t>、一旦我方成交，我方保证按合同书中规定的工期</w:t>
      </w:r>
      <w:r>
        <w:rPr>
          <w:rFonts w:ascii="宋体" w:hAnsi="宋体" w:cs="宋体"/>
          <w:color w:val="000000" w:themeColor="text1"/>
          <w:highlight w:val="none"/>
          <w:u w:val="singl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日历天内完成并移交全部工程。</w:t>
      </w:r>
    </w:p>
    <w:p w14:paraId="7386263A">
      <w:pPr>
        <w:widowControl/>
        <w:snapToGrid w:val="0"/>
        <w:spacing w:line="420" w:lineRule="exact"/>
        <w:ind w:firstLine="420"/>
        <w:textAlignment w:val="baseline"/>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5</w:t>
      </w:r>
      <w:r>
        <w:rPr>
          <w:rFonts w:hint="eastAsia" w:ascii="宋体" w:hAnsi="宋体" w:cs="宋体"/>
          <w:color w:val="000000" w:themeColor="text1"/>
          <w:highlight w:val="none"/>
          <w14:textFill>
            <w14:solidFill>
              <w14:schemeClr w14:val="tx1"/>
            </w14:solidFill>
          </w14:textFill>
        </w:rPr>
        <w:t>、如果我方成交，我方将按照文件规定提交履约保证金作为履约担保。</w:t>
      </w:r>
    </w:p>
    <w:p w14:paraId="1295746C">
      <w:pPr>
        <w:widowControl/>
        <w:snapToGrid w:val="0"/>
        <w:spacing w:line="420" w:lineRule="exact"/>
        <w:ind w:firstLine="420"/>
        <w:textAlignment w:val="baseline"/>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6</w:t>
      </w:r>
      <w:r>
        <w:rPr>
          <w:rFonts w:hint="eastAsia" w:ascii="宋体" w:hAnsi="宋体" w:cs="宋体"/>
          <w:color w:val="000000" w:themeColor="text1"/>
          <w:highlight w:val="none"/>
          <w14:textFill>
            <w14:solidFill>
              <w14:schemeClr w14:val="tx1"/>
            </w14:solidFill>
          </w14:textFill>
        </w:rPr>
        <w:t>、我方同意所提交的响应文件在采购文件的“供应商须知”中规定的磋商有效期内有效，</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在此期间内如果中标，</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我方将受此约束。</w:t>
      </w:r>
    </w:p>
    <w:p w14:paraId="12E1D19F">
      <w:pPr>
        <w:widowControl/>
        <w:snapToGrid w:val="0"/>
        <w:spacing w:line="420" w:lineRule="exact"/>
        <w:ind w:firstLine="420"/>
        <w:textAlignment w:val="baseline"/>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7</w:t>
      </w:r>
      <w:r>
        <w:rPr>
          <w:rFonts w:hint="eastAsia" w:ascii="宋体" w:hAnsi="宋体" w:cs="宋体"/>
          <w:color w:val="000000" w:themeColor="text1"/>
          <w:highlight w:val="none"/>
          <w14:textFill>
            <w14:solidFill>
              <w14:schemeClr w14:val="tx1"/>
            </w14:solidFill>
          </w14:textFill>
        </w:rPr>
        <w:t>、除非另外达成协议并生效，你方的成交通知书和本响应文件将成为约束双方的合同文件的组成部分。</w:t>
      </w:r>
    </w:p>
    <w:p w14:paraId="05955FB8">
      <w:pPr>
        <w:autoSpaceDE w:val="0"/>
        <w:autoSpaceDN w:val="0"/>
        <w:spacing w:line="360" w:lineRule="auto"/>
        <w:ind w:firstLine="420" w:firstLineChars="200"/>
        <w:rPr>
          <w:rFonts w:ascii="宋体"/>
          <w:color w:val="000000" w:themeColor="text1"/>
          <w:highlight w:val="none"/>
          <w14:textFill>
            <w14:solidFill>
              <w14:schemeClr w14:val="tx1"/>
            </w14:solidFill>
          </w14:textFill>
        </w:rPr>
      </w:pPr>
    </w:p>
    <w:p w14:paraId="1FA003A7">
      <w:pPr>
        <w:spacing w:line="360" w:lineRule="auto"/>
        <w:rPr>
          <w:rFonts w:ascii="宋体"/>
          <w:color w:val="000000" w:themeColor="text1"/>
          <w:highlight w:val="none"/>
          <w14:textFill>
            <w14:solidFill>
              <w14:schemeClr w14:val="tx1"/>
            </w14:solidFill>
          </w14:textFill>
        </w:rPr>
      </w:pPr>
    </w:p>
    <w:p w14:paraId="0EAA60DB">
      <w:pPr>
        <w:spacing w:line="360" w:lineRule="auto"/>
        <w:ind w:left="1000"/>
        <w:rPr>
          <w:rFonts w:ascii="宋体"/>
          <w:color w:val="000000" w:themeColor="text1"/>
          <w:highlight w:val="none"/>
          <w:u w:val="singl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供应商：</w:t>
      </w:r>
      <w:r>
        <w:rPr>
          <w:rFonts w:ascii="宋体" w:hAnsi="宋体" w:cs="宋体"/>
          <w:color w:val="000000" w:themeColor="text1"/>
          <w:highlight w:val="none"/>
          <w:u w:val="single"/>
          <w14:textFill>
            <w14:solidFill>
              <w14:schemeClr w14:val="tx1"/>
            </w14:solidFill>
          </w14:textFill>
        </w:rPr>
        <w:t xml:space="preserve">                           </w:t>
      </w:r>
      <w:r>
        <w:rPr>
          <w:rFonts w:hint="eastAsia" w:ascii="宋体" w:hAnsi="宋体" w:cs="宋体"/>
          <w:color w:val="000000" w:themeColor="text1"/>
          <w:highlight w:val="none"/>
          <w:u w:val="single"/>
          <w14:textFill>
            <w14:solidFill>
              <w14:schemeClr w14:val="tx1"/>
            </w14:solidFill>
          </w14:textFill>
        </w:rPr>
        <w:t>（盖章）</w:t>
      </w:r>
    </w:p>
    <w:p w14:paraId="33128411">
      <w:pPr>
        <w:spacing w:line="360" w:lineRule="auto"/>
        <w:ind w:left="1000"/>
        <w:rPr>
          <w:rFonts w:ascii="宋体"/>
          <w:color w:val="000000" w:themeColor="text1"/>
          <w:highlight w:val="none"/>
          <w:u w:val="singl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单位地址：</w:t>
      </w:r>
      <w:r>
        <w:rPr>
          <w:rFonts w:ascii="宋体" w:hAnsi="宋体" w:cs="宋体"/>
          <w:color w:val="000000" w:themeColor="text1"/>
          <w:highlight w:val="none"/>
          <w:u w:val="single"/>
          <w14:textFill>
            <w14:solidFill>
              <w14:schemeClr w14:val="tx1"/>
            </w14:solidFill>
          </w14:textFill>
        </w:rPr>
        <w:t xml:space="preserve">                                 </w:t>
      </w:r>
    </w:p>
    <w:p w14:paraId="1B5CEE93">
      <w:pPr>
        <w:spacing w:line="360" w:lineRule="auto"/>
        <w:ind w:left="1000"/>
        <w:rPr>
          <w:rFonts w:ascii="宋体"/>
          <w:color w:val="000000" w:themeColor="text1"/>
          <w:highlight w:val="none"/>
          <w:u w:val="singl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法定代表人或其委托代理人：</w:t>
      </w:r>
      <w:r>
        <w:rPr>
          <w:rFonts w:ascii="宋体" w:hAnsi="宋体" w:cs="宋体"/>
          <w:color w:val="000000" w:themeColor="text1"/>
          <w:highlight w:val="none"/>
          <w:u w:val="single"/>
          <w14:textFill>
            <w14:solidFill>
              <w14:schemeClr w14:val="tx1"/>
            </w14:solidFill>
          </w14:textFill>
        </w:rPr>
        <w:t xml:space="preserve">   </w:t>
      </w:r>
      <w:r>
        <w:rPr>
          <w:rFonts w:hint="eastAsia" w:ascii="宋体" w:hAnsi="宋体" w:cs="宋体"/>
          <w:color w:val="000000" w:themeColor="text1"/>
          <w:highlight w:val="none"/>
          <w:u w:val="single"/>
          <w14:textFill>
            <w14:solidFill>
              <w14:schemeClr w14:val="tx1"/>
            </w14:solidFill>
          </w14:textFill>
        </w:rPr>
        <w:t>（签字或盖印鉴）</w:t>
      </w:r>
      <w:r>
        <w:rPr>
          <w:rFonts w:ascii="宋体" w:hAnsi="宋体" w:cs="宋体"/>
          <w:color w:val="000000" w:themeColor="text1"/>
          <w:highlight w:val="none"/>
          <w:u w:val="single"/>
          <w14:textFill>
            <w14:solidFill>
              <w14:schemeClr w14:val="tx1"/>
            </w14:solidFill>
          </w14:textFill>
        </w:rPr>
        <w:t xml:space="preserve">      </w:t>
      </w:r>
    </w:p>
    <w:p w14:paraId="2133A962">
      <w:pPr>
        <w:spacing w:line="360" w:lineRule="auto"/>
        <w:ind w:left="1000"/>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邮政编码：</w:t>
      </w:r>
      <w:r>
        <w:rPr>
          <w:rFonts w:ascii="宋体" w:hAnsi="宋体" w:cs="宋体"/>
          <w:color w:val="000000" w:themeColor="text1"/>
          <w:highlight w:val="none"/>
          <w:u w:val="singl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电话：</w:t>
      </w:r>
      <w:r>
        <w:rPr>
          <w:rFonts w:ascii="宋体" w:hAnsi="宋体" w:cs="宋体"/>
          <w:color w:val="000000" w:themeColor="text1"/>
          <w:highlight w:val="none"/>
          <w:u w:val="singl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传真：</w:t>
      </w:r>
      <w:r>
        <w:rPr>
          <w:rFonts w:ascii="宋体" w:hAnsi="宋体" w:cs="宋体"/>
          <w:color w:val="000000" w:themeColor="text1"/>
          <w:highlight w:val="none"/>
          <w:u w:val="single"/>
          <w14:textFill>
            <w14:solidFill>
              <w14:schemeClr w14:val="tx1"/>
            </w14:solidFill>
          </w14:textFill>
        </w:rPr>
        <w:t xml:space="preserve">      </w:t>
      </w:r>
    </w:p>
    <w:p w14:paraId="203AB2D9">
      <w:pPr>
        <w:spacing w:line="360" w:lineRule="auto"/>
        <w:ind w:left="1000"/>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开户银行名称：</w:t>
      </w:r>
      <w:r>
        <w:rPr>
          <w:rFonts w:ascii="宋体"/>
          <w:color w:val="000000" w:themeColor="text1"/>
          <w:highlight w:val="none"/>
          <w:u w:val="single"/>
          <w14:textFill>
            <w14:solidFill>
              <w14:schemeClr w14:val="tx1"/>
            </w14:solidFill>
          </w14:textFill>
        </w:rPr>
        <w:tab/>
      </w:r>
      <w:r>
        <w:rPr>
          <w:rFonts w:ascii="宋体" w:hAnsi="宋体" w:cs="宋体"/>
          <w:color w:val="000000" w:themeColor="text1"/>
          <w:highlight w:val="none"/>
          <w:u w:val="single"/>
          <w14:textFill>
            <w14:solidFill>
              <w14:schemeClr w14:val="tx1"/>
            </w14:solidFill>
          </w14:textFill>
        </w:rPr>
        <w:t xml:space="preserve">                             </w:t>
      </w:r>
    </w:p>
    <w:p w14:paraId="49307658">
      <w:pPr>
        <w:spacing w:line="360" w:lineRule="auto"/>
        <w:ind w:left="1000"/>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开户银行账号：</w:t>
      </w:r>
      <w:r>
        <w:rPr>
          <w:rFonts w:ascii="宋体" w:hAnsi="宋体" w:cs="宋体"/>
          <w:color w:val="000000" w:themeColor="text1"/>
          <w:highlight w:val="none"/>
          <w:u w:val="single"/>
          <w14:textFill>
            <w14:solidFill>
              <w14:schemeClr w14:val="tx1"/>
            </w14:solidFill>
          </w14:textFill>
        </w:rPr>
        <w:t xml:space="preserve">                             </w:t>
      </w:r>
    </w:p>
    <w:p w14:paraId="129C088B">
      <w:pPr>
        <w:spacing w:line="360" w:lineRule="auto"/>
        <w:ind w:left="1000"/>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开户银行地址：</w:t>
      </w:r>
      <w:r>
        <w:rPr>
          <w:rFonts w:ascii="宋体" w:hAnsi="宋体" w:cs="宋体"/>
          <w:color w:val="000000" w:themeColor="text1"/>
          <w:highlight w:val="none"/>
          <w:u w:val="single"/>
          <w14:textFill>
            <w14:solidFill>
              <w14:schemeClr w14:val="tx1"/>
            </w14:solidFill>
          </w14:textFill>
        </w:rPr>
        <w:t xml:space="preserve">                             </w:t>
      </w:r>
    </w:p>
    <w:p w14:paraId="49F57EB3">
      <w:pPr>
        <w:spacing w:line="360" w:lineRule="auto"/>
        <w:ind w:left="1000"/>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开户银行电话：</w:t>
      </w:r>
      <w:r>
        <w:rPr>
          <w:rFonts w:ascii="宋体" w:hAnsi="宋体" w:cs="宋体"/>
          <w:color w:val="000000" w:themeColor="text1"/>
          <w:highlight w:val="none"/>
          <w:u w:val="single"/>
          <w14:textFill>
            <w14:solidFill>
              <w14:schemeClr w14:val="tx1"/>
            </w14:solidFill>
          </w14:textFill>
        </w:rPr>
        <w:t xml:space="preserve">                             </w:t>
      </w:r>
    </w:p>
    <w:p w14:paraId="4D77C6B3">
      <w:pPr>
        <w:spacing w:line="360" w:lineRule="auto"/>
        <w:ind w:left="1000" w:firstLine="2415" w:firstLineChars="1150"/>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日</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期：</w:t>
      </w:r>
      <w:r>
        <w:rPr>
          <w:rFonts w:ascii="宋体" w:hAnsi="宋体" w:cs="宋体"/>
          <w:color w:val="000000" w:themeColor="text1"/>
          <w:highlight w:val="none"/>
          <w:u w:val="singl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年</w:t>
      </w:r>
      <w:r>
        <w:rPr>
          <w:rFonts w:ascii="宋体" w:hAnsi="宋体" w:cs="宋体"/>
          <w:color w:val="000000" w:themeColor="text1"/>
          <w:highlight w:val="none"/>
          <w:u w:val="singl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月</w:t>
      </w:r>
      <w:r>
        <w:rPr>
          <w:rFonts w:ascii="宋体" w:hAnsi="宋体" w:cs="宋体"/>
          <w:color w:val="000000" w:themeColor="text1"/>
          <w:highlight w:val="none"/>
          <w:u w:val="singl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日</w:t>
      </w:r>
    </w:p>
    <w:p w14:paraId="0267C1EF">
      <w:pPr>
        <w:spacing w:line="360" w:lineRule="auto"/>
        <w:ind w:right="-817" w:rightChars="-389" w:firstLine="3584" w:firstLineChars="1700"/>
        <w:rPr>
          <w:rFonts w:ascii="宋体"/>
          <w:b/>
          <w:bCs/>
          <w:color w:val="000000" w:themeColor="text1"/>
          <w:highlight w:val="none"/>
          <w14:textFill>
            <w14:solidFill>
              <w14:schemeClr w14:val="tx1"/>
            </w14:solidFill>
          </w14:textFill>
        </w:rPr>
      </w:pPr>
    </w:p>
    <w:p w14:paraId="5DC627B7">
      <w:pPr>
        <w:spacing w:line="360" w:lineRule="auto"/>
        <w:ind w:right="-817" w:rightChars="-389" w:firstLine="3584" w:firstLineChars="1700"/>
        <w:rPr>
          <w:rFonts w:ascii="宋体"/>
          <w:b/>
          <w:bCs/>
          <w:color w:val="000000" w:themeColor="text1"/>
          <w:highlight w:val="none"/>
          <w14:textFill>
            <w14:solidFill>
              <w14:schemeClr w14:val="tx1"/>
            </w14:solidFill>
          </w14:textFill>
        </w:rPr>
      </w:pPr>
    </w:p>
    <w:p w14:paraId="676F3D4F">
      <w:pPr>
        <w:spacing w:line="360" w:lineRule="auto"/>
        <w:ind w:right="-817" w:rightChars="-389" w:firstLine="4096" w:firstLineChars="1700"/>
        <w:rPr>
          <w:rFonts w:ascii="宋体"/>
          <w:b/>
          <w:bCs/>
          <w:color w:val="000000" w:themeColor="text1"/>
          <w:sz w:val="24"/>
          <w:szCs w:val="24"/>
          <w:highlight w:val="none"/>
          <w14:textFill>
            <w14:solidFill>
              <w14:schemeClr w14:val="tx1"/>
            </w14:solidFill>
          </w14:textFill>
        </w:rPr>
      </w:pPr>
    </w:p>
    <w:p w14:paraId="3857DF92">
      <w:pPr>
        <w:spacing w:line="360" w:lineRule="auto"/>
        <w:ind w:right="-817" w:rightChars="-389" w:firstLine="4096" w:firstLineChars="1700"/>
        <w:rPr>
          <w:rFonts w:ascii="宋体"/>
          <w:b/>
          <w:bCs/>
          <w:color w:val="000000" w:themeColor="text1"/>
          <w:sz w:val="24"/>
          <w:szCs w:val="24"/>
          <w:highlight w:val="none"/>
          <w14:textFill>
            <w14:solidFill>
              <w14:schemeClr w14:val="tx1"/>
            </w14:solidFill>
          </w14:textFill>
        </w:rPr>
      </w:pPr>
    </w:p>
    <w:p w14:paraId="2FBEB2A4">
      <w:pPr>
        <w:pStyle w:val="21"/>
        <w:rPr>
          <w:rFonts w:ascii="宋体"/>
          <w:b/>
          <w:bCs/>
          <w:color w:val="000000" w:themeColor="text1"/>
          <w:sz w:val="24"/>
          <w:szCs w:val="24"/>
          <w:highlight w:val="none"/>
          <w14:textFill>
            <w14:solidFill>
              <w14:schemeClr w14:val="tx1"/>
            </w14:solidFill>
          </w14:textFill>
        </w:rPr>
      </w:pPr>
    </w:p>
    <w:p w14:paraId="6802D499">
      <w:pPr>
        <w:rPr>
          <w:rFonts w:ascii="宋体"/>
          <w:b/>
          <w:bCs/>
          <w:color w:val="000000" w:themeColor="text1"/>
          <w:sz w:val="24"/>
          <w:szCs w:val="24"/>
          <w:highlight w:val="none"/>
          <w14:textFill>
            <w14:solidFill>
              <w14:schemeClr w14:val="tx1"/>
            </w14:solidFill>
          </w14:textFill>
        </w:rPr>
      </w:pPr>
    </w:p>
    <w:p w14:paraId="698D7FC8">
      <w:pPr>
        <w:pStyle w:val="21"/>
        <w:rPr>
          <w:color w:val="000000" w:themeColor="text1"/>
          <w:highlight w:val="none"/>
          <w14:textFill>
            <w14:solidFill>
              <w14:schemeClr w14:val="tx1"/>
            </w14:solidFill>
          </w14:textFill>
        </w:rPr>
      </w:pPr>
    </w:p>
    <w:p w14:paraId="1ED2CC55">
      <w:pPr>
        <w:spacing w:line="520" w:lineRule="exact"/>
        <w:jc w:val="center"/>
        <w:rPr>
          <w:rFonts w:ascii="宋体"/>
          <w:b/>
          <w:bCs/>
          <w:color w:val="000000" w:themeColor="text1"/>
          <w:sz w:val="36"/>
          <w:szCs w:val="36"/>
          <w:highlight w:val="none"/>
          <w14:textFill>
            <w14:solidFill>
              <w14:schemeClr w14:val="tx1"/>
            </w14:solidFill>
          </w14:textFill>
        </w:rPr>
      </w:pPr>
      <w:r>
        <w:rPr>
          <w:rFonts w:hint="eastAsia" w:ascii="宋体" w:hAnsi="宋体" w:cs="宋体"/>
          <w:b/>
          <w:bCs/>
          <w:color w:val="000000" w:themeColor="text1"/>
          <w:sz w:val="36"/>
          <w:szCs w:val="36"/>
          <w:highlight w:val="none"/>
          <w14:textFill>
            <w14:solidFill>
              <w14:schemeClr w14:val="tx1"/>
            </w14:solidFill>
          </w14:textFill>
        </w:rPr>
        <w:t>磋商</w:t>
      </w:r>
      <w:bookmarkStart w:id="98" w:name="OLE_LINK10"/>
      <w:r>
        <w:rPr>
          <w:rFonts w:hint="eastAsia" w:ascii="宋体" w:hAnsi="宋体" w:cs="宋体"/>
          <w:b/>
          <w:bCs/>
          <w:color w:val="000000" w:themeColor="text1"/>
          <w:sz w:val="36"/>
          <w:szCs w:val="36"/>
          <w:highlight w:val="none"/>
          <w14:textFill>
            <w14:solidFill>
              <w14:schemeClr w14:val="tx1"/>
            </w14:solidFill>
          </w14:textFill>
        </w:rPr>
        <w:t>函附录</w:t>
      </w:r>
      <w:bookmarkEnd w:id="98"/>
    </w:p>
    <w:p w14:paraId="7FB030CF">
      <w:pPr>
        <w:spacing w:line="520" w:lineRule="exact"/>
        <w:jc w:val="center"/>
        <w:rPr>
          <w:rFonts w:ascii="宋体"/>
          <w:b/>
          <w:bCs/>
          <w:color w:val="000000" w:themeColor="text1"/>
          <w:sz w:val="36"/>
          <w:szCs w:val="36"/>
          <w:highlight w:val="none"/>
          <w14:textFill>
            <w14:solidFill>
              <w14:schemeClr w14:val="tx1"/>
            </w14:solidFill>
          </w14:textFill>
        </w:rPr>
      </w:pPr>
    </w:p>
    <w:p w14:paraId="5DE2F04E">
      <w:pPr>
        <w:spacing w:line="360" w:lineRule="auto"/>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项目名称：</w:t>
      </w:r>
      <w:r>
        <w:rPr>
          <w:rFonts w:ascii="宋体" w:hAnsi="宋体" w:cs="宋体"/>
          <w:color w:val="000000" w:themeColor="text1"/>
          <w:highlight w:val="none"/>
          <w:u w:val="singl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项目编号：</w:t>
      </w:r>
      <w:r>
        <w:rPr>
          <w:rFonts w:ascii="宋体" w:hAnsi="宋体" w:cs="宋体"/>
          <w:color w:val="000000" w:themeColor="text1"/>
          <w:highlight w:val="none"/>
          <w:u w:val="single"/>
          <w14:textFill>
            <w14:solidFill>
              <w14:schemeClr w14:val="tx1"/>
            </w14:solidFill>
          </w14:textFill>
        </w:rPr>
        <w:t xml:space="preserve">                   </w:t>
      </w:r>
      <w:r>
        <w:rPr>
          <w:rFonts w:ascii="宋体" w:hAnsi="宋体" w:cs="宋体"/>
          <w:color w:val="000000" w:themeColor="text1"/>
          <w:highlight w:val="none"/>
          <w14:textFill>
            <w14:solidFill>
              <w14:schemeClr w14:val="tx1"/>
            </w14:solidFill>
          </w14:textFill>
        </w:rPr>
        <w:t xml:space="preserve">     </w:t>
      </w:r>
    </w:p>
    <w:tbl>
      <w:tblPr>
        <w:tblStyle w:val="59"/>
        <w:tblW w:w="93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1"/>
        <w:gridCol w:w="2206"/>
        <w:gridCol w:w="1622"/>
        <w:gridCol w:w="3402"/>
        <w:gridCol w:w="1349"/>
      </w:tblGrid>
      <w:tr w14:paraId="37D45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1" w:type="dxa"/>
            <w:vAlign w:val="center"/>
          </w:tcPr>
          <w:p w14:paraId="1A2C06C5">
            <w:pPr>
              <w:widowControl/>
              <w:jc w:val="center"/>
              <w:textAlignment w:val="baseline"/>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序</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号</w:t>
            </w:r>
          </w:p>
        </w:tc>
        <w:tc>
          <w:tcPr>
            <w:tcW w:w="2206" w:type="dxa"/>
            <w:vAlign w:val="center"/>
          </w:tcPr>
          <w:p w14:paraId="5094C4D2">
            <w:pPr>
              <w:widowControl/>
              <w:jc w:val="center"/>
              <w:textAlignment w:val="baseline"/>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条款内容</w:t>
            </w:r>
          </w:p>
        </w:tc>
        <w:tc>
          <w:tcPr>
            <w:tcW w:w="1622" w:type="dxa"/>
            <w:vAlign w:val="center"/>
          </w:tcPr>
          <w:p w14:paraId="1890CE80">
            <w:pPr>
              <w:widowControl/>
              <w:jc w:val="center"/>
              <w:textAlignment w:val="baseline"/>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合同条目号</w:t>
            </w:r>
          </w:p>
        </w:tc>
        <w:tc>
          <w:tcPr>
            <w:tcW w:w="3402" w:type="dxa"/>
            <w:vAlign w:val="center"/>
          </w:tcPr>
          <w:p w14:paraId="395BE678">
            <w:pPr>
              <w:widowControl/>
              <w:jc w:val="center"/>
              <w:textAlignment w:val="baseline"/>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约定内容</w:t>
            </w:r>
          </w:p>
        </w:tc>
        <w:tc>
          <w:tcPr>
            <w:tcW w:w="1349" w:type="dxa"/>
            <w:vAlign w:val="center"/>
          </w:tcPr>
          <w:p w14:paraId="07EFD559">
            <w:pPr>
              <w:widowControl/>
              <w:jc w:val="center"/>
              <w:textAlignment w:val="baseline"/>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备注</w:t>
            </w:r>
          </w:p>
        </w:tc>
      </w:tr>
      <w:tr w14:paraId="0AB6E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1" w:type="dxa"/>
            <w:vAlign w:val="center"/>
          </w:tcPr>
          <w:p w14:paraId="6A0922FE">
            <w:pPr>
              <w:widowControl/>
              <w:jc w:val="center"/>
              <w:textAlignment w:val="baseline"/>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1</w:t>
            </w:r>
          </w:p>
        </w:tc>
        <w:tc>
          <w:tcPr>
            <w:tcW w:w="2206" w:type="dxa"/>
            <w:vAlign w:val="center"/>
          </w:tcPr>
          <w:p w14:paraId="4BC3343C">
            <w:pPr>
              <w:widowControl/>
              <w:textAlignment w:val="baseline"/>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缺陷责任期</w:t>
            </w:r>
          </w:p>
        </w:tc>
        <w:tc>
          <w:tcPr>
            <w:tcW w:w="1622" w:type="dxa"/>
            <w:tcMar>
              <w:left w:w="170" w:type="dxa"/>
            </w:tcMar>
            <w:vAlign w:val="center"/>
          </w:tcPr>
          <w:p w14:paraId="00FFE4E2">
            <w:pPr>
              <w:widowControl/>
              <w:textAlignment w:val="baseline"/>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1.1.4.5</w:t>
            </w:r>
          </w:p>
        </w:tc>
        <w:tc>
          <w:tcPr>
            <w:tcW w:w="3402" w:type="dxa"/>
            <w:vAlign w:val="center"/>
          </w:tcPr>
          <w:p w14:paraId="79693744">
            <w:pPr>
              <w:widowControl/>
              <w:textAlignment w:val="baseline"/>
              <w:rPr>
                <w:rFonts w:ascii="宋体" w:eastAsiaTheme="minorEastAsia"/>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自实际交工日期起计算</w:t>
            </w:r>
            <w:r>
              <w:rPr>
                <w:rFonts w:hint="eastAsia" w:ascii="宋体" w:hAnsi="宋体" w:cs="宋体"/>
                <w:color w:val="000000" w:themeColor="text1"/>
                <w:sz w:val="24"/>
                <w:szCs w:val="24"/>
                <w:highlight w:val="none"/>
                <w:u w:val="single"/>
                <w14:textFill>
                  <w14:solidFill>
                    <w14:schemeClr w14:val="tx1"/>
                  </w14:solidFill>
                </w14:textFill>
              </w:rPr>
              <w:t xml:space="preserve">   年</w:t>
            </w:r>
          </w:p>
        </w:tc>
        <w:tc>
          <w:tcPr>
            <w:tcW w:w="1349" w:type="dxa"/>
            <w:vAlign w:val="center"/>
          </w:tcPr>
          <w:p w14:paraId="264E8420">
            <w:pPr>
              <w:widowControl/>
              <w:jc w:val="center"/>
              <w:textAlignment w:val="baseline"/>
              <w:rPr>
                <w:rFonts w:ascii="宋体"/>
                <w:color w:val="000000" w:themeColor="text1"/>
                <w:highlight w:val="none"/>
                <w14:textFill>
                  <w14:solidFill>
                    <w14:schemeClr w14:val="tx1"/>
                  </w14:solidFill>
                </w14:textFill>
              </w:rPr>
            </w:pPr>
          </w:p>
        </w:tc>
      </w:tr>
      <w:tr w14:paraId="7AFDA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1" w:type="dxa"/>
            <w:vAlign w:val="center"/>
          </w:tcPr>
          <w:p w14:paraId="0035A3B5">
            <w:pPr>
              <w:widowControl/>
              <w:jc w:val="center"/>
              <w:textAlignment w:val="baseline"/>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2</w:t>
            </w:r>
          </w:p>
        </w:tc>
        <w:tc>
          <w:tcPr>
            <w:tcW w:w="2206" w:type="dxa"/>
            <w:vAlign w:val="center"/>
          </w:tcPr>
          <w:p w14:paraId="23CD07BA">
            <w:pPr>
              <w:widowControl/>
              <w:textAlignment w:val="baseline"/>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逾期交工违约金</w:t>
            </w:r>
          </w:p>
        </w:tc>
        <w:tc>
          <w:tcPr>
            <w:tcW w:w="1622" w:type="dxa"/>
            <w:tcMar>
              <w:left w:w="170" w:type="dxa"/>
            </w:tcMar>
            <w:vAlign w:val="center"/>
          </w:tcPr>
          <w:p w14:paraId="359ABF2D">
            <w:pPr>
              <w:widowControl/>
              <w:textAlignment w:val="baseline"/>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11.5</w:t>
            </w:r>
          </w:p>
        </w:tc>
        <w:tc>
          <w:tcPr>
            <w:tcW w:w="3402" w:type="dxa"/>
            <w:vAlign w:val="center"/>
          </w:tcPr>
          <w:p w14:paraId="2DA75F95">
            <w:pPr>
              <w:widowControl/>
              <w:textAlignment w:val="baseline"/>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u w:val="singl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元</w:t>
            </w:r>
            <w:r>
              <w:rPr>
                <w:rFonts w:ascii="宋体" w:hAnsi="宋体" w:cs="宋体"/>
                <w:color w:val="000000" w:themeColor="text1"/>
                <w:highlight w:val="none"/>
                <w14:textFill>
                  <w14:solidFill>
                    <w14:schemeClr w14:val="tx1"/>
                  </w14:solidFill>
                </w14:textFill>
              </w:rPr>
              <w:t>/</w:t>
            </w:r>
            <w:r>
              <w:rPr>
                <w:rFonts w:hint="eastAsia" w:ascii="宋体" w:hAnsi="宋体" w:cs="宋体"/>
                <w:color w:val="000000" w:themeColor="text1"/>
                <w:highlight w:val="none"/>
                <w14:textFill>
                  <w14:solidFill>
                    <w14:schemeClr w14:val="tx1"/>
                  </w14:solidFill>
                </w14:textFill>
              </w:rPr>
              <w:t>天</w:t>
            </w:r>
          </w:p>
        </w:tc>
        <w:tc>
          <w:tcPr>
            <w:tcW w:w="1349" w:type="dxa"/>
            <w:vAlign w:val="center"/>
          </w:tcPr>
          <w:p w14:paraId="0F696792">
            <w:pPr>
              <w:widowControl/>
              <w:jc w:val="center"/>
              <w:textAlignment w:val="baseline"/>
              <w:rPr>
                <w:rFonts w:ascii="宋体"/>
                <w:color w:val="000000" w:themeColor="text1"/>
                <w:highlight w:val="none"/>
                <w14:textFill>
                  <w14:solidFill>
                    <w14:schemeClr w14:val="tx1"/>
                  </w14:solidFill>
                </w14:textFill>
              </w:rPr>
            </w:pPr>
          </w:p>
        </w:tc>
      </w:tr>
      <w:tr w14:paraId="5055B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1" w:type="dxa"/>
            <w:vAlign w:val="center"/>
          </w:tcPr>
          <w:p w14:paraId="2872F74A">
            <w:pPr>
              <w:widowControl/>
              <w:jc w:val="center"/>
              <w:textAlignment w:val="baseline"/>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3</w:t>
            </w:r>
          </w:p>
        </w:tc>
        <w:tc>
          <w:tcPr>
            <w:tcW w:w="2206" w:type="dxa"/>
            <w:vAlign w:val="center"/>
          </w:tcPr>
          <w:p w14:paraId="7E5E0797">
            <w:pPr>
              <w:widowControl/>
              <w:textAlignment w:val="baseline"/>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逾期交工违约金限额</w:t>
            </w:r>
          </w:p>
        </w:tc>
        <w:tc>
          <w:tcPr>
            <w:tcW w:w="1622" w:type="dxa"/>
            <w:tcMar>
              <w:left w:w="170" w:type="dxa"/>
            </w:tcMar>
            <w:vAlign w:val="center"/>
          </w:tcPr>
          <w:p w14:paraId="51C7D09D">
            <w:pPr>
              <w:widowControl/>
              <w:textAlignment w:val="baseline"/>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11.5</w:t>
            </w:r>
          </w:p>
        </w:tc>
        <w:tc>
          <w:tcPr>
            <w:tcW w:w="3402" w:type="dxa"/>
            <w:vAlign w:val="center"/>
          </w:tcPr>
          <w:p w14:paraId="218A6C77">
            <w:pPr>
              <w:widowControl/>
              <w:textAlignment w:val="baseline"/>
              <w:rPr>
                <w:rFonts w:ascii="宋体"/>
                <w:color w:val="000000" w:themeColor="text1"/>
                <w:highlight w:val="none"/>
                <w:u w:val="single"/>
                <w14:textFill>
                  <w14:solidFill>
                    <w14:schemeClr w14:val="tx1"/>
                  </w14:solidFill>
                </w14:textFill>
              </w:rPr>
            </w:pPr>
            <w:r>
              <w:rPr>
                <w:rFonts w:hint="eastAsia" w:ascii="宋体" w:hAnsi="宋体" w:cs="宋体"/>
                <w:color w:val="000000" w:themeColor="text1"/>
                <w:highlight w:val="none"/>
                <w:u w:val="single"/>
                <w14:textFill>
                  <w14:solidFill>
                    <w14:schemeClr w14:val="tx1"/>
                  </w14:solidFill>
                </w14:textFill>
              </w:rPr>
              <w:t xml:space="preserve">     </w:t>
            </w:r>
            <w:r>
              <w:rPr>
                <w:rFonts w:ascii="宋体" w:hAnsi="宋体" w:cs="宋体"/>
                <w:color w:val="000000" w:themeColor="text1"/>
                <w:highlight w:val="none"/>
                <w14:textFill>
                  <w14:solidFill>
                    <w14:schemeClr w14:val="tx1"/>
                  </w14:solidFill>
                </w14:textFill>
              </w:rPr>
              <w:t>%</w:t>
            </w:r>
            <w:r>
              <w:rPr>
                <w:rFonts w:hint="eastAsia" w:ascii="宋体" w:hAnsi="宋体" w:cs="宋体"/>
                <w:color w:val="000000" w:themeColor="text1"/>
                <w:highlight w:val="none"/>
                <w14:textFill>
                  <w14:solidFill>
                    <w14:schemeClr w14:val="tx1"/>
                  </w14:solidFill>
                </w14:textFill>
              </w:rPr>
              <w:t>签约合同价</w:t>
            </w:r>
          </w:p>
        </w:tc>
        <w:tc>
          <w:tcPr>
            <w:tcW w:w="1349" w:type="dxa"/>
            <w:vAlign w:val="center"/>
          </w:tcPr>
          <w:p w14:paraId="1CC88BDC">
            <w:pPr>
              <w:widowControl/>
              <w:jc w:val="center"/>
              <w:textAlignment w:val="baseline"/>
              <w:rPr>
                <w:rFonts w:ascii="宋体"/>
                <w:color w:val="000000" w:themeColor="text1"/>
                <w:highlight w:val="none"/>
                <w14:textFill>
                  <w14:solidFill>
                    <w14:schemeClr w14:val="tx1"/>
                  </w14:solidFill>
                </w14:textFill>
              </w:rPr>
            </w:pPr>
          </w:p>
        </w:tc>
      </w:tr>
      <w:tr w14:paraId="69CA8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1" w:hRule="atLeast"/>
          <w:jc w:val="center"/>
        </w:trPr>
        <w:tc>
          <w:tcPr>
            <w:tcW w:w="771" w:type="dxa"/>
            <w:vAlign w:val="center"/>
          </w:tcPr>
          <w:p w14:paraId="08C11544">
            <w:pPr>
              <w:widowControl/>
              <w:jc w:val="center"/>
              <w:textAlignment w:val="baseline"/>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6</w:t>
            </w:r>
          </w:p>
        </w:tc>
        <w:tc>
          <w:tcPr>
            <w:tcW w:w="2206" w:type="dxa"/>
            <w:vAlign w:val="center"/>
          </w:tcPr>
          <w:p w14:paraId="454A82B9">
            <w:pPr>
              <w:widowControl/>
              <w:textAlignment w:val="baseline"/>
              <w:rPr>
                <w:rFonts w:ascii="宋体"/>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物价波动引起的价格调整</w:t>
            </w:r>
          </w:p>
        </w:tc>
        <w:tc>
          <w:tcPr>
            <w:tcW w:w="1622" w:type="dxa"/>
            <w:tcMar>
              <w:left w:w="170" w:type="dxa"/>
            </w:tcMar>
            <w:vAlign w:val="center"/>
          </w:tcPr>
          <w:p w14:paraId="06769684">
            <w:pPr>
              <w:widowControl/>
              <w:textAlignment w:val="baseline"/>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16.1</w:t>
            </w:r>
          </w:p>
        </w:tc>
        <w:tc>
          <w:tcPr>
            <w:tcW w:w="3402" w:type="dxa"/>
            <w:vAlign w:val="center"/>
          </w:tcPr>
          <w:p w14:paraId="0DC923A3">
            <w:pPr>
              <w:pStyle w:val="471"/>
              <w:spacing w:before="130" w:line="218" w:lineRule="auto"/>
              <w:rPr>
                <w:color w:val="000000" w:themeColor="text1"/>
                <w:sz w:val="21"/>
                <w:szCs w:val="21"/>
                <w:highlight w:val="none"/>
                <w:lang w:eastAsia="zh-CN"/>
                <w14:textFill>
                  <w14:solidFill>
                    <w14:schemeClr w14:val="tx1"/>
                  </w14:solidFill>
                </w14:textFill>
              </w:rPr>
            </w:pPr>
            <w:r>
              <w:rPr>
                <w:rFonts w:hint="eastAsia"/>
                <w:color w:val="000000" w:themeColor="text1"/>
                <w:spacing w:val="-2"/>
                <w:sz w:val="21"/>
                <w:szCs w:val="21"/>
                <w:highlight w:val="none"/>
                <w:lang w:eastAsia="zh-CN"/>
                <w14:textFill>
                  <w14:solidFill>
                    <w14:schemeClr w14:val="tx1"/>
                  </w14:solidFill>
                </w14:textFill>
              </w:rPr>
              <w:t>因物价波动引起的价格调整按照以下原则处理：</w:t>
            </w:r>
          </w:p>
          <w:p w14:paraId="3BB56621">
            <w:pPr>
              <w:pStyle w:val="471"/>
              <w:spacing w:before="114" w:line="199" w:lineRule="auto"/>
              <w:rPr>
                <w:color w:val="000000" w:themeColor="text1"/>
                <w:sz w:val="21"/>
                <w:szCs w:val="21"/>
                <w:highlight w:val="none"/>
                <w:lang w:eastAsia="zh-CN"/>
                <w14:textFill>
                  <w14:solidFill>
                    <w14:schemeClr w14:val="tx1"/>
                  </w14:solidFill>
                </w14:textFill>
              </w:rPr>
            </w:pPr>
            <w:r>
              <w:rPr>
                <w:rFonts w:hint="eastAsia"/>
                <w:color w:val="000000" w:themeColor="text1"/>
                <w:sz w:val="21"/>
                <w:szCs w:val="21"/>
                <w:highlight w:val="none"/>
                <w:lang w:eastAsia="zh-CN"/>
                <w14:textFill>
                  <w14:solidFill>
                    <w14:schemeClr w14:val="tx1"/>
                  </w14:solidFill>
                </w14:textFill>
              </w:rPr>
              <w:t>□按第</w:t>
            </w:r>
            <w:r>
              <w:rPr>
                <w:rFonts w:hint="eastAsia"/>
                <w:color w:val="000000" w:themeColor="text1"/>
                <w:spacing w:val="-27"/>
                <w:sz w:val="21"/>
                <w:szCs w:val="21"/>
                <w:highlight w:val="none"/>
                <w:lang w:eastAsia="zh-CN"/>
                <w14:textFill>
                  <w14:solidFill>
                    <w14:schemeClr w14:val="tx1"/>
                  </w14:solidFill>
                </w14:textFill>
              </w:rPr>
              <w:t xml:space="preserve"> </w:t>
            </w:r>
            <w:r>
              <w:rPr>
                <w:rFonts w:hint="eastAsia"/>
                <w:color w:val="000000" w:themeColor="text1"/>
                <w:sz w:val="21"/>
                <w:szCs w:val="21"/>
                <w:highlight w:val="none"/>
                <w:lang w:eastAsia="zh-CN"/>
                <w14:textFill>
                  <w14:solidFill>
                    <w14:schemeClr w14:val="tx1"/>
                  </w14:solidFill>
                </w14:textFill>
              </w:rPr>
              <w:t>16.1.1 项调价</w:t>
            </w:r>
          </w:p>
          <w:p w14:paraId="28EF6D63">
            <w:pPr>
              <w:pStyle w:val="471"/>
              <w:spacing w:before="60" w:line="197" w:lineRule="auto"/>
              <w:rPr>
                <w:color w:val="000000" w:themeColor="text1"/>
                <w:sz w:val="21"/>
                <w:szCs w:val="21"/>
                <w:highlight w:val="none"/>
                <w:lang w:eastAsia="zh-CN"/>
                <w14:textFill>
                  <w14:solidFill>
                    <w14:schemeClr w14:val="tx1"/>
                  </w14:solidFill>
                </w14:textFill>
              </w:rPr>
            </w:pPr>
            <w:r>
              <w:rPr>
                <w:rFonts w:hint="eastAsia"/>
                <w:color w:val="000000" w:themeColor="text1"/>
                <w:sz w:val="21"/>
                <w:szCs w:val="21"/>
                <w:highlight w:val="none"/>
                <w:lang w:eastAsia="zh-CN"/>
                <w14:textFill>
                  <w14:solidFill>
                    <w14:schemeClr w14:val="tx1"/>
                  </w14:solidFill>
                </w14:textFill>
              </w:rPr>
              <w:t>□按第</w:t>
            </w:r>
            <w:r>
              <w:rPr>
                <w:rFonts w:hint="eastAsia"/>
                <w:color w:val="000000" w:themeColor="text1"/>
                <w:spacing w:val="-27"/>
                <w:sz w:val="21"/>
                <w:szCs w:val="21"/>
                <w:highlight w:val="none"/>
                <w:lang w:eastAsia="zh-CN"/>
                <w14:textFill>
                  <w14:solidFill>
                    <w14:schemeClr w14:val="tx1"/>
                  </w14:solidFill>
                </w14:textFill>
              </w:rPr>
              <w:t xml:space="preserve"> </w:t>
            </w:r>
            <w:r>
              <w:rPr>
                <w:rFonts w:hint="eastAsia"/>
                <w:color w:val="000000" w:themeColor="text1"/>
                <w:sz w:val="21"/>
                <w:szCs w:val="21"/>
                <w:highlight w:val="none"/>
                <w:lang w:eastAsia="zh-CN"/>
                <w14:textFill>
                  <w14:solidFill>
                    <w14:schemeClr w14:val="tx1"/>
                  </w14:solidFill>
                </w14:textFill>
              </w:rPr>
              <w:t>16.1.2 项调价</w:t>
            </w:r>
          </w:p>
          <w:p w14:paraId="2824AD7B">
            <w:pPr>
              <w:widowControl/>
              <w:textAlignment w:val="baseline"/>
              <w:rPr>
                <w:rFonts w:ascii="宋体"/>
                <w:color w:val="000000" w:themeColor="text1"/>
                <w:highlight w:val="none"/>
                <w:u w:val="single"/>
                <w14:textFill>
                  <w14:solidFill>
                    <w14:schemeClr w14:val="tx1"/>
                  </w14:solidFill>
                </w14:textFill>
              </w:rPr>
            </w:pPr>
            <w:r>
              <w:rPr>
                <w:rFonts w:hint="eastAsia" w:ascii="宋体" w:hAnsi="宋体" w:cs="宋体"/>
                <w:color w:val="000000" w:themeColor="text1"/>
                <w:position w:val="-1"/>
                <w:highlight w:val="none"/>
                <w14:textFill>
                  <w14:solidFill>
                    <w14:schemeClr w14:val="tx1"/>
                  </w14:solidFill>
                </w14:textFill>
              </w:rPr>
              <w:t>□按第</w:t>
            </w:r>
            <w:r>
              <w:rPr>
                <w:rFonts w:hint="eastAsia" w:ascii="宋体" w:hAnsi="宋体" w:cs="宋体"/>
                <w:color w:val="000000" w:themeColor="text1"/>
                <w:spacing w:val="-27"/>
                <w:position w:val="-1"/>
                <w:highlight w:val="none"/>
                <w14:textFill>
                  <w14:solidFill>
                    <w14:schemeClr w14:val="tx1"/>
                  </w14:solidFill>
                </w14:textFill>
              </w:rPr>
              <w:t xml:space="preserve"> </w:t>
            </w:r>
            <w:r>
              <w:rPr>
                <w:rFonts w:hint="eastAsia" w:ascii="宋体" w:hAnsi="宋体" w:cs="宋体"/>
                <w:color w:val="000000" w:themeColor="text1"/>
                <w:position w:val="-1"/>
                <w:highlight w:val="none"/>
                <w14:textFill>
                  <w14:solidFill>
                    <w14:schemeClr w14:val="tx1"/>
                  </w14:solidFill>
                </w14:textFill>
              </w:rPr>
              <w:t>16.1.3 项约定不调价</w:t>
            </w:r>
          </w:p>
        </w:tc>
        <w:tc>
          <w:tcPr>
            <w:tcW w:w="1349" w:type="dxa"/>
            <w:vAlign w:val="center"/>
          </w:tcPr>
          <w:p w14:paraId="0088D480">
            <w:pPr>
              <w:widowControl/>
              <w:jc w:val="center"/>
              <w:textAlignment w:val="baseline"/>
              <w:rPr>
                <w:rFonts w:ascii="宋体"/>
                <w:color w:val="000000" w:themeColor="text1"/>
                <w:highlight w:val="none"/>
                <w14:textFill>
                  <w14:solidFill>
                    <w14:schemeClr w14:val="tx1"/>
                  </w14:solidFill>
                </w14:textFill>
              </w:rPr>
            </w:pPr>
          </w:p>
        </w:tc>
      </w:tr>
      <w:tr w14:paraId="5DB3E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1" w:type="dxa"/>
            <w:vAlign w:val="center"/>
          </w:tcPr>
          <w:p w14:paraId="7E98BD20">
            <w:pPr>
              <w:widowControl/>
              <w:jc w:val="center"/>
              <w:textAlignment w:val="baseline"/>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7</w:t>
            </w:r>
          </w:p>
        </w:tc>
        <w:tc>
          <w:tcPr>
            <w:tcW w:w="2206" w:type="dxa"/>
            <w:vAlign w:val="center"/>
          </w:tcPr>
          <w:p w14:paraId="6F3847DD">
            <w:pPr>
              <w:widowControl/>
              <w:textAlignment w:val="baseline"/>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开工预付款金额</w:t>
            </w:r>
          </w:p>
        </w:tc>
        <w:tc>
          <w:tcPr>
            <w:tcW w:w="1622" w:type="dxa"/>
            <w:tcMar>
              <w:left w:w="170" w:type="dxa"/>
            </w:tcMar>
            <w:vAlign w:val="center"/>
          </w:tcPr>
          <w:p w14:paraId="7A587B0B">
            <w:pPr>
              <w:widowControl/>
              <w:jc w:val="center"/>
              <w:textAlignment w:val="baseline"/>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17.2.1</w:t>
            </w:r>
            <w:r>
              <w:rPr>
                <w:rFonts w:hint="eastAsia" w:ascii="宋体" w:hAnsi="宋体" w:cs="宋体"/>
                <w:color w:val="000000" w:themeColor="text1"/>
                <w:highlight w:val="none"/>
                <w14:textFill>
                  <w14:solidFill>
                    <w14:schemeClr w14:val="tx1"/>
                  </w14:solidFill>
                </w14:textFill>
              </w:rPr>
              <w:t>（</w:t>
            </w:r>
            <w:r>
              <w:rPr>
                <w:rFonts w:ascii="宋体" w:hAnsi="宋体" w:cs="宋体"/>
                <w:color w:val="000000" w:themeColor="text1"/>
                <w:highlight w:val="none"/>
                <w14:textFill>
                  <w14:solidFill>
                    <w14:schemeClr w14:val="tx1"/>
                  </w14:solidFill>
                </w14:textFill>
              </w:rPr>
              <w:t>1</w:t>
            </w:r>
            <w:r>
              <w:rPr>
                <w:rFonts w:hint="eastAsia" w:ascii="宋体" w:hAnsi="宋体" w:cs="宋体"/>
                <w:color w:val="000000" w:themeColor="text1"/>
                <w:highlight w:val="none"/>
                <w14:textFill>
                  <w14:solidFill>
                    <w14:schemeClr w14:val="tx1"/>
                  </w14:solidFill>
                </w14:textFill>
              </w:rPr>
              <w:t>）</w:t>
            </w:r>
          </w:p>
        </w:tc>
        <w:tc>
          <w:tcPr>
            <w:tcW w:w="3402" w:type="dxa"/>
            <w:vAlign w:val="center"/>
          </w:tcPr>
          <w:p w14:paraId="3AE95E6C">
            <w:pPr>
              <w:widowControl/>
              <w:textAlignment w:val="baseline"/>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u w:val="single"/>
                <w14:textFill>
                  <w14:solidFill>
                    <w14:schemeClr w14:val="tx1"/>
                  </w14:solidFill>
                </w14:textFill>
              </w:rPr>
              <w:t xml:space="preserve">    </w:t>
            </w:r>
            <w:r>
              <w:rPr>
                <w:rFonts w:ascii="宋体" w:hAnsi="宋体" w:cs="宋体"/>
                <w:color w:val="000000" w:themeColor="text1"/>
                <w:highlight w:val="none"/>
                <w14:textFill>
                  <w14:solidFill>
                    <w14:schemeClr w14:val="tx1"/>
                  </w14:solidFill>
                </w14:textFill>
              </w:rPr>
              <w:t>%</w:t>
            </w:r>
            <w:r>
              <w:rPr>
                <w:rFonts w:hint="eastAsia" w:ascii="宋体" w:hAnsi="宋体" w:cs="宋体"/>
                <w:color w:val="000000" w:themeColor="text1"/>
                <w:highlight w:val="none"/>
                <w14:textFill>
                  <w14:solidFill>
                    <w14:schemeClr w14:val="tx1"/>
                  </w14:solidFill>
                </w14:textFill>
              </w:rPr>
              <w:t>签约合同价</w:t>
            </w:r>
          </w:p>
        </w:tc>
        <w:tc>
          <w:tcPr>
            <w:tcW w:w="1349" w:type="dxa"/>
            <w:vAlign w:val="center"/>
          </w:tcPr>
          <w:p w14:paraId="17A45493">
            <w:pPr>
              <w:widowControl/>
              <w:jc w:val="center"/>
              <w:textAlignment w:val="baseline"/>
              <w:rPr>
                <w:rFonts w:ascii="宋体"/>
                <w:color w:val="000000" w:themeColor="text1"/>
                <w:highlight w:val="none"/>
                <w14:textFill>
                  <w14:solidFill>
                    <w14:schemeClr w14:val="tx1"/>
                  </w14:solidFill>
                </w14:textFill>
              </w:rPr>
            </w:pPr>
          </w:p>
        </w:tc>
      </w:tr>
      <w:tr w14:paraId="7981C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jc w:val="center"/>
        </w:trPr>
        <w:tc>
          <w:tcPr>
            <w:tcW w:w="771" w:type="dxa"/>
            <w:vAlign w:val="center"/>
          </w:tcPr>
          <w:p w14:paraId="41188C03">
            <w:pPr>
              <w:widowControl/>
              <w:jc w:val="center"/>
              <w:textAlignment w:val="baseline"/>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8</w:t>
            </w:r>
          </w:p>
        </w:tc>
        <w:tc>
          <w:tcPr>
            <w:tcW w:w="2206" w:type="dxa"/>
            <w:vAlign w:val="center"/>
          </w:tcPr>
          <w:p w14:paraId="04974C78">
            <w:pPr>
              <w:widowControl/>
              <w:textAlignment w:val="baseline"/>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材料、设备预付款比例</w:t>
            </w:r>
          </w:p>
        </w:tc>
        <w:tc>
          <w:tcPr>
            <w:tcW w:w="1622" w:type="dxa"/>
            <w:tcMar>
              <w:left w:w="170" w:type="dxa"/>
            </w:tcMar>
            <w:vAlign w:val="center"/>
          </w:tcPr>
          <w:p w14:paraId="202A3772">
            <w:pPr>
              <w:widowControl/>
              <w:jc w:val="center"/>
              <w:textAlignment w:val="baseline"/>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17.2.1</w:t>
            </w:r>
            <w:r>
              <w:rPr>
                <w:rFonts w:hint="eastAsia" w:ascii="宋体" w:hAnsi="宋体" w:cs="宋体"/>
                <w:color w:val="000000" w:themeColor="text1"/>
                <w:highlight w:val="none"/>
                <w14:textFill>
                  <w14:solidFill>
                    <w14:schemeClr w14:val="tx1"/>
                  </w14:solidFill>
                </w14:textFill>
              </w:rPr>
              <w:t>（</w:t>
            </w:r>
            <w:r>
              <w:rPr>
                <w:rFonts w:ascii="宋体" w:hAnsi="宋体" w:cs="宋体"/>
                <w:color w:val="000000" w:themeColor="text1"/>
                <w:highlight w:val="none"/>
                <w14:textFill>
                  <w14:solidFill>
                    <w14:schemeClr w14:val="tx1"/>
                  </w14:solidFill>
                </w14:textFill>
              </w:rPr>
              <w:t>2</w:t>
            </w:r>
            <w:r>
              <w:rPr>
                <w:rFonts w:hint="eastAsia" w:ascii="宋体" w:hAnsi="宋体" w:cs="宋体"/>
                <w:color w:val="000000" w:themeColor="text1"/>
                <w:highlight w:val="none"/>
                <w14:textFill>
                  <w14:solidFill>
                    <w14:schemeClr w14:val="tx1"/>
                  </w14:solidFill>
                </w14:textFill>
              </w:rPr>
              <w:t>）</w:t>
            </w:r>
          </w:p>
        </w:tc>
        <w:tc>
          <w:tcPr>
            <w:tcW w:w="3402" w:type="dxa"/>
            <w:vAlign w:val="center"/>
          </w:tcPr>
          <w:p w14:paraId="25F6F3A6">
            <w:pPr>
              <w:widowControl/>
              <w:jc w:val="left"/>
              <w:textAlignment w:val="baseline"/>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u w:val="singl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等主要材料、设备单据所列费用的</w:t>
            </w:r>
            <w:r>
              <w:rPr>
                <w:rFonts w:hint="eastAsia" w:ascii="宋体" w:hAnsi="宋体" w:cs="宋体"/>
                <w:color w:val="000000" w:themeColor="text1"/>
                <w:highlight w:val="none"/>
                <w:u w:val="single"/>
                <w14:textFill>
                  <w14:solidFill>
                    <w14:schemeClr w14:val="tx1"/>
                  </w14:solidFill>
                </w14:textFill>
              </w:rPr>
              <w:t xml:space="preserve">     </w:t>
            </w:r>
            <w:r>
              <w:rPr>
                <w:rFonts w:ascii="宋体" w:hAnsi="宋体" w:cs="宋体"/>
                <w:color w:val="000000" w:themeColor="text1"/>
                <w:highlight w:val="none"/>
                <w14:textFill>
                  <w14:solidFill>
                    <w14:schemeClr w14:val="tx1"/>
                  </w14:solidFill>
                </w14:textFill>
              </w:rPr>
              <w:t>%</w:t>
            </w:r>
          </w:p>
        </w:tc>
        <w:tc>
          <w:tcPr>
            <w:tcW w:w="1349" w:type="dxa"/>
            <w:vAlign w:val="center"/>
          </w:tcPr>
          <w:p w14:paraId="2F4604F7">
            <w:pPr>
              <w:widowControl/>
              <w:jc w:val="center"/>
              <w:textAlignment w:val="baseline"/>
              <w:rPr>
                <w:rFonts w:ascii="宋体"/>
                <w:color w:val="000000" w:themeColor="text1"/>
                <w:highlight w:val="none"/>
                <w14:textFill>
                  <w14:solidFill>
                    <w14:schemeClr w14:val="tx1"/>
                  </w14:solidFill>
                </w14:textFill>
              </w:rPr>
            </w:pPr>
          </w:p>
        </w:tc>
      </w:tr>
      <w:tr w14:paraId="271FC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771" w:type="dxa"/>
            <w:vAlign w:val="center"/>
          </w:tcPr>
          <w:p w14:paraId="5B21AE08">
            <w:pPr>
              <w:widowControl/>
              <w:jc w:val="center"/>
              <w:textAlignment w:val="baseline"/>
              <w:rPr>
                <w:rFonts w:hint="eastAsia" w:ascii="宋体" w:eastAsia="宋体"/>
                <w:color w:val="000000" w:themeColor="text1"/>
                <w:highlight w:val="none"/>
                <w:lang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9</w:t>
            </w:r>
          </w:p>
        </w:tc>
        <w:tc>
          <w:tcPr>
            <w:tcW w:w="2206" w:type="dxa"/>
            <w:vAlign w:val="center"/>
          </w:tcPr>
          <w:p w14:paraId="58B0DFFB">
            <w:pPr>
              <w:widowControl/>
              <w:jc w:val="left"/>
              <w:textAlignment w:val="baseline"/>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逾期付款违约金的利率</w:t>
            </w:r>
          </w:p>
        </w:tc>
        <w:tc>
          <w:tcPr>
            <w:tcW w:w="1622" w:type="dxa"/>
            <w:tcMar>
              <w:left w:w="170" w:type="dxa"/>
            </w:tcMar>
            <w:vAlign w:val="center"/>
          </w:tcPr>
          <w:p w14:paraId="1FA600CA">
            <w:pPr>
              <w:widowControl/>
              <w:jc w:val="left"/>
              <w:textAlignment w:val="baseline"/>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17.3.3</w:t>
            </w:r>
            <w:r>
              <w:rPr>
                <w:rFonts w:hint="eastAsia" w:ascii="宋体" w:hAnsi="宋体" w:cs="宋体"/>
                <w:color w:val="000000" w:themeColor="text1"/>
                <w:highlight w:val="none"/>
                <w14:textFill>
                  <w14:solidFill>
                    <w14:schemeClr w14:val="tx1"/>
                  </w14:solidFill>
                </w14:textFill>
              </w:rPr>
              <w:t>（</w:t>
            </w:r>
            <w:r>
              <w:rPr>
                <w:rFonts w:ascii="宋体" w:hAnsi="宋体" w:cs="宋体"/>
                <w:color w:val="000000" w:themeColor="text1"/>
                <w:highlight w:val="none"/>
                <w14:textFill>
                  <w14:solidFill>
                    <w14:schemeClr w14:val="tx1"/>
                  </w14:solidFill>
                </w14:textFill>
              </w:rPr>
              <w:t>2</w:t>
            </w:r>
            <w:r>
              <w:rPr>
                <w:rFonts w:hint="eastAsia" w:ascii="宋体" w:hAnsi="宋体" w:cs="宋体"/>
                <w:color w:val="000000" w:themeColor="text1"/>
                <w:highlight w:val="none"/>
                <w14:textFill>
                  <w14:solidFill>
                    <w14:schemeClr w14:val="tx1"/>
                  </w14:solidFill>
                </w14:textFill>
              </w:rPr>
              <w:t>）</w:t>
            </w:r>
          </w:p>
        </w:tc>
        <w:tc>
          <w:tcPr>
            <w:tcW w:w="3402" w:type="dxa"/>
            <w:vAlign w:val="center"/>
          </w:tcPr>
          <w:p w14:paraId="6851439A">
            <w:pPr>
              <w:widowControl/>
              <w:textAlignment w:val="baseline"/>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u w:val="singl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w:t>
            </w:r>
            <w:r>
              <w:rPr>
                <w:rFonts w:ascii="宋体" w:hAnsi="宋体" w:cs="宋体"/>
                <w:color w:val="000000" w:themeColor="text1"/>
                <w:highlight w:val="none"/>
                <w14:textFill>
                  <w14:solidFill>
                    <w14:schemeClr w14:val="tx1"/>
                  </w14:solidFill>
                </w14:textFill>
              </w:rPr>
              <w:t>/</w:t>
            </w:r>
            <w:r>
              <w:rPr>
                <w:rFonts w:hint="eastAsia" w:ascii="宋体" w:hAnsi="宋体" w:cs="宋体"/>
                <w:color w:val="000000" w:themeColor="text1"/>
                <w:highlight w:val="none"/>
                <w14:textFill>
                  <w14:solidFill>
                    <w14:schemeClr w14:val="tx1"/>
                  </w14:solidFill>
                </w14:textFill>
              </w:rPr>
              <w:t>天</w:t>
            </w:r>
          </w:p>
        </w:tc>
        <w:tc>
          <w:tcPr>
            <w:tcW w:w="1349" w:type="dxa"/>
            <w:vAlign w:val="center"/>
          </w:tcPr>
          <w:p w14:paraId="0470C0FC">
            <w:pPr>
              <w:widowControl/>
              <w:jc w:val="center"/>
              <w:textAlignment w:val="baseline"/>
              <w:rPr>
                <w:rFonts w:ascii="宋体"/>
                <w:color w:val="000000" w:themeColor="text1"/>
                <w:highlight w:val="none"/>
                <w14:textFill>
                  <w14:solidFill>
                    <w14:schemeClr w14:val="tx1"/>
                  </w14:solidFill>
                </w14:textFill>
              </w:rPr>
            </w:pPr>
          </w:p>
        </w:tc>
      </w:tr>
      <w:tr w14:paraId="2F6D3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0" w:hRule="atLeast"/>
          <w:jc w:val="center"/>
        </w:trPr>
        <w:tc>
          <w:tcPr>
            <w:tcW w:w="771" w:type="dxa"/>
            <w:vAlign w:val="center"/>
          </w:tcPr>
          <w:p w14:paraId="247E4C0C">
            <w:pPr>
              <w:widowControl/>
              <w:jc w:val="center"/>
              <w:textAlignment w:val="baseline"/>
              <w:rPr>
                <w:rFonts w:hint="eastAsia" w:ascii="宋体" w:eastAsia="宋体"/>
                <w:color w:val="000000" w:themeColor="text1"/>
                <w:highlight w:val="none"/>
                <w:lang w:eastAsia="zh-CN"/>
                <w14:textFill>
                  <w14:solidFill>
                    <w14:schemeClr w14:val="tx1"/>
                  </w14:solidFill>
                </w14:textFill>
              </w:rPr>
            </w:pPr>
            <w:r>
              <w:rPr>
                <w:rFonts w:ascii="宋体" w:hAnsi="宋体" w:cs="宋体"/>
                <w:color w:val="000000" w:themeColor="text1"/>
                <w:highlight w:val="none"/>
                <w14:textFill>
                  <w14:solidFill>
                    <w14:schemeClr w14:val="tx1"/>
                  </w14:solidFill>
                </w14:textFill>
              </w:rPr>
              <w:t>1</w:t>
            </w:r>
            <w:r>
              <w:rPr>
                <w:rFonts w:hint="eastAsia" w:ascii="宋体" w:hAnsi="宋体" w:cs="宋体"/>
                <w:color w:val="000000" w:themeColor="text1"/>
                <w:highlight w:val="none"/>
                <w:lang w:val="en-US" w:eastAsia="zh-CN"/>
                <w14:textFill>
                  <w14:solidFill>
                    <w14:schemeClr w14:val="tx1"/>
                  </w14:solidFill>
                </w14:textFill>
              </w:rPr>
              <w:t>0</w:t>
            </w:r>
          </w:p>
        </w:tc>
        <w:tc>
          <w:tcPr>
            <w:tcW w:w="2206" w:type="dxa"/>
            <w:vAlign w:val="center"/>
          </w:tcPr>
          <w:p w14:paraId="26BA2C5C">
            <w:pPr>
              <w:widowControl/>
              <w:textAlignment w:val="baseline"/>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质量保证金金额</w:t>
            </w:r>
          </w:p>
        </w:tc>
        <w:tc>
          <w:tcPr>
            <w:tcW w:w="1622" w:type="dxa"/>
            <w:tcMar>
              <w:left w:w="170" w:type="dxa"/>
            </w:tcMar>
            <w:vAlign w:val="center"/>
          </w:tcPr>
          <w:p w14:paraId="7F41B609">
            <w:pPr>
              <w:widowControl/>
              <w:jc w:val="left"/>
              <w:textAlignment w:val="baseline"/>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17.4.1</w:t>
            </w:r>
          </w:p>
        </w:tc>
        <w:tc>
          <w:tcPr>
            <w:tcW w:w="3402" w:type="dxa"/>
            <w:vAlign w:val="center"/>
          </w:tcPr>
          <w:p w14:paraId="5B7CE1FD">
            <w:pPr>
              <w:pStyle w:val="471"/>
              <w:spacing w:line="360" w:lineRule="auto"/>
              <w:ind w:left="116" w:right="105" w:hanging="1"/>
              <w:rPr>
                <w:color w:val="000000" w:themeColor="text1"/>
                <w:sz w:val="21"/>
                <w:szCs w:val="21"/>
                <w:highlight w:val="none"/>
                <w:lang w:eastAsia="zh-CN"/>
                <w14:textFill>
                  <w14:solidFill>
                    <w14:schemeClr w14:val="tx1"/>
                  </w14:solidFill>
                </w14:textFill>
              </w:rPr>
            </w:pPr>
            <w:r>
              <w:rPr>
                <w:rFonts w:hint="eastAsia"/>
                <w:color w:val="000000" w:themeColor="text1"/>
                <w:sz w:val="21"/>
                <w:szCs w:val="21"/>
                <w:highlight w:val="none"/>
                <w:u w:val="single"/>
                <w:lang w:eastAsia="zh-CN"/>
                <w14:textFill>
                  <w14:solidFill>
                    <w14:schemeClr w14:val="tx1"/>
                  </w14:solidFill>
                </w14:textFill>
              </w:rPr>
              <w:t xml:space="preserve">    </w:t>
            </w:r>
            <w:r>
              <w:rPr>
                <w:rFonts w:hint="eastAsia"/>
                <w:color w:val="000000" w:themeColor="text1"/>
                <w:sz w:val="21"/>
                <w:szCs w:val="21"/>
                <w:highlight w:val="none"/>
                <w:lang w:eastAsia="zh-CN"/>
                <w14:textFill>
                  <w14:solidFill>
                    <w14:schemeClr w14:val="tx1"/>
                  </w14:solidFill>
                </w14:textFill>
              </w:rPr>
              <w:t>％合同价格；</w:t>
            </w:r>
            <w:r>
              <w:rPr>
                <w:color w:val="000000" w:themeColor="text1"/>
                <w:sz w:val="21"/>
                <w:szCs w:val="21"/>
                <w:highlight w:val="none"/>
                <w:lang w:eastAsia="zh-CN"/>
                <w14:textFill>
                  <w14:solidFill>
                    <w14:schemeClr w14:val="tx1"/>
                  </w14:solidFill>
                </w14:textFill>
              </w:rPr>
              <w:t xml:space="preserve"> </w:t>
            </w:r>
            <w:r>
              <w:rPr>
                <w:rFonts w:hint="eastAsia"/>
                <w:color w:val="000000" w:themeColor="text1"/>
                <w:spacing w:val="3"/>
                <w:sz w:val="21"/>
                <w:szCs w:val="21"/>
                <w:highlight w:val="none"/>
                <w:lang w:eastAsia="zh-CN"/>
                <w14:textFill>
                  <w14:solidFill>
                    <w14:schemeClr w14:val="tx1"/>
                  </w14:solidFill>
                </w14:textFill>
              </w:rPr>
              <w:t>若交工验收时承包人具</w:t>
            </w:r>
            <w:r>
              <w:rPr>
                <w:rFonts w:hint="eastAsia"/>
                <w:color w:val="000000" w:themeColor="text1"/>
                <w:spacing w:val="6"/>
                <w:sz w:val="21"/>
                <w:szCs w:val="21"/>
                <w:highlight w:val="none"/>
                <w:lang w:eastAsia="zh-CN"/>
                <w14:textFill>
                  <w14:solidFill>
                    <w14:schemeClr w14:val="tx1"/>
                  </w14:solidFill>
                </w14:textFill>
              </w:rPr>
              <w:t>备被养护项目所在地省级交通运输主管部门评定的最高信用等</w:t>
            </w:r>
            <w:r>
              <w:rPr>
                <w:rFonts w:hint="eastAsia"/>
                <w:color w:val="000000" w:themeColor="text1"/>
                <w:spacing w:val="-1"/>
                <w:sz w:val="21"/>
                <w:szCs w:val="21"/>
                <w:highlight w:val="none"/>
                <w:lang w:eastAsia="zh-CN"/>
                <w14:textFill>
                  <w14:solidFill>
                    <w14:schemeClr w14:val="tx1"/>
                  </w14:solidFill>
                </w14:textFill>
              </w:rPr>
              <w:t>级，发包人给予</w:t>
            </w:r>
            <w:r>
              <w:rPr>
                <w:rFonts w:hint="eastAsia"/>
                <w:color w:val="000000" w:themeColor="text1"/>
                <w:spacing w:val="-1"/>
                <w:sz w:val="21"/>
                <w:szCs w:val="21"/>
                <w:highlight w:val="none"/>
                <w:u w:val="single"/>
                <w:lang w:eastAsia="zh-CN"/>
                <w14:textFill>
                  <w14:solidFill>
                    <w14:schemeClr w14:val="tx1"/>
                  </w14:solidFill>
                </w14:textFill>
              </w:rPr>
              <w:t xml:space="preserve"> </w:t>
            </w:r>
            <w:r>
              <w:rPr>
                <w:rFonts w:hint="eastAsia"/>
                <w:color w:val="000000" w:themeColor="text1"/>
                <w:spacing w:val="-1"/>
                <w:sz w:val="21"/>
                <w:szCs w:val="21"/>
                <w:highlight w:val="none"/>
                <w:u w:val="single"/>
                <w:lang w:val="en-US" w:eastAsia="zh-CN"/>
                <w14:textFill>
                  <w14:solidFill>
                    <w14:schemeClr w14:val="tx1"/>
                  </w14:solidFill>
                </w14:textFill>
              </w:rPr>
              <w:t xml:space="preserve">   </w:t>
            </w:r>
            <w:r>
              <w:rPr>
                <w:rFonts w:hint="eastAsia"/>
                <w:color w:val="000000" w:themeColor="text1"/>
                <w:spacing w:val="-1"/>
                <w:sz w:val="21"/>
                <w:szCs w:val="21"/>
                <w:highlight w:val="none"/>
                <w:u w:val="single"/>
                <w:lang w:eastAsia="zh-CN"/>
                <w14:textFill>
                  <w14:solidFill>
                    <w14:schemeClr w14:val="tx1"/>
                  </w14:solidFill>
                </w14:textFill>
              </w:rPr>
              <w:t xml:space="preserve"> </w:t>
            </w:r>
            <w:r>
              <w:rPr>
                <w:rFonts w:hint="eastAsia"/>
                <w:color w:val="000000" w:themeColor="text1"/>
                <w:spacing w:val="-107"/>
                <w:sz w:val="21"/>
                <w:szCs w:val="21"/>
                <w:highlight w:val="none"/>
                <w:lang w:eastAsia="zh-CN"/>
                <w14:textFill>
                  <w14:solidFill>
                    <w14:schemeClr w14:val="tx1"/>
                  </w14:solidFill>
                </w14:textFill>
              </w:rPr>
              <w:t xml:space="preserve"> </w:t>
            </w:r>
            <w:r>
              <w:rPr>
                <w:rFonts w:hint="eastAsia"/>
                <w:color w:val="000000" w:themeColor="text1"/>
                <w:spacing w:val="-1"/>
                <w:sz w:val="21"/>
                <w:szCs w:val="21"/>
                <w:highlight w:val="none"/>
                <w:lang w:eastAsia="zh-CN"/>
                <w14:textFill>
                  <w14:solidFill>
                    <w14:schemeClr w14:val="tx1"/>
                  </w14:solidFill>
                </w14:textFill>
              </w:rPr>
              <w:t>%合同价格质量保证金的优惠。</w:t>
            </w:r>
          </w:p>
          <w:p w14:paraId="7A8CB492">
            <w:pPr>
              <w:widowControl/>
              <w:spacing w:line="420" w:lineRule="exact"/>
              <w:jc w:val="left"/>
              <w:textAlignment w:val="center"/>
              <w:rPr>
                <w:rFonts w:ascii="宋体"/>
                <w:color w:val="000000" w:themeColor="text1"/>
                <w:kern w:val="0"/>
                <w:highlight w:val="none"/>
                <w14:textFill>
                  <w14:solidFill>
                    <w14:schemeClr w14:val="tx1"/>
                  </w14:solidFill>
                </w14:textFill>
              </w:rPr>
            </w:pPr>
            <w:r>
              <w:rPr>
                <w:rFonts w:hint="eastAsia" w:ascii="宋体" w:hAnsi="宋体" w:cs="宋体"/>
                <w:color w:val="000000" w:themeColor="text1"/>
                <w:kern w:val="0"/>
                <w:highlight w:val="none"/>
                <w14:textFill>
                  <w14:solidFill>
                    <w14:schemeClr w14:val="tx1"/>
                  </w14:solidFill>
                </w14:textFill>
              </w:rPr>
              <w:t>质量保证金的利息计算方式：不计利息。</w:t>
            </w:r>
          </w:p>
        </w:tc>
        <w:tc>
          <w:tcPr>
            <w:tcW w:w="1349" w:type="dxa"/>
            <w:vAlign w:val="center"/>
          </w:tcPr>
          <w:p w14:paraId="54E27AB7">
            <w:pPr>
              <w:widowControl/>
              <w:jc w:val="center"/>
              <w:textAlignment w:val="baseline"/>
              <w:rPr>
                <w:rFonts w:ascii="宋体"/>
                <w:color w:val="000000" w:themeColor="text1"/>
                <w:highlight w:val="none"/>
                <w14:textFill>
                  <w14:solidFill>
                    <w14:schemeClr w14:val="tx1"/>
                  </w14:solidFill>
                </w14:textFill>
              </w:rPr>
            </w:pPr>
          </w:p>
        </w:tc>
      </w:tr>
      <w:tr w14:paraId="31BDE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771" w:type="dxa"/>
            <w:vAlign w:val="center"/>
          </w:tcPr>
          <w:p w14:paraId="0FED5E7D">
            <w:pPr>
              <w:widowControl/>
              <w:jc w:val="center"/>
              <w:textAlignment w:val="baseline"/>
              <w:rPr>
                <w:rFonts w:ascii="宋体"/>
                <w:color w:val="000000" w:themeColor="text1"/>
                <w:highlight w:val="none"/>
                <w14:textFill>
                  <w14:solidFill>
                    <w14:schemeClr w14:val="tx1"/>
                  </w14:solidFill>
                </w14:textFill>
              </w:rPr>
            </w:pPr>
            <w:r>
              <w:rPr>
                <w:rFonts w:hint="eastAsia" w:ascii="宋体" w:cs="宋体"/>
                <w:color w:val="000000" w:themeColor="text1"/>
                <w:highlight w:val="none"/>
                <w14:textFill>
                  <w14:solidFill>
                    <w14:schemeClr w14:val="tx1"/>
                  </w14:solidFill>
                </w14:textFill>
              </w:rPr>
              <w:t>…</w:t>
            </w:r>
          </w:p>
        </w:tc>
        <w:tc>
          <w:tcPr>
            <w:tcW w:w="2206" w:type="dxa"/>
            <w:vAlign w:val="center"/>
          </w:tcPr>
          <w:p w14:paraId="1E8CCAA2">
            <w:pPr>
              <w:widowControl/>
              <w:jc w:val="center"/>
              <w:textAlignment w:val="baseline"/>
              <w:rPr>
                <w:rFonts w:ascii="宋体"/>
                <w:color w:val="000000" w:themeColor="text1"/>
                <w:highlight w:val="none"/>
                <w14:textFill>
                  <w14:solidFill>
                    <w14:schemeClr w14:val="tx1"/>
                  </w14:solidFill>
                </w14:textFill>
              </w:rPr>
            </w:pPr>
            <w:r>
              <w:rPr>
                <w:rFonts w:hint="eastAsia" w:ascii="宋体" w:cs="宋体"/>
                <w:color w:val="000000" w:themeColor="text1"/>
                <w:highlight w:val="none"/>
                <w14:textFill>
                  <w14:solidFill>
                    <w14:schemeClr w14:val="tx1"/>
                  </w14:solidFill>
                </w14:textFill>
              </w:rPr>
              <w:t>…</w:t>
            </w:r>
          </w:p>
        </w:tc>
        <w:tc>
          <w:tcPr>
            <w:tcW w:w="1622" w:type="dxa"/>
            <w:tcMar>
              <w:left w:w="170" w:type="dxa"/>
            </w:tcMar>
            <w:vAlign w:val="center"/>
          </w:tcPr>
          <w:p w14:paraId="7ABD5C56">
            <w:pPr>
              <w:widowControl/>
              <w:jc w:val="center"/>
              <w:textAlignment w:val="baseline"/>
              <w:rPr>
                <w:rFonts w:ascii="宋体"/>
                <w:color w:val="000000" w:themeColor="text1"/>
                <w:highlight w:val="none"/>
                <w14:textFill>
                  <w14:solidFill>
                    <w14:schemeClr w14:val="tx1"/>
                  </w14:solidFill>
                </w14:textFill>
              </w:rPr>
            </w:pPr>
            <w:r>
              <w:rPr>
                <w:rFonts w:hint="eastAsia" w:ascii="宋体" w:cs="宋体"/>
                <w:color w:val="000000" w:themeColor="text1"/>
                <w:highlight w:val="none"/>
                <w14:textFill>
                  <w14:solidFill>
                    <w14:schemeClr w14:val="tx1"/>
                  </w14:solidFill>
                </w14:textFill>
              </w:rPr>
              <w:t>…</w:t>
            </w:r>
          </w:p>
        </w:tc>
        <w:tc>
          <w:tcPr>
            <w:tcW w:w="3402" w:type="dxa"/>
            <w:vAlign w:val="center"/>
          </w:tcPr>
          <w:p w14:paraId="0FCAC872">
            <w:pPr>
              <w:widowControl/>
              <w:jc w:val="center"/>
              <w:textAlignment w:val="baseline"/>
              <w:rPr>
                <w:rFonts w:ascii="宋体"/>
                <w:color w:val="000000" w:themeColor="text1"/>
                <w:highlight w:val="none"/>
                <w14:textFill>
                  <w14:solidFill>
                    <w14:schemeClr w14:val="tx1"/>
                  </w14:solidFill>
                </w14:textFill>
              </w:rPr>
            </w:pPr>
            <w:r>
              <w:rPr>
                <w:rFonts w:hint="eastAsia" w:ascii="宋体" w:cs="宋体"/>
                <w:color w:val="000000" w:themeColor="text1"/>
                <w:highlight w:val="none"/>
                <w14:textFill>
                  <w14:solidFill>
                    <w14:schemeClr w14:val="tx1"/>
                  </w14:solidFill>
                </w14:textFill>
              </w:rPr>
              <w:t>…</w:t>
            </w:r>
          </w:p>
        </w:tc>
        <w:tc>
          <w:tcPr>
            <w:tcW w:w="1349" w:type="dxa"/>
            <w:vAlign w:val="center"/>
          </w:tcPr>
          <w:p w14:paraId="07222F90">
            <w:pPr>
              <w:widowControl/>
              <w:jc w:val="center"/>
              <w:textAlignment w:val="baseline"/>
              <w:rPr>
                <w:rFonts w:ascii="宋体"/>
                <w:color w:val="000000" w:themeColor="text1"/>
                <w:highlight w:val="none"/>
                <w14:textFill>
                  <w14:solidFill>
                    <w14:schemeClr w14:val="tx1"/>
                  </w14:solidFill>
                </w14:textFill>
              </w:rPr>
            </w:pPr>
          </w:p>
        </w:tc>
      </w:tr>
      <w:tr w14:paraId="7E6D9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9350" w:type="dxa"/>
            <w:gridSpan w:val="5"/>
            <w:vAlign w:val="center"/>
          </w:tcPr>
          <w:p w14:paraId="00F8995F">
            <w:pPr>
              <w:widowControl/>
              <w:spacing w:line="360" w:lineRule="auto"/>
              <w:textAlignment w:val="baseline"/>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备注：供应商在响应竞争性磋商文件中规定的实质性要求和条件的基础上，可做出其他有利于采购人的承诺。此类承诺可在本表中予以补充填写。</w:t>
            </w:r>
          </w:p>
        </w:tc>
      </w:tr>
    </w:tbl>
    <w:p w14:paraId="6367142D">
      <w:pPr>
        <w:spacing w:line="500" w:lineRule="exact"/>
        <w:rPr>
          <w:rFonts w:ascii="宋体"/>
          <w:color w:val="000000" w:themeColor="text1"/>
          <w:highlight w:val="none"/>
          <w:u w:val="singl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法定代表人或委托代理人（签字或盖印鉴）：</w:t>
      </w:r>
      <w:r>
        <w:rPr>
          <w:rFonts w:ascii="宋体" w:hAnsi="宋体" w:cs="宋体"/>
          <w:color w:val="000000" w:themeColor="text1"/>
          <w:highlight w:val="none"/>
          <w:u w:val="single"/>
          <w14:textFill>
            <w14:solidFill>
              <w14:schemeClr w14:val="tx1"/>
            </w14:solidFill>
          </w14:textFill>
        </w:rPr>
        <w:t xml:space="preserve">                  </w:t>
      </w:r>
    </w:p>
    <w:p w14:paraId="1712DF3F">
      <w:pPr>
        <w:spacing w:line="500" w:lineRule="exact"/>
        <w:rPr>
          <w:rFonts w:ascii="宋体"/>
          <w:color w:val="000000" w:themeColor="text1"/>
          <w:highlight w:val="none"/>
          <w:u w:val="singl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供应商名称（盖章）：</w:t>
      </w:r>
      <w:r>
        <w:rPr>
          <w:rFonts w:ascii="宋体" w:hAnsi="宋体" w:cs="宋体"/>
          <w:color w:val="000000" w:themeColor="text1"/>
          <w:highlight w:val="none"/>
          <w:u w:val="single"/>
          <w14:textFill>
            <w14:solidFill>
              <w14:schemeClr w14:val="tx1"/>
            </w14:solidFill>
          </w14:textFill>
        </w:rPr>
        <w:t xml:space="preserve">                              </w:t>
      </w:r>
    </w:p>
    <w:p w14:paraId="1DA44E63">
      <w:pPr>
        <w:spacing w:line="500" w:lineRule="exact"/>
        <w:rPr>
          <w:rFonts w:ascii="宋体"/>
          <w:color w:val="000000" w:themeColor="text1"/>
          <w:highlight w:val="none"/>
          <w:u w:val="singl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日期：</w:t>
      </w:r>
      <w:r>
        <w:rPr>
          <w:rFonts w:ascii="宋体" w:hAnsi="宋体" w:cs="宋体"/>
          <w:color w:val="000000" w:themeColor="text1"/>
          <w:highlight w:val="none"/>
          <w:u w:val="singl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年</w:t>
      </w:r>
      <w:r>
        <w:rPr>
          <w:rFonts w:ascii="宋体" w:hAnsi="宋体" w:cs="宋体"/>
          <w:color w:val="000000" w:themeColor="text1"/>
          <w:highlight w:val="none"/>
          <w:u w:val="singl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月</w:t>
      </w:r>
      <w:r>
        <w:rPr>
          <w:rFonts w:ascii="宋体" w:hAnsi="宋体" w:cs="宋体"/>
          <w:color w:val="000000" w:themeColor="text1"/>
          <w:highlight w:val="none"/>
          <w:u w:val="singl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日</w:t>
      </w:r>
      <w:r>
        <w:rPr>
          <w:rFonts w:ascii="宋体" w:hAnsi="宋体" w:cs="宋体"/>
          <w:color w:val="000000" w:themeColor="text1"/>
          <w:highlight w:val="none"/>
          <w14:textFill>
            <w14:solidFill>
              <w14:schemeClr w14:val="tx1"/>
            </w14:solidFill>
          </w14:textFill>
        </w:rPr>
        <w:t xml:space="preserve"> </w:t>
      </w:r>
    </w:p>
    <w:p w14:paraId="4FB9C979">
      <w:pPr>
        <w:spacing w:line="520" w:lineRule="exact"/>
        <w:jc w:val="center"/>
        <w:rPr>
          <w:rFonts w:hint="eastAsia" w:ascii="宋体" w:hAnsi="宋体" w:cs="宋体"/>
          <w:b/>
          <w:bCs/>
          <w:color w:val="000000" w:themeColor="text1"/>
          <w:sz w:val="44"/>
          <w:szCs w:val="44"/>
          <w:highlight w:val="none"/>
          <w14:textFill>
            <w14:solidFill>
              <w14:schemeClr w14:val="tx1"/>
            </w14:solidFill>
          </w14:textFill>
        </w:rPr>
      </w:pPr>
    </w:p>
    <w:p w14:paraId="3AC55408">
      <w:pPr>
        <w:spacing w:line="520" w:lineRule="exact"/>
        <w:jc w:val="center"/>
        <w:rPr>
          <w:rFonts w:hint="eastAsia" w:ascii="宋体" w:hAnsi="宋体" w:cs="宋体"/>
          <w:b/>
          <w:bCs/>
          <w:color w:val="000000" w:themeColor="text1"/>
          <w:sz w:val="44"/>
          <w:szCs w:val="44"/>
          <w:highlight w:val="none"/>
          <w14:textFill>
            <w14:solidFill>
              <w14:schemeClr w14:val="tx1"/>
            </w14:solidFill>
          </w14:textFill>
        </w:rPr>
      </w:pPr>
    </w:p>
    <w:p w14:paraId="509A31F1">
      <w:pPr>
        <w:spacing w:line="520" w:lineRule="exact"/>
        <w:jc w:val="center"/>
        <w:rPr>
          <w:rFonts w:ascii="宋体"/>
          <w:b/>
          <w:bCs/>
          <w:color w:val="000000" w:themeColor="text1"/>
          <w:sz w:val="36"/>
          <w:szCs w:val="36"/>
          <w:highlight w:val="none"/>
          <w14:textFill>
            <w14:solidFill>
              <w14:schemeClr w14:val="tx1"/>
            </w14:solidFill>
          </w14:textFill>
        </w:rPr>
      </w:pPr>
      <w:r>
        <w:rPr>
          <w:rFonts w:hint="eastAsia" w:ascii="宋体" w:hAnsi="宋体" w:cs="宋体"/>
          <w:b/>
          <w:bCs/>
          <w:color w:val="000000" w:themeColor="text1"/>
          <w:sz w:val="36"/>
          <w:szCs w:val="36"/>
          <w:highlight w:val="none"/>
          <w14:textFill>
            <w14:solidFill>
              <w14:schemeClr w14:val="tx1"/>
            </w14:solidFill>
          </w14:textFill>
        </w:rPr>
        <w:t>磋商报价表</w:t>
      </w:r>
    </w:p>
    <w:p w14:paraId="51E4D7C8">
      <w:pPr>
        <w:spacing w:line="440" w:lineRule="exact"/>
        <w:jc w:val="center"/>
        <w:rPr>
          <w:rFonts w:ascii="宋体"/>
          <w:color w:val="000000" w:themeColor="text1"/>
          <w:sz w:val="32"/>
          <w:szCs w:val="32"/>
          <w:highlight w:val="none"/>
          <w14:textFill>
            <w14:solidFill>
              <w14:schemeClr w14:val="tx1"/>
            </w14:solidFill>
          </w14:textFill>
        </w:rPr>
      </w:pPr>
    </w:p>
    <w:p w14:paraId="14D438BD">
      <w:pPr>
        <w:spacing w:line="360" w:lineRule="auto"/>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项目名称：</w:t>
      </w:r>
      <w:r>
        <w:rPr>
          <w:rFonts w:ascii="宋体" w:hAnsi="宋体" w:cs="宋体"/>
          <w:color w:val="000000" w:themeColor="text1"/>
          <w:highlight w:val="none"/>
          <w:u w:val="singl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项目编号：</w:t>
      </w:r>
      <w:r>
        <w:rPr>
          <w:rFonts w:ascii="宋体" w:hAnsi="宋体" w:cs="宋体"/>
          <w:color w:val="000000" w:themeColor="text1"/>
          <w:highlight w:val="none"/>
          <w:u w:val="single"/>
          <w14:textFill>
            <w14:solidFill>
              <w14:schemeClr w14:val="tx1"/>
            </w14:solidFill>
          </w14:textFill>
        </w:rPr>
        <w:t xml:space="preserve">                   </w:t>
      </w:r>
      <w:r>
        <w:rPr>
          <w:rFonts w:ascii="宋体" w:hAnsi="宋体" w:cs="宋体"/>
          <w:color w:val="000000" w:themeColor="text1"/>
          <w:highlight w:val="none"/>
          <w14:textFill>
            <w14:solidFill>
              <w14:schemeClr w14:val="tx1"/>
            </w14:solidFill>
          </w14:textFill>
        </w:rPr>
        <w:t xml:space="preserve">     </w:t>
      </w:r>
    </w:p>
    <w:p w14:paraId="4F302E8E">
      <w:pPr>
        <w:spacing w:line="360" w:lineRule="auto"/>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供应商名称：</w:t>
      </w:r>
      <w:r>
        <w:rPr>
          <w:rFonts w:ascii="宋体" w:hAnsi="宋体" w:cs="宋体"/>
          <w:color w:val="000000" w:themeColor="text1"/>
          <w:highlight w:val="none"/>
          <w:u w:val="single"/>
          <w14:textFill>
            <w14:solidFill>
              <w14:schemeClr w14:val="tx1"/>
            </w14:solidFill>
          </w14:textFill>
        </w:rPr>
        <w:t xml:space="preserve">                                           </w:t>
      </w:r>
    </w:p>
    <w:p w14:paraId="0B52CDD2">
      <w:pPr>
        <w:spacing w:line="360" w:lineRule="auto"/>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                                              </w:t>
      </w:r>
    </w:p>
    <w:tbl>
      <w:tblPr>
        <w:tblStyle w:val="59"/>
        <w:tblW w:w="0" w:type="auto"/>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108" w:type="dxa"/>
          <w:bottom w:w="57" w:type="dxa"/>
          <w:right w:w="108" w:type="dxa"/>
        </w:tblCellMar>
      </w:tblPr>
      <w:tblGrid>
        <w:gridCol w:w="2048"/>
        <w:gridCol w:w="6412"/>
      </w:tblGrid>
      <w:tr w14:paraId="20C51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11" w:hRule="atLeast"/>
        </w:trPr>
        <w:tc>
          <w:tcPr>
            <w:tcW w:w="2048" w:type="dxa"/>
            <w:vAlign w:val="center"/>
          </w:tcPr>
          <w:p w14:paraId="02E68CC2">
            <w:pPr>
              <w:spacing w:line="360" w:lineRule="auto"/>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工程名称</w:t>
            </w:r>
          </w:p>
        </w:tc>
        <w:tc>
          <w:tcPr>
            <w:tcW w:w="6412" w:type="dxa"/>
            <w:vAlign w:val="center"/>
          </w:tcPr>
          <w:p w14:paraId="0B664093">
            <w:pPr>
              <w:spacing w:line="360" w:lineRule="auto"/>
              <w:rPr>
                <w:rFonts w:ascii="宋体"/>
                <w:color w:val="000000" w:themeColor="text1"/>
                <w:highlight w:val="none"/>
                <w14:textFill>
                  <w14:solidFill>
                    <w14:schemeClr w14:val="tx1"/>
                  </w14:solidFill>
                </w14:textFill>
              </w:rPr>
            </w:pPr>
          </w:p>
        </w:tc>
      </w:tr>
      <w:tr w14:paraId="47A5D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786" w:hRule="atLeast"/>
        </w:trPr>
        <w:tc>
          <w:tcPr>
            <w:tcW w:w="2048" w:type="dxa"/>
            <w:vAlign w:val="center"/>
          </w:tcPr>
          <w:p w14:paraId="7A6C1997">
            <w:pPr>
              <w:spacing w:line="360" w:lineRule="auto"/>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磋商报价</w:t>
            </w:r>
          </w:p>
        </w:tc>
        <w:tc>
          <w:tcPr>
            <w:tcW w:w="6412" w:type="dxa"/>
            <w:vAlign w:val="center"/>
          </w:tcPr>
          <w:p w14:paraId="1DFD1C1E">
            <w:pPr>
              <w:spacing w:line="360" w:lineRule="auto"/>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小写：</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元</w:t>
            </w:r>
          </w:p>
          <w:p w14:paraId="78F70E1F">
            <w:pPr>
              <w:spacing w:line="360" w:lineRule="auto"/>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大写：</w:t>
            </w:r>
            <w:r>
              <w:rPr>
                <w:rFonts w:ascii="宋体" w:hAnsi="宋体" w:cs="宋体"/>
                <w:color w:val="000000" w:themeColor="text1"/>
                <w:highlight w:val="none"/>
                <w14:textFill>
                  <w14:solidFill>
                    <w14:schemeClr w14:val="tx1"/>
                  </w14:solidFill>
                </w14:textFill>
              </w:rPr>
              <w:t xml:space="preserve">                  </w:t>
            </w:r>
          </w:p>
        </w:tc>
      </w:tr>
      <w:tr w14:paraId="759B9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545" w:hRule="atLeast"/>
        </w:trPr>
        <w:tc>
          <w:tcPr>
            <w:tcW w:w="2048" w:type="dxa"/>
            <w:vAlign w:val="center"/>
          </w:tcPr>
          <w:p w14:paraId="47AD3374">
            <w:pPr>
              <w:spacing w:line="360" w:lineRule="auto"/>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承诺质量</w:t>
            </w:r>
          </w:p>
        </w:tc>
        <w:tc>
          <w:tcPr>
            <w:tcW w:w="6412" w:type="dxa"/>
            <w:vAlign w:val="center"/>
          </w:tcPr>
          <w:p w14:paraId="26B5CDF3">
            <w:pPr>
              <w:spacing w:line="360" w:lineRule="auto"/>
              <w:rPr>
                <w:rFonts w:ascii="宋体"/>
                <w:color w:val="000000" w:themeColor="text1"/>
                <w:highlight w:val="none"/>
                <w14:textFill>
                  <w14:solidFill>
                    <w14:schemeClr w14:val="tx1"/>
                  </w14:solidFill>
                </w14:textFill>
              </w:rPr>
            </w:pPr>
          </w:p>
        </w:tc>
      </w:tr>
      <w:tr w14:paraId="45B66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567" w:hRule="atLeast"/>
        </w:trPr>
        <w:tc>
          <w:tcPr>
            <w:tcW w:w="2048" w:type="dxa"/>
            <w:vAlign w:val="center"/>
          </w:tcPr>
          <w:p w14:paraId="4638889A">
            <w:pPr>
              <w:spacing w:line="360" w:lineRule="auto"/>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承诺工期</w:t>
            </w:r>
          </w:p>
        </w:tc>
        <w:tc>
          <w:tcPr>
            <w:tcW w:w="6412" w:type="dxa"/>
            <w:vAlign w:val="center"/>
          </w:tcPr>
          <w:p w14:paraId="5B1999F4">
            <w:pPr>
              <w:spacing w:line="360" w:lineRule="auto"/>
              <w:rPr>
                <w:rFonts w:ascii="宋体"/>
                <w:color w:val="000000" w:themeColor="text1"/>
                <w:highlight w:val="none"/>
                <w14:textFill>
                  <w14:solidFill>
                    <w14:schemeClr w14:val="tx1"/>
                  </w14:solidFill>
                </w14:textFill>
              </w:rPr>
            </w:pPr>
          </w:p>
        </w:tc>
      </w:tr>
      <w:tr w14:paraId="054C3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561" w:hRule="atLeast"/>
        </w:trPr>
        <w:tc>
          <w:tcPr>
            <w:tcW w:w="2048" w:type="dxa"/>
            <w:vAlign w:val="center"/>
          </w:tcPr>
          <w:p w14:paraId="05D2835B">
            <w:pPr>
              <w:spacing w:line="360" w:lineRule="auto"/>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项目经理及证号</w:t>
            </w:r>
          </w:p>
        </w:tc>
        <w:tc>
          <w:tcPr>
            <w:tcW w:w="6412" w:type="dxa"/>
            <w:vAlign w:val="center"/>
          </w:tcPr>
          <w:p w14:paraId="784E8780">
            <w:pPr>
              <w:spacing w:line="360" w:lineRule="auto"/>
              <w:rPr>
                <w:rFonts w:ascii="宋体"/>
                <w:color w:val="000000" w:themeColor="text1"/>
                <w:highlight w:val="none"/>
                <w14:textFill>
                  <w14:solidFill>
                    <w14:schemeClr w14:val="tx1"/>
                  </w14:solidFill>
                </w14:textFill>
              </w:rPr>
            </w:pPr>
          </w:p>
        </w:tc>
      </w:tr>
      <w:tr w14:paraId="17550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804" w:hRule="atLeast"/>
        </w:trPr>
        <w:tc>
          <w:tcPr>
            <w:tcW w:w="2048" w:type="dxa"/>
            <w:vAlign w:val="center"/>
          </w:tcPr>
          <w:p w14:paraId="637692FB">
            <w:pPr>
              <w:spacing w:line="360" w:lineRule="auto"/>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备注</w:t>
            </w:r>
          </w:p>
        </w:tc>
        <w:tc>
          <w:tcPr>
            <w:tcW w:w="6412" w:type="dxa"/>
            <w:vAlign w:val="center"/>
          </w:tcPr>
          <w:p w14:paraId="09F35497">
            <w:pPr>
              <w:spacing w:line="360" w:lineRule="auto"/>
              <w:rPr>
                <w:rFonts w:ascii="宋体"/>
                <w:color w:val="000000" w:themeColor="text1"/>
                <w:highlight w:val="none"/>
                <w14:textFill>
                  <w14:solidFill>
                    <w14:schemeClr w14:val="tx1"/>
                  </w14:solidFill>
                </w14:textFill>
              </w:rPr>
            </w:pPr>
          </w:p>
        </w:tc>
      </w:tr>
    </w:tbl>
    <w:p w14:paraId="3ABDBC82">
      <w:pPr>
        <w:spacing w:line="360" w:lineRule="auto"/>
        <w:jc w:val="left"/>
        <w:rPr>
          <w:rFonts w:ascii="宋体"/>
          <w:color w:val="000000" w:themeColor="text1"/>
          <w:highlight w:val="none"/>
          <w14:textFill>
            <w14:solidFill>
              <w14:schemeClr w14:val="tx1"/>
            </w14:solidFill>
          </w14:textFill>
        </w:rPr>
      </w:pPr>
    </w:p>
    <w:p w14:paraId="1D7301BE">
      <w:pPr>
        <w:spacing w:line="360" w:lineRule="auto"/>
        <w:jc w:val="left"/>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注：</w:t>
      </w:r>
      <w:r>
        <w:rPr>
          <w:rFonts w:ascii="宋体" w:hAnsi="宋体" w:cs="宋体"/>
          <w:color w:val="000000" w:themeColor="text1"/>
          <w:highlight w:val="none"/>
          <w14:textFill>
            <w14:solidFill>
              <w14:schemeClr w14:val="tx1"/>
            </w14:solidFill>
          </w14:textFill>
        </w:rPr>
        <w:t xml:space="preserve"> </w:t>
      </w:r>
    </w:p>
    <w:p w14:paraId="186C2093">
      <w:pPr>
        <w:spacing w:line="360" w:lineRule="auto"/>
        <w:ind w:firstLine="420" w:firstLineChars="200"/>
        <w:jc w:val="left"/>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1.</w:t>
      </w:r>
      <w:r>
        <w:rPr>
          <w:rFonts w:hint="eastAsia" w:ascii="宋体" w:hAnsi="宋体" w:cs="宋体"/>
          <w:color w:val="000000" w:themeColor="text1"/>
          <w:highlight w:val="none"/>
          <w14:textFill>
            <w14:solidFill>
              <w14:schemeClr w14:val="tx1"/>
            </w14:solidFill>
          </w14:textFill>
        </w:rPr>
        <w:t>供应商的报价表必须加盖供应商公章并由法定代表人或者委托代理人签字，</w:t>
      </w:r>
      <w:r>
        <w:rPr>
          <w:rFonts w:hint="eastAsia" w:ascii="宋体" w:hAnsi="宋体" w:cs="宋体"/>
          <w:b/>
          <w:bCs/>
          <w:color w:val="000000" w:themeColor="text1"/>
          <w:highlight w:val="none"/>
          <w14:textFill>
            <w14:solidFill>
              <w14:schemeClr w14:val="tx1"/>
            </w14:solidFill>
          </w14:textFill>
        </w:rPr>
        <w:t>否则其响应文件按无效响应处理</w:t>
      </w:r>
      <w:r>
        <w:rPr>
          <w:rFonts w:hint="eastAsia" w:ascii="宋体" w:hAnsi="宋体" w:cs="宋体"/>
          <w:color w:val="000000" w:themeColor="text1"/>
          <w:highlight w:val="none"/>
          <w14:textFill>
            <w14:solidFill>
              <w14:schemeClr w14:val="tx1"/>
            </w14:solidFill>
          </w14:textFill>
        </w:rPr>
        <w:t>。</w:t>
      </w:r>
    </w:p>
    <w:p w14:paraId="2DE813F4">
      <w:pPr>
        <w:spacing w:line="360" w:lineRule="auto"/>
        <w:ind w:firstLine="420" w:firstLineChars="200"/>
        <w:jc w:val="left"/>
        <w:rPr>
          <w:rFonts w:ascii="宋体"/>
          <w:b/>
          <w:bCs/>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2.</w:t>
      </w:r>
      <w:r>
        <w:rPr>
          <w:rFonts w:hint="eastAsia" w:ascii="宋体" w:hAnsi="宋体" w:cs="宋体"/>
          <w:color w:val="000000" w:themeColor="text1"/>
          <w:highlight w:val="none"/>
          <w14:textFill>
            <w14:solidFill>
              <w14:schemeClr w14:val="tx1"/>
            </w14:solidFill>
          </w14:textFill>
        </w:rPr>
        <w:t>报价一经涂改，应在涂改处加盖供应商公章或者由法定代表人或者委托代理人签字或者盖章</w:t>
      </w:r>
      <w:r>
        <w:rPr>
          <w:rFonts w:hint="eastAsia" w:ascii="宋体" w:hAnsi="宋体" w:cs="宋体"/>
          <w:b/>
          <w:bCs/>
          <w:color w:val="000000" w:themeColor="text1"/>
          <w:highlight w:val="none"/>
          <w14:textFill>
            <w14:solidFill>
              <w14:schemeClr w14:val="tx1"/>
            </w14:solidFill>
          </w14:textFill>
        </w:rPr>
        <w:t>，否则其响应文件按无效响应处理。</w:t>
      </w:r>
    </w:p>
    <w:p w14:paraId="28103B29">
      <w:pPr>
        <w:spacing w:line="360" w:lineRule="auto"/>
        <w:ind w:right="-817" w:rightChars="-389"/>
        <w:rPr>
          <w:rFonts w:ascii="宋体"/>
          <w:color w:val="000000" w:themeColor="text1"/>
          <w:highlight w:val="none"/>
          <w14:textFill>
            <w14:solidFill>
              <w14:schemeClr w14:val="tx1"/>
            </w14:solidFill>
          </w14:textFill>
        </w:rPr>
      </w:pPr>
    </w:p>
    <w:p w14:paraId="35B421CD">
      <w:pPr>
        <w:spacing w:line="360" w:lineRule="auto"/>
        <w:ind w:right="-817" w:rightChars="-389" w:firstLine="2310" w:firstLineChars="1100"/>
        <w:rPr>
          <w:rFonts w:ascii="宋体"/>
          <w:color w:val="000000" w:themeColor="text1"/>
          <w:highlight w:val="none"/>
          <w14:textFill>
            <w14:solidFill>
              <w14:schemeClr w14:val="tx1"/>
            </w14:solidFill>
          </w14:textFill>
        </w:rPr>
      </w:pPr>
    </w:p>
    <w:p w14:paraId="1DB05F25">
      <w:pPr>
        <w:spacing w:line="360" w:lineRule="auto"/>
        <w:ind w:right="-817" w:rightChars="-389" w:firstLine="2310" w:firstLineChars="1100"/>
        <w:rPr>
          <w:rFonts w:ascii="宋体"/>
          <w:color w:val="000000" w:themeColor="text1"/>
          <w:highlight w:val="none"/>
          <w14:textFill>
            <w14:solidFill>
              <w14:schemeClr w14:val="tx1"/>
            </w14:solidFill>
          </w14:textFill>
        </w:rPr>
      </w:pPr>
    </w:p>
    <w:p w14:paraId="4329C6DA">
      <w:pPr>
        <w:spacing w:line="360" w:lineRule="auto"/>
        <w:ind w:right="-817" w:rightChars="-389" w:firstLine="2310" w:firstLineChars="1100"/>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法定代表人或者委托代理人（签字或盖印鉴）：</w:t>
      </w:r>
      <w:r>
        <w:rPr>
          <w:rFonts w:ascii="宋体" w:hAnsi="宋体" w:cs="宋体"/>
          <w:color w:val="000000" w:themeColor="text1"/>
          <w:highlight w:val="none"/>
          <w14:textFill>
            <w14:solidFill>
              <w14:schemeClr w14:val="tx1"/>
            </w14:solidFill>
          </w14:textFill>
        </w:rPr>
        <w:t xml:space="preserve">                    </w:t>
      </w:r>
    </w:p>
    <w:p w14:paraId="15093734">
      <w:pPr>
        <w:spacing w:line="360" w:lineRule="auto"/>
        <w:ind w:right="-817" w:rightChars="-389" w:firstLine="2310" w:firstLineChars="1100"/>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供应商（盖公章）：</w:t>
      </w:r>
      <w:r>
        <w:rPr>
          <w:rFonts w:ascii="宋体" w:hAnsi="宋体" w:cs="宋体"/>
          <w:color w:val="000000" w:themeColor="text1"/>
          <w:highlight w:val="none"/>
          <w14:textFill>
            <w14:solidFill>
              <w14:schemeClr w14:val="tx1"/>
            </w14:solidFill>
          </w14:textFill>
        </w:rPr>
        <w:t xml:space="preserve">      </w:t>
      </w:r>
    </w:p>
    <w:p w14:paraId="464A4550">
      <w:pPr>
        <w:spacing w:line="360" w:lineRule="auto"/>
        <w:ind w:right="-817" w:rightChars="-389" w:firstLine="3570" w:firstLineChars="1700"/>
        <w:rPr>
          <w:rFonts w:ascii="宋体"/>
          <w:b/>
          <w:bCs/>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日期：</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年</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月</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日</w:t>
      </w:r>
    </w:p>
    <w:p w14:paraId="22394E72">
      <w:pPr>
        <w:spacing w:line="360" w:lineRule="auto"/>
        <w:ind w:right="-817" w:rightChars="-389"/>
        <w:jc w:val="center"/>
        <w:rPr>
          <w:rFonts w:ascii="宋体"/>
          <w:color w:val="000000" w:themeColor="text1"/>
          <w:sz w:val="36"/>
          <w:szCs w:val="36"/>
          <w:highlight w:val="none"/>
          <w14:textFill>
            <w14:solidFill>
              <w14:schemeClr w14:val="tx1"/>
            </w14:solidFill>
          </w14:textFill>
        </w:rPr>
      </w:pPr>
      <w:r>
        <w:rPr>
          <w:rFonts w:ascii="宋体"/>
          <w:color w:val="000000" w:themeColor="text1"/>
          <w:sz w:val="44"/>
          <w:szCs w:val="44"/>
          <w:highlight w:val="none"/>
          <w14:textFill>
            <w14:solidFill>
              <w14:schemeClr w14:val="tx1"/>
            </w14:solidFill>
          </w14:textFill>
        </w:rPr>
        <w:br w:type="page"/>
      </w:r>
      <w:r>
        <w:rPr>
          <w:rFonts w:hint="eastAsia" w:ascii="宋体" w:hAnsi="宋体" w:cs="宋体"/>
          <w:b/>
          <w:bCs/>
          <w:color w:val="000000" w:themeColor="text1"/>
          <w:sz w:val="36"/>
          <w:szCs w:val="36"/>
          <w:highlight w:val="none"/>
          <w14:textFill>
            <w14:solidFill>
              <w14:schemeClr w14:val="tx1"/>
            </w14:solidFill>
          </w14:textFill>
        </w:rPr>
        <w:t>已标价工程量清单</w:t>
      </w:r>
      <w:r>
        <w:rPr>
          <w:rFonts w:hint="eastAsia" w:ascii="宋体" w:hAnsi="宋体" w:eastAsia="宋体" w:cs="宋体"/>
          <w:b/>
          <w:bCs/>
          <w:color w:val="000000" w:themeColor="text1"/>
          <w:sz w:val="36"/>
          <w:szCs w:val="36"/>
          <w:highlight w:val="none"/>
          <w14:textFill>
            <w14:solidFill>
              <w14:schemeClr w14:val="tx1"/>
            </w14:solidFill>
          </w14:textFill>
        </w:rPr>
        <w:t>及工程量清单说明</w:t>
      </w:r>
    </w:p>
    <w:p w14:paraId="17764817">
      <w:pPr>
        <w:spacing w:line="440" w:lineRule="exact"/>
        <w:jc w:val="center"/>
        <w:rPr>
          <w:rFonts w:ascii="宋体"/>
          <w:color w:val="000000" w:themeColor="text1"/>
          <w:sz w:val="32"/>
          <w:szCs w:val="32"/>
          <w:highlight w:val="none"/>
          <w14:textFill>
            <w14:solidFill>
              <w14:schemeClr w14:val="tx1"/>
            </w14:solidFill>
          </w14:textFill>
        </w:rPr>
      </w:pPr>
    </w:p>
    <w:p w14:paraId="25ECB6E6">
      <w:pPr>
        <w:spacing w:line="360" w:lineRule="auto"/>
        <w:rPr>
          <w:rFonts w:ascii="宋体"/>
          <w:b/>
          <w:bCs/>
          <w:color w:val="000000" w:themeColor="text1"/>
          <w:sz w:val="24"/>
          <w:szCs w:val="24"/>
          <w:highlight w:val="none"/>
          <w14:textFill>
            <w14:solidFill>
              <w14:schemeClr w14:val="tx1"/>
            </w14:solidFill>
          </w14:textFill>
        </w:rPr>
      </w:pPr>
    </w:p>
    <w:p w14:paraId="02FE84EC">
      <w:pPr>
        <w:spacing w:line="360" w:lineRule="auto"/>
        <w:ind w:firstLine="482" w:firstLineChars="200"/>
        <w:rPr>
          <w:rFonts w:ascii="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已标价工程量清单按固化清单填写金额，已标价工程量清单</w:t>
      </w:r>
      <w:r>
        <w:rPr>
          <w:rFonts w:hint="eastAsia" w:ascii="宋体" w:hAnsi="宋体"/>
          <w:b/>
          <w:bCs/>
          <w:color w:val="000000" w:themeColor="text1"/>
          <w:sz w:val="24"/>
          <w:highlight w:val="none"/>
          <w14:textFill>
            <w14:solidFill>
              <w14:schemeClr w14:val="tx1"/>
            </w14:solidFill>
          </w14:textFill>
        </w:rPr>
        <w:t>包括工程量清单说明、磋商报价说明、其他说明及工程量清单各项表格（工程量清单表5.1～表5.5）。</w:t>
      </w:r>
    </w:p>
    <w:p w14:paraId="3061B714">
      <w:pPr>
        <w:spacing w:line="360" w:lineRule="auto"/>
        <w:rPr>
          <w:rFonts w:ascii="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 xml:space="preserve">                                              </w:t>
      </w:r>
    </w:p>
    <w:p w14:paraId="5E61F360">
      <w:pPr>
        <w:spacing w:line="360" w:lineRule="auto"/>
        <w:jc w:val="left"/>
        <w:rPr>
          <w:rFonts w:ascii="宋体"/>
          <w:color w:val="000000" w:themeColor="text1"/>
          <w:sz w:val="24"/>
          <w:szCs w:val="24"/>
          <w:highlight w:val="none"/>
          <w14:textFill>
            <w14:solidFill>
              <w14:schemeClr w14:val="tx1"/>
            </w14:solidFill>
          </w14:textFill>
        </w:rPr>
      </w:pPr>
    </w:p>
    <w:p w14:paraId="2D373642">
      <w:pPr>
        <w:spacing w:line="360" w:lineRule="auto"/>
        <w:jc w:val="left"/>
        <w:rPr>
          <w:rFonts w:ascii="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注</w:t>
      </w:r>
      <w:r>
        <w:rPr>
          <w:rFonts w:ascii="宋体" w:hAnsi="宋体" w:cs="宋体"/>
          <w:color w:val="000000" w:themeColor="text1"/>
          <w:sz w:val="24"/>
          <w:szCs w:val="24"/>
          <w:highlight w:val="none"/>
          <w14:textFill>
            <w14:solidFill>
              <w14:schemeClr w14:val="tx1"/>
            </w14:solidFill>
          </w14:textFill>
        </w:rPr>
        <w:t xml:space="preserve">: </w:t>
      </w:r>
    </w:p>
    <w:p w14:paraId="55426D53">
      <w:pPr>
        <w:numPr>
          <w:ilvl w:val="0"/>
          <w:numId w:val="8"/>
        </w:numPr>
        <w:spacing w:line="36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供应商</w:t>
      </w:r>
      <w:r>
        <w:rPr>
          <w:rFonts w:hint="eastAsia" w:ascii="宋体" w:hAnsi="宋体" w:eastAsia="宋体" w:cs="宋体"/>
          <w:color w:val="000000" w:themeColor="text1"/>
          <w:sz w:val="24"/>
          <w:szCs w:val="24"/>
          <w:highlight w:val="none"/>
          <w14:textFill>
            <w14:solidFill>
              <w14:schemeClr w14:val="tx1"/>
            </w14:solidFill>
          </w14:textFill>
        </w:rPr>
        <w:t>的已标价工程量清单必须加盖供应商公章</w:t>
      </w:r>
    </w:p>
    <w:p w14:paraId="1E445A61">
      <w:pPr>
        <w:numPr>
          <w:ilvl w:val="0"/>
          <w:numId w:val="8"/>
        </w:numPr>
        <w:spacing w:line="360" w:lineRule="auto"/>
        <w:ind w:firstLine="480" w:firstLineChars="200"/>
        <w:jc w:val="left"/>
        <w:rPr>
          <w:rFonts w:ascii="宋体" w:hAnsi="宋体" w:cs="宋体"/>
          <w:color w:val="000000" w:themeColor="text1"/>
          <w:sz w:val="24"/>
          <w:szCs w:val="24"/>
          <w:highlight w:val="none"/>
          <w:shd w:val="clear" w:color="auto" w:fill="FFFF00"/>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工程量清单说明须按采购人提供的内容打印并加盖供应商公章。</w:t>
      </w:r>
    </w:p>
    <w:p w14:paraId="0A8B499B">
      <w:pPr>
        <w:pStyle w:val="21"/>
        <w:rPr>
          <w:rFonts w:ascii="宋体"/>
          <w:b/>
          <w:bCs/>
          <w:color w:val="000000" w:themeColor="text1"/>
          <w:sz w:val="24"/>
          <w:szCs w:val="24"/>
          <w:highlight w:val="none"/>
          <w14:textFill>
            <w14:solidFill>
              <w14:schemeClr w14:val="tx1"/>
            </w14:solidFill>
          </w14:textFill>
        </w:rPr>
      </w:pPr>
    </w:p>
    <w:p w14:paraId="48F36149">
      <w:pPr>
        <w:rPr>
          <w:rFonts w:ascii="宋体"/>
          <w:b/>
          <w:bCs/>
          <w:color w:val="000000" w:themeColor="text1"/>
          <w:sz w:val="24"/>
          <w:szCs w:val="24"/>
          <w:highlight w:val="none"/>
          <w14:textFill>
            <w14:solidFill>
              <w14:schemeClr w14:val="tx1"/>
            </w14:solidFill>
          </w14:textFill>
        </w:rPr>
      </w:pPr>
    </w:p>
    <w:p w14:paraId="5A54F81E">
      <w:pPr>
        <w:pStyle w:val="21"/>
        <w:rPr>
          <w:rFonts w:ascii="宋体"/>
          <w:b/>
          <w:bCs/>
          <w:color w:val="000000" w:themeColor="text1"/>
          <w:sz w:val="24"/>
          <w:szCs w:val="24"/>
          <w:highlight w:val="none"/>
          <w14:textFill>
            <w14:solidFill>
              <w14:schemeClr w14:val="tx1"/>
            </w14:solidFill>
          </w14:textFill>
        </w:rPr>
      </w:pPr>
    </w:p>
    <w:p w14:paraId="17ED686D">
      <w:pPr>
        <w:rPr>
          <w:rFonts w:ascii="宋体"/>
          <w:b/>
          <w:bCs/>
          <w:color w:val="000000" w:themeColor="text1"/>
          <w:sz w:val="44"/>
          <w:szCs w:val="44"/>
          <w:highlight w:val="none"/>
          <w14:textFill>
            <w14:solidFill>
              <w14:schemeClr w14:val="tx1"/>
            </w14:solidFill>
          </w14:textFill>
        </w:rPr>
      </w:pPr>
    </w:p>
    <w:p w14:paraId="6A71BB5A">
      <w:pPr>
        <w:pStyle w:val="21"/>
        <w:rPr>
          <w:rFonts w:ascii="宋体"/>
          <w:b/>
          <w:bCs/>
          <w:color w:val="000000" w:themeColor="text1"/>
          <w:sz w:val="44"/>
          <w:szCs w:val="44"/>
          <w:highlight w:val="none"/>
          <w14:textFill>
            <w14:solidFill>
              <w14:schemeClr w14:val="tx1"/>
            </w14:solidFill>
          </w14:textFill>
        </w:rPr>
      </w:pPr>
    </w:p>
    <w:p w14:paraId="654222D7">
      <w:pPr>
        <w:rPr>
          <w:rFonts w:ascii="宋体"/>
          <w:b/>
          <w:bCs/>
          <w:color w:val="000000" w:themeColor="text1"/>
          <w:sz w:val="44"/>
          <w:szCs w:val="44"/>
          <w:highlight w:val="none"/>
          <w14:textFill>
            <w14:solidFill>
              <w14:schemeClr w14:val="tx1"/>
            </w14:solidFill>
          </w14:textFill>
        </w:rPr>
      </w:pPr>
    </w:p>
    <w:p w14:paraId="5AF0FE7D">
      <w:pPr>
        <w:pStyle w:val="21"/>
        <w:rPr>
          <w:rFonts w:ascii="宋体"/>
          <w:b/>
          <w:bCs/>
          <w:color w:val="000000" w:themeColor="text1"/>
          <w:sz w:val="44"/>
          <w:szCs w:val="44"/>
          <w:highlight w:val="none"/>
          <w14:textFill>
            <w14:solidFill>
              <w14:schemeClr w14:val="tx1"/>
            </w14:solidFill>
          </w14:textFill>
        </w:rPr>
      </w:pPr>
    </w:p>
    <w:p w14:paraId="70965222">
      <w:pPr>
        <w:rPr>
          <w:rFonts w:ascii="宋体"/>
          <w:b/>
          <w:bCs/>
          <w:color w:val="000000" w:themeColor="text1"/>
          <w:sz w:val="44"/>
          <w:szCs w:val="44"/>
          <w:highlight w:val="none"/>
          <w14:textFill>
            <w14:solidFill>
              <w14:schemeClr w14:val="tx1"/>
            </w14:solidFill>
          </w14:textFill>
        </w:rPr>
      </w:pPr>
    </w:p>
    <w:p w14:paraId="4B8FD268">
      <w:pPr>
        <w:pStyle w:val="21"/>
        <w:rPr>
          <w:rFonts w:ascii="宋体"/>
          <w:b/>
          <w:bCs/>
          <w:color w:val="000000" w:themeColor="text1"/>
          <w:sz w:val="44"/>
          <w:szCs w:val="44"/>
          <w:highlight w:val="none"/>
          <w14:textFill>
            <w14:solidFill>
              <w14:schemeClr w14:val="tx1"/>
            </w14:solidFill>
          </w14:textFill>
        </w:rPr>
      </w:pPr>
    </w:p>
    <w:p w14:paraId="4FD1BE80">
      <w:pPr>
        <w:rPr>
          <w:rFonts w:ascii="宋体"/>
          <w:b/>
          <w:bCs/>
          <w:color w:val="000000" w:themeColor="text1"/>
          <w:sz w:val="44"/>
          <w:szCs w:val="44"/>
          <w:highlight w:val="none"/>
          <w14:textFill>
            <w14:solidFill>
              <w14:schemeClr w14:val="tx1"/>
            </w14:solidFill>
          </w14:textFill>
        </w:rPr>
      </w:pPr>
    </w:p>
    <w:p w14:paraId="0AE9E6A2">
      <w:pPr>
        <w:pStyle w:val="21"/>
        <w:rPr>
          <w:rFonts w:ascii="宋体"/>
          <w:b/>
          <w:bCs/>
          <w:color w:val="000000" w:themeColor="text1"/>
          <w:sz w:val="44"/>
          <w:szCs w:val="44"/>
          <w:highlight w:val="none"/>
          <w14:textFill>
            <w14:solidFill>
              <w14:schemeClr w14:val="tx1"/>
            </w14:solidFill>
          </w14:textFill>
        </w:rPr>
      </w:pPr>
    </w:p>
    <w:p w14:paraId="27711CF3">
      <w:pPr>
        <w:rPr>
          <w:rFonts w:ascii="宋体"/>
          <w:b/>
          <w:bCs/>
          <w:color w:val="000000" w:themeColor="text1"/>
          <w:sz w:val="44"/>
          <w:szCs w:val="44"/>
          <w:highlight w:val="none"/>
          <w14:textFill>
            <w14:solidFill>
              <w14:schemeClr w14:val="tx1"/>
            </w14:solidFill>
          </w14:textFill>
        </w:rPr>
      </w:pPr>
    </w:p>
    <w:p w14:paraId="062E3EB6">
      <w:pPr>
        <w:pStyle w:val="21"/>
        <w:rPr>
          <w:rFonts w:ascii="宋体"/>
          <w:b/>
          <w:bCs/>
          <w:color w:val="000000" w:themeColor="text1"/>
          <w:sz w:val="44"/>
          <w:szCs w:val="44"/>
          <w:highlight w:val="none"/>
          <w14:textFill>
            <w14:solidFill>
              <w14:schemeClr w14:val="tx1"/>
            </w14:solidFill>
          </w14:textFill>
        </w:rPr>
      </w:pPr>
    </w:p>
    <w:p w14:paraId="6B3FEB9E">
      <w:pPr>
        <w:rPr>
          <w:rFonts w:ascii="宋体"/>
          <w:b/>
          <w:bCs/>
          <w:color w:val="000000" w:themeColor="text1"/>
          <w:sz w:val="44"/>
          <w:szCs w:val="44"/>
          <w:highlight w:val="none"/>
          <w14:textFill>
            <w14:solidFill>
              <w14:schemeClr w14:val="tx1"/>
            </w14:solidFill>
          </w14:textFill>
        </w:rPr>
      </w:pPr>
    </w:p>
    <w:p w14:paraId="331C1E74">
      <w:pPr>
        <w:rPr>
          <w:rFonts w:ascii="宋体"/>
          <w:b/>
          <w:bCs/>
          <w:color w:val="000000" w:themeColor="text1"/>
          <w:sz w:val="44"/>
          <w:szCs w:val="44"/>
          <w:highlight w:val="none"/>
          <w14:textFill>
            <w14:solidFill>
              <w14:schemeClr w14:val="tx1"/>
            </w14:solidFill>
          </w14:textFill>
        </w:rPr>
      </w:pPr>
    </w:p>
    <w:p w14:paraId="0A4FEB3C">
      <w:pPr>
        <w:pStyle w:val="21"/>
        <w:rPr>
          <w:color w:val="000000" w:themeColor="text1"/>
          <w:highlight w:val="none"/>
          <w14:textFill>
            <w14:solidFill>
              <w14:schemeClr w14:val="tx1"/>
            </w14:solidFill>
          </w14:textFill>
        </w:rPr>
      </w:pPr>
    </w:p>
    <w:p w14:paraId="5AD35E18">
      <w:pPr>
        <w:pStyle w:val="29"/>
        <w:spacing w:line="480" w:lineRule="exact"/>
        <w:rPr>
          <w:rFonts w:hAnsi="宋体" w:cs="Times New Roman"/>
          <w:b/>
          <w:bCs/>
          <w:color w:val="000000" w:themeColor="text1"/>
          <w:sz w:val="24"/>
          <w:szCs w:val="24"/>
          <w:highlight w:val="none"/>
          <w14:textFill>
            <w14:solidFill>
              <w14:schemeClr w14:val="tx1"/>
            </w14:solidFill>
          </w14:textFill>
        </w:rPr>
      </w:pPr>
    </w:p>
    <w:p w14:paraId="7EA02C91">
      <w:pPr>
        <w:pStyle w:val="29"/>
        <w:spacing w:line="480" w:lineRule="exact"/>
        <w:rPr>
          <w:rFonts w:hAnsi="宋体" w:cs="Times New Roman"/>
          <w:b/>
          <w:bCs/>
          <w:color w:val="000000" w:themeColor="text1"/>
          <w:sz w:val="24"/>
          <w:szCs w:val="24"/>
          <w:highlight w:val="none"/>
          <w14:textFill>
            <w14:solidFill>
              <w14:schemeClr w14:val="tx1"/>
            </w14:solidFill>
          </w14:textFill>
        </w:rPr>
      </w:pPr>
    </w:p>
    <w:p w14:paraId="55CBBBC8">
      <w:pPr>
        <w:snapToGrid w:val="0"/>
        <w:spacing w:beforeLines="50" w:after="50" w:line="360" w:lineRule="auto"/>
        <w:ind w:right="480"/>
        <w:rPr>
          <w:rFonts w:ascii="宋体"/>
          <w:b/>
          <w:bCs/>
          <w:color w:val="000000" w:themeColor="text1"/>
          <w:sz w:val="32"/>
          <w:szCs w:val="32"/>
          <w:highlight w:val="none"/>
          <w14:textFill>
            <w14:solidFill>
              <w14:schemeClr w14:val="tx1"/>
            </w14:solidFill>
          </w14:textFill>
        </w:rPr>
      </w:pPr>
      <w:r>
        <w:rPr>
          <w:rFonts w:hint="eastAsia" w:ascii="宋体" w:hAnsi="宋体" w:cs="宋体"/>
          <w:b/>
          <w:bCs/>
          <w:color w:val="000000" w:themeColor="text1"/>
          <w:sz w:val="32"/>
          <w:szCs w:val="32"/>
          <w:highlight w:val="none"/>
          <w:lang w:val="en-US" w:eastAsia="zh-CN"/>
          <w14:textFill>
            <w14:solidFill>
              <w14:schemeClr w14:val="tx1"/>
            </w14:solidFill>
          </w14:textFill>
        </w:rPr>
        <w:t>三</w:t>
      </w:r>
      <w:r>
        <w:rPr>
          <w:rFonts w:hint="eastAsia" w:ascii="宋体" w:hAnsi="宋体" w:cs="宋体"/>
          <w:b/>
          <w:bCs/>
          <w:color w:val="000000" w:themeColor="text1"/>
          <w:sz w:val="32"/>
          <w:szCs w:val="32"/>
          <w:highlight w:val="none"/>
          <w14:textFill>
            <w14:solidFill>
              <w14:schemeClr w14:val="tx1"/>
            </w14:solidFill>
          </w14:textFill>
        </w:rPr>
        <w:t>、商务技术文件格式</w:t>
      </w:r>
    </w:p>
    <w:p w14:paraId="2C2152D9">
      <w:pPr>
        <w:snapToGrid w:val="0"/>
        <w:spacing w:beforeLines="50" w:after="50" w:line="360" w:lineRule="auto"/>
        <w:jc w:val="left"/>
        <w:rPr>
          <w:rFonts w:ascii="宋体"/>
          <w:b/>
          <w:bCs/>
          <w:color w:val="000000" w:themeColor="text1"/>
          <w:sz w:val="32"/>
          <w:szCs w:val="32"/>
          <w:highlight w:val="none"/>
          <w14:textFill>
            <w14:solidFill>
              <w14:schemeClr w14:val="tx1"/>
            </w14:solidFill>
          </w14:textFill>
        </w:rPr>
      </w:pPr>
      <w:r>
        <w:rPr>
          <w:rFonts w:ascii="宋体" w:hAnsi="宋体" w:cs="宋体"/>
          <w:b/>
          <w:bCs/>
          <w:color w:val="000000" w:themeColor="text1"/>
          <w:sz w:val="32"/>
          <w:szCs w:val="32"/>
          <w:highlight w:val="none"/>
          <w14:textFill>
            <w14:solidFill>
              <w14:schemeClr w14:val="tx1"/>
            </w14:solidFill>
          </w14:textFill>
        </w:rPr>
        <w:t>1.</w:t>
      </w:r>
      <w:r>
        <w:rPr>
          <w:rFonts w:hint="eastAsia" w:ascii="宋体" w:hAnsi="宋体" w:cs="宋体"/>
          <w:b/>
          <w:bCs/>
          <w:color w:val="000000" w:themeColor="text1"/>
          <w:sz w:val="32"/>
          <w:szCs w:val="32"/>
          <w:highlight w:val="none"/>
          <w14:textFill>
            <w14:solidFill>
              <w14:schemeClr w14:val="tx1"/>
            </w14:solidFill>
          </w14:textFill>
        </w:rPr>
        <w:t>商务技术文件封面格式</w:t>
      </w:r>
    </w:p>
    <w:p w14:paraId="4FB7B2B5">
      <w:pPr>
        <w:snapToGrid w:val="0"/>
        <w:spacing w:beforeLines="50" w:after="50"/>
        <w:rPr>
          <w:rFonts w:ascii="宋体"/>
          <w:color w:val="000000" w:themeColor="text1"/>
          <w:sz w:val="32"/>
          <w:szCs w:val="32"/>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 xml:space="preserve">                                                   </w:t>
      </w:r>
    </w:p>
    <w:p w14:paraId="56BE63BB">
      <w:pPr>
        <w:snapToGrid w:val="0"/>
        <w:spacing w:beforeLines="50" w:after="50"/>
        <w:rPr>
          <w:rFonts w:ascii="宋体"/>
          <w:color w:val="000000" w:themeColor="text1"/>
          <w:sz w:val="24"/>
          <w:szCs w:val="24"/>
          <w:highlight w:val="none"/>
          <w14:textFill>
            <w14:solidFill>
              <w14:schemeClr w14:val="tx1"/>
            </w14:solidFill>
          </w14:textFill>
        </w:rPr>
      </w:pPr>
    </w:p>
    <w:p w14:paraId="380BDAB8">
      <w:pPr>
        <w:snapToGrid w:val="0"/>
        <w:spacing w:beforeLines="50" w:after="50"/>
        <w:jc w:val="center"/>
        <w:rPr>
          <w:rFonts w:ascii="宋体"/>
          <w:color w:val="000000" w:themeColor="text1"/>
          <w:sz w:val="84"/>
          <w:szCs w:val="84"/>
          <w:highlight w:val="none"/>
          <w14:textFill>
            <w14:solidFill>
              <w14:schemeClr w14:val="tx1"/>
            </w14:solidFill>
          </w14:textFill>
        </w:rPr>
      </w:pPr>
      <w:r>
        <w:rPr>
          <w:rFonts w:hint="eastAsia" w:ascii="宋体" w:hAnsi="宋体" w:cs="宋体"/>
          <w:color w:val="000000" w:themeColor="text1"/>
          <w:sz w:val="84"/>
          <w:szCs w:val="84"/>
          <w:highlight w:val="none"/>
          <w14:textFill>
            <w14:solidFill>
              <w14:schemeClr w14:val="tx1"/>
            </w14:solidFill>
          </w14:textFill>
        </w:rPr>
        <w:t>响</w:t>
      </w:r>
      <w:r>
        <w:rPr>
          <w:rFonts w:ascii="宋体" w:hAnsi="宋体" w:cs="宋体"/>
          <w:color w:val="000000" w:themeColor="text1"/>
          <w:sz w:val="84"/>
          <w:szCs w:val="84"/>
          <w:highlight w:val="none"/>
          <w14:textFill>
            <w14:solidFill>
              <w14:schemeClr w14:val="tx1"/>
            </w14:solidFill>
          </w14:textFill>
        </w:rPr>
        <w:t xml:space="preserve">  </w:t>
      </w:r>
      <w:r>
        <w:rPr>
          <w:rFonts w:hint="eastAsia" w:ascii="宋体" w:hAnsi="宋体" w:cs="宋体"/>
          <w:color w:val="000000" w:themeColor="text1"/>
          <w:sz w:val="84"/>
          <w:szCs w:val="84"/>
          <w:highlight w:val="none"/>
          <w14:textFill>
            <w14:solidFill>
              <w14:schemeClr w14:val="tx1"/>
            </w14:solidFill>
          </w14:textFill>
        </w:rPr>
        <w:t>应</w:t>
      </w:r>
      <w:r>
        <w:rPr>
          <w:rFonts w:ascii="宋体" w:hAnsi="宋体" w:cs="宋体"/>
          <w:color w:val="000000" w:themeColor="text1"/>
          <w:sz w:val="84"/>
          <w:szCs w:val="84"/>
          <w:highlight w:val="none"/>
          <w14:textFill>
            <w14:solidFill>
              <w14:schemeClr w14:val="tx1"/>
            </w14:solidFill>
          </w14:textFill>
        </w:rPr>
        <w:t xml:space="preserve">  </w:t>
      </w:r>
      <w:r>
        <w:rPr>
          <w:rFonts w:hint="eastAsia" w:ascii="宋体" w:hAnsi="宋体" w:cs="宋体"/>
          <w:color w:val="000000" w:themeColor="text1"/>
          <w:sz w:val="84"/>
          <w:szCs w:val="84"/>
          <w:highlight w:val="none"/>
          <w14:textFill>
            <w14:solidFill>
              <w14:schemeClr w14:val="tx1"/>
            </w14:solidFill>
          </w14:textFill>
        </w:rPr>
        <w:t>文</w:t>
      </w:r>
      <w:r>
        <w:rPr>
          <w:rFonts w:ascii="宋体" w:hAnsi="宋体" w:cs="宋体"/>
          <w:color w:val="000000" w:themeColor="text1"/>
          <w:sz w:val="84"/>
          <w:szCs w:val="84"/>
          <w:highlight w:val="none"/>
          <w14:textFill>
            <w14:solidFill>
              <w14:schemeClr w14:val="tx1"/>
            </w14:solidFill>
          </w14:textFill>
        </w:rPr>
        <w:t xml:space="preserve">  </w:t>
      </w:r>
      <w:r>
        <w:rPr>
          <w:rFonts w:hint="eastAsia" w:ascii="宋体" w:hAnsi="宋体" w:cs="宋体"/>
          <w:color w:val="000000" w:themeColor="text1"/>
          <w:sz w:val="84"/>
          <w:szCs w:val="84"/>
          <w:highlight w:val="none"/>
          <w14:textFill>
            <w14:solidFill>
              <w14:schemeClr w14:val="tx1"/>
            </w14:solidFill>
          </w14:textFill>
        </w:rPr>
        <w:t>件</w:t>
      </w:r>
    </w:p>
    <w:p w14:paraId="05DA15BA">
      <w:pPr>
        <w:snapToGrid w:val="0"/>
        <w:spacing w:beforeLines="50" w:after="50"/>
        <w:jc w:val="center"/>
        <w:rPr>
          <w:rFonts w:ascii="宋体" w:hAnsi="宋体" w:cs="宋体"/>
          <w:color w:val="000000" w:themeColor="text1"/>
          <w:sz w:val="32"/>
          <w:szCs w:val="32"/>
          <w:highlight w:val="none"/>
          <w14:textFill>
            <w14:solidFill>
              <w14:schemeClr w14:val="tx1"/>
            </w14:solidFill>
          </w14:textFill>
        </w:rPr>
      </w:pPr>
    </w:p>
    <w:p w14:paraId="2AF4F7C0">
      <w:pPr>
        <w:snapToGrid w:val="0"/>
        <w:spacing w:beforeLines="50" w:after="50"/>
        <w:jc w:val="center"/>
        <w:rPr>
          <w:rFonts w:ascii="宋体" w:hAnsi="宋体" w:cs="宋体"/>
          <w:color w:val="000000" w:themeColor="text1"/>
          <w:sz w:val="32"/>
          <w:szCs w:val="32"/>
          <w:highlight w:val="none"/>
          <w14:textFill>
            <w14:solidFill>
              <w14:schemeClr w14:val="tx1"/>
            </w14:solidFill>
          </w14:textFill>
        </w:rPr>
      </w:pPr>
    </w:p>
    <w:p w14:paraId="045B6042">
      <w:pPr>
        <w:snapToGrid w:val="0"/>
        <w:spacing w:beforeLines="50" w:after="50"/>
        <w:jc w:val="center"/>
        <w:rPr>
          <w:rFonts w:ascii="宋体"/>
          <w:color w:val="000000" w:themeColor="text1"/>
          <w:sz w:val="32"/>
          <w:szCs w:val="32"/>
          <w:highlight w:val="none"/>
          <w14:textFill>
            <w14:solidFill>
              <w14:schemeClr w14:val="tx1"/>
            </w14:solidFill>
          </w14:textFill>
        </w:rPr>
      </w:pPr>
      <w:r>
        <w:rPr>
          <w:rFonts w:hint="eastAsia" w:ascii="宋体" w:hAnsi="宋体" w:cs="宋体"/>
          <w:color w:val="000000" w:themeColor="text1"/>
          <w:sz w:val="32"/>
          <w:szCs w:val="32"/>
          <w:highlight w:val="none"/>
          <w14:textFill>
            <w14:solidFill>
              <w14:schemeClr w14:val="tx1"/>
            </w14:solidFill>
          </w14:textFill>
        </w:rPr>
        <w:t>商</w:t>
      </w:r>
      <w:r>
        <w:rPr>
          <w:rFonts w:ascii="宋体" w:hAnsi="宋体" w:cs="宋体"/>
          <w:color w:val="000000" w:themeColor="text1"/>
          <w:sz w:val="32"/>
          <w:szCs w:val="32"/>
          <w:highlight w:val="none"/>
          <w14:textFill>
            <w14:solidFill>
              <w14:schemeClr w14:val="tx1"/>
            </w14:solidFill>
          </w14:textFill>
        </w:rPr>
        <w:t xml:space="preserve">  </w:t>
      </w:r>
      <w:r>
        <w:rPr>
          <w:rFonts w:hint="eastAsia" w:ascii="宋体" w:hAnsi="宋体" w:cs="宋体"/>
          <w:color w:val="000000" w:themeColor="text1"/>
          <w:sz w:val="32"/>
          <w:szCs w:val="32"/>
          <w:highlight w:val="none"/>
          <w14:textFill>
            <w14:solidFill>
              <w14:schemeClr w14:val="tx1"/>
            </w14:solidFill>
          </w14:textFill>
        </w:rPr>
        <w:t>务</w:t>
      </w:r>
      <w:r>
        <w:rPr>
          <w:rFonts w:ascii="宋体" w:hAnsi="宋体" w:cs="宋体"/>
          <w:color w:val="000000" w:themeColor="text1"/>
          <w:sz w:val="32"/>
          <w:szCs w:val="32"/>
          <w:highlight w:val="none"/>
          <w14:textFill>
            <w14:solidFill>
              <w14:schemeClr w14:val="tx1"/>
            </w14:solidFill>
          </w14:textFill>
        </w:rPr>
        <w:t xml:space="preserve">  </w:t>
      </w:r>
      <w:r>
        <w:rPr>
          <w:rFonts w:hint="eastAsia" w:ascii="宋体" w:hAnsi="宋体" w:cs="宋体"/>
          <w:color w:val="000000" w:themeColor="text1"/>
          <w:sz w:val="32"/>
          <w:szCs w:val="32"/>
          <w:highlight w:val="none"/>
          <w14:textFill>
            <w14:solidFill>
              <w14:schemeClr w14:val="tx1"/>
            </w14:solidFill>
          </w14:textFill>
        </w:rPr>
        <w:t>技</w:t>
      </w:r>
      <w:r>
        <w:rPr>
          <w:rFonts w:ascii="宋体" w:hAnsi="宋体" w:cs="宋体"/>
          <w:color w:val="000000" w:themeColor="text1"/>
          <w:sz w:val="32"/>
          <w:szCs w:val="32"/>
          <w:highlight w:val="none"/>
          <w14:textFill>
            <w14:solidFill>
              <w14:schemeClr w14:val="tx1"/>
            </w14:solidFill>
          </w14:textFill>
        </w:rPr>
        <w:t xml:space="preserve">  </w:t>
      </w:r>
      <w:r>
        <w:rPr>
          <w:rFonts w:hint="eastAsia" w:ascii="宋体" w:hAnsi="宋体" w:cs="宋体"/>
          <w:color w:val="000000" w:themeColor="text1"/>
          <w:sz w:val="32"/>
          <w:szCs w:val="32"/>
          <w:highlight w:val="none"/>
          <w14:textFill>
            <w14:solidFill>
              <w14:schemeClr w14:val="tx1"/>
            </w14:solidFill>
          </w14:textFill>
        </w:rPr>
        <w:t>术</w:t>
      </w:r>
      <w:r>
        <w:rPr>
          <w:rFonts w:ascii="宋体" w:hAnsi="宋体" w:cs="宋体"/>
          <w:color w:val="000000" w:themeColor="text1"/>
          <w:sz w:val="32"/>
          <w:szCs w:val="32"/>
          <w:highlight w:val="none"/>
          <w14:textFill>
            <w14:solidFill>
              <w14:schemeClr w14:val="tx1"/>
            </w14:solidFill>
          </w14:textFill>
        </w:rPr>
        <w:t xml:space="preserve">  </w:t>
      </w:r>
      <w:r>
        <w:rPr>
          <w:rFonts w:hint="eastAsia" w:ascii="宋体" w:hAnsi="宋体" w:cs="宋体"/>
          <w:color w:val="000000" w:themeColor="text1"/>
          <w:sz w:val="32"/>
          <w:szCs w:val="32"/>
          <w:highlight w:val="none"/>
          <w14:textFill>
            <w14:solidFill>
              <w14:schemeClr w14:val="tx1"/>
            </w14:solidFill>
          </w14:textFill>
        </w:rPr>
        <w:t>文</w:t>
      </w:r>
      <w:r>
        <w:rPr>
          <w:rFonts w:ascii="宋体" w:hAnsi="宋体" w:cs="宋体"/>
          <w:color w:val="000000" w:themeColor="text1"/>
          <w:sz w:val="32"/>
          <w:szCs w:val="32"/>
          <w:highlight w:val="none"/>
          <w14:textFill>
            <w14:solidFill>
              <w14:schemeClr w14:val="tx1"/>
            </w14:solidFill>
          </w14:textFill>
        </w:rPr>
        <w:t xml:space="preserve">  </w:t>
      </w:r>
      <w:r>
        <w:rPr>
          <w:rFonts w:hint="eastAsia" w:ascii="宋体" w:hAnsi="宋体" w:cs="宋体"/>
          <w:color w:val="000000" w:themeColor="text1"/>
          <w:sz w:val="32"/>
          <w:szCs w:val="32"/>
          <w:highlight w:val="none"/>
          <w14:textFill>
            <w14:solidFill>
              <w14:schemeClr w14:val="tx1"/>
            </w14:solidFill>
          </w14:textFill>
        </w:rPr>
        <w:t>件</w:t>
      </w:r>
    </w:p>
    <w:p w14:paraId="0EC75F84">
      <w:pPr>
        <w:snapToGrid w:val="0"/>
        <w:spacing w:beforeLines="50" w:after="50"/>
        <w:rPr>
          <w:rFonts w:ascii="宋体"/>
          <w:color w:val="000000" w:themeColor="text1"/>
          <w:sz w:val="24"/>
          <w:szCs w:val="24"/>
          <w:highlight w:val="none"/>
          <w14:textFill>
            <w14:solidFill>
              <w14:schemeClr w14:val="tx1"/>
            </w14:solidFill>
          </w14:textFill>
        </w:rPr>
      </w:pPr>
    </w:p>
    <w:p w14:paraId="71278DF6">
      <w:pPr>
        <w:snapToGrid w:val="0"/>
        <w:spacing w:beforeLines="50" w:after="50"/>
        <w:rPr>
          <w:rFonts w:ascii="宋体"/>
          <w:color w:val="000000" w:themeColor="text1"/>
          <w:sz w:val="24"/>
          <w:szCs w:val="24"/>
          <w:highlight w:val="none"/>
          <w14:textFill>
            <w14:solidFill>
              <w14:schemeClr w14:val="tx1"/>
            </w14:solidFill>
          </w14:textFill>
        </w:rPr>
      </w:pPr>
    </w:p>
    <w:p w14:paraId="48AE793F">
      <w:pPr>
        <w:snapToGrid w:val="0"/>
        <w:spacing w:beforeLines="50" w:after="50"/>
        <w:rPr>
          <w:rFonts w:ascii="宋体"/>
          <w:color w:val="000000" w:themeColor="text1"/>
          <w:sz w:val="24"/>
          <w:szCs w:val="24"/>
          <w:highlight w:val="none"/>
          <w14:textFill>
            <w14:solidFill>
              <w14:schemeClr w14:val="tx1"/>
            </w14:solidFill>
          </w14:textFill>
        </w:rPr>
      </w:pPr>
    </w:p>
    <w:p w14:paraId="77AD3DF9">
      <w:pPr>
        <w:snapToGrid w:val="0"/>
        <w:spacing w:beforeLines="50" w:after="50"/>
        <w:rPr>
          <w:rFonts w:ascii="宋体"/>
          <w:color w:val="000000" w:themeColor="text1"/>
          <w:sz w:val="24"/>
          <w:szCs w:val="24"/>
          <w:highlight w:val="none"/>
          <w14:textFill>
            <w14:solidFill>
              <w14:schemeClr w14:val="tx1"/>
            </w14:solidFill>
          </w14:textFill>
        </w:rPr>
      </w:pPr>
    </w:p>
    <w:p w14:paraId="3632DEB0">
      <w:pPr>
        <w:snapToGrid w:val="0"/>
        <w:spacing w:beforeLines="50" w:after="50"/>
        <w:rPr>
          <w:rFonts w:ascii="宋体"/>
          <w:color w:val="000000" w:themeColor="text1"/>
          <w:sz w:val="24"/>
          <w:szCs w:val="24"/>
          <w:highlight w:val="none"/>
          <w14:textFill>
            <w14:solidFill>
              <w14:schemeClr w14:val="tx1"/>
            </w14:solidFill>
          </w14:textFill>
        </w:rPr>
      </w:pPr>
    </w:p>
    <w:p w14:paraId="61B6BBBA">
      <w:pPr>
        <w:snapToGrid w:val="0"/>
        <w:spacing w:beforeLines="50" w:after="50"/>
        <w:ind w:firstLine="640" w:firstLineChars="200"/>
        <w:rPr>
          <w:rFonts w:ascii="宋体"/>
          <w:color w:val="000000" w:themeColor="text1"/>
          <w:sz w:val="32"/>
          <w:szCs w:val="32"/>
          <w:highlight w:val="none"/>
          <w14:textFill>
            <w14:solidFill>
              <w14:schemeClr w14:val="tx1"/>
            </w14:solidFill>
          </w14:textFill>
        </w:rPr>
      </w:pPr>
      <w:r>
        <w:rPr>
          <w:rFonts w:hint="eastAsia" w:ascii="宋体" w:hAnsi="宋体" w:cs="宋体"/>
          <w:color w:val="000000" w:themeColor="text1"/>
          <w:sz w:val="32"/>
          <w:szCs w:val="32"/>
          <w:highlight w:val="none"/>
          <w14:textFill>
            <w14:solidFill>
              <w14:schemeClr w14:val="tx1"/>
            </w14:solidFill>
          </w14:textFill>
        </w:rPr>
        <w:t>项目名称：</w:t>
      </w:r>
    </w:p>
    <w:p w14:paraId="50AC6DFF">
      <w:pPr>
        <w:snapToGrid w:val="0"/>
        <w:spacing w:beforeLines="50" w:after="50"/>
        <w:ind w:firstLine="720" w:firstLineChars="225"/>
        <w:rPr>
          <w:rFonts w:ascii="宋体"/>
          <w:color w:val="000000" w:themeColor="text1"/>
          <w:sz w:val="32"/>
          <w:szCs w:val="32"/>
          <w:highlight w:val="none"/>
          <w14:textFill>
            <w14:solidFill>
              <w14:schemeClr w14:val="tx1"/>
            </w14:solidFill>
          </w14:textFill>
        </w:rPr>
      </w:pPr>
    </w:p>
    <w:p w14:paraId="7362F64B">
      <w:pPr>
        <w:snapToGrid w:val="0"/>
        <w:spacing w:beforeLines="50" w:after="50"/>
        <w:ind w:firstLine="640" w:firstLineChars="200"/>
        <w:rPr>
          <w:rFonts w:ascii="宋体"/>
          <w:color w:val="000000" w:themeColor="text1"/>
          <w:sz w:val="32"/>
          <w:szCs w:val="32"/>
          <w:highlight w:val="none"/>
          <w14:textFill>
            <w14:solidFill>
              <w14:schemeClr w14:val="tx1"/>
            </w14:solidFill>
          </w14:textFill>
        </w:rPr>
      </w:pPr>
      <w:r>
        <w:rPr>
          <w:rFonts w:hint="eastAsia" w:ascii="宋体" w:hAnsi="宋体" w:cs="宋体"/>
          <w:color w:val="000000" w:themeColor="text1"/>
          <w:sz w:val="32"/>
          <w:szCs w:val="32"/>
          <w:highlight w:val="none"/>
          <w14:textFill>
            <w14:solidFill>
              <w14:schemeClr w14:val="tx1"/>
            </w14:solidFill>
          </w14:textFill>
        </w:rPr>
        <w:t>项目编号：</w:t>
      </w:r>
    </w:p>
    <w:p w14:paraId="5F132FA7">
      <w:pPr>
        <w:snapToGrid w:val="0"/>
        <w:spacing w:beforeLines="50" w:after="50"/>
        <w:ind w:firstLine="720" w:firstLineChars="225"/>
        <w:rPr>
          <w:rFonts w:ascii="宋体"/>
          <w:color w:val="000000" w:themeColor="text1"/>
          <w:sz w:val="32"/>
          <w:szCs w:val="32"/>
          <w:highlight w:val="none"/>
          <w14:textFill>
            <w14:solidFill>
              <w14:schemeClr w14:val="tx1"/>
            </w14:solidFill>
          </w14:textFill>
        </w:rPr>
      </w:pPr>
      <w:r>
        <w:rPr>
          <w:rFonts w:ascii="宋体" w:hAnsi="宋体" w:cs="宋体"/>
          <w:color w:val="000000" w:themeColor="text1"/>
          <w:sz w:val="32"/>
          <w:szCs w:val="32"/>
          <w:highlight w:val="none"/>
          <w14:textFill>
            <w14:solidFill>
              <w14:schemeClr w14:val="tx1"/>
            </w14:solidFill>
          </w14:textFill>
        </w:rPr>
        <w:t xml:space="preserve"> </w:t>
      </w:r>
    </w:p>
    <w:p w14:paraId="437AAE29">
      <w:pPr>
        <w:pStyle w:val="8"/>
        <w:snapToGrid w:val="0"/>
        <w:spacing w:before="50" w:after="50"/>
        <w:ind w:firstLine="640" w:firstLineChars="200"/>
        <w:rPr>
          <w:rFonts w:ascii="宋体"/>
          <w:color w:val="000000" w:themeColor="text1"/>
          <w:sz w:val="32"/>
          <w:szCs w:val="32"/>
          <w:highlight w:val="none"/>
          <w14:textFill>
            <w14:solidFill>
              <w14:schemeClr w14:val="tx1"/>
            </w14:solidFill>
          </w14:textFill>
        </w:rPr>
      </w:pPr>
      <w:r>
        <w:rPr>
          <w:rFonts w:hint="eastAsia" w:ascii="宋体" w:hAnsi="宋体" w:cs="宋体"/>
          <w:color w:val="000000" w:themeColor="text1"/>
          <w:sz w:val="32"/>
          <w:szCs w:val="32"/>
          <w:highlight w:val="none"/>
          <w14:textFill>
            <w14:solidFill>
              <w14:schemeClr w14:val="tx1"/>
            </w14:solidFill>
          </w14:textFill>
        </w:rPr>
        <w:t>供应商名称：</w:t>
      </w:r>
    </w:p>
    <w:p w14:paraId="6040D035">
      <w:pPr>
        <w:pStyle w:val="8"/>
        <w:snapToGrid w:val="0"/>
        <w:spacing w:before="50" w:after="50"/>
        <w:ind w:firstLine="720" w:firstLineChars="225"/>
        <w:rPr>
          <w:rFonts w:ascii="宋体"/>
          <w:color w:val="000000" w:themeColor="text1"/>
          <w:sz w:val="32"/>
          <w:szCs w:val="32"/>
          <w:highlight w:val="none"/>
          <w14:textFill>
            <w14:solidFill>
              <w14:schemeClr w14:val="tx1"/>
            </w14:solidFill>
          </w14:textFill>
        </w:rPr>
      </w:pPr>
    </w:p>
    <w:p w14:paraId="00729BB6">
      <w:pPr>
        <w:pStyle w:val="8"/>
        <w:snapToGrid w:val="0"/>
        <w:spacing w:before="50" w:after="50"/>
        <w:ind w:firstLine="720" w:firstLineChars="225"/>
        <w:rPr>
          <w:rFonts w:ascii="宋体"/>
          <w:color w:val="000000" w:themeColor="text1"/>
          <w:sz w:val="32"/>
          <w:szCs w:val="32"/>
          <w:highlight w:val="none"/>
          <w14:textFill>
            <w14:solidFill>
              <w14:schemeClr w14:val="tx1"/>
            </w14:solidFill>
          </w14:textFill>
        </w:rPr>
      </w:pPr>
    </w:p>
    <w:p w14:paraId="5E577C30">
      <w:pPr>
        <w:pStyle w:val="8"/>
        <w:snapToGrid w:val="0"/>
        <w:spacing w:before="50" w:after="50"/>
        <w:ind w:firstLine="1280" w:firstLineChars="400"/>
        <w:rPr>
          <w:rFonts w:ascii="宋体"/>
          <w:color w:val="000000" w:themeColor="text1"/>
          <w:sz w:val="32"/>
          <w:szCs w:val="32"/>
          <w:highlight w:val="none"/>
          <w14:textFill>
            <w14:solidFill>
              <w14:schemeClr w14:val="tx1"/>
            </w14:solidFill>
          </w14:textFill>
        </w:rPr>
      </w:pPr>
    </w:p>
    <w:p w14:paraId="4010673B">
      <w:pPr>
        <w:snapToGrid w:val="0"/>
        <w:spacing w:beforeLines="50" w:after="50"/>
        <w:jc w:val="center"/>
        <w:rPr>
          <w:rFonts w:ascii="宋体"/>
          <w:color w:val="000000" w:themeColor="text1"/>
          <w:sz w:val="32"/>
          <w:szCs w:val="32"/>
          <w:highlight w:val="none"/>
          <w14:textFill>
            <w14:solidFill>
              <w14:schemeClr w14:val="tx1"/>
            </w14:solidFill>
          </w14:textFill>
        </w:rPr>
      </w:pPr>
      <w:r>
        <w:rPr>
          <w:rFonts w:hint="eastAsia" w:ascii="宋体" w:hAnsi="宋体" w:cs="宋体"/>
          <w:color w:val="000000" w:themeColor="text1"/>
          <w:sz w:val="32"/>
          <w:szCs w:val="32"/>
          <w:highlight w:val="none"/>
          <w14:textFill>
            <w14:solidFill>
              <w14:schemeClr w14:val="tx1"/>
            </w14:solidFill>
          </w14:textFill>
        </w:rPr>
        <w:t>年</w:t>
      </w:r>
      <w:r>
        <w:rPr>
          <w:rFonts w:ascii="宋体" w:hAnsi="宋体" w:cs="宋体"/>
          <w:color w:val="000000" w:themeColor="text1"/>
          <w:sz w:val="32"/>
          <w:szCs w:val="32"/>
          <w:highlight w:val="none"/>
          <w14:textFill>
            <w14:solidFill>
              <w14:schemeClr w14:val="tx1"/>
            </w14:solidFill>
          </w14:textFill>
        </w:rPr>
        <w:t xml:space="preserve">    </w:t>
      </w:r>
      <w:r>
        <w:rPr>
          <w:rFonts w:hint="eastAsia" w:ascii="宋体" w:hAnsi="宋体" w:cs="宋体"/>
          <w:color w:val="000000" w:themeColor="text1"/>
          <w:sz w:val="32"/>
          <w:szCs w:val="32"/>
          <w:highlight w:val="none"/>
          <w14:textFill>
            <w14:solidFill>
              <w14:schemeClr w14:val="tx1"/>
            </w14:solidFill>
          </w14:textFill>
        </w:rPr>
        <w:t>月</w:t>
      </w:r>
      <w:r>
        <w:rPr>
          <w:rFonts w:ascii="宋体" w:hAnsi="宋体" w:cs="宋体"/>
          <w:color w:val="000000" w:themeColor="text1"/>
          <w:sz w:val="32"/>
          <w:szCs w:val="32"/>
          <w:highlight w:val="none"/>
          <w14:textFill>
            <w14:solidFill>
              <w14:schemeClr w14:val="tx1"/>
            </w14:solidFill>
          </w14:textFill>
        </w:rPr>
        <w:t xml:space="preserve">    </w:t>
      </w:r>
      <w:r>
        <w:rPr>
          <w:rFonts w:hint="eastAsia" w:ascii="宋体" w:hAnsi="宋体" w:cs="宋体"/>
          <w:color w:val="000000" w:themeColor="text1"/>
          <w:sz w:val="32"/>
          <w:szCs w:val="32"/>
          <w:highlight w:val="none"/>
          <w14:textFill>
            <w14:solidFill>
              <w14:schemeClr w14:val="tx1"/>
            </w14:solidFill>
          </w14:textFill>
        </w:rPr>
        <w:t>日</w:t>
      </w:r>
    </w:p>
    <w:p w14:paraId="4971B49E">
      <w:pPr>
        <w:snapToGrid w:val="0"/>
        <w:spacing w:beforeLines="50" w:after="50" w:line="360" w:lineRule="auto"/>
        <w:ind w:left="142"/>
        <w:jc w:val="left"/>
        <w:rPr>
          <w:rFonts w:ascii="宋体"/>
          <w:b/>
          <w:bCs/>
          <w:color w:val="000000" w:themeColor="text1"/>
          <w:sz w:val="24"/>
          <w:szCs w:val="24"/>
          <w:highlight w:val="none"/>
          <w14:textFill>
            <w14:solidFill>
              <w14:schemeClr w14:val="tx1"/>
            </w14:solidFill>
          </w14:textFill>
        </w:rPr>
      </w:pPr>
      <w:r>
        <w:rPr>
          <w:rFonts w:ascii="宋体"/>
          <w:color w:val="000000" w:themeColor="text1"/>
          <w:sz w:val="24"/>
          <w:szCs w:val="24"/>
          <w:highlight w:val="none"/>
          <w14:textFill>
            <w14:solidFill>
              <w14:schemeClr w14:val="tx1"/>
            </w14:solidFill>
          </w14:textFill>
        </w:rPr>
        <w:br w:type="page"/>
      </w:r>
      <w:r>
        <w:rPr>
          <w:rFonts w:ascii="宋体" w:hAnsi="宋体" w:cs="宋体"/>
          <w:b/>
          <w:bCs/>
          <w:color w:val="000000" w:themeColor="text1"/>
          <w:sz w:val="32"/>
          <w:szCs w:val="32"/>
          <w:highlight w:val="none"/>
          <w14:textFill>
            <w14:solidFill>
              <w14:schemeClr w14:val="tx1"/>
            </w14:solidFill>
          </w14:textFill>
        </w:rPr>
        <w:t>2.</w:t>
      </w:r>
      <w:r>
        <w:rPr>
          <w:rFonts w:hint="eastAsia" w:ascii="宋体" w:hAnsi="宋体" w:cs="宋体"/>
          <w:b/>
          <w:bCs/>
          <w:color w:val="000000" w:themeColor="text1"/>
          <w:sz w:val="32"/>
          <w:szCs w:val="32"/>
          <w:highlight w:val="none"/>
          <w14:textFill>
            <w14:solidFill>
              <w14:schemeClr w14:val="tx1"/>
            </w14:solidFill>
          </w14:textFill>
        </w:rPr>
        <w:t>报价商务技术文件目录</w:t>
      </w:r>
    </w:p>
    <w:p w14:paraId="3C3B658D">
      <w:pPr>
        <w:snapToGrid w:val="0"/>
        <w:spacing w:beforeLines="50" w:after="50" w:line="360" w:lineRule="auto"/>
        <w:ind w:firstLine="560" w:firstLineChars="200"/>
        <w:rPr>
          <w:rFonts w:ascii="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根据磋商文件规定及供应商提供的材料自行编写目录（部分格式后附）。</w:t>
      </w:r>
    </w:p>
    <w:p w14:paraId="153F700D">
      <w:pPr>
        <w:spacing w:line="400" w:lineRule="exact"/>
        <w:rPr>
          <w:rFonts w:ascii="宋体"/>
          <w:color w:val="000000" w:themeColor="text1"/>
          <w:sz w:val="32"/>
          <w:szCs w:val="32"/>
          <w:highlight w:val="none"/>
          <w14:textFill>
            <w14:solidFill>
              <w14:schemeClr w14:val="tx1"/>
            </w14:solidFill>
          </w14:textFill>
        </w:rPr>
      </w:pPr>
    </w:p>
    <w:p w14:paraId="37DA2547">
      <w:pPr>
        <w:spacing w:line="520" w:lineRule="exact"/>
        <w:jc w:val="center"/>
        <w:rPr>
          <w:rFonts w:ascii="宋体"/>
          <w:color w:val="000000" w:themeColor="text1"/>
          <w:sz w:val="44"/>
          <w:szCs w:val="44"/>
          <w:highlight w:val="none"/>
          <w14:textFill>
            <w14:solidFill>
              <w14:schemeClr w14:val="tx1"/>
            </w14:solidFill>
          </w14:textFill>
        </w:rPr>
      </w:pPr>
    </w:p>
    <w:p w14:paraId="6236D5FA">
      <w:pPr>
        <w:spacing w:line="520" w:lineRule="exact"/>
        <w:jc w:val="center"/>
        <w:rPr>
          <w:rFonts w:ascii="宋体"/>
          <w:color w:val="000000" w:themeColor="text1"/>
          <w:sz w:val="44"/>
          <w:szCs w:val="44"/>
          <w:highlight w:val="none"/>
          <w14:textFill>
            <w14:solidFill>
              <w14:schemeClr w14:val="tx1"/>
            </w14:solidFill>
          </w14:textFill>
        </w:rPr>
      </w:pPr>
    </w:p>
    <w:p w14:paraId="4B09347F">
      <w:pPr>
        <w:spacing w:line="520" w:lineRule="exact"/>
        <w:jc w:val="center"/>
        <w:rPr>
          <w:rFonts w:ascii="宋体"/>
          <w:color w:val="000000" w:themeColor="text1"/>
          <w:sz w:val="44"/>
          <w:szCs w:val="44"/>
          <w:highlight w:val="none"/>
          <w14:textFill>
            <w14:solidFill>
              <w14:schemeClr w14:val="tx1"/>
            </w14:solidFill>
          </w14:textFill>
        </w:rPr>
      </w:pPr>
    </w:p>
    <w:p w14:paraId="6CE8116A">
      <w:pPr>
        <w:spacing w:line="520" w:lineRule="exact"/>
        <w:jc w:val="center"/>
        <w:rPr>
          <w:rFonts w:ascii="宋体"/>
          <w:color w:val="000000" w:themeColor="text1"/>
          <w:sz w:val="44"/>
          <w:szCs w:val="44"/>
          <w:highlight w:val="none"/>
          <w14:textFill>
            <w14:solidFill>
              <w14:schemeClr w14:val="tx1"/>
            </w14:solidFill>
          </w14:textFill>
        </w:rPr>
      </w:pPr>
    </w:p>
    <w:p w14:paraId="0517B6DC">
      <w:pPr>
        <w:spacing w:line="520" w:lineRule="exact"/>
        <w:jc w:val="center"/>
        <w:rPr>
          <w:rFonts w:ascii="宋体"/>
          <w:color w:val="000000" w:themeColor="text1"/>
          <w:sz w:val="44"/>
          <w:szCs w:val="44"/>
          <w:highlight w:val="none"/>
          <w14:textFill>
            <w14:solidFill>
              <w14:schemeClr w14:val="tx1"/>
            </w14:solidFill>
          </w14:textFill>
        </w:rPr>
      </w:pPr>
    </w:p>
    <w:p w14:paraId="59295AEA">
      <w:pPr>
        <w:spacing w:line="520" w:lineRule="exact"/>
        <w:jc w:val="center"/>
        <w:rPr>
          <w:rFonts w:ascii="宋体"/>
          <w:color w:val="000000" w:themeColor="text1"/>
          <w:sz w:val="44"/>
          <w:szCs w:val="44"/>
          <w:highlight w:val="none"/>
          <w14:textFill>
            <w14:solidFill>
              <w14:schemeClr w14:val="tx1"/>
            </w14:solidFill>
          </w14:textFill>
        </w:rPr>
      </w:pPr>
    </w:p>
    <w:p w14:paraId="12FCEC70">
      <w:pPr>
        <w:spacing w:line="520" w:lineRule="exact"/>
        <w:jc w:val="center"/>
        <w:rPr>
          <w:rFonts w:ascii="宋体"/>
          <w:color w:val="000000" w:themeColor="text1"/>
          <w:sz w:val="44"/>
          <w:szCs w:val="44"/>
          <w:highlight w:val="none"/>
          <w14:textFill>
            <w14:solidFill>
              <w14:schemeClr w14:val="tx1"/>
            </w14:solidFill>
          </w14:textFill>
        </w:rPr>
      </w:pPr>
    </w:p>
    <w:p w14:paraId="36377C5C">
      <w:pPr>
        <w:spacing w:line="520" w:lineRule="exact"/>
        <w:jc w:val="center"/>
        <w:rPr>
          <w:rFonts w:ascii="宋体"/>
          <w:color w:val="000000" w:themeColor="text1"/>
          <w:sz w:val="44"/>
          <w:szCs w:val="44"/>
          <w:highlight w:val="none"/>
          <w14:textFill>
            <w14:solidFill>
              <w14:schemeClr w14:val="tx1"/>
            </w14:solidFill>
          </w14:textFill>
        </w:rPr>
      </w:pPr>
    </w:p>
    <w:p w14:paraId="013931EE">
      <w:pPr>
        <w:spacing w:line="520" w:lineRule="exact"/>
        <w:jc w:val="center"/>
        <w:rPr>
          <w:rFonts w:ascii="宋体"/>
          <w:color w:val="000000" w:themeColor="text1"/>
          <w:sz w:val="44"/>
          <w:szCs w:val="44"/>
          <w:highlight w:val="none"/>
          <w14:textFill>
            <w14:solidFill>
              <w14:schemeClr w14:val="tx1"/>
            </w14:solidFill>
          </w14:textFill>
        </w:rPr>
      </w:pPr>
    </w:p>
    <w:p w14:paraId="30D026CD">
      <w:pPr>
        <w:spacing w:line="520" w:lineRule="exact"/>
        <w:jc w:val="center"/>
        <w:rPr>
          <w:rFonts w:ascii="宋体"/>
          <w:color w:val="000000" w:themeColor="text1"/>
          <w:sz w:val="44"/>
          <w:szCs w:val="44"/>
          <w:highlight w:val="none"/>
          <w14:textFill>
            <w14:solidFill>
              <w14:schemeClr w14:val="tx1"/>
            </w14:solidFill>
          </w14:textFill>
        </w:rPr>
      </w:pPr>
    </w:p>
    <w:p w14:paraId="0145DEAA">
      <w:pPr>
        <w:spacing w:line="520" w:lineRule="exact"/>
        <w:jc w:val="center"/>
        <w:rPr>
          <w:rFonts w:ascii="宋体"/>
          <w:color w:val="000000" w:themeColor="text1"/>
          <w:sz w:val="44"/>
          <w:szCs w:val="44"/>
          <w:highlight w:val="none"/>
          <w14:textFill>
            <w14:solidFill>
              <w14:schemeClr w14:val="tx1"/>
            </w14:solidFill>
          </w14:textFill>
        </w:rPr>
      </w:pPr>
    </w:p>
    <w:p w14:paraId="1B040E20">
      <w:pPr>
        <w:spacing w:line="520" w:lineRule="exact"/>
        <w:jc w:val="center"/>
        <w:rPr>
          <w:rFonts w:ascii="宋体"/>
          <w:color w:val="000000" w:themeColor="text1"/>
          <w:sz w:val="44"/>
          <w:szCs w:val="44"/>
          <w:highlight w:val="none"/>
          <w14:textFill>
            <w14:solidFill>
              <w14:schemeClr w14:val="tx1"/>
            </w14:solidFill>
          </w14:textFill>
        </w:rPr>
      </w:pPr>
    </w:p>
    <w:p w14:paraId="3033F60A">
      <w:pPr>
        <w:spacing w:line="520" w:lineRule="exact"/>
        <w:jc w:val="center"/>
        <w:rPr>
          <w:rFonts w:ascii="宋体"/>
          <w:color w:val="000000" w:themeColor="text1"/>
          <w:sz w:val="44"/>
          <w:szCs w:val="44"/>
          <w:highlight w:val="none"/>
          <w14:textFill>
            <w14:solidFill>
              <w14:schemeClr w14:val="tx1"/>
            </w14:solidFill>
          </w14:textFill>
        </w:rPr>
      </w:pPr>
    </w:p>
    <w:p w14:paraId="7C00B2A2">
      <w:pPr>
        <w:spacing w:line="520" w:lineRule="exact"/>
        <w:jc w:val="center"/>
        <w:rPr>
          <w:rFonts w:ascii="宋体"/>
          <w:color w:val="000000" w:themeColor="text1"/>
          <w:sz w:val="44"/>
          <w:szCs w:val="44"/>
          <w:highlight w:val="none"/>
          <w14:textFill>
            <w14:solidFill>
              <w14:schemeClr w14:val="tx1"/>
            </w14:solidFill>
          </w14:textFill>
        </w:rPr>
      </w:pPr>
    </w:p>
    <w:p w14:paraId="48CD9B2A">
      <w:pPr>
        <w:spacing w:line="520" w:lineRule="exact"/>
        <w:jc w:val="center"/>
        <w:rPr>
          <w:rFonts w:ascii="宋体"/>
          <w:color w:val="000000" w:themeColor="text1"/>
          <w:sz w:val="44"/>
          <w:szCs w:val="44"/>
          <w:highlight w:val="none"/>
          <w14:textFill>
            <w14:solidFill>
              <w14:schemeClr w14:val="tx1"/>
            </w14:solidFill>
          </w14:textFill>
        </w:rPr>
      </w:pPr>
    </w:p>
    <w:p w14:paraId="1AFD45DC">
      <w:pPr>
        <w:spacing w:line="520" w:lineRule="exact"/>
        <w:jc w:val="center"/>
        <w:rPr>
          <w:rFonts w:ascii="宋体"/>
          <w:color w:val="000000" w:themeColor="text1"/>
          <w:sz w:val="44"/>
          <w:szCs w:val="44"/>
          <w:highlight w:val="none"/>
          <w14:textFill>
            <w14:solidFill>
              <w14:schemeClr w14:val="tx1"/>
            </w14:solidFill>
          </w14:textFill>
        </w:rPr>
      </w:pPr>
    </w:p>
    <w:p w14:paraId="5007C2DB">
      <w:pPr>
        <w:spacing w:line="520" w:lineRule="exact"/>
        <w:jc w:val="center"/>
        <w:rPr>
          <w:rFonts w:ascii="宋体"/>
          <w:color w:val="000000" w:themeColor="text1"/>
          <w:sz w:val="44"/>
          <w:szCs w:val="44"/>
          <w:highlight w:val="none"/>
          <w14:textFill>
            <w14:solidFill>
              <w14:schemeClr w14:val="tx1"/>
            </w14:solidFill>
          </w14:textFill>
        </w:rPr>
      </w:pPr>
    </w:p>
    <w:p w14:paraId="08766ED6">
      <w:pPr>
        <w:spacing w:line="520" w:lineRule="exact"/>
        <w:jc w:val="center"/>
        <w:rPr>
          <w:rFonts w:ascii="宋体"/>
          <w:color w:val="000000" w:themeColor="text1"/>
          <w:sz w:val="44"/>
          <w:szCs w:val="44"/>
          <w:highlight w:val="none"/>
          <w14:textFill>
            <w14:solidFill>
              <w14:schemeClr w14:val="tx1"/>
            </w14:solidFill>
          </w14:textFill>
        </w:rPr>
      </w:pPr>
    </w:p>
    <w:p w14:paraId="286DAF5D">
      <w:pPr>
        <w:spacing w:line="520" w:lineRule="exact"/>
        <w:jc w:val="center"/>
        <w:rPr>
          <w:rFonts w:ascii="宋体"/>
          <w:color w:val="000000" w:themeColor="text1"/>
          <w:sz w:val="44"/>
          <w:szCs w:val="44"/>
          <w:highlight w:val="none"/>
          <w14:textFill>
            <w14:solidFill>
              <w14:schemeClr w14:val="tx1"/>
            </w14:solidFill>
          </w14:textFill>
        </w:rPr>
      </w:pPr>
    </w:p>
    <w:p w14:paraId="1AAA5170">
      <w:pPr>
        <w:spacing w:line="520" w:lineRule="exact"/>
        <w:jc w:val="center"/>
        <w:rPr>
          <w:rFonts w:ascii="宋体"/>
          <w:color w:val="000000" w:themeColor="text1"/>
          <w:sz w:val="44"/>
          <w:szCs w:val="44"/>
          <w:highlight w:val="none"/>
          <w14:textFill>
            <w14:solidFill>
              <w14:schemeClr w14:val="tx1"/>
            </w14:solidFill>
          </w14:textFill>
        </w:rPr>
      </w:pPr>
    </w:p>
    <w:p w14:paraId="5D2A87F8">
      <w:pPr>
        <w:pStyle w:val="21"/>
        <w:rPr>
          <w:color w:val="000000" w:themeColor="text1"/>
          <w:highlight w:val="none"/>
          <w14:textFill>
            <w14:solidFill>
              <w14:schemeClr w14:val="tx1"/>
            </w14:solidFill>
          </w14:textFill>
        </w:rPr>
      </w:pPr>
    </w:p>
    <w:p w14:paraId="4DD585F2">
      <w:pPr>
        <w:rPr>
          <w:color w:val="000000" w:themeColor="text1"/>
          <w:highlight w:val="none"/>
          <w14:textFill>
            <w14:solidFill>
              <w14:schemeClr w14:val="tx1"/>
            </w14:solidFill>
          </w14:textFill>
        </w:rPr>
      </w:pPr>
    </w:p>
    <w:p w14:paraId="6A4A47C2">
      <w:pPr>
        <w:pStyle w:val="21"/>
        <w:rPr>
          <w:color w:val="000000" w:themeColor="text1"/>
          <w:highlight w:val="none"/>
          <w14:textFill>
            <w14:solidFill>
              <w14:schemeClr w14:val="tx1"/>
            </w14:solidFill>
          </w14:textFill>
        </w:rPr>
      </w:pPr>
    </w:p>
    <w:p w14:paraId="06D433DC">
      <w:pPr>
        <w:spacing w:line="520" w:lineRule="exact"/>
        <w:jc w:val="center"/>
        <w:rPr>
          <w:rFonts w:ascii="宋体"/>
          <w:color w:val="000000" w:themeColor="text1"/>
          <w:sz w:val="44"/>
          <w:szCs w:val="44"/>
          <w:highlight w:val="none"/>
          <w14:textFill>
            <w14:solidFill>
              <w14:schemeClr w14:val="tx1"/>
            </w14:solidFill>
          </w14:textFill>
        </w:rPr>
      </w:pPr>
    </w:p>
    <w:p w14:paraId="628427ED">
      <w:pPr>
        <w:spacing w:line="520" w:lineRule="exact"/>
        <w:jc w:val="center"/>
        <w:rPr>
          <w:rFonts w:ascii="宋体"/>
          <w:color w:val="000000" w:themeColor="text1"/>
          <w:sz w:val="44"/>
          <w:szCs w:val="44"/>
          <w:highlight w:val="none"/>
          <w14:textFill>
            <w14:solidFill>
              <w14:schemeClr w14:val="tx1"/>
            </w14:solidFill>
          </w14:textFill>
        </w:rPr>
      </w:pPr>
    </w:p>
    <w:p w14:paraId="14838973">
      <w:pPr>
        <w:spacing w:line="520" w:lineRule="exact"/>
        <w:jc w:val="center"/>
        <w:rPr>
          <w:rFonts w:ascii="宋体"/>
          <w:color w:val="000000" w:themeColor="text1"/>
          <w:sz w:val="32"/>
          <w:szCs w:val="32"/>
          <w:highlight w:val="none"/>
          <w14:textFill>
            <w14:solidFill>
              <w14:schemeClr w14:val="tx1"/>
            </w14:solidFill>
          </w14:textFill>
        </w:rPr>
      </w:pPr>
      <w:r>
        <w:rPr>
          <w:rFonts w:hint="eastAsia" w:ascii="宋体" w:hAnsi="宋体" w:cs="宋体"/>
          <w:b/>
          <w:bCs/>
          <w:color w:val="000000" w:themeColor="text1"/>
          <w:sz w:val="44"/>
          <w:szCs w:val="44"/>
          <w:highlight w:val="none"/>
          <w14:textFill>
            <w14:solidFill>
              <w14:schemeClr w14:val="tx1"/>
            </w14:solidFill>
          </w14:textFill>
        </w:rPr>
        <w:t>无串通磋商行为的承诺函</w:t>
      </w:r>
    </w:p>
    <w:p w14:paraId="67418306">
      <w:pPr>
        <w:spacing w:line="360" w:lineRule="auto"/>
        <w:ind w:firstLine="640" w:firstLineChars="200"/>
        <w:rPr>
          <w:rFonts w:ascii="宋体"/>
          <w:color w:val="000000" w:themeColor="text1"/>
          <w:sz w:val="32"/>
          <w:szCs w:val="32"/>
          <w:highlight w:val="none"/>
          <w14:textFill>
            <w14:solidFill>
              <w14:schemeClr w14:val="tx1"/>
            </w14:solidFill>
          </w14:textFill>
        </w:rPr>
      </w:pPr>
    </w:p>
    <w:p w14:paraId="6C11AB2A">
      <w:pPr>
        <w:spacing w:line="360" w:lineRule="auto"/>
        <w:ind w:firstLine="422" w:firstLineChars="200"/>
        <w:rPr>
          <w:rFonts w:ascii="宋体"/>
          <w:b/>
          <w:bCs/>
          <w:color w:val="000000" w:themeColor="text1"/>
          <w:highlight w:val="none"/>
          <w14:textFill>
            <w14:solidFill>
              <w14:schemeClr w14:val="tx1"/>
            </w14:solidFill>
          </w14:textFill>
        </w:rPr>
      </w:pPr>
      <w:r>
        <w:rPr>
          <w:rFonts w:hint="eastAsia" w:ascii="宋体" w:hAnsi="宋体" w:cs="宋体"/>
          <w:b/>
          <w:bCs/>
          <w:color w:val="000000" w:themeColor="text1"/>
          <w:highlight w:val="none"/>
          <w14:textFill>
            <w14:solidFill>
              <w14:schemeClr w14:val="tx1"/>
            </w14:solidFill>
          </w14:textFill>
        </w:rPr>
        <w:t>一、我方承诺无下列相互串通磋商的情形：</w:t>
      </w:r>
    </w:p>
    <w:p w14:paraId="712F53FF">
      <w:pPr>
        <w:spacing w:line="360" w:lineRule="auto"/>
        <w:ind w:firstLine="420" w:firstLineChars="200"/>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1.</w:t>
      </w:r>
      <w:r>
        <w:rPr>
          <w:rFonts w:hint="eastAsia" w:ascii="宋体" w:hAnsi="宋体" w:cs="宋体"/>
          <w:color w:val="000000" w:themeColor="text1"/>
          <w:highlight w:val="none"/>
          <w14:textFill>
            <w14:solidFill>
              <w14:schemeClr w14:val="tx1"/>
            </w14:solidFill>
          </w14:textFill>
        </w:rPr>
        <w:t>不同供应商的响应文件由同一单位或者个人编制；</w:t>
      </w:r>
      <w:r>
        <w:rPr>
          <w:rFonts w:ascii="宋体" w:hAnsi="宋体" w:cs="宋体"/>
          <w:color w:val="000000" w:themeColor="text1"/>
          <w:highlight w:val="none"/>
          <w14:textFill>
            <w14:solidFill>
              <w14:schemeClr w14:val="tx1"/>
            </w14:solidFill>
          </w14:textFill>
        </w:rPr>
        <w:t xml:space="preserve"> </w:t>
      </w:r>
    </w:p>
    <w:p w14:paraId="0C916BF1">
      <w:pPr>
        <w:spacing w:line="360" w:lineRule="auto"/>
        <w:ind w:firstLine="420" w:firstLineChars="200"/>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2.</w:t>
      </w:r>
      <w:r>
        <w:rPr>
          <w:rFonts w:hint="eastAsia" w:ascii="宋体" w:hAnsi="宋体" w:cs="宋体"/>
          <w:color w:val="000000" w:themeColor="text1"/>
          <w:highlight w:val="none"/>
          <w14:textFill>
            <w14:solidFill>
              <w14:schemeClr w14:val="tx1"/>
            </w14:solidFill>
          </w14:textFill>
        </w:rPr>
        <w:t>不同供应商委托同一单位或者个人办理磋商事宜；</w:t>
      </w:r>
    </w:p>
    <w:p w14:paraId="1B376838">
      <w:pPr>
        <w:spacing w:line="360" w:lineRule="auto"/>
        <w:ind w:firstLine="420" w:firstLineChars="200"/>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3.</w:t>
      </w:r>
      <w:r>
        <w:rPr>
          <w:rFonts w:hint="eastAsia" w:ascii="宋体" w:hAnsi="宋体" w:cs="宋体"/>
          <w:color w:val="000000" w:themeColor="text1"/>
          <w:highlight w:val="none"/>
          <w14:textFill>
            <w14:solidFill>
              <w14:schemeClr w14:val="tx1"/>
            </w14:solidFill>
          </w14:textFill>
        </w:rPr>
        <w:t>不同供应商的响应文件载明的项目管理员为同一个人；</w:t>
      </w:r>
    </w:p>
    <w:p w14:paraId="6589FB3C">
      <w:pPr>
        <w:spacing w:line="360" w:lineRule="auto"/>
        <w:ind w:firstLine="420" w:firstLineChars="200"/>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4.</w:t>
      </w:r>
      <w:r>
        <w:rPr>
          <w:rFonts w:hint="eastAsia" w:ascii="宋体" w:hAnsi="宋体" w:cs="宋体"/>
          <w:color w:val="000000" w:themeColor="text1"/>
          <w:highlight w:val="none"/>
          <w14:textFill>
            <w14:solidFill>
              <w14:schemeClr w14:val="tx1"/>
            </w14:solidFill>
          </w14:textFill>
        </w:rPr>
        <w:t>不</w:t>
      </w:r>
      <w:r>
        <w:rPr>
          <w:rFonts w:hint="eastAsia" w:ascii="宋体" w:hAnsi="宋体" w:cs="宋体"/>
          <w:color w:val="000000" w:themeColor="text1"/>
          <w:spacing w:val="-6"/>
          <w:highlight w:val="none"/>
          <w14:textFill>
            <w14:solidFill>
              <w14:schemeClr w14:val="tx1"/>
            </w14:solidFill>
          </w14:textFill>
        </w:rPr>
        <w:t>同供应商的响应文件异常一致或者磋商报价呈规律性差异；</w:t>
      </w:r>
    </w:p>
    <w:p w14:paraId="358587D7">
      <w:pPr>
        <w:spacing w:line="360" w:lineRule="auto"/>
        <w:ind w:firstLine="420" w:firstLineChars="200"/>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5.</w:t>
      </w:r>
      <w:r>
        <w:rPr>
          <w:rFonts w:hint="eastAsia" w:ascii="宋体" w:hAnsi="宋体" w:cs="宋体"/>
          <w:color w:val="000000" w:themeColor="text1"/>
          <w:highlight w:val="none"/>
          <w14:textFill>
            <w14:solidFill>
              <w14:schemeClr w14:val="tx1"/>
            </w14:solidFill>
          </w14:textFill>
        </w:rPr>
        <w:t>不同供应商的响应文件相互混装；</w:t>
      </w:r>
    </w:p>
    <w:p w14:paraId="00A69F88">
      <w:pPr>
        <w:spacing w:line="360" w:lineRule="auto"/>
        <w:ind w:firstLine="420" w:firstLineChars="200"/>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6.</w:t>
      </w:r>
      <w:r>
        <w:rPr>
          <w:rFonts w:hint="eastAsia" w:ascii="宋体" w:hAnsi="宋体" w:cs="宋体"/>
          <w:color w:val="000000" w:themeColor="text1"/>
          <w:highlight w:val="none"/>
          <w14:textFill>
            <w14:solidFill>
              <w14:schemeClr w14:val="tx1"/>
            </w14:solidFill>
          </w14:textFill>
        </w:rPr>
        <w:t>不同供应商的磋商保证金从同一单位或者个人账户转出。</w:t>
      </w:r>
    </w:p>
    <w:p w14:paraId="18CB3EC0">
      <w:pPr>
        <w:spacing w:line="360" w:lineRule="auto"/>
        <w:ind w:firstLine="422" w:firstLineChars="200"/>
        <w:rPr>
          <w:rFonts w:ascii="宋体"/>
          <w:b/>
          <w:bCs/>
          <w:color w:val="000000" w:themeColor="text1"/>
          <w:highlight w:val="none"/>
          <w14:textFill>
            <w14:solidFill>
              <w14:schemeClr w14:val="tx1"/>
            </w14:solidFill>
          </w14:textFill>
        </w:rPr>
      </w:pPr>
      <w:r>
        <w:rPr>
          <w:rFonts w:hint="eastAsia" w:ascii="宋体" w:hAnsi="宋体" w:cs="宋体"/>
          <w:b/>
          <w:bCs/>
          <w:color w:val="000000" w:themeColor="text1"/>
          <w:highlight w:val="none"/>
          <w14:textFill>
            <w14:solidFill>
              <w14:schemeClr w14:val="tx1"/>
            </w14:solidFill>
          </w14:textFill>
        </w:rPr>
        <w:t>二、我方承诺无下列恶意串通的情形：</w:t>
      </w:r>
    </w:p>
    <w:p w14:paraId="6C2B0843">
      <w:pPr>
        <w:spacing w:line="360" w:lineRule="auto"/>
        <w:ind w:firstLine="420" w:firstLineChars="200"/>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1.</w:t>
      </w:r>
      <w:r>
        <w:rPr>
          <w:rFonts w:hint="eastAsia" w:ascii="宋体" w:hAnsi="宋体" w:cs="宋体"/>
          <w:color w:val="000000" w:themeColor="text1"/>
          <w:highlight w:val="none"/>
          <w14:textFill>
            <w14:solidFill>
              <w14:schemeClr w14:val="tx1"/>
            </w14:solidFill>
          </w14:textFill>
        </w:rPr>
        <w:t>供应商直接或者间接从采购人或者采购代理机构处获得其他供应商的相关信息并修改其响应文件；</w:t>
      </w:r>
    </w:p>
    <w:p w14:paraId="1612783A">
      <w:pPr>
        <w:spacing w:line="360" w:lineRule="auto"/>
        <w:ind w:firstLine="420" w:firstLineChars="200"/>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2.</w:t>
      </w:r>
      <w:r>
        <w:rPr>
          <w:rFonts w:hint="eastAsia" w:ascii="宋体" w:hAnsi="宋体" w:cs="宋体"/>
          <w:color w:val="000000" w:themeColor="text1"/>
          <w:highlight w:val="none"/>
          <w14:textFill>
            <w14:solidFill>
              <w14:schemeClr w14:val="tx1"/>
            </w14:solidFill>
          </w14:textFill>
        </w:rPr>
        <w:t>供应商按照采购人或者采购代理机构的授意撤换、修改响应文件；</w:t>
      </w:r>
    </w:p>
    <w:p w14:paraId="2F34CD29">
      <w:pPr>
        <w:spacing w:line="360" w:lineRule="auto"/>
        <w:ind w:firstLine="420" w:firstLineChars="200"/>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3.</w:t>
      </w:r>
      <w:r>
        <w:rPr>
          <w:rFonts w:hint="eastAsia" w:ascii="宋体" w:hAnsi="宋体" w:cs="宋体"/>
          <w:color w:val="000000" w:themeColor="text1"/>
          <w:highlight w:val="none"/>
          <w14:textFill>
            <w14:solidFill>
              <w14:schemeClr w14:val="tx1"/>
            </w14:solidFill>
          </w14:textFill>
        </w:rPr>
        <w:t>供</w:t>
      </w:r>
      <w:r>
        <w:rPr>
          <w:rFonts w:hint="eastAsia" w:ascii="宋体" w:hAnsi="宋体" w:cs="宋体"/>
          <w:color w:val="000000" w:themeColor="text1"/>
          <w:spacing w:val="-6"/>
          <w:highlight w:val="none"/>
          <w14:textFill>
            <w14:solidFill>
              <w14:schemeClr w14:val="tx1"/>
            </w14:solidFill>
          </w14:textFill>
        </w:rPr>
        <w:t>应商之间协商报价、技术方案等响应文件的实质性内容；</w:t>
      </w:r>
    </w:p>
    <w:p w14:paraId="4B7DB0AF">
      <w:pPr>
        <w:spacing w:line="360" w:lineRule="auto"/>
        <w:ind w:firstLine="420" w:firstLineChars="200"/>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4.</w:t>
      </w:r>
      <w:r>
        <w:rPr>
          <w:rFonts w:hint="eastAsia" w:ascii="宋体" w:hAnsi="宋体" w:cs="宋体"/>
          <w:color w:val="000000" w:themeColor="text1"/>
          <w:highlight w:val="none"/>
          <w14:textFill>
            <w14:solidFill>
              <w14:schemeClr w14:val="tx1"/>
            </w14:solidFill>
          </w14:textFill>
        </w:rPr>
        <w:t>属于同一集团、协会、商会等组织成员的供应商按照该组织要求协同参加政府采购活动；</w:t>
      </w:r>
    </w:p>
    <w:p w14:paraId="281A3947">
      <w:pPr>
        <w:spacing w:line="360" w:lineRule="auto"/>
        <w:ind w:firstLine="420" w:firstLineChars="200"/>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5.</w:t>
      </w:r>
      <w:r>
        <w:rPr>
          <w:rFonts w:hint="eastAsia" w:ascii="宋体" w:hAnsi="宋体" w:cs="宋体"/>
          <w:color w:val="000000" w:themeColor="text1"/>
          <w:highlight w:val="none"/>
          <w14:textFill>
            <w14:solidFill>
              <w14:schemeClr w14:val="tx1"/>
            </w14:solidFill>
          </w14:textFill>
        </w:rPr>
        <w:t>供应商之间事先约定一致抬高或者压低磋商报价，或者在竞争性磋商项目中事先约定轮流以高价位或者低价位成交，或者事先约定由某一特定供应商成交，然后再参加磋商；</w:t>
      </w:r>
    </w:p>
    <w:p w14:paraId="6880F3CB">
      <w:pPr>
        <w:spacing w:line="360" w:lineRule="auto"/>
        <w:ind w:firstLine="420" w:firstLineChars="200"/>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6.</w:t>
      </w:r>
      <w:r>
        <w:rPr>
          <w:rFonts w:hint="eastAsia" w:ascii="宋体" w:hAnsi="宋体" w:cs="宋体"/>
          <w:color w:val="000000" w:themeColor="text1"/>
          <w:highlight w:val="none"/>
          <w14:textFill>
            <w14:solidFill>
              <w14:schemeClr w14:val="tx1"/>
            </w14:solidFill>
          </w14:textFill>
        </w:rPr>
        <w:t>供应商之间商定部分供应商放弃参加政府采购活动或者放弃成交；</w:t>
      </w:r>
    </w:p>
    <w:p w14:paraId="03F6072B">
      <w:pPr>
        <w:spacing w:line="360" w:lineRule="auto"/>
        <w:ind w:firstLine="420" w:firstLineChars="200"/>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7.</w:t>
      </w:r>
      <w:r>
        <w:rPr>
          <w:rFonts w:hint="eastAsia" w:ascii="宋体" w:hAnsi="宋体" w:cs="宋体"/>
          <w:color w:val="000000" w:themeColor="text1"/>
          <w:highlight w:val="none"/>
          <w14:textFill>
            <w14:solidFill>
              <w14:schemeClr w14:val="tx1"/>
            </w14:solidFill>
          </w14:textFill>
        </w:rPr>
        <w:t>供应商与采购人或者采购代理机构之间、供应商相互之间，为</w:t>
      </w:r>
      <w:r>
        <w:rPr>
          <w:rFonts w:hint="eastAsia" w:ascii="宋体" w:hAnsi="宋体" w:cs="宋体"/>
          <w:color w:val="000000" w:themeColor="text1"/>
          <w:spacing w:val="-6"/>
          <w:highlight w:val="none"/>
          <w14:textFill>
            <w14:solidFill>
              <w14:schemeClr w14:val="tx1"/>
            </w14:solidFill>
          </w14:textFill>
        </w:rPr>
        <w:t>谋求特定供应商成交或者排斥其他供应商的其他串通行为。</w:t>
      </w:r>
    </w:p>
    <w:p w14:paraId="0BB7BFAC">
      <w:pPr>
        <w:spacing w:line="360" w:lineRule="auto"/>
        <w:ind w:firstLine="420" w:firstLineChars="200"/>
        <w:rPr>
          <w:rFonts w:ascii="宋体"/>
          <w:color w:val="000000" w:themeColor="text1"/>
          <w:highlight w:val="none"/>
          <w14:textFill>
            <w14:solidFill>
              <w14:schemeClr w14:val="tx1"/>
            </w14:solidFill>
          </w14:textFill>
        </w:rPr>
      </w:pPr>
    </w:p>
    <w:p w14:paraId="31F7B7B0">
      <w:pPr>
        <w:spacing w:line="360" w:lineRule="auto"/>
        <w:ind w:firstLine="422" w:firstLineChars="200"/>
        <w:rPr>
          <w:rFonts w:ascii="宋体"/>
          <w:b/>
          <w:bCs/>
          <w:color w:val="000000" w:themeColor="text1"/>
          <w:highlight w:val="none"/>
          <w14:textFill>
            <w14:solidFill>
              <w14:schemeClr w14:val="tx1"/>
            </w14:solidFill>
          </w14:textFill>
        </w:rPr>
      </w:pPr>
      <w:r>
        <w:rPr>
          <w:rFonts w:hint="eastAsia" w:ascii="宋体" w:hAnsi="宋体" w:cs="宋体"/>
          <w:b/>
          <w:bCs/>
          <w:color w:val="000000" w:themeColor="text1"/>
          <w:highlight w:val="none"/>
          <w14:textFill>
            <w14:solidFill>
              <w14:schemeClr w14:val="tx1"/>
            </w14:solidFill>
          </w14:textFill>
        </w:rPr>
        <w:t>以上情形一经核查属实，我方愿意承担一切后果，并不再寻求任何旨在减轻或者免除法律责任的辩解。</w:t>
      </w:r>
    </w:p>
    <w:p w14:paraId="6BA9CD6F">
      <w:pPr>
        <w:spacing w:line="360" w:lineRule="auto"/>
        <w:rPr>
          <w:rFonts w:ascii="宋体"/>
          <w:color w:val="000000" w:themeColor="text1"/>
          <w:highlight w:val="none"/>
          <w14:textFill>
            <w14:solidFill>
              <w14:schemeClr w14:val="tx1"/>
            </w14:solidFill>
          </w14:textFill>
        </w:rPr>
      </w:pPr>
    </w:p>
    <w:p w14:paraId="74F8CA21">
      <w:pPr>
        <w:spacing w:line="360" w:lineRule="auto"/>
        <w:ind w:firstLine="3150" w:firstLineChars="1500"/>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供应商（盖公章）：</w:t>
      </w:r>
    </w:p>
    <w:p w14:paraId="624D9905">
      <w:pPr>
        <w:spacing w:line="360" w:lineRule="auto"/>
        <w:ind w:firstLine="420" w:firstLineChars="200"/>
        <w:jc w:val="center"/>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年</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月</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日</w:t>
      </w:r>
    </w:p>
    <w:p w14:paraId="07E7532E">
      <w:pPr>
        <w:spacing w:beforeLines="100" w:afterLines="50" w:line="520" w:lineRule="exact"/>
        <w:jc w:val="center"/>
        <w:rPr>
          <w:rFonts w:ascii="宋体"/>
          <w:color w:val="000000" w:themeColor="text1"/>
          <w:sz w:val="32"/>
          <w:szCs w:val="32"/>
          <w:highlight w:val="none"/>
          <w14:textFill>
            <w14:solidFill>
              <w14:schemeClr w14:val="tx1"/>
            </w14:solidFill>
          </w14:textFill>
        </w:rPr>
      </w:pPr>
      <w:r>
        <w:rPr>
          <w:rFonts w:ascii="宋体"/>
          <w:color w:val="000000" w:themeColor="text1"/>
          <w:highlight w:val="none"/>
          <w14:textFill>
            <w14:solidFill>
              <w14:schemeClr w14:val="tx1"/>
            </w14:solidFill>
          </w14:textFill>
        </w:rPr>
        <w:br w:type="page"/>
      </w:r>
      <w:r>
        <w:rPr>
          <w:rFonts w:hint="eastAsia" w:ascii="宋体" w:hAnsi="宋体" w:cs="宋体"/>
          <w:b/>
          <w:bCs/>
          <w:color w:val="000000" w:themeColor="text1"/>
          <w:sz w:val="36"/>
          <w:szCs w:val="36"/>
          <w:highlight w:val="none"/>
          <w14:textFill>
            <w14:solidFill>
              <w14:schemeClr w14:val="tx1"/>
            </w14:solidFill>
          </w14:textFill>
        </w:rPr>
        <w:t>法定代表人身份证明</w:t>
      </w:r>
    </w:p>
    <w:p w14:paraId="16F5323E">
      <w:pPr>
        <w:spacing w:line="360" w:lineRule="auto"/>
        <w:ind w:left="540"/>
        <w:rPr>
          <w:rFonts w:ascii="宋体"/>
          <w:color w:val="000000" w:themeColor="text1"/>
          <w:sz w:val="32"/>
          <w:szCs w:val="32"/>
          <w:highlight w:val="none"/>
          <w14:textFill>
            <w14:solidFill>
              <w14:schemeClr w14:val="tx1"/>
            </w14:solidFill>
          </w14:textFill>
        </w:rPr>
      </w:pPr>
    </w:p>
    <w:p w14:paraId="0EC1F306">
      <w:pPr>
        <w:spacing w:line="360" w:lineRule="auto"/>
        <w:ind w:left="540"/>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供应商名称：</w:t>
      </w:r>
      <w:r>
        <w:rPr>
          <w:rFonts w:ascii="宋体" w:hAnsi="宋体" w:cs="宋体"/>
          <w:color w:val="000000" w:themeColor="text1"/>
          <w:highlight w:val="none"/>
          <w:u w:val="single"/>
          <w14:textFill>
            <w14:solidFill>
              <w14:schemeClr w14:val="tx1"/>
            </w14:solidFill>
          </w14:textFill>
        </w:rPr>
        <w:t xml:space="preserve">                                                      </w:t>
      </w:r>
    </w:p>
    <w:p w14:paraId="20C482ED">
      <w:pPr>
        <w:spacing w:line="360" w:lineRule="auto"/>
        <w:ind w:left="540"/>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地</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址：</w:t>
      </w:r>
      <w:r>
        <w:rPr>
          <w:rFonts w:ascii="宋体" w:hAnsi="宋体" w:cs="宋体"/>
          <w:color w:val="000000" w:themeColor="text1"/>
          <w:highlight w:val="none"/>
          <w:u w:val="single"/>
          <w14:textFill>
            <w14:solidFill>
              <w14:schemeClr w14:val="tx1"/>
            </w14:solidFill>
          </w14:textFill>
        </w:rPr>
        <w:t xml:space="preserve">                                                        </w:t>
      </w:r>
    </w:p>
    <w:p w14:paraId="573D0943">
      <w:pPr>
        <w:spacing w:line="360" w:lineRule="auto"/>
        <w:ind w:left="540"/>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姓</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名：</w:t>
      </w:r>
      <w:r>
        <w:rPr>
          <w:rFonts w:ascii="宋体" w:hAnsi="宋体" w:cs="宋体"/>
          <w:color w:val="000000" w:themeColor="text1"/>
          <w:highlight w:val="none"/>
          <w:u w:val="singl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性</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别：</w:t>
      </w:r>
      <w:r>
        <w:rPr>
          <w:rFonts w:ascii="宋体" w:hAnsi="宋体" w:cs="宋体"/>
          <w:color w:val="000000" w:themeColor="text1"/>
          <w:highlight w:val="none"/>
          <w:u w:val="single"/>
          <w14:textFill>
            <w14:solidFill>
              <w14:schemeClr w14:val="tx1"/>
            </w14:solidFill>
          </w14:textFill>
        </w:rPr>
        <w:t xml:space="preserve">                </w:t>
      </w:r>
    </w:p>
    <w:p w14:paraId="25A1D718">
      <w:pPr>
        <w:spacing w:line="360" w:lineRule="auto"/>
        <w:ind w:left="540"/>
        <w:rPr>
          <w:rFonts w:ascii="宋体"/>
          <w:color w:val="000000" w:themeColor="text1"/>
          <w:highlight w:val="none"/>
          <w:u w:val="singl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年</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龄：</w:t>
      </w:r>
      <w:r>
        <w:rPr>
          <w:rFonts w:ascii="宋体" w:hAnsi="宋体" w:cs="宋体"/>
          <w:color w:val="000000" w:themeColor="text1"/>
          <w:highlight w:val="none"/>
          <w:u w:val="singl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职</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务：</w:t>
      </w:r>
      <w:r>
        <w:rPr>
          <w:rFonts w:ascii="宋体" w:hAnsi="宋体" w:cs="宋体"/>
          <w:color w:val="000000" w:themeColor="text1"/>
          <w:highlight w:val="none"/>
          <w:u w:val="single"/>
          <w14:textFill>
            <w14:solidFill>
              <w14:schemeClr w14:val="tx1"/>
            </w14:solidFill>
          </w14:textFill>
        </w:rPr>
        <w:t xml:space="preserve">                </w:t>
      </w:r>
    </w:p>
    <w:p w14:paraId="00F9A4F8">
      <w:pPr>
        <w:spacing w:line="360" w:lineRule="auto"/>
        <w:ind w:left="540"/>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身份证号码：</w:t>
      </w:r>
      <w:r>
        <w:rPr>
          <w:rFonts w:ascii="宋体" w:hAnsi="宋体" w:cs="宋体"/>
          <w:color w:val="000000" w:themeColor="text1"/>
          <w:highlight w:val="none"/>
          <w:u w:val="single"/>
          <w14:textFill>
            <w14:solidFill>
              <w14:schemeClr w14:val="tx1"/>
            </w14:solidFill>
          </w14:textFill>
        </w:rPr>
        <w:t xml:space="preserve">                                        </w:t>
      </w:r>
    </w:p>
    <w:p w14:paraId="1F4E3686">
      <w:pPr>
        <w:spacing w:line="360" w:lineRule="auto"/>
        <w:ind w:firstLine="420" w:firstLineChars="200"/>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系</w:t>
      </w:r>
      <w:r>
        <w:rPr>
          <w:rFonts w:hint="eastAsia" w:ascii="宋体" w:hAnsi="宋体" w:cs="宋体"/>
          <w:color w:val="000000" w:themeColor="text1"/>
          <w:highlight w:val="none"/>
          <w:u w:val="single"/>
          <w14:textFill>
            <w14:solidFill>
              <w14:schemeClr w14:val="tx1"/>
            </w14:solidFill>
          </w14:textFill>
        </w:rPr>
        <w:t>（供应商名称）</w:t>
      </w:r>
      <w:r>
        <w:rPr>
          <w:rFonts w:hint="eastAsia" w:ascii="宋体" w:hAnsi="宋体" w:cs="宋体"/>
          <w:color w:val="000000" w:themeColor="text1"/>
          <w:highlight w:val="none"/>
          <w14:textFill>
            <w14:solidFill>
              <w14:schemeClr w14:val="tx1"/>
            </w14:solidFill>
          </w14:textFill>
        </w:rPr>
        <w:t>的法定代表人。</w:t>
      </w:r>
    </w:p>
    <w:p w14:paraId="27F7BCA4">
      <w:pPr>
        <w:spacing w:line="360" w:lineRule="auto"/>
        <w:ind w:left="540"/>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特此证明。</w:t>
      </w:r>
    </w:p>
    <w:p w14:paraId="721A7F59">
      <w:pPr>
        <w:spacing w:line="360" w:lineRule="auto"/>
        <w:ind w:left="540"/>
        <w:rPr>
          <w:rFonts w:ascii="宋体"/>
          <w:color w:val="000000" w:themeColor="text1"/>
          <w:highlight w:val="none"/>
          <w14:textFill>
            <w14:solidFill>
              <w14:schemeClr w14:val="tx1"/>
            </w14:solidFill>
          </w14:textFill>
        </w:rPr>
      </w:pPr>
    </w:p>
    <w:p w14:paraId="78869D11">
      <w:pPr>
        <w:spacing w:line="360" w:lineRule="auto"/>
        <w:ind w:left="540"/>
        <w:rPr>
          <w:rFonts w:ascii="宋体"/>
          <w:color w:val="000000" w:themeColor="text1"/>
          <w:highlight w:val="none"/>
          <w14:textFill>
            <w14:solidFill>
              <w14:schemeClr w14:val="tx1"/>
            </w14:solidFill>
          </w14:textFill>
        </w:rPr>
      </w:pPr>
    </w:p>
    <w:p w14:paraId="47BC223D">
      <w:pPr>
        <w:spacing w:line="360" w:lineRule="auto"/>
        <w:ind w:left="540"/>
        <w:rPr>
          <w:rFonts w:ascii="宋体"/>
          <w:color w:val="000000" w:themeColor="text1"/>
          <w:highlight w:val="none"/>
          <w14:textFill>
            <w14:solidFill>
              <w14:schemeClr w14:val="tx1"/>
            </w14:solidFill>
          </w14:textFill>
        </w:rPr>
      </w:pPr>
    </w:p>
    <w:p w14:paraId="6E3A258F">
      <w:pPr>
        <w:spacing w:line="360" w:lineRule="auto"/>
        <w:ind w:left="540"/>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附件：法定代表人有效身份证正反面复印件</w:t>
      </w:r>
    </w:p>
    <w:p w14:paraId="1B3414E8">
      <w:pPr>
        <w:spacing w:line="360" w:lineRule="auto"/>
        <w:ind w:left="540"/>
        <w:rPr>
          <w:rFonts w:ascii="宋体"/>
          <w:color w:val="000000" w:themeColor="text1"/>
          <w:highlight w:val="none"/>
          <w14:textFill>
            <w14:solidFill>
              <w14:schemeClr w14:val="tx1"/>
            </w14:solidFill>
          </w14:textFill>
        </w:rPr>
      </w:pPr>
    </w:p>
    <w:p w14:paraId="04BD82D6">
      <w:pPr>
        <w:spacing w:line="360" w:lineRule="auto"/>
        <w:ind w:left="540"/>
        <w:jc w:val="right"/>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供应商（盖公章）：</w:t>
      </w:r>
      <w:r>
        <w:rPr>
          <w:rFonts w:ascii="宋体" w:hAnsi="宋体" w:cs="宋体"/>
          <w:color w:val="000000" w:themeColor="text1"/>
          <w:highlight w:val="none"/>
          <w:u w:val="single"/>
          <w14:textFill>
            <w14:solidFill>
              <w14:schemeClr w14:val="tx1"/>
            </w14:solidFill>
          </w14:textFill>
        </w:rPr>
        <w:t xml:space="preserve">               </w:t>
      </w:r>
    </w:p>
    <w:p w14:paraId="5BDD9EED">
      <w:pPr>
        <w:spacing w:line="360" w:lineRule="auto"/>
        <w:ind w:firstLine="3570" w:firstLineChars="1700"/>
        <w:rPr>
          <w:rFonts w:ascii="宋体"/>
          <w:color w:val="000000" w:themeColor="text1"/>
          <w:highlight w:val="none"/>
          <w14:textFill>
            <w14:solidFill>
              <w14:schemeClr w14:val="tx1"/>
            </w14:solidFill>
          </w14:textFill>
        </w:rPr>
      </w:pPr>
      <w:r>
        <w:rPr>
          <w:rFonts w:ascii="宋体" w:hAnsi="宋体" w:cs="宋体"/>
          <w:color w:val="000000" w:themeColor="text1"/>
          <w:highlight w:val="none"/>
          <w:u w:val="singl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年</w:t>
      </w:r>
      <w:r>
        <w:rPr>
          <w:rFonts w:ascii="宋体" w:hAnsi="宋体" w:cs="宋体"/>
          <w:color w:val="000000" w:themeColor="text1"/>
          <w:highlight w:val="none"/>
          <w:u w:val="singl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月</w:t>
      </w:r>
      <w:r>
        <w:rPr>
          <w:rFonts w:ascii="宋体" w:hAnsi="宋体" w:cs="宋体"/>
          <w:color w:val="000000" w:themeColor="text1"/>
          <w:highlight w:val="none"/>
          <w:u w:val="singl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日</w:t>
      </w:r>
    </w:p>
    <w:p w14:paraId="33D84F96">
      <w:pPr>
        <w:spacing w:line="360" w:lineRule="auto"/>
        <w:jc w:val="center"/>
        <w:rPr>
          <w:rFonts w:ascii="宋体"/>
          <w:b/>
          <w:bCs/>
          <w:color w:val="000000" w:themeColor="text1"/>
          <w:highlight w:val="none"/>
          <w14:textFill>
            <w14:solidFill>
              <w14:schemeClr w14:val="tx1"/>
            </w14:solidFill>
          </w14:textFill>
        </w:rPr>
      </w:pPr>
    </w:p>
    <w:p w14:paraId="44C9EE96">
      <w:pPr>
        <w:spacing w:line="360" w:lineRule="auto"/>
        <w:jc w:val="left"/>
        <w:rPr>
          <w:rFonts w:ascii="宋体"/>
          <w:color w:val="000000" w:themeColor="text1"/>
          <w:highlight w:val="none"/>
          <w14:textFill>
            <w14:solidFill>
              <w14:schemeClr w14:val="tx1"/>
            </w14:solidFill>
          </w14:textFill>
        </w:rPr>
      </w:pPr>
    </w:p>
    <w:p w14:paraId="26E6126E">
      <w:pPr>
        <w:spacing w:line="360" w:lineRule="auto"/>
        <w:jc w:val="left"/>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注：自然人磋商的无需提供。</w:t>
      </w:r>
    </w:p>
    <w:p w14:paraId="60F4A3AB">
      <w:pPr>
        <w:adjustRightInd w:val="0"/>
        <w:snapToGrid w:val="0"/>
        <w:spacing w:line="300" w:lineRule="auto"/>
        <w:jc w:val="left"/>
        <w:rPr>
          <w:rFonts w:ascii="宋体"/>
          <w:b/>
          <w:bCs/>
          <w:color w:val="000000" w:themeColor="text1"/>
          <w:highlight w:val="none"/>
          <w14:textFill>
            <w14:solidFill>
              <w14:schemeClr w14:val="tx1"/>
            </w14:solidFill>
          </w14:textFill>
        </w:rPr>
      </w:pPr>
    </w:p>
    <w:p w14:paraId="35B90707">
      <w:pPr>
        <w:spacing w:line="500" w:lineRule="exact"/>
        <w:rPr>
          <w:rFonts w:ascii="宋体"/>
          <w:color w:val="000000" w:themeColor="text1"/>
          <w:highlight w:val="none"/>
          <w14:textFill>
            <w14:solidFill>
              <w14:schemeClr w14:val="tx1"/>
            </w14:solidFill>
          </w14:textFill>
        </w:rPr>
      </w:pPr>
    </w:p>
    <w:p w14:paraId="42FC5160">
      <w:pPr>
        <w:spacing w:line="520" w:lineRule="exact"/>
        <w:jc w:val="center"/>
        <w:rPr>
          <w:rFonts w:ascii="宋体"/>
          <w:b/>
          <w:bCs/>
          <w:color w:val="000000" w:themeColor="text1"/>
          <w:highlight w:val="none"/>
          <w14:textFill>
            <w14:solidFill>
              <w14:schemeClr w14:val="tx1"/>
            </w14:solidFill>
          </w14:textFill>
        </w:rPr>
      </w:pPr>
    </w:p>
    <w:p w14:paraId="3FA08E7C">
      <w:pPr>
        <w:spacing w:line="520" w:lineRule="exact"/>
        <w:jc w:val="center"/>
        <w:rPr>
          <w:rFonts w:ascii="宋体"/>
          <w:b/>
          <w:bCs/>
          <w:color w:val="000000" w:themeColor="text1"/>
          <w:highlight w:val="none"/>
          <w14:textFill>
            <w14:solidFill>
              <w14:schemeClr w14:val="tx1"/>
            </w14:solidFill>
          </w14:textFill>
        </w:rPr>
      </w:pPr>
    </w:p>
    <w:p w14:paraId="1874C48A">
      <w:pPr>
        <w:spacing w:line="520" w:lineRule="exact"/>
        <w:jc w:val="center"/>
        <w:rPr>
          <w:rFonts w:ascii="宋体"/>
          <w:b/>
          <w:bCs/>
          <w:color w:val="000000" w:themeColor="text1"/>
          <w:highlight w:val="none"/>
          <w14:textFill>
            <w14:solidFill>
              <w14:schemeClr w14:val="tx1"/>
            </w14:solidFill>
          </w14:textFill>
        </w:rPr>
      </w:pPr>
    </w:p>
    <w:p w14:paraId="1EBBBE75">
      <w:pPr>
        <w:spacing w:line="520" w:lineRule="exact"/>
        <w:jc w:val="center"/>
        <w:rPr>
          <w:rFonts w:ascii="宋体"/>
          <w:b/>
          <w:bCs/>
          <w:color w:val="000000" w:themeColor="text1"/>
          <w:highlight w:val="none"/>
          <w14:textFill>
            <w14:solidFill>
              <w14:schemeClr w14:val="tx1"/>
            </w14:solidFill>
          </w14:textFill>
        </w:rPr>
      </w:pPr>
    </w:p>
    <w:p w14:paraId="42A844D2">
      <w:pPr>
        <w:spacing w:line="520" w:lineRule="exact"/>
        <w:jc w:val="center"/>
        <w:rPr>
          <w:rFonts w:ascii="宋体"/>
          <w:b/>
          <w:bCs/>
          <w:color w:val="000000" w:themeColor="text1"/>
          <w:sz w:val="36"/>
          <w:szCs w:val="36"/>
          <w:highlight w:val="none"/>
          <w14:textFill>
            <w14:solidFill>
              <w14:schemeClr w14:val="tx1"/>
            </w14:solidFill>
          </w14:textFill>
        </w:rPr>
      </w:pPr>
    </w:p>
    <w:p w14:paraId="78BD7D59">
      <w:pPr>
        <w:spacing w:line="520" w:lineRule="exact"/>
        <w:jc w:val="center"/>
        <w:rPr>
          <w:rFonts w:ascii="宋体"/>
          <w:b/>
          <w:bCs/>
          <w:color w:val="000000" w:themeColor="text1"/>
          <w:sz w:val="36"/>
          <w:szCs w:val="36"/>
          <w:highlight w:val="none"/>
          <w14:textFill>
            <w14:solidFill>
              <w14:schemeClr w14:val="tx1"/>
            </w14:solidFill>
          </w14:textFill>
        </w:rPr>
      </w:pPr>
    </w:p>
    <w:p w14:paraId="15DA6CBE">
      <w:pPr>
        <w:pStyle w:val="21"/>
        <w:rPr>
          <w:rFonts w:ascii="宋体"/>
          <w:b/>
          <w:bCs/>
          <w:color w:val="000000" w:themeColor="text1"/>
          <w:sz w:val="36"/>
          <w:szCs w:val="36"/>
          <w:highlight w:val="none"/>
          <w14:textFill>
            <w14:solidFill>
              <w14:schemeClr w14:val="tx1"/>
            </w14:solidFill>
          </w14:textFill>
        </w:rPr>
      </w:pPr>
    </w:p>
    <w:p w14:paraId="65AF5080">
      <w:pPr>
        <w:rPr>
          <w:color w:val="000000" w:themeColor="text1"/>
          <w:highlight w:val="none"/>
          <w14:textFill>
            <w14:solidFill>
              <w14:schemeClr w14:val="tx1"/>
            </w14:solidFill>
          </w14:textFill>
        </w:rPr>
      </w:pPr>
    </w:p>
    <w:p w14:paraId="7372E06A">
      <w:pPr>
        <w:spacing w:line="520" w:lineRule="exact"/>
        <w:jc w:val="center"/>
        <w:rPr>
          <w:rFonts w:ascii="宋体"/>
          <w:b/>
          <w:bCs/>
          <w:color w:val="000000" w:themeColor="text1"/>
          <w:sz w:val="36"/>
          <w:szCs w:val="36"/>
          <w:highlight w:val="none"/>
          <w14:textFill>
            <w14:solidFill>
              <w14:schemeClr w14:val="tx1"/>
            </w14:solidFill>
          </w14:textFill>
        </w:rPr>
      </w:pPr>
    </w:p>
    <w:p w14:paraId="1B44CE14">
      <w:pPr>
        <w:spacing w:line="520" w:lineRule="exact"/>
        <w:jc w:val="center"/>
        <w:rPr>
          <w:rFonts w:ascii="宋体"/>
          <w:b/>
          <w:bCs/>
          <w:color w:val="000000" w:themeColor="text1"/>
          <w:sz w:val="36"/>
          <w:szCs w:val="36"/>
          <w:highlight w:val="none"/>
          <w14:textFill>
            <w14:solidFill>
              <w14:schemeClr w14:val="tx1"/>
            </w14:solidFill>
          </w14:textFill>
        </w:rPr>
      </w:pPr>
    </w:p>
    <w:p w14:paraId="7AA77C6B">
      <w:pPr>
        <w:spacing w:line="520" w:lineRule="exact"/>
        <w:jc w:val="center"/>
        <w:rPr>
          <w:rFonts w:ascii="宋体"/>
          <w:b/>
          <w:bCs/>
          <w:color w:val="000000" w:themeColor="text1"/>
          <w:sz w:val="36"/>
          <w:szCs w:val="36"/>
          <w:highlight w:val="none"/>
          <w14:textFill>
            <w14:solidFill>
              <w14:schemeClr w14:val="tx1"/>
            </w14:solidFill>
          </w14:textFill>
        </w:rPr>
      </w:pPr>
      <w:r>
        <w:rPr>
          <w:rFonts w:hint="eastAsia" w:ascii="宋体" w:hAnsi="宋体" w:cs="宋体"/>
          <w:b/>
          <w:bCs/>
          <w:color w:val="000000" w:themeColor="text1"/>
          <w:sz w:val="36"/>
          <w:szCs w:val="36"/>
          <w:highlight w:val="none"/>
          <w14:textFill>
            <w14:solidFill>
              <w14:schemeClr w14:val="tx1"/>
            </w14:solidFill>
          </w14:textFill>
        </w:rPr>
        <w:t>授权委托书</w:t>
      </w:r>
    </w:p>
    <w:p w14:paraId="06F1DB48">
      <w:pPr>
        <w:spacing w:line="520" w:lineRule="exact"/>
        <w:jc w:val="center"/>
        <w:rPr>
          <w:rFonts w:ascii="宋体"/>
          <w:color w:val="000000" w:themeColor="text1"/>
          <w:sz w:val="44"/>
          <w:szCs w:val="44"/>
          <w:highlight w:val="none"/>
          <w14:textFill>
            <w14:solidFill>
              <w14:schemeClr w14:val="tx1"/>
            </w14:solidFill>
          </w14:textFill>
        </w:rPr>
      </w:pPr>
      <w:r>
        <w:rPr>
          <w:rFonts w:hint="eastAsia" w:ascii="宋体" w:hAnsi="宋体" w:cs="宋体"/>
          <w:color w:val="000000" w:themeColor="text1"/>
          <w:sz w:val="32"/>
          <w:szCs w:val="32"/>
          <w:highlight w:val="none"/>
          <w14:textFill>
            <w14:solidFill>
              <w14:schemeClr w14:val="tx1"/>
            </w14:solidFill>
          </w14:textFill>
        </w:rPr>
        <w:t>（如有委托时）</w:t>
      </w:r>
    </w:p>
    <w:p w14:paraId="2934561A">
      <w:pPr>
        <w:spacing w:line="520" w:lineRule="exact"/>
        <w:rPr>
          <w:rFonts w:ascii="宋体"/>
          <w:color w:val="000000" w:themeColor="text1"/>
          <w:sz w:val="32"/>
          <w:szCs w:val="32"/>
          <w:highlight w:val="none"/>
          <w14:textFill>
            <w14:solidFill>
              <w14:schemeClr w14:val="tx1"/>
            </w14:solidFill>
          </w14:textFill>
        </w:rPr>
      </w:pPr>
    </w:p>
    <w:p w14:paraId="712F8B49">
      <w:pPr>
        <w:spacing w:line="360" w:lineRule="auto"/>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致：</w:t>
      </w:r>
      <w:r>
        <w:rPr>
          <w:rFonts w:hint="eastAsia" w:ascii="宋体" w:hAnsi="宋体" w:cs="宋体"/>
          <w:color w:val="000000" w:themeColor="text1"/>
          <w:highlight w:val="none"/>
          <w:u w:val="single"/>
          <w14:textFill>
            <w14:solidFill>
              <w14:schemeClr w14:val="tx1"/>
            </w14:solidFill>
          </w14:textFill>
        </w:rPr>
        <w:t>（采购人名称）</w:t>
      </w:r>
      <w:r>
        <w:rPr>
          <w:rFonts w:hint="eastAsia" w:ascii="宋体" w:hAnsi="宋体" w:cs="宋体"/>
          <w:color w:val="000000" w:themeColor="text1"/>
          <w:highlight w:val="none"/>
          <w14:textFill>
            <w14:solidFill>
              <w14:schemeClr w14:val="tx1"/>
            </w14:solidFill>
          </w14:textFill>
        </w:rPr>
        <w:t>：</w:t>
      </w:r>
    </w:p>
    <w:p w14:paraId="0E4C7358">
      <w:pPr>
        <w:spacing w:line="360" w:lineRule="auto"/>
        <w:ind w:firstLine="420" w:firstLineChars="200"/>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我</w:t>
      </w:r>
      <w:r>
        <w:rPr>
          <w:rFonts w:ascii="宋体" w:hAnsi="宋体" w:cs="宋体"/>
          <w:color w:val="000000" w:themeColor="text1"/>
          <w:highlight w:val="none"/>
          <w:u w:val="single"/>
          <w14:textFill>
            <w14:solidFill>
              <w14:schemeClr w14:val="tx1"/>
            </w14:solidFill>
          </w14:textFill>
        </w:rPr>
        <w:t xml:space="preserve">  </w:t>
      </w:r>
      <w:r>
        <w:rPr>
          <w:rFonts w:hint="eastAsia" w:ascii="宋体" w:hAnsi="宋体" w:cs="宋体"/>
          <w:color w:val="000000" w:themeColor="text1"/>
          <w:highlight w:val="none"/>
          <w:u w:val="single"/>
          <w14:textFill>
            <w14:solidFill>
              <w14:schemeClr w14:val="tx1"/>
            </w14:solidFill>
          </w14:textFill>
        </w:rPr>
        <w:t>（姓名）</w:t>
      </w:r>
      <w:r>
        <w:rPr>
          <w:rFonts w:ascii="宋体" w:hAnsi="宋体" w:cs="宋体"/>
          <w:color w:val="000000" w:themeColor="text1"/>
          <w:highlight w:val="none"/>
          <w:u w:val="singl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系</w:t>
      </w:r>
      <w:r>
        <w:rPr>
          <w:rFonts w:ascii="宋体" w:hAnsi="宋体" w:cs="宋体"/>
          <w:color w:val="000000" w:themeColor="text1"/>
          <w:highlight w:val="none"/>
          <w:u w:val="single"/>
          <w14:textFill>
            <w14:solidFill>
              <w14:schemeClr w14:val="tx1"/>
            </w14:solidFill>
          </w14:textFill>
        </w:rPr>
        <w:t xml:space="preserve">  </w:t>
      </w:r>
      <w:r>
        <w:rPr>
          <w:rFonts w:hint="eastAsia" w:ascii="宋体" w:hAnsi="宋体" w:cs="宋体"/>
          <w:color w:val="000000" w:themeColor="text1"/>
          <w:highlight w:val="none"/>
          <w:u w:val="single"/>
          <w14:textFill>
            <w14:solidFill>
              <w14:schemeClr w14:val="tx1"/>
            </w14:solidFill>
          </w14:textFill>
        </w:rPr>
        <w:t>（供应商名称）</w:t>
      </w:r>
      <w:r>
        <w:rPr>
          <w:rFonts w:ascii="宋体" w:hAnsi="宋体" w:cs="宋体"/>
          <w:color w:val="000000" w:themeColor="text1"/>
          <w:highlight w:val="none"/>
          <w:u w:val="singl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的（</w:t>
      </w:r>
      <w:r>
        <w:rPr>
          <w:rFonts w:hint="eastAsia" w:ascii="宋体" w:hAnsi="宋体" w:cs="宋体"/>
          <w:color w:val="000000" w:themeColor="text1"/>
          <w:highlight w:val="none"/>
          <w:u w:val="single"/>
          <w14:textFill>
            <w14:solidFill>
              <w14:schemeClr w14:val="tx1"/>
            </w14:solidFill>
          </w14:textFill>
        </w:rPr>
        <w:t>法定代表人</w:t>
      </w:r>
      <w:r>
        <w:rPr>
          <w:rFonts w:ascii="宋体" w:hAnsi="宋体" w:cs="宋体"/>
          <w:color w:val="000000" w:themeColor="text1"/>
          <w:highlight w:val="none"/>
          <w:u w:val="single"/>
          <w14:textFill>
            <w14:solidFill>
              <w14:schemeClr w14:val="tx1"/>
            </w14:solidFill>
          </w14:textFill>
        </w:rPr>
        <w:t>/</w:t>
      </w:r>
      <w:r>
        <w:rPr>
          <w:rFonts w:hint="eastAsia" w:ascii="宋体" w:hAnsi="宋体" w:cs="宋体"/>
          <w:color w:val="000000" w:themeColor="text1"/>
          <w:highlight w:val="none"/>
          <w:u w:val="single"/>
          <w14:textFill>
            <w14:solidFill>
              <w14:schemeClr w14:val="tx1"/>
            </w14:solidFill>
          </w14:textFill>
        </w:rPr>
        <w:t>负责人</w:t>
      </w:r>
      <w:r>
        <w:rPr>
          <w:rFonts w:ascii="宋体" w:hAnsi="宋体" w:cs="宋体"/>
          <w:color w:val="000000" w:themeColor="text1"/>
          <w:highlight w:val="none"/>
          <w:u w:val="single"/>
          <w14:textFill>
            <w14:solidFill>
              <w14:schemeClr w14:val="tx1"/>
            </w14:solidFill>
          </w14:textFill>
        </w:rPr>
        <w:t>/</w:t>
      </w:r>
      <w:r>
        <w:rPr>
          <w:rFonts w:hint="eastAsia" w:ascii="宋体" w:hAnsi="宋体" w:cs="宋体"/>
          <w:color w:val="000000" w:themeColor="text1"/>
          <w:highlight w:val="none"/>
          <w:u w:val="single"/>
          <w14:textFill>
            <w14:solidFill>
              <w14:schemeClr w14:val="tx1"/>
            </w14:solidFill>
          </w14:textFill>
        </w:rPr>
        <w:t>自然人本人</w:t>
      </w:r>
      <w:r>
        <w:rPr>
          <w:rFonts w:hint="eastAsia" w:ascii="宋体" w:hAnsi="宋体" w:cs="宋体"/>
          <w:color w:val="000000" w:themeColor="text1"/>
          <w:highlight w:val="none"/>
          <w14:textFill>
            <w14:solidFill>
              <w14:schemeClr w14:val="tx1"/>
            </w14:solidFill>
          </w14:textFill>
        </w:rPr>
        <w:t>），现授权</w:t>
      </w:r>
      <w:r>
        <w:rPr>
          <w:rFonts w:ascii="宋体" w:hAnsi="宋体" w:cs="宋体"/>
          <w:color w:val="000000" w:themeColor="text1"/>
          <w:highlight w:val="none"/>
          <w:u w:val="single"/>
          <w14:textFill>
            <w14:solidFill>
              <w14:schemeClr w14:val="tx1"/>
            </w14:solidFill>
          </w14:textFill>
        </w:rPr>
        <w:t xml:space="preserve"> </w:t>
      </w:r>
      <w:r>
        <w:rPr>
          <w:rFonts w:hint="eastAsia" w:ascii="宋体" w:hAnsi="宋体" w:cs="宋体"/>
          <w:color w:val="000000" w:themeColor="text1"/>
          <w:highlight w:val="none"/>
          <w:u w:val="single"/>
          <w14:textFill>
            <w14:solidFill>
              <w14:schemeClr w14:val="tx1"/>
            </w14:solidFill>
          </w14:textFill>
        </w:rPr>
        <w:t>（姓名）</w:t>
      </w:r>
      <w:r>
        <w:rPr>
          <w:rFonts w:ascii="宋体" w:hAnsi="宋体" w:cs="宋体"/>
          <w:color w:val="000000" w:themeColor="text1"/>
          <w:highlight w:val="none"/>
          <w:u w:val="singl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以我方的名义参加</w:t>
      </w:r>
      <w:r>
        <w:rPr>
          <w:rFonts w:ascii="宋体" w:hAnsi="宋体" w:cs="宋体"/>
          <w:color w:val="000000" w:themeColor="text1"/>
          <w:highlight w:val="none"/>
          <w:u w:val="singl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项目的磋商活动，并代表我方全权办理针对上述项目的所有采购程序和环节的具体事务和签署相关文件。</w:t>
      </w:r>
    </w:p>
    <w:p w14:paraId="7F3FB580">
      <w:pPr>
        <w:spacing w:line="360" w:lineRule="auto"/>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我方对委托代理人的签字事项负全部责任。</w:t>
      </w:r>
    </w:p>
    <w:p w14:paraId="100AB74F">
      <w:pPr>
        <w:spacing w:line="360" w:lineRule="auto"/>
        <w:ind w:firstLine="420" w:firstLineChars="200"/>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本授权书自签署之日起生效，在撤销授权的书面通知以前，本授权书一直有效。委托代理人在授权书有效期内签署的所有文件不因授权的撤销而失效。</w:t>
      </w:r>
    </w:p>
    <w:p w14:paraId="5AFA7E6C">
      <w:pPr>
        <w:spacing w:line="360" w:lineRule="auto"/>
        <w:ind w:firstLine="420" w:firstLineChars="200"/>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委托代理人无转委托权，特此委托。</w:t>
      </w:r>
    </w:p>
    <w:p w14:paraId="291CD8D5">
      <w:pPr>
        <w:spacing w:line="360" w:lineRule="auto"/>
        <w:ind w:firstLine="420" w:firstLineChars="200"/>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附：委托代理人有效身份证正反面复印件</w:t>
      </w:r>
    </w:p>
    <w:p w14:paraId="129EADC4">
      <w:pPr>
        <w:spacing w:line="360" w:lineRule="auto"/>
        <w:rPr>
          <w:rFonts w:ascii="宋体"/>
          <w:color w:val="000000" w:themeColor="text1"/>
          <w:highlight w:val="none"/>
          <w14:textFill>
            <w14:solidFill>
              <w14:schemeClr w14:val="tx1"/>
            </w14:solidFill>
          </w14:textFill>
        </w:rPr>
      </w:pPr>
    </w:p>
    <w:p w14:paraId="2C1764A7">
      <w:pPr>
        <w:spacing w:line="360" w:lineRule="auto"/>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委托代理人（签字或盖印鉴）：</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法定代表人（签字或者盖章）：</w:t>
      </w:r>
      <w:r>
        <w:rPr>
          <w:rFonts w:ascii="宋体" w:hAnsi="宋体" w:cs="宋体"/>
          <w:color w:val="000000" w:themeColor="text1"/>
          <w:highlight w:val="none"/>
          <w14:textFill>
            <w14:solidFill>
              <w14:schemeClr w14:val="tx1"/>
            </w14:solidFill>
          </w14:textFill>
        </w:rPr>
        <w:t xml:space="preserve">                    </w:t>
      </w:r>
    </w:p>
    <w:p w14:paraId="5FEA89AC">
      <w:pPr>
        <w:spacing w:line="360" w:lineRule="auto"/>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委托代理人身份证号码：</w:t>
      </w:r>
      <w:r>
        <w:rPr>
          <w:rFonts w:ascii="宋体" w:hAnsi="宋体" w:cs="宋体"/>
          <w:color w:val="000000" w:themeColor="text1"/>
          <w:highlight w:val="none"/>
          <w14:textFill>
            <w14:solidFill>
              <w14:schemeClr w14:val="tx1"/>
            </w14:solidFill>
          </w14:textFill>
        </w:rPr>
        <w:t xml:space="preserve">                              </w:t>
      </w:r>
    </w:p>
    <w:p w14:paraId="7509968D">
      <w:pPr>
        <w:spacing w:line="360" w:lineRule="auto"/>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                                </w:t>
      </w:r>
    </w:p>
    <w:p w14:paraId="793B0E18">
      <w:pPr>
        <w:spacing w:line="360" w:lineRule="auto"/>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供应商（盖公章）：</w:t>
      </w:r>
      <w:r>
        <w:rPr>
          <w:rFonts w:ascii="宋体" w:hAnsi="宋体" w:cs="宋体"/>
          <w:color w:val="000000" w:themeColor="text1"/>
          <w:highlight w:val="none"/>
          <w14:textFill>
            <w14:solidFill>
              <w14:schemeClr w14:val="tx1"/>
            </w14:solidFill>
          </w14:textFill>
        </w:rPr>
        <w:t xml:space="preserve">                      </w:t>
      </w:r>
    </w:p>
    <w:p w14:paraId="7360B189">
      <w:pPr>
        <w:spacing w:line="360" w:lineRule="auto"/>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年</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月</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日</w:t>
      </w:r>
    </w:p>
    <w:p w14:paraId="552DE94F">
      <w:pPr>
        <w:spacing w:line="360" w:lineRule="auto"/>
        <w:rPr>
          <w:rFonts w:ascii="宋体"/>
          <w:color w:val="000000" w:themeColor="text1"/>
          <w:highlight w:val="none"/>
          <w14:textFill>
            <w14:solidFill>
              <w14:schemeClr w14:val="tx1"/>
            </w14:solidFill>
          </w14:textFill>
        </w:rPr>
      </w:pPr>
    </w:p>
    <w:p w14:paraId="5C012402">
      <w:pPr>
        <w:spacing w:line="360" w:lineRule="auto"/>
        <w:ind w:firstLine="420" w:firstLineChars="200"/>
        <w:jc w:val="left"/>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注：</w:t>
      </w:r>
      <w:r>
        <w:rPr>
          <w:rFonts w:ascii="宋体" w:hAnsi="宋体" w:cs="宋体"/>
          <w:color w:val="000000" w:themeColor="text1"/>
          <w:highlight w:val="none"/>
          <w14:textFill>
            <w14:solidFill>
              <w14:schemeClr w14:val="tx1"/>
            </w14:solidFill>
          </w14:textFill>
        </w:rPr>
        <w:t>1.</w:t>
      </w:r>
      <w:r>
        <w:rPr>
          <w:rFonts w:hint="eastAsia" w:ascii="宋体" w:hAnsi="宋体" w:cs="宋体"/>
          <w:color w:val="000000" w:themeColor="text1"/>
          <w:highlight w:val="none"/>
          <w14:textFill>
            <w14:solidFill>
              <w14:schemeClr w14:val="tx1"/>
            </w14:solidFill>
          </w14:textFill>
        </w:rPr>
        <w:t>法人、其他组织磋商时“我方”是指“我单位”，自然人磋商时“我方”是指“本人”。</w:t>
      </w:r>
    </w:p>
    <w:p w14:paraId="5659045D">
      <w:pPr>
        <w:spacing w:line="360" w:lineRule="auto"/>
        <w:ind w:firstLine="420" w:firstLineChars="200"/>
        <w:jc w:val="left"/>
        <w:rPr>
          <w:rFonts w:ascii="宋体"/>
          <w:color w:val="000000" w:themeColor="text1"/>
          <w:highlight w:val="none"/>
          <w14:textFill>
            <w14:solidFill>
              <w14:schemeClr w14:val="tx1"/>
            </w14:solidFill>
          </w14:textFill>
        </w:rPr>
      </w:pPr>
    </w:p>
    <w:p w14:paraId="48F0B20C">
      <w:pPr>
        <w:spacing w:line="500" w:lineRule="exact"/>
        <w:jc w:val="center"/>
        <w:rPr>
          <w:rFonts w:ascii="宋体"/>
          <w:b/>
          <w:bCs/>
          <w:color w:val="000000" w:themeColor="text1"/>
          <w:sz w:val="36"/>
          <w:szCs w:val="36"/>
          <w:highlight w:val="none"/>
          <w14:textFill>
            <w14:solidFill>
              <w14:schemeClr w14:val="tx1"/>
            </w14:solidFill>
          </w14:textFill>
        </w:rPr>
      </w:pPr>
      <w:r>
        <w:rPr>
          <w:rFonts w:ascii="宋体"/>
          <w:color w:val="000000" w:themeColor="text1"/>
          <w:highlight w:val="none"/>
          <w14:textFill>
            <w14:solidFill>
              <w14:schemeClr w14:val="tx1"/>
            </w14:solidFill>
          </w14:textFill>
        </w:rPr>
        <w:br w:type="page"/>
      </w:r>
      <w:r>
        <w:rPr>
          <w:rFonts w:hint="eastAsia" w:ascii="宋体" w:hAnsi="宋体" w:cs="宋体"/>
          <w:b/>
          <w:bCs/>
          <w:color w:val="000000" w:themeColor="text1"/>
          <w:sz w:val="36"/>
          <w:szCs w:val="36"/>
          <w:highlight w:val="none"/>
          <w14:textFill>
            <w14:solidFill>
              <w14:schemeClr w14:val="tx1"/>
            </w14:solidFill>
          </w14:textFill>
        </w:rPr>
        <w:t>商务要求偏离表</w:t>
      </w:r>
    </w:p>
    <w:p w14:paraId="4517AD3F">
      <w:pPr>
        <w:spacing w:line="500" w:lineRule="exact"/>
        <w:jc w:val="center"/>
        <w:rPr>
          <w:rFonts w:ascii="宋体"/>
          <w:b/>
          <w:bCs/>
          <w:color w:val="000000" w:themeColor="text1"/>
          <w:sz w:val="36"/>
          <w:szCs w:val="36"/>
          <w:highlight w:val="none"/>
          <w14:textFill>
            <w14:solidFill>
              <w14:schemeClr w14:val="tx1"/>
            </w14:solidFill>
          </w14:textFill>
        </w:rPr>
      </w:pPr>
    </w:p>
    <w:tbl>
      <w:tblPr>
        <w:tblStyle w:val="59"/>
        <w:tblpPr w:leftFromText="180" w:rightFromText="180" w:vertAnchor="text" w:horzAnchor="margin" w:tblpXSpec="center" w:tblpY="-9"/>
        <w:tblOverlap w:val="never"/>
        <w:tblW w:w="947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522"/>
        <w:gridCol w:w="2714"/>
        <w:gridCol w:w="2714"/>
        <w:gridCol w:w="1522"/>
      </w:tblGrid>
      <w:tr w14:paraId="00DF0BD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22" w:type="dxa"/>
            <w:tcBorders>
              <w:top w:val="single" w:color="auto" w:sz="4" w:space="0"/>
              <w:bottom w:val="single" w:color="auto" w:sz="4" w:space="0"/>
              <w:right w:val="single" w:color="auto" w:sz="4" w:space="0"/>
            </w:tcBorders>
            <w:vAlign w:val="center"/>
          </w:tcPr>
          <w:p w14:paraId="6D92F39B">
            <w:pPr>
              <w:spacing w:line="360" w:lineRule="auto"/>
              <w:jc w:val="center"/>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项目</w:t>
            </w:r>
          </w:p>
        </w:tc>
        <w:tc>
          <w:tcPr>
            <w:tcW w:w="2714" w:type="dxa"/>
            <w:tcBorders>
              <w:top w:val="single" w:color="auto" w:sz="4" w:space="0"/>
              <w:left w:val="single" w:color="auto" w:sz="4" w:space="0"/>
              <w:bottom w:val="single" w:color="auto" w:sz="4" w:space="0"/>
              <w:right w:val="single" w:color="auto" w:sz="4" w:space="0"/>
            </w:tcBorders>
            <w:vAlign w:val="center"/>
          </w:tcPr>
          <w:p w14:paraId="6C78AD69">
            <w:pPr>
              <w:spacing w:line="360" w:lineRule="auto"/>
              <w:jc w:val="center"/>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磋商文件商务要求</w:t>
            </w:r>
          </w:p>
        </w:tc>
        <w:tc>
          <w:tcPr>
            <w:tcW w:w="2714" w:type="dxa"/>
            <w:tcBorders>
              <w:top w:val="single" w:color="auto" w:sz="4" w:space="0"/>
              <w:left w:val="single" w:color="auto" w:sz="4" w:space="0"/>
              <w:bottom w:val="single" w:color="auto" w:sz="4" w:space="0"/>
              <w:right w:val="single" w:color="auto" w:sz="4" w:space="0"/>
            </w:tcBorders>
            <w:vAlign w:val="center"/>
          </w:tcPr>
          <w:p w14:paraId="6233704D">
            <w:pPr>
              <w:spacing w:line="360" w:lineRule="auto"/>
              <w:jc w:val="center"/>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供应商的响应</w:t>
            </w:r>
          </w:p>
        </w:tc>
        <w:tc>
          <w:tcPr>
            <w:tcW w:w="1522" w:type="dxa"/>
            <w:tcBorders>
              <w:top w:val="single" w:color="auto" w:sz="4" w:space="0"/>
              <w:left w:val="single" w:color="auto" w:sz="4" w:space="0"/>
              <w:bottom w:val="single" w:color="auto" w:sz="4" w:space="0"/>
            </w:tcBorders>
            <w:vAlign w:val="center"/>
          </w:tcPr>
          <w:p w14:paraId="2FE73E13">
            <w:pPr>
              <w:spacing w:line="360" w:lineRule="auto"/>
              <w:jc w:val="center"/>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偏离说明</w:t>
            </w:r>
          </w:p>
        </w:tc>
      </w:tr>
      <w:tr w14:paraId="6B163A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22" w:type="dxa"/>
            <w:tcBorders>
              <w:top w:val="single" w:color="auto" w:sz="4" w:space="0"/>
              <w:bottom w:val="single" w:color="auto" w:sz="4" w:space="0"/>
              <w:right w:val="single" w:color="auto" w:sz="4" w:space="0"/>
            </w:tcBorders>
            <w:vAlign w:val="center"/>
          </w:tcPr>
          <w:p w14:paraId="7F25D210">
            <w:pPr>
              <w:spacing w:line="360" w:lineRule="auto"/>
              <w:jc w:val="center"/>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本项目计划工期</w:t>
            </w:r>
          </w:p>
        </w:tc>
        <w:tc>
          <w:tcPr>
            <w:tcW w:w="2714" w:type="dxa"/>
            <w:tcBorders>
              <w:top w:val="single" w:color="auto" w:sz="4" w:space="0"/>
              <w:left w:val="single" w:color="auto" w:sz="4" w:space="0"/>
              <w:bottom w:val="single" w:color="auto" w:sz="4" w:space="0"/>
              <w:right w:val="single" w:color="auto" w:sz="4" w:space="0"/>
            </w:tcBorders>
            <w:vAlign w:val="center"/>
          </w:tcPr>
          <w:p w14:paraId="68BC18CB">
            <w:pPr>
              <w:spacing w:line="360" w:lineRule="auto"/>
              <w:jc w:val="center"/>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12</w:t>
            </w:r>
            <w:r>
              <w:rPr>
                <w:rFonts w:ascii="宋体" w:cs="宋体"/>
                <w:color w:val="000000" w:themeColor="text1"/>
                <w:highlight w:val="none"/>
                <w14:textFill>
                  <w14:solidFill>
                    <w14:schemeClr w14:val="tx1"/>
                  </w14:solidFill>
                </w14:textFill>
              </w:rPr>
              <w:t>0</w:t>
            </w:r>
            <w:r>
              <w:rPr>
                <w:rFonts w:hint="eastAsia" w:ascii="宋体" w:hAnsi="宋体" w:cs="宋体"/>
                <w:color w:val="000000" w:themeColor="text1"/>
                <w:highlight w:val="none"/>
                <w14:textFill>
                  <w14:solidFill>
                    <w14:schemeClr w14:val="tx1"/>
                  </w14:solidFill>
                </w14:textFill>
              </w:rPr>
              <w:t>日历天</w:t>
            </w:r>
          </w:p>
        </w:tc>
        <w:tc>
          <w:tcPr>
            <w:tcW w:w="2714" w:type="dxa"/>
            <w:tcBorders>
              <w:top w:val="single" w:color="auto" w:sz="4" w:space="0"/>
              <w:left w:val="single" w:color="auto" w:sz="4" w:space="0"/>
              <w:bottom w:val="single" w:color="auto" w:sz="4" w:space="0"/>
              <w:right w:val="single" w:color="auto" w:sz="4" w:space="0"/>
            </w:tcBorders>
            <w:vAlign w:val="center"/>
          </w:tcPr>
          <w:p w14:paraId="74F6C630">
            <w:pPr>
              <w:spacing w:line="360" w:lineRule="auto"/>
              <w:jc w:val="center"/>
              <w:rPr>
                <w:rFonts w:ascii="宋体"/>
                <w:color w:val="000000" w:themeColor="text1"/>
                <w:highlight w:val="none"/>
                <w14:textFill>
                  <w14:solidFill>
                    <w14:schemeClr w14:val="tx1"/>
                  </w14:solidFill>
                </w14:textFill>
              </w:rPr>
            </w:pPr>
          </w:p>
        </w:tc>
        <w:tc>
          <w:tcPr>
            <w:tcW w:w="1522" w:type="dxa"/>
            <w:tcBorders>
              <w:top w:val="single" w:color="auto" w:sz="4" w:space="0"/>
              <w:left w:val="single" w:color="auto" w:sz="4" w:space="0"/>
              <w:bottom w:val="single" w:color="auto" w:sz="4" w:space="0"/>
            </w:tcBorders>
            <w:vAlign w:val="center"/>
          </w:tcPr>
          <w:p w14:paraId="35ED4FDF">
            <w:pPr>
              <w:spacing w:line="360" w:lineRule="auto"/>
              <w:jc w:val="center"/>
              <w:rPr>
                <w:rFonts w:ascii="宋体"/>
                <w:color w:val="000000" w:themeColor="text1"/>
                <w:highlight w:val="none"/>
                <w14:textFill>
                  <w14:solidFill>
                    <w14:schemeClr w14:val="tx1"/>
                  </w14:solidFill>
                </w14:textFill>
              </w:rPr>
            </w:pPr>
          </w:p>
        </w:tc>
      </w:tr>
      <w:tr w14:paraId="08FC24A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22" w:type="dxa"/>
            <w:tcBorders>
              <w:top w:val="single" w:color="auto" w:sz="4" w:space="0"/>
              <w:bottom w:val="single" w:color="auto" w:sz="4" w:space="0"/>
              <w:right w:val="single" w:color="auto" w:sz="4" w:space="0"/>
            </w:tcBorders>
            <w:vAlign w:val="center"/>
          </w:tcPr>
          <w:p w14:paraId="047CA969">
            <w:pPr>
              <w:spacing w:line="360" w:lineRule="auto"/>
              <w:jc w:val="center"/>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交工验收质量评定：</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竣工验收质量评定：</w:t>
            </w:r>
          </w:p>
        </w:tc>
        <w:tc>
          <w:tcPr>
            <w:tcW w:w="2714" w:type="dxa"/>
            <w:tcBorders>
              <w:top w:val="single" w:color="auto" w:sz="4" w:space="0"/>
              <w:left w:val="single" w:color="auto" w:sz="4" w:space="0"/>
              <w:bottom w:val="single" w:color="auto" w:sz="4" w:space="0"/>
              <w:right w:val="single" w:color="auto" w:sz="4" w:space="0"/>
            </w:tcBorders>
            <w:vAlign w:val="center"/>
          </w:tcPr>
          <w:p w14:paraId="3AD99279">
            <w:pPr>
              <w:spacing w:line="360" w:lineRule="auto"/>
              <w:jc w:val="center"/>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交工验收质量评定：合格，竣工验收质量评定：优良。</w:t>
            </w:r>
          </w:p>
        </w:tc>
        <w:tc>
          <w:tcPr>
            <w:tcW w:w="2714" w:type="dxa"/>
            <w:tcBorders>
              <w:top w:val="single" w:color="auto" w:sz="4" w:space="0"/>
              <w:left w:val="single" w:color="auto" w:sz="4" w:space="0"/>
              <w:bottom w:val="single" w:color="auto" w:sz="4" w:space="0"/>
              <w:right w:val="single" w:color="auto" w:sz="4" w:space="0"/>
            </w:tcBorders>
            <w:vAlign w:val="center"/>
          </w:tcPr>
          <w:p w14:paraId="1305F16D">
            <w:pPr>
              <w:spacing w:line="360" w:lineRule="auto"/>
              <w:ind w:left="43"/>
              <w:jc w:val="center"/>
              <w:rPr>
                <w:rFonts w:ascii="宋体"/>
                <w:color w:val="000000" w:themeColor="text1"/>
                <w:highlight w:val="none"/>
                <w14:textFill>
                  <w14:solidFill>
                    <w14:schemeClr w14:val="tx1"/>
                  </w14:solidFill>
                </w14:textFill>
              </w:rPr>
            </w:pPr>
          </w:p>
        </w:tc>
        <w:tc>
          <w:tcPr>
            <w:tcW w:w="1522" w:type="dxa"/>
            <w:tcBorders>
              <w:top w:val="single" w:color="auto" w:sz="4" w:space="0"/>
              <w:left w:val="single" w:color="auto" w:sz="4" w:space="0"/>
              <w:bottom w:val="single" w:color="auto" w:sz="4" w:space="0"/>
            </w:tcBorders>
            <w:vAlign w:val="center"/>
          </w:tcPr>
          <w:p w14:paraId="2D623509">
            <w:pPr>
              <w:spacing w:line="360" w:lineRule="auto"/>
              <w:ind w:left="43"/>
              <w:jc w:val="center"/>
              <w:rPr>
                <w:rFonts w:ascii="宋体"/>
                <w:color w:val="000000" w:themeColor="text1"/>
                <w:highlight w:val="none"/>
                <w14:textFill>
                  <w14:solidFill>
                    <w14:schemeClr w14:val="tx1"/>
                  </w14:solidFill>
                </w14:textFill>
              </w:rPr>
            </w:pPr>
          </w:p>
        </w:tc>
      </w:tr>
      <w:tr w14:paraId="32C5005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22" w:type="dxa"/>
            <w:tcBorders>
              <w:top w:val="single" w:color="auto" w:sz="4" w:space="0"/>
              <w:bottom w:val="single" w:color="auto" w:sz="4" w:space="0"/>
              <w:right w:val="single" w:color="auto" w:sz="4" w:space="0"/>
            </w:tcBorders>
            <w:vAlign w:val="center"/>
          </w:tcPr>
          <w:p w14:paraId="17B9E36F">
            <w:pPr>
              <w:spacing w:line="360" w:lineRule="auto"/>
              <w:jc w:val="center"/>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安全目标</w:t>
            </w:r>
          </w:p>
        </w:tc>
        <w:tc>
          <w:tcPr>
            <w:tcW w:w="2714" w:type="dxa"/>
            <w:tcBorders>
              <w:top w:val="single" w:color="auto" w:sz="4" w:space="0"/>
              <w:left w:val="single" w:color="auto" w:sz="4" w:space="0"/>
              <w:bottom w:val="single" w:color="auto" w:sz="4" w:space="0"/>
              <w:right w:val="single" w:color="auto" w:sz="4" w:space="0"/>
            </w:tcBorders>
            <w:vAlign w:val="center"/>
          </w:tcPr>
          <w:p w14:paraId="73ACCD0D">
            <w:pPr>
              <w:spacing w:line="360" w:lineRule="auto"/>
              <w:jc w:val="center"/>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无安全生产责任事故</w:t>
            </w:r>
          </w:p>
        </w:tc>
        <w:tc>
          <w:tcPr>
            <w:tcW w:w="2714" w:type="dxa"/>
            <w:tcBorders>
              <w:top w:val="single" w:color="auto" w:sz="4" w:space="0"/>
              <w:left w:val="single" w:color="auto" w:sz="4" w:space="0"/>
              <w:bottom w:val="single" w:color="auto" w:sz="4" w:space="0"/>
              <w:right w:val="single" w:color="auto" w:sz="4" w:space="0"/>
            </w:tcBorders>
            <w:vAlign w:val="center"/>
          </w:tcPr>
          <w:p w14:paraId="6777E7D7">
            <w:pPr>
              <w:spacing w:line="360" w:lineRule="auto"/>
              <w:jc w:val="center"/>
              <w:rPr>
                <w:rFonts w:ascii="宋体"/>
                <w:color w:val="000000" w:themeColor="text1"/>
                <w:highlight w:val="none"/>
                <w14:textFill>
                  <w14:solidFill>
                    <w14:schemeClr w14:val="tx1"/>
                  </w14:solidFill>
                </w14:textFill>
              </w:rPr>
            </w:pPr>
          </w:p>
        </w:tc>
        <w:tc>
          <w:tcPr>
            <w:tcW w:w="1522" w:type="dxa"/>
            <w:tcBorders>
              <w:top w:val="single" w:color="auto" w:sz="4" w:space="0"/>
              <w:left w:val="single" w:color="auto" w:sz="4" w:space="0"/>
              <w:bottom w:val="single" w:color="auto" w:sz="4" w:space="0"/>
            </w:tcBorders>
            <w:vAlign w:val="center"/>
          </w:tcPr>
          <w:p w14:paraId="2B1AB286">
            <w:pPr>
              <w:spacing w:line="360" w:lineRule="auto"/>
              <w:jc w:val="center"/>
              <w:rPr>
                <w:rFonts w:ascii="宋体"/>
                <w:color w:val="000000" w:themeColor="text1"/>
                <w:highlight w:val="none"/>
                <w14:textFill>
                  <w14:solidFill>
                    <w14:schemeClr w14:val="tx1"/>
                  </w14:solidFill>
                </w14:textFill>
              </w:rPr>
            </w:pPr>
          </w:p>
        </w:tc>
      </w:tr>
      <w:tr w14:paraId="10E06B1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22" w:type="dxa"/>
            <w:tcBorders>
              <w:top w:val="single" w:color="auto" w:sz="4" w:space="0"/>
              <w:bottom w:val="single" w:color="auto" w:sz="4" w:space="0"/>
              <w:right w:val="single" w:color="auto" w:sz="4" w:space="0"/>
            </w:tcBorders>
            <w:vAlign w:val="center"/>
          </w:tcPr>
          <w:p w14:paraId="3714EA61">
            <w:pPr>
              <w:spacing w:line="360" w:lineRule="auto"/>
              <w:jc w:val="center"/>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本项目的安全生产责任险</w:t>
            </w:r>
          </w:p>
        </w:tc>
        <w:tc>
          <w:tcPr>
            <w:tcW w:w="2714" w:type="dxa"/>
            <w:tcBorders>
              <w:top w:val="single" w:color="auto" w:sz="4" w:space="0"/>
              <w:left w:val="single" w:color="auto" w:sz="4" w:space="0"/>
              <w:bottom w:val="single" w:color="auto" w:sz="4" w:space="0"/>
              <w:right w:val="single" w:color="auto" w:sz="4" w:space="0"/>
            </w:tcBorders>
            <w:vAlign w:val="center"/>
          </w:tcPr>
          <w:p w14:paraId="59F04420">
            <w:pPr>
              <w:spacing w:line="360" w:lineRule="auto"/>
              <w:jc w:val="center"/>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本项目工程量清单中的安全生产责任险按固定为最高限价的</w:t>
            </w:r>
            <w:r>
              <w:rPr>
                <w:rFonts w:ascii="宋体" w:hAnsi="宋体" w:cs="宋体"/>
                <w:color w:val="000000" w:themeColor="text1"/>
                <w:highlight w:val="none"/>
                <w14:textFill>
                  <w14:solidFill>
                    <w14:schemeClr w14:val="tx1"/>
                  </w14:solidFill>
                </w14:textFill>
              </w:rPr>
              <w:t>0.3%</w:t>
            </w:r>
          </w:p>
        </w:tc>
        <w:tc>
          <w:tcPr>
            <w:tcW w:w="2714" w:type="dxa"/>
            <w:tcBorders>
              <w:top w:val="single" w:color="auto" w:sz="4" w:space="0"/>
              <w:left w:val="single" w:color="auto" w:sz="4" w:space="0"/>
              <w:bottom w:val="single" w:color="auto" w:sz="4" w:space="0"/>
              <w:right w:val="single" w:color="auto" w:sz="4" w:space="0"/>
            </w:tcBorders>
            <w:vAlign w:val="center"/>
          </w:tcPr>
          <w:p w14:paraId="19010790">
            <w:pPr>
              <w:spacing w:line="360" w:lineRule="auto"/>
              <w:jc w:val="center"/>
              <w:rPr>
                <w:rFonts w:ascii="宋体"/>
                <w:color w:val="000000" w:themeColor="text1"/>
                <w:highlight w:val="none"/>
                <w14:textFill>
                  <w14:solidFill>
                    <w14:schemeClr w14:val="tx1"/>
                  </w14:solidFill>
                </w14:textFill>
              </w:rPr>
            </w:pPr>
          </w:p>
        </w:tc>
        <w:tc>
          <w:tcPr>
            <w:tcW w:w="1522" w:type="dxa"/>
            <w:tcBorders>
              <w:top w:val="single" w:color="auto" w:sz="4" w:space="0"/>
              <w:left w:val="single" w:color="auto" w:sz="4" w:space="0"/>
              <w:bottom w:val="single" w:color="auto" w:sz="4" w:space="0"/>
            </w:tcBorders>
            <w:vAlign w:val="center"/>
          </w:tcPr>
          <w:p w14:paraId="19698F5C">
            <w:pPr>
              <w:spacing w:line="360" w:lineRule="auto"/>
              <w:jc w:val="center"/>
              <w:rPr>
                <w:rFonts w:ascii="宋体"/>
                <w:color w:val="000000" w:themeColor="text1"/>
                <w:highlight w:val="none"/>
                <w14:textFill>
                  <w14:solidFill>
                    <w14:schemeClr w14:val="tx1"/>
                  </w14:solidFill>
                </w14:textFill>
              </w:rPr>
            </w:pPr>
          </w:p>
        </w:tc>
      </w:tr>
      <w:tr w14:paraId="58751B2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22" w:type="dxa"/>
            <w:tcBorders>
              <w:top w:val="single" w:color="auto" w:sz="4" w:space="0"/>
              <w:bottom w:val="single" w:color="auto" w:sz="4" w:space="0"/>
              <w:right w:val="single" w:color="auto" w:sz="4" w:space="0"/>
            </w:tcBorders>
            <w:vAlign w:val="center"/>
          </w:tcPr>
          <w:p w14:paraId="279DFCB8">
            <w:pPr>
              <w:spacing w:line="360" w:lineRule="auto"/>
              <w:jc w:val="center"/>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本项目的安全生产经费</w:t>
            </w:r>
          </w:p>
        </w:tc>
        <w:tc>
          <w:tcPr>
            <w:tcW w:w="2714" w:type="dxa"/>
            <w:tcBorders>
              <w:top w:val="single" w:color="auto" w:sz="4" w:space="0"/>
              <w:left w:val="single" w:color="auto" w:sz="4" w:space="0"/>
              <w:bottom w:val="single" w:color="auto" w:sz="4" w:space="0"/>
              <w:right w:val="single" w:color="auto" w:sz="4" w:space="0"/>
            </w:tcBorders>
            <w:vAlign w:val="center"/>
          </w:tcPr>
          <w:p w14:paraId="58E40430">
            <w:pPr>
              <w:spacing w:line="360" w:lineRule="auto"/>
              <w:jc w:val="center"/>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本项目工程量清单中的安全生产经费固定为最高限价的</w:t>
            </w:r>
            <w:r>
              <w:rPr>
                <w:rFonts w:ascii="宋体" w:hAnsi="宋体" w:cs="宋体"/>
                <w:color w:val="000000" w:themeColor="text1"/>
                <w:highlight w:val="none"/>
                <w14:textFill>
                  <w14:solidFill>
                    <w14:schemeClr w14:val="tx1"/>
                  </w14:solidFill>
                </w14:textFill>
              </w:rPr>
              <w:t>1.5%</w:t>
            </w:r>
          </w:p>
        </w:tc>
        <w:tc>
          <w:tcPr>
            <w:tcW w:w="2714" w:type="dxa"/>
            <w:tcBorders>
              <w:top w:val="single" w:color="auto" w:sz="4" w:space="0"/>
              <w:left w:val="single" w:color="auto" w:sz="4" w:space="0"/>
              <w:bottom w:val="single" w:color="auto" w:sz="4" w:space="0"/>
              <w:right w:val="single" w:color="auto" w:sz="4" w:space="0"/>
            </w:tcBorders>
            <w:vAlign w:val="center"/>
          </w:tcPr>
          <w:p w14:paraId="0725EE9E">
            <w:pPr>
              <w:spacing w:line="360" w:lineRule="auto"/>
              <w:jc w:val="center"/>
              <w:rPr>
                <w:rFonts w:ascii="宋体"/>
                <w:color w:val="000000" w:themeColor="text1"/>
                <w:highlight w:val="none"/>
                <w14:textFill>
                  <w14:solidFill>
                    <w14:schemeClr w14:val="tx1"/>
                  </w14:solidFill>
                </w14:textFill>
              </w:rPr>
            </w:pPr>
          </w:p>
        </w:tc>
        <w:tc>
          <w:tcPr>
            <w:tcW w:w="1522" w:type="dxa"/>
            <w:tcBorders>
              <w:top w:val="single" w:color="auto" w:sz="4" w:space="0"/>
              <w:left w:val="single" w:color="auto" w:sz="4" w:space="0"/>
              <w:bottom w:val="single" w:color="auto" w:sz="4" w:space="0"/>
            </w:tcBorders>
            <w:vAlign w:val="center"/>
          </w:tcPr>
          <w:p w14:paraId="1F9C7778">
            <w:pPr>
              <w:spacing w:line="360" w:lineRule="auto"/>
              <w:jc w:val="center"/>
              <w:rPr>
                <w:rFonts w:ascii="宋体"/>
                <w:color w:val="000000" w:themeColor="text1"/>
                <w:highlight w:val="none"/>
                <w14:textFill>
                  <w14:solidFill>
                    <w14:schemeClr w14:val="tx1"/>
                  </w14:solidFill>
                </w14:textFill>
              </w:rPr>
            </w:pPr>
          </w:p>
        </w:tc>
      </w:tr>
    </w:tbl>
    <w:p w14:paraId="748FE9EE">
      <w:pPr>
        <w:spacing w:line="360" w:lineRule="auto"/>
        <w:ind w:firstLine="420" w:firstLineChars="200"/>
        <w:jc w:val="left"/>
        <w:rPr>
          <w:rFonts w:ascii="宋体"/>
          <w:color w:val="000000" w:themeColor="text1"/>
          <w:highlight w:val="none"/>
          <w:u w:val="single"/>
          <w14:textFill>
            <w14:solidFill>
              <w14:schemeClr w14:val="tx1"/>
            </w14:solidFill>
          </w14:textFill>
        </w:rPr>
      </w:pPr>
      <w:r>
        <w:rPr>
          <w:rFonts w:hint="eastAsia" w:ascii="宋体" w:hAnsi="宋体" w:cs="宋体"/>
          <w:color w:val="000000" w:themeColor="text1"/>
          <w:kern w:val="0"/>
          <w:highlight w:val="none"/>
          <w14:textFill>
            <w14:solidFill>
              <w14:schemeClr w14:val="tx1"/>
            </w14:solidFill>
          </w14:textFill>
        </w:rPr>
        <w:t>注：供应商应根据自身的承诺，对照磋商文件要求在“偏离说明”中注明“正偏离”、“负偏离”或者“无偏离”。既不属于“正偏离”也不属于“负偏离”即为“无偏离”。</w:t>
      </w:r>
    </w:p>
    <w:p w14:paraId="38FA8A99">
      <w:pPr>
        <w:spacing w:line="360" w:lineRule="auto"/>
        <w:ind w:right="-817" w:rightChars="-389"/>
        <w:rPr>
          <w:rFonts w:ascii="宋体"/>
          <w:color w:val="000000" w:themeColor="text1"/>
          <w:highlight w:val="none"/>
          <w14:textFill>
            <w14:solidFill>
              <w14:schemeClr w14:val="tx1"/>
            </w14:solidFill>
          </w14:textFill>
        </w:rPr>
      </w:pPr>
    </w:p>
    <w:p w14:paraId="1BA31ED0">
      <w:pPr>
        <w:spacing w:line="360" w:lineRule="auto"/>
        <w:ind w:right="-817" w:rightChars="-389" w:firstLine="840" w:firstLineChars="400"/>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法定代表人或者委托代理人（签字或盖印鉴）：</w:t>
      </w:r>
      <w:r>
        <w:rPr>
          <w:rFonts w:ascii="宋体" w:hAnsi="宋体" w:cs="宋体"/>
          <w:color w:val="000000" w:themeColor="text1"/>
          <w:highlight w:val="none"/>
          <w14:textFill>
            <w14:solidFill>
              <w14:schemeClr w14:val="tx1"/>
            </w14:solidFill>
          </w14:textFill>
        </w:rPr>
        <w:t xml:space="preserve">                    </w:t>
      </w:r>
    </w:p>
    <w:p w14:paraId="2953F010">
      <w:pPr>
        <w:spacing w:line="360" w:lineRule="auto"/>
        <w:ind w:right="-817" w:rightChars="-389" w:firstLine="2520" w:firstLineChars="1200"/>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供应商（盖公章）：</w:t>
      </w:r>
      <w:r>
        <w:rPr>
          <w:rFonts w:ascii="宋体" w:hAnsi="宋体" w:cs="宋体"/>
          <w:color w:val="000000" w:themeColor="text1"/>
          <w:highlight w:val="none"/>
          <w14:textFill>
            <w14:solidFill>
              <w14:schemeClr w14:val="tx1"/>
            </w14:solidFill>
          </w14:textFill>
        </w:rPr>
        <w:t xml:space="preserve">      </w:t>
      </w:r>
    </w:p>
    <w:p w14:paraId="11AA276C">
      <w:pPr>
        <w:spacing w:line="360" w:lineRule="auto"/>
        <w:ind w:right="-817" w:rightChars="-389" w:firstLine="3570" w:firstLineChars="1700"/>
        <w:rPr>
          <w:rFonts w:ascii="宋体"/>
          <w:b/>
          <w:bCs/>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日期：</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年</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月</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日</w:t>
      </w:r>
    </w:p>
    <w:p w14:paraId="2902CE39">
      <w:pPr>
        <w:spacing w:line="500" w:lineRule="exact"/>
        <w:jc w:val="center"/>
        <w:rPr>
          <w:rFonts w:ascii="宋体"/>
          <w:b/>
          <w:bCs/>
          <w:color w:val="000000" w:themeColor="text1"/>
          <w:highlight w:val="none"/>
          <w14:textFill>
            <w14:solidFill>
              <w14:schemeClr w14:val="tx1"/>
            </w14:solidFill>
          </w14:textFill>
        </w:rPr>
      </w:pPr>
    </w:p>
    <w:p w14:paraId="624CBF0D">
      <w:pPr>
        <w:pStyle w:val="21"/>
        <w:rPr>
          <w:rFonts w:ascii="宋体"/>
          <w:b/>
          <w:bCs/>
          <w:color w:val="000000" w:themeColor="text1"/>
          <w:highlight w:val="none"/>
          <w14:textFill>
            <w14:solidFill>
              <w14:schemeClr w14:val="tx1"/>
            </w14:solidFill>
          </w14:textFill>
        </w:rPr>
      </w:pPr>
    </w:p>
    <w:p w14:paraId="446199F0">
      <w:pPr>
        <w:rPr>
          <w:rFonts w:ascii="宋体"/>
          <w:b/>
          <w:bCs/>
          <w:color w:val="000000" w:themeColor="text1"/>
          <w:highlight w:val="none"/>
          <w14:textFill>
            <w14:solidFill>
              <w14:schemeClr w14:val="tx1"/>
            </w14:solidFill>
          </w14:textFill>
        </w:rPr>
      </w:pPr>
    </w:p>
    <w:p w14:paraId="790A1B0E">
      <w:pPr>
        <w:pStyle w:val="21"/>
        <w:rPr>
          <w:rFonts w:ascii="宋体"/>
          <w:b/>
          <w:bCs/>
          <w:color w:val="000000" w:themeColor="text1"/>
          <w:highlight w:val="none"/>
          <w14:textFill>
            <w14:solidFill>
              <w14:schemeClr w14:val="tx1"/>
            </w14:solidFill>
          </w14:textFill>
        </w:rPr>
      </w:pPr>
    </w:p>
    <w:p w14:paraId="2E335E86">
      <w:pPr>
        <w:rPr>
          <w:rFonts w:ascii="宋体"/>
          <w:b/>
          <w:bCs/>
          <w:color w:val="000000" w:themeColor="text1"/>
          <w:sz w:val="36"/>
          <w:szCs w:val="36"/>
          <w:highlight w:val="none"/>
          <w14:textFill>
            <w14:solidFill>
              <w14:schemeClr w14:val="tx1"/>
            </w14:solidFill>
          </w14:textFill>
        </w:rPr>
      </w:pPr>
    </w:p>
    <w:p w14:paraId="3A2D044F">
      <w:pPr>
        <w:pStyle w:val="21"/>
        <w:rPr>
          <w:rFonts w:ascii="宋体"/>
          <w:b/>
          <w:bCs/>
          <w:color w:val="000000" w:themeColor="text1"/>
          <w:sz w:val="36"/>
          <w:szCs w:val="36"/>
          <w:highlight w:val="none"/>
          <w14:textFill>
            <w14:solidFill>
              <w14:schemeClr w14:val="tx1"/>
            </w14:solidFill>
          </w14:textFill>
        </w:rPr>
      </w:pPr>
    </w:p>
    <w:p w14:paraId="5216E1B4">
      <w:pPr>
        <w:rPr>
          <w:rFonts w:ascii="宋体"/>
          <w:b/>
          <w:bCs/>
          <w:color w:val="000000" w:themeColor="text1"/>
          <w:sz w:val="36"/>
          <w:szCs w:val="36"/>
          <w:highlight w:val="none"/>
          <w14:textFill>
            <w14:solidFill>
              <w14:schemeClr w14:val="tx1"/>
            </w14:solidFill>
          </w14:textFill>
        </w:rPr>
      </w:pPr>
    </w:p>
    <w:p w14:paraId="25B75775">
      <w:pPr>
        <w:pStyle w:val="21"/>
        <w:rPr>
          <w:color w:val="000000" w:themeColor="text1"/>
          <w:highlight w:val="none"/>
          <w14:textFill>
            <w14:solidFill>
              <w14:schemeClr w14:val="tx1"/>
            </w14:solidFill>
          </w14:textFill>
        </w:rPr>
      </w:pPr>
    </w:p>
    <w:p w14:paraId="619AAF01">
      <w:pPr>
        <w:pStyle w:val="21"/>
        <w:rPr>
          <w:rFonts w:ascii="宋体"/>
          <w:b/>
          <w:bCs/>
          <w:color w:val="000000" w:themeColor="text1"/>
          <w:sz w:val="36"/>
          <w:szCs w:val="36"/>
          <w:highlight w:val="none"/>
          <w14:textFill>
            <w14:solidFill>
              <w14:schemeClr w14:val="tx1"/>
            </w14:solidFill>
          </w14:textFill>
        </w:rPr>
      </w:pPr>
    </w:p>
    <w:p w14:paraId="4C658B90">
      <w:pPr>
        <w:rPr>
          <w:rFonts w:ascii="宋体"/>
          <w:b/>
          <w:bCs/>
          <w:color w:val="000000" w:themeColor="text1"/>
          <w:sz w:val="36"/>
          <w:szCs w:val="36"/>
          <w:highlight w:val="none"/>
          <w14:textFill>
            <w14:solidFill>
              <w14:schemeClr w14:val="tx1"/>
            </w14:solidFill>
          </w14:textFill>
        </w:rPr>
      </w:pPr>
    </w:p>
    <w:p w14:paraId="4A7626E8">
      <w:pPr>
        <w:pStyle w:val="21"/>
        <w:rPr>
          <w:rFonts w:ascii="宋体"/>
          <w:b/>
          <w:bCs/>
          <w:color w:val="000000" w:themeColor="text1"/>
          <w:sz w:val="36"/>
          <w:szCs w:val="36"/>
          <w:highlight w:val="none"/>
          <w14:textFill>
            <w14:solidFill>
              <w14:schemeClr w14:val="tx1"/>
            </w14:solidFill>
          </w14:textFill>
        </w:rPr>
      </w:pPr>
    </w:p>
    <w:p w14:paraId="292D039C">
      <w:pPr>
        <w:pStyle w:val="21"/>
        <w:rPr>
          <w:color w:val="000000" w:themeColor="text1"/>
          <w:highlight w:val="none"/>
          <w14:textFill>
            <w14:solidFill>
              <w14:schemeClr w14:val="tx1"/>
            </w14:solidFill>
          </w14:textFill>
        </w:rPr>
      </w:pPr>
    </w:p>
    <w:p w14:paraId="3F55FA5E">
      <w:pPr>
        <w:rPr>
          <w:color w:val="000000" w:themeColor="text1"/>
          <w:highlight w:val="none"/>
          <w14:textFill>
            <w14:solidFill>
              <w14:schemeClr w14:val="tx1"/>
            </w14:solidFill>
          </w14:textFill>
        </w:rPr>
      </w:pPr>
    </w:p>
    <w:p w14:paraId="2E4FF7EA">
      <w:pPr>
        <w:spacing w:line="500" w:lineRule="exact"/>
        <w:jc w:val="center"/>
        <w:rPr>
          <w:rFonts w:ascii="宋体"/>
          <w:color w:val="000000" w:themeColor="text1"/>
          <w:sz w:val="44"/>
          <w:szCs w:val="44"/>
          <w:highlight w:val="none"/>
          <w14:textFill>
            <w14:solidFill>
              <w14:schemeClr w14:val="tx1"/>
            </w14:solidFill>
          </w14:textFill>
        </w:rPr>
      </w:pPr>
      <w:r>
        <w:rPr>
          <w:rFonts w:hint="eastAsia" w:ascii="宋体" w:hAnsi="宋体" w:cs="宋体"/>
          <w:b/>
          <w:bCs/>
          <w:color w:val="000000" w:themeColor="text1"/>
          <w:sz w:val="36"/>
          <w:szCs w:val="36"/>
          <w:highlight w:val="none"/>
          <w14:textFill>
            <w14:solidFill>
              <w14:schemeClr w14:val="tx1"/>
            </w14:solidFill>
          </w14:textFill>
        </w:rPr>
        <w:t>拟委任的项目经理资历表</w:t>
      </w:r>
    </w:p>
    <w:tbl>
      <w:tblPr>
        <w:tblStyle w:val="59"/>
        <w:tblW w:w="964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546"/>
        <w:gridCol w:w="1453"/>
        <w:gridCol w:w="1515"/>
        <w:gridCol w:w="867"/>
        <w:gridCol w:w="612"/>
        <w:gridCol w:w="780"/>
        <w:gridCol w:w="1388"/>
        <w:gridCol w:w="7"/>
        <w:gridCol w:w="1477"/>
      </w:tblGrid>
      <w:tr w14:paraId="24758CD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8" w:hRule="atLeast"/>
          <w:jc w:val="center"/>
        </w:trPr>
        <w:tc>
          <w:tcPr>
            <w:tcW w:w="1546" w:type="dxa"/>
            <w:tcBorders>
              <w:top w:val="single" w:color="auto" w:sz="12" w:space="0"/>
            </w:tcBorders>
            <w:vAlign w:val="center"/>
          </w:tcPr>
          <w:p w14:paraId="7BF156B9">
            <w:pPr>
              <w:spacing w:line="500" w:lineRule="exact"/>
              <w:jc w:val="center"/>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姓</w:t>
            </w:r>
            <w:r>
              <w:rPr>
                <w:rFonts w:ascii="宋体"/>
                <w:color w:val="000000" w:themeColor="text1"/>
                <w:highlight w:val="none"/>
                <w14:textFill>
                  <w14:solidFill>
                    <w14:schemeClr w14:val="tx1"/>
                  </w14:solidFill>
                </w14:textFill>
              </w:rPr>
              <w:tab/>
            </w:r>
            <w:r>
              <w:rPr>
                <w:rFonts w:hint="eastAsia" w:ascii="宋体" w:hAnsi="宋体" w:cs="宋体"/>
                <w:color w:val="000000" w:themeColor="text1"/>
                <w:highlight w:val="none"/>
                <w14:textFill>
                  <w14:solidFill>
                    <w14:schemeClr w14:val="tx1"/>
                  </w14:solidFill>
                </w14:textFill>
              </w:rPr>
              <w:t>名</w:t>
            </w:r>
          </w:p>
        </w:tc>
        <w:tc>
          <w:tcPr>
            <w:tcW w:w="1453" w:type="dxa"/>
            <w:tcBorders>
              <w:top w:val="single" w:color="auto" w:sz="12" w:space="0"/>
            </w:tcBorders>
            <w:vAlign w:val="center"/>
          </w:tcPr>
          <w:p w14:paraId="1DB9A393">
            <w:pPr>
              <w:spacing w:line="500" w:lineRule="exact"/>
              <w:jc w:val="center"/>
              <w:rPr>
                <w:rFonts w:ascii="宋体"/>
                <w:color w:val="000000" w:themeColor="text1"/>
                <w:highlight w:val="none"/>
                <w14:textFill>
                  <w14:solidFill>
                    <w14:schemeClr w14:val="tx1"/>
                  </w14:solidFill>
                </w14:textFill>
              </w:rPr>
            </w:pPr>
          </w:p>
        </w:tc>
        <w:tc>
          <w:tcPr>
            <w:tcW w:w="1515" w:type="dxa"/>
            <w:tcBorders>
              <w:top w:val="single" w:color="auto" w:sz="12" w:space="0"/>
            </w:tcBorders>
            <w:vAlign w:val="center"/>
          </w:tcPr>
          <w:p w14:paraId="399DE06D">
            <w:pPr>
              <w:spacing w:line="500" w:lineRule="exact"/>
              <w:jc w:val="center"/>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年龄</w:t>
            </w:r>
          </w:p>
        </w:tc>
        <w:tc>
          <w:tcPr>
            <w:tcW w:w="1479" w:type="dxa"/>
            <w:gridSpan w:val="2"/>
            <w:tcBorders>
              <w:top w:val="single" w:color="auto" w:sz="12" w:space="0"/>
            </w:tcBorders>
            <w:vAlign w:val="center"/>
          </w:tcPr>
          <w:p w14:paraId="2D326181">
            <w:pPr>
              <w:spacing w:line="500" w:lineRule="exact"/>
              <w:jc w:val="center"/>
              <w:rPr>
                <w:rFonts w:ascii="宋体"/>
                <w:color w:val="000000" w:themeColor="text1"/>
                <w:highlight w:val="none"/>
                <w14:textFill>
                  <w14:solidFill>
                    <w14:schemeClr w14:val="tx1"/>
                  </w14:solidFill>
                </w14:textFill>
              </w:rPr>
            </w:pPr>
          </w:p>
        </w:tc>
        <w:tc>
          <w:tcPr>
            <w:tcW w:w="2168" w:type="dxa"/>
            <w:gridSpan w:val="2"/>
            <w:tcBorders>
              <w:top w:val="single" w:color="auto" w:sz="12" w:space="0"/>
            </w:tcBorders>
            <w:vAlign w:val="center"/>
          </w:tcPr>
          <w:p w14:paraId="7C779CEC">
            <w:pPr>
              <w:spacing w:line="500" w:lineRule="exact"/>
              <w:jc w:val="center"/>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专</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业</w:t>
            </w:r>
          </w:p>
        </w:tc>
        <w:tc>
          <w:tcPr>
            <w:tcW w:w="1484" w:type="dxa"/>
            <w:gridSpan w:val="2"/>
            <w:tcBorders>
              <w:top w:val="single" w:color="auto" w:sz="12" w:space="0"/>
            </w:tcBorders>
            <w:vAlign w:val="center"/>
          </w:tcPr>
          <w:p w14:paraId="12EFD219">
            <w:pPr>
              <w:spacing w:line="500" w:lineRule="exact"/>
              <w:jc w:val="center"/>
              <w:rPr>
                <w:rFonts w:ascii="宋体"/>
                <w:color w:val="000000" w:themeColor="text1"/>
                <w:highlight w:val="none"/>
                <w14:textFill>
                  <w14:solidFill>
                    <w14:schemeClr w14:val="tx1"/>
                  </w14:solidFill>
                </w14:textFill>
              </w:rPr>
            </w:pPr>
          </w:p>
        </w:tc>
      </w:tr>
      <w:tr w14:paraId="02F1B6B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46" w:hRule="atLeast"/>
          <w:jc w:val="center"/>
        </w:trPr>
        <w:tc>
          <w:tcPr>
            <w:tcW w:w="1546" w:type="dxa"/>
            <w:vAlign w:val="center"/>
          </w:tcPr>
          <w:p w14:paraId="36C34BE5">
            <w:pPr>
              <w:spacing w:line="500" w:lineRule="exact"/>
              <w:jc w:val="center"/>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技术职称</w:t>
            </w:r>
          </w:p>
        </w:tc>
        <w:tc>
          <w:tcPr>
            <w:tcW w:w="1453" w:type="dxa"/>
            <w:vAlign w:val="center"/>
          </w:tcPr>
          <w:p w14:paraId="2FD34719">
            <w:pPr>
              <w:spacing w:line="500" w:lineRule="exact"/>
              <w:jc w:val="center"/>
              <w:rPr>
                <w:rFonts w:ascii="宋体"/>
                <w:color w:val="000000" w:themeColor="text1"/>
                <w:highlight w:val="none"/>
                <w14:textFill>
                  <w14:solidFill>
                    <w14:schemeClr w14:val="tx1"/>
                  </w14:solidFill>
                </w14:textFill>
              </w:rPr>
            </w:pPr>
          </w:p>
        </w:tc>
        <w:tc>
          <w:tcPr>
            <w:tcW w:w="1515" w:type="dxa"/>
            <w:vAlign w:val="center"/>
          </w:tcPr>
          <w:p w14:paraId="6C653948">
            <w:pPr>
              <w:spacing w:line="500" w:lineRule="exact"/>
              <w:jc w:val="center"/>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学</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历</w:t>
            </w:r>
          </w:p>
        </w:tc>
        <w:tc>
          <w:tcPr>
            <w:tcW w:w="1479" w:type="dxa"/>
            <w:gridSpan w:val="2"/>
            <w:vAlign w:val="center"/>
          </w:tcPr>
          <w:p w14:paraId="3065EE01">
            <w:pPr>
              <w:spacing w:line="500" w:lineRule="exact"/>
              <w:jc w:val="center"/>
              <w:rPr>
                <w:rFonts w:ascii="宋体"/>
                <w:color w:val="000000" w:themeColor="text1"/>
                <w:highlight w:val="none"/>
                <w14:textFill>
                  <w14:solidFill>
                    <w14:schemeClr w14:val="tx1"/>
                  </w14:solidFill>
                </w14:textFill>
              </w:rPr>
            </w:pPr>
          </w:p>
        </w:tc>
        <w:tc>
          <w:tcPr>
            <w:tcW w:w="2168" w:type="dxa"/>
            <w:gridSpan w:val="2"/>
            <w:vAlign w:val="center"/>
          </w:tcPr>
          <w:p w14:paraId="76C4FA1D">
            <w:pPr>
              <w:spacing w:line="500" w:lineRule="exact"/>
              <w:jc w:val="center"/>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拟在本项目</w:t>
            </w:r>
          </w:p>
          <w:p w14:paraId="05A4F0A0">
            <w:pPr>
              <w:spacing w:line="500" w:lineRule="exact"/>
              <w:jc w:val="center"/>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工程任职</w:t>
            </w:r>
          </w:p>
        </w:tc>
        <w:tc>
          <w:tcPr>
            <w:tcW w:w="1484" w:type="dxa"/>
            <w:gridSpan w:val="2"/>
            <w:vAlign w:val="center"/>
          </w:tcPr>
          <w:p w14:paraId="752C7E90">
            <w:pPr>
              <w:spacing w:line="500" w:lineRule="exact"/>
              <w:jc w:val="center"/>
              <w:rPr>
                <w:rFonts w:ascii="宋体"/>
                <w:color w:val="000000" w:themeColor="text1"/>
                <w:highlight w:val="none"/>
                <w14:textFill>
                  <w14:solidFill>
                    <w14:schemeClr w14:val="tx1"/>
                  </w14:solidFill>
                </w14:textFill>
              </w:rPr>
            </w:pPr>
          </w:p>
        </w:tc>
      </w:tr>
      <w:tr w14:paraId="212F1EC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4" w:hRule="atLeast"/>
          <w:jc w:val="center"/>
        </w:trPr>
        <w:tc>
          <w:tcPr>
            <w:tcW w:w="1546" w:type="dxa"/>
            <w:vAlign w:val="center"/>
          </w:tcPr>
          <w:p w14:paraId="4905EADC">
            <w:pPr>
              <w:spacing w:line="500" w:lineRule="exact"/>
              <w:jc w:val="center"/>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工作年限</w:t>
            </w:r>
          </w:p>
        </w:tc>
        <w:tc>
          <w:tcPr>
            <w:tcW w:w="4447" w:type="dxa"/>
            <w:gridSpan w:val="4"/>
            <w:tcBorders>
              <w:right w:val="single" w:color="auto" w:sz="4" w:space="0"/>
            </w:tcBorders>
            <w:vAlign w:val="center"/>
          </w:tcPr>
          <w:p w14:paraId="50FE53F7">
            <w:pPr>
              <w:spacing w:line="500" w:lineRule="exact"/>
              <w:jc w:val="center"/>
              <w:rPr>
                <w:rFonts w:ascii="宋体"/>
                <w:color w:val="000000" w:themeColor="text1"/>
                <w:highlight w:val="none"/>
                <w:u w:val="single"/>
                <w14:textFill>
                  <w14:solidFill>
                    <w14:schemeClr w14:val="tx1"/>
                  </w14:solidFill>
                </w14:textFill>
              </w:rPr>
            </w:pPr>
          </w:p>
        </w:tc>
        <w:tc>
          <w:tcPr>
            <w:tcW w:w="2175" w:type="dxa"/>
            <w:gridSpan w:val="3"/>
            <w:tcBorders>
              <w:left w:val="single" w:color="auto" w:sz="4" w:space="0"/>
              <w:right w:val="single" w:color="auto" w:sz="4" w:space="0"/>
            </w:tcBorders>
            <w:vAlign w:val="center"/>
          </w:tcPr>
          <w:p w14:paraId="19CC9EC4">
            <w:pPr>
              <w:spacing w:line="500" w:lineRule="exact"/>
              <w:jc w:val="center"/>
              <w:rPr>
                <w:rFonts w:ascii="宋体"/>
                <w:color w:val="000000" w:themeColor="text1"/>
                <w:highlight w:val="none"/>
                <w:u w:val="single"/>
                <w14:textFill>
                  <w14:solidFill>
                    <w14:schemeClr w14:val="tx1"/>
                  </w14:solidFill>
                </w14:textFill>
              </w:rPr>
            </w:pPr>
            <w:r>
              <w:rPr>
                <w:rFonts w:hint="eastAsia" w:ascii="宋体" w:hAnsi="宋体" w:cs="宋体"/>
                <w:color w:val="000000" w:themeColor="text1"/>
                <w:highlight w:val="none"/>
                <w:u w:val="single"/>
                <w14:textFill>
                  <w14:solidFill>
                    <w14:schemeClr w14:val="tx1"/>
                  </w14:solidFill>
                </w14:textFill>
              </w:rPr>
              <w:t>类似施工经验年限</w:t>
            </w:r>
          </w:p>
        </w:tc>
        <w:tc>
          <w:tcPr>
            <w:tcW w:w="1477" w:type="dxa"/>
            <w:tcBorders>
              <w:left w:val="single" w:color="auto" w:sz="4" w:space="0"/>
            </w:tcBorders>
            <w:vAlign w:val="center"/>
          </w:tcPr>
          <w:p w14:paraId="5C85F932">
            <w:pPr>
              <w:spacing w:line="500" w:lineRule="exact"/>
              <w:jc w:val="center"/>
              <w:rPr>
                <w:rFonts w:ascii="宋体"/>
                <w:color w:val="000000" w:themeColor="text1"/>
                <w:highlight w:val="none"/>
                <w:u w:val="single"/>
                <w14:textFill>
                  <w14:solidFill>
                    <w14:schemeClr w14:val="tx1"/>
                  </w14:solidFill>
                </w14:textFill>
              </w:rPr>
            </w:pPr>
          </w:p>
        </w:tc>
      </w:tr>
      <w:tr w14:paraId="4B48339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54" w:hRule="atLeast"/>
          <w:jc w:val="center"/>
        </w:trPr>
        <w:tc>
          <w:tcPr>
            <w:tcW w:w="1546" w:type="dxa"/>
            <w:vAlign w:val="center"/>
          </w:tcPr>
          <w:p w14:paraId="3F1504FF">
            <w:pPr>
              <w:spacing w:line="500" w:lineRule="exact"/>
              <w:jc w:val="center"/>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毕业学校</w:t>
            </w:r>
          </w:p>
        </w:tc>
        <w:tc>
          <w:tcPr>
            <w:tcW w:w="8099" w:type="dxa"/>
            <w:gridSpan w:val="8"/>
            <w:vAlign w:val="center"/>
          </w:tcPr>
          <w:p w14:paraId="770C7A82">
            <w:pPr>
              <w:spacing w:line="500" w:lineRule="exact"/>
              <w:jc w:val="center"/>
              <w:rPr>
                <w:rFonts w:ascii="宋体"/>
                <w:color w:val="000000" w:themeColor="text1"/>
                <w:highlight w:val="none"/>
                <w14:textFill>
                  <w14:solidFill>
                    <w14:schemeClr w14:val="tx1"/>
                  </w14:solidFill>
                </w14:textFill>
              </w:rPr>
            </w:pPr>
            <w:r>
              <w:rPr>
                <w:rFonts w:hAnsi="宋体" w:eastAsia="Times New Roman" w:cs="宋体"/>
                <w:color w:val="000000" w:themeColor="text1"/>
                <w:kern w:val="0"/>
                <w:sz w:val="22"/>
                <w:highlight w:val="none"/>
                <w:u w:val="single"/>
                <w:lang w:val="zh-CN" w:bidi="zh-CN"/>
                <w14:textFill>
                  <w14:solidFill>
                    <w14:schemeClr w14:val="tx1"/>
                  </w14:solidFill>
                </w14:textFill>
              </w:rPr>
              <w:tab/>
            </w:r>
            <w:r>
              <w:rPr>
                <w:rFonts w:ascii="宋体" w:hAnsi="宋体" w:cs="宋体"/>
                <w:color w:val="000000" w:themeColor="text1"/>
                <w:kern w:val="0"/>
                <w:sz w:val="22"/>
                <w:highlight w:val="none"/>
                <w:lang w:val="zh-CN" w:bidi="zh-CN"/>
                <w14:textFill>
                  <w14:solidFill>
                    <w14:schemeClr w14:val="tx1"/>
                  </w14:solidFill>
                </w14:textFill>
              </w:rPr>
              <w:t>年</w:t>
            </w:r>
            <w:r>
              <w:rPr>
                <w:rFonts w:ascii="宋体" w:hAnsi="宋体" w:cs="宋体"/>
                <w:color w:val="000000" w:themeColor="text1"/>
                <w:kern w:val="0"/>
                <w:sz w:val="22"/>
                <w:highlight w:val="none"/>
                <w:u w:val="single"/>
                <w:lang w:val="zh-CN" w:bidi="zh-CN"/>
                <w14:textFill>
                  <w14:solidFill>
                    <w14:schemeClr w14:val="tx1"/>
                  </w14:solidFill>
                </w14:textFill>
              </w:rPr>
              <w:t xml:space="preserve"> </w:t>
            </w:r>
            <w:r>
              <w:rPr>
                <w:rFonts w:ascii="宋体" w:hAnsi="宋体" w:cs="宋体"/>
                <w:color w:val="000000" w:themeColor="text1"/>
                <w:kern w:val="0"/>
                <w:sz w:val="22"/>
                <w:highlight w:val="none"/>
                <w:u w:val="single"/>
                <w:lang w:val="zh-CN" w:bidi="zh-CN"/>
                <w14:textFill>
                  <w14:solidFill>
                    <w14:schemeClr w14:val="tx1"/>
                  </w14:solidFill>
                </w14:textFill>
              </w:rPr>
              <w:tab/>
            </w:r>
            <w:r>
              <w:rPr>
                <w:rFonts w:ascii="宋体" w:hAnsi="宋体" w:cs="宋体"/>
                <w:color w:val="000000" w:themeColor="text1"/>
                <w:spacing w:val="-3"/>
                <w:kern w:val="0"/>
                <w:sz w:val="22"/>
                <w:highlight w:val="none"/>
                <w:lang w:val="zh-CN" w:bidi="zh-CN"/>
                <w14:textFill>
                  <w14:solidFill>
                    <w14:schemeClr w14:val="tx1"/>
                  </w14:solidFill>
                </w14:textFill>
              </w:rPr>
              <w:t>月</w:t>
            </w:r>
            <w:r>
              <w:rPr>
                <w:rFonts w:ascii="宋体" w:hAnsi="宋体" w:cs="宋体"/>
                <w:color w:val="000000" w:themeColor="text1"/>
                <w:kern w:val="0"/>
                <w:sz w:val="22"/>
                <w:highlight w:val="none"/>
                <w:lang w:val="zh-CN" w:bidi="zh-CN"/>
                <w14:textFill>
                  <w14:solidFill>
                    <w14:schemeClr w14:val="tx1"/>
                  </w14:solidFill>
                </w14:textFill>
              </w:rPr>
              <w:t>毕</w:t>
            </w:r>
            <w:r>
              <w:rPr>
                <w:rFonts w:ascii="宋体" w:hAnsi="宋体" w:cs="宋体"/>
                <w:color w:val="000000" w:themeColor="text1"/>
                <w:spacing w:val="-3"/>
                <w:kern w:val="0"/>
                <w:sz w:val="22"/>
                <w:highlight w:val="none"/>
                <w:lang w:val="zh-CN" w:bidi="zh-CN"/>
                <w14:textFill>
                  <w14:solidFill>
                    <w14:schemeClr w14:val="tx1"/>
                  </w14:solidFill>
                </w14:textFill>
              </w:rPr>
              <w:t>业</w:t>
            </w:r>
            <w:r>
              <w:rPr>
                <w:rFonts w:ascii="宋体" w:hAnsi="宋体" w:cs="宋体"/>
                <w:color w:val="000000" w:themeColor="text1"/>
                <w:kern w:val="0"/>
                <w:sz w:val="22"/>
                <w:highlight w:val="none"/>
                <w:lang w:val="zh-CN" w:bidi="zh-CN"/>
                <w14:textFill>
                  <w14:solidFill>
                    <w14:schemeClr w14:val="tx1"/>
                  </w14:solidFill>
                </w14:textFill>
              </w:rPr>
              <w:t>于</w:t>
            </w:r>
            <w:r>
              <w:rPr>
                <w:rFonts w:ascii="宋体" w:hAnsi="宋体" w:cs="宋体"/>
                <w:color w:val="000000" w:themeColor="text1"/>
                <w:kern w:val="0"/>
                <w:sz w:val="22"/>
                <w:highlight w:val="none"/>
                <w:u w:val="single"/>
                <w:lang w:val="zh-CN" w:bidi="zh-CN"/>
                <w14:textFill>
                  <w14:solidFill>
                    <w14:schemeClr w14:val="tx1"/>
                  </w14:solidFill>
                </w14:textFill>
              </w:rPr>
              <w:t xml:space="preserve"> </w:t>
            </w:r>
            <w:r>
              <w:rPr>
                <w:rFonts w:ascii="宋体" w:hAnsi="宋体" w:cs="宋体"/>
                <w:color w:val="000000" w:themeColor="text1"/>
                <w:kern w:val="0"/>
                <w:sz w:val="22"/>
                <w:highlight w:val="none"/>
                <w:u w:val="single"/>
                <w:lang w:val="zh-CN" w:bidi="zh-CN"/>
                <w14:textFill>
                  <w14:solidFill>
                    <w14:schemeClr w14:val="tx1"/>
                  </w14:solidFill>
                </w14:textFill>
              </w:rPr>
              <w:tab/>
            </w:r>
            <w:r>
              <w:rPr>
                <w:rFonts w:ascii="宋体" w:hAnsi="宋体" w:cs="宋体"/>
                <w:color w:val="000000" w:themeColor="text1"/>
                <w:spacing w:val="-3"/>
                <w:kern w:val="0"/>
                <w:sz w:val="22"/>
                <w:highlight w:val="none"/>
                <w:lang w:val="zh-CN" w:bidi="zh-CN"/>
                <w14:textFill>
                  <w14:solidFill>
                    <w14:schemeClr w14:val="tx1"/>
                  </w14:solidFill>
                </w14:textFill>
              </w:rPr>
              <w:t>学</w:t>
            </w:r>
            <w:r>
              <w:rPr>
                <w:rFonts w:ascii="宋体" w:hAnsi="宋体" w:cs="宋体"/>
                <w:color w:val="000000" w:themeColor="text1"/>
                <w:kern w:val="0"/>
                <w:sz w:val="22"/>
                <w:highlight w:val="none"/>
                <w:lang w:val="zh-CN" w:bidi="zh-CN"/>
                <w14:textFill>
                  <w14:solidFill>
                    <w14:schemeClr w14:val="tx1"/>
                  </w14:solidFill>
                </w14:textFill>
              </w:rPr>
              <w:t>校</w:t>
            </w:r>
            <w:r>
              <w:rPr>
                <w:rFonts w:ascii="宋体" w:hAnsi="宋体" w:cs="宋体"/>
                <w:color w:val="000000" w:themeColor="text1"/>
                <w:kern w:val="0"/>
                <w:sz w:val="22"/>
                <w:highlight w:val="none"/>
                <w:u w:val="single"/>
                <w:lang w:val="zh-CN" w:bidi="zh-CN"/>
                <w14:textFill>
                  <w14:solidFill>
                    <w14:schemeClr w14:val="tx1"/>
                  </w14:solidFill>
                </w14:textFill>
              </w:rPr>
              <w:t xml:space="preserve"> </w:t>
            </w:r>
            <w:r>
              <w:rPr>
                <w:rFonts w:ascii="宋体" w:hAnsi="宋体" w:cs="宋体"/>
                <w:color w:val="000000" w:themeColor="text1"/>
                <w:kern w:val="0"/>
                <w:sz w:val="22"/>
                <w:highlight w:val="none"/>
                <w:u w:val="single"/>
                <w:lang w:val="zh-CN" w:bidi="zh-CN"/>
                <w14:textFill>
                  <w14:solidFill>
                    <w14:schemeClr w14:val="tx1"/>
                  </w14:solidFill>
                </w14:textFill>
              </w:rPr>
              <w:tab/>
            </w:r>
            <w:r>
              <w:rPr>
                <w:rFonts w:ascii="宋体" w:hAnsi="宋体" w:cs="宋体"/>
                <w:color w:val="000000" w:themeColor="text1"/>
                <w:spacing w:val="-3"/>
                <w:kern w:val="0"/>
                <w:sz w:val="22"/>
                <w:highlight w:val="none"/>
                <w:lang w:val="zh-CN" w:bidi="zh-CN"/>
                <w14:textFill>
                  <w14:solidFill>
                    <w14:schemeClr w14:val="tx1"/>
                  </w14:solidFill>
                </w14:textFill>
              </w:rPr>
              <w:t>专</w:t>
            </w:r>
            <w:r>
              <w:rPr>
                <w:rFonts w:ascii="宋体" w:hAnsi="宋体" w:cs="宋体"/>
                <w:color w:val="000000" w:themeColor="text1"/>
                <w:kern w:val="0"/>
                <w:sz w:val="22"/>
                <w:highlight w:val="none"/>
                <w:lang w:val="zh-CN" w:bidi="zh-CN"/>
                <w14:textFill>
                  <w14:solidFill>
                    <w14:schemeClr w14:val="tx1"/>
                  </w14:solidFill>
                </w14:textFill>
              </w:rPr>
              <w:t>业</w:t>
            </w:r>
            <w:r>
              <w:rPr>
                <w:rFonts w:ascii="宋体" w:hAnsi="宋体" w:cs="宋体"/>
                <w:color w:val="000000" w:themeColor="text1"/>
                <w:spacing w:val="-3"/>
                <w:kern w:val="0"/>
                <w:sz w:val="22"/>
                <w:highlight w:val="none"/>
                <w:lang w:val="zh-CN" w:bidi="zh-CN"/>
                <w14:textFill>
                  <w14:solidFill>
                    <w14:schemeClr w14:val="tx1"/>
                  </w14:solidFill>
                </w14:textFill>
              </w:rPr>
              <w:t>，</w:t>
            </w:r>
            <w:r>
              <w:rPr>
                <w:rFonts w:ascii="宋体" w:hAnsi="宋体" w:cs="宋体"/>
                <w:color w:val="000000" w:themeColor="text1"/>
                <w:kern w:val="0"/>
                <w:sz w:val="22"/>
                <w:highlight w:val="none"/>
                <w:lang w:val="zh-CN" w:bidi="zh-CN"/>
                <w14:textFill>
                  <w14:solidFill>
                    <w14:schemeClr w14:val="tx1"/>
                  </w14:solidFill>
                </w14:textFill>
              </w:rPr>
              <w:t>学制</w:t>
            </w:r>
            <w:r>
              <w:rPr>
                <w:rFonts w:ascii="宋体" w:hAnsi="宋体" w:cs="宋体"/>
                <w:color w:val="000000" w:themeColor="text1"/>
                <w:kern w:val="0"/>
                <w:sz w:val="22"/>
                <w:highlight w:val="none"/>
                <w:u w:val="single"/>
                <w:lang w:val="zh-CN" w:bidi="zh-CN"/>
                <w14:textFill>
                  <w14:solidFill>
                    <w14:schemeClr w14:val="tx1"/>
                  </w14:solidFill>
                </w14:textFill>
              </w:rPr>
              <w:t xml:space="preserve"> </w:t>
            </w:r>
            <w:r>
              <w:rPr>
                <w:rFonts w:ascii="宋体" w:hAnsi="宋体" w:cs="宋体"/>
                <w:color w:val="000000" w:themeColor="text1"/>
                <w:kern w:val="0"/>
                <w:sz w:val="22"/>
                <w:highlight w:val="none"/>
                <w:u w:val="single"/>
                <w:lang w:val="zh-CN" w:bidi="zh-CN"/>
                <w14:textFill>
                  <w14:solidFill>
                    <w14:schemeClr w14:val="tx1"/>
                  </w14:solidFill>
                </w14:textFill>
              </w:rPr>
              <w:tab/>
            </w:r>
            <w:r>
              <w:rPr>
                <w:rFonts w:ascii="宋体" w:hAnsi="宋体" w:cs="宋体"/>
                <w:color w:val="000000" w:themeColor="text1"/>
                <w:kern w:val="0"/>
                <w:sz w:val="22"/>
                <w:highlight w:val="none"/>
                <w:lang w:val="zh-CN" w:bidi="zh-CN"/>
                <w14:textFill>
                  <w14:solidFill>
                    <w14:schemeClr w14:val="tx1"/>
                  </w14:solidFill>
                </w14:textFill>
              </w:rPr>
              <w:t>年</w:t>
            </w:r>
          </w:p>
        </w:tc>
      </w:tr>
      <w:tr w14:paraId="658C755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8" w:hRule="atLeast"/>
          <w:jc w:val="center"/>
        </w:trPr>
        <w:tc>
          <w:tcPr>
            <w:tcW w:w="9645" w:type="dxa"/>
            <w:gridSpan w:val="9"/>
            <w:vAlign w:val="center"/>
          </w:tcPr>
          <w:p w14:paraId="79EE87D7">
            <w:pPr>
              <w:spacing w:line="500" w:lineRule="exact"/>
              <w:jc w:val="center"/>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经</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历</w:t>
            </w:r>
          </w:p>
        </w:tc>
      </w:tr>
      <w:tr w14:paraId="1A44BF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4" w:hRule="atLeast"/>
          <w:jc w:val="center"/>
        </w:trPr>
        <w:tc>
          <w:tcPr>
            <w:tcW w:w="1546" w:type="dxa"/>
            <w:vAlign w:val="center"/>
          </w:tcPr>
          <w:p w14:paraId="67715A7B">
            <w:pPr>
              <w:spacing w:line="500" w:lineRule="exact"/>
              <w:jc w:val="center"/>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u w:val="single"/>
                <w14:textFill>
                  <w14:solidFill>
                    <w14:schemeClr w14:val="tx1"/>
                  </w14:solidFill>
                </w14:textFill>
              </w:rPr>
              <w:t>时</w:t>
            </w:r>
            <w:r>
              <w:rPr>
                <w:rFonts w:ascii="宋体" w:hAnsi="宋体" w:cs="宋体"/>
                <w:color w:val="000000" w:themeColor="text1"/>
                <w:highlight w:val="none"/>
                <w:u w:val="single"/>
                <w14:textFill>
                  <w14:solidFill>
                    <w14:schemeClr w14:val="tx1"/>
                  </w14:solidFill>
                </w14:textFill>
              </w:rPr>
              <w:t xml:space="preserve">   </w:t>
            </w:r>
            <w:r>
              <w:rPr>
                <w:rFonts w:hint="eastAsia" w:ascii="宋体" w:hAnsi="宋体" w:cs="宋体"/>
                <w:color w:val="000000" w:themeColor="text1"/>
                <w:highlight w:val="none"/>
                <w:u w:val="single"/>
                <w14:textFill>
                  <w14:solidFill>
                    <w14:schemeClr w14:val="tx1"/>
                  </w14:solidFill>
                </w14:textFill>
              </w:rPr>
              <w:t>间</w:t>
            </w:r>
          </w:p>
        </w:tc>
        <w:tc>
          <w:tcPr>
            <w:tcW w:w="3835" w:type="dxa"/>
            <w:gridSpan w:val="3"/>
            <w:vAlign w:val="center"/>
          </w:tcPr>
          <w:p w14:paraId="014E772D">
            <w:pPr>
              <w:spacing w:line="500" w:lineRule="exact"/>
              <w:jc w:val="center"/>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参加过的类似工程项目名称</w:t>
            </w:r>
          </w:p>
        </w:tc>
        <w:tc>
          <w:tcPr>
            <w:tcW w:w="1392" w:type="dxa"/>
            <w:gridSpan w:val="2"/>
            <w:vAlign w:val="center"/>
          </w:tcPr>
          <w:p w14:paraId="0DA49560">
            <w:pPr>
              <w:spacing w:line="500" w:lineRule="exact"/>
              <w:jc w:val="center"/>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担任职务</w:t>
            </w:r>
          </w:p>
        </w:tc>
        <w:tc>
          <w:tcPr>
            <w:tcW w:w="2872" w:type="dxa"/>
            <w:gridSpan w:val="3"/>
            <w:vAlign w:val="center"/>
          </w:tcPr>
          <w:p w14:paraId="6BC4A221">
            <w:pPr>
              <w:spacing w:line="500" w:lineRule="exact"/>
              <w:jc w:val="center"/>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发包人及</w:t>
            </w:r>
          </w:p>
          <w:p w14:paraId="7CC3E12C">
            <w:pPr>
              <w:spacing w:line="500" w:lineRule="exact"/>
              <w:jc w:val="center"/>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联系电话</w:t>
            </w:r>
          </w:p>
        </w:tc>
      </w:tr>
      <w:tr w14:paraId="6706B6B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1546" w:type="dxa"/>
            <w:vAlign w:val="center"/>
          </w:tcPr>
          <w:p w14:paraId="3FD680B7">
            <w:pPr>
              <w:spacing w:line="500" w:lineRule="exact"/>
              <w:jc w:val="center"/>
              <w:rPr>
                <w:rFonts w:ascii="宋体"/>
                <w:color w:val="000000" w:themeColor="text1"/>
                <w:highlight w:val="none"/>
                <w14:textFill>
                  <w14:solidFill>
                    <w14:schemeClr w14:val="tx1"/>
                  </w14:solidFill>
                </w14:textFill>
              </w:rPr>
            </w:pPr>
          </w:p>
        </w:tc>
        <w:tc>
          <w:tcPr>
            <w:tcW w:w="3835" w:type="dxa"/>
            <w:gridSpan w:val="3"/>
            <w:vAlign w:val="center"/>
          </w:tcPr>
          <w:p w14:paraId="3FF2D053">
            <w:pPr>
              <w:spacing w:line="500" w:lineRule="exact"/>
              <w:jc w:val="center"/>
              <w:rPr>
                <w:rFonts w:ascii="宋体"/>
                <w:color w:val="000000" w:themeColor="text1"/>
                <w:highlight w:val="none"/>
                <w14:textFill>
                  <w14:solidFill>
                    <w14:schemeClr w14:val="tx1"/>
                  </w14:solidFill>
                </w14:textFill>
              </w:rPr>
            </w:pPr>
          </w:p>
        </w:tc>
        <w:tc>
          <w:tcPr>
            <w:tcW w:w="1392" w:type="dxa"/>
            <w:gridSpan w:val="2"/>
            <w:vAlign w:val="center"/>
          </w:tcPr>
          <w:p w14:paraId="451210B6">
            <w:pPr>
              <w:spacing w:line="500" w:lineRule="exact"/>
              <w:jc w:val="center"/>
              <w:rPr>
                <w:rFonts w:ascii="宋体"/>
                <w:color w:val="000000" w:themeColor="text1"/>
                <w:highlight w:val="none"/>
                <w14:textFill>
                  <w14:solidFill>
                    <w14:schemeClr w14:val="tx1"/>
                  </w14:solidFill>
                </w14:textFill>
              </w:rPr>
            </w:pPr>
          </w:p>
        </w:tc>
        <w:tc>
          <w:tcPr>
            <w:tcW w:w="2872" w:type="dxa"/>
            <w:gridSpan w:val="3"/>
            <w:vAlign w:val="center"/>
          </w:tcPr>
          <w:p w14:paraId="79D3FE7B">
            <w:pPr>
              <w:spacing w:line="500" w:lineRule="exact"/>
              <w:jc w:val="center"/>
              <w:rPr>
                <w:rFonts w:ascii="宋体"/>
                <w:color w:val="000000" w:themeColor="text1"/>
                <w:highlight w:val="none"/>
                <w14:textFill>
                  <w14:solidFill>
                    <w14:schemeClr w14:val="tx1"/>
                  </w14:solidFill>
                </w14:textFill>
              </w:rPr>
            </w:pPr>
          </w:p>
        </w:tc>
      </w:tr>
      <w:tr w14:paraId="0FC747F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1546" w:type="dxa"/>
            <w:vAlign w:val="center"/>
          </w:tcPr>
          <w:p w14:paraId="7A98CDA9">
            <w:pPr>
              <w:spacing w:line="500" w:lineRule="exact"/>
              <w:jc w:val="center"/>
              <w:rPr>
                <w:rFonts w:ascii="宋体"/>
                <w:color w:val="000000" w:themeColor="text1"/>
                <w:highlight w:val="none"/>
                <w14:textFill>
                  <w14:solidFill>
                    <w14:schemeClr w14:val="tx1"/>
                  </w14:solidFill>
                </w14:textFill>
              </w:rPr>
            </w:pPr>
          </w:p>
        </w:tc>
        <w:tc>
          <w:tcPr>
            <w:tcW w:w="3835" w:type="dxa"/>
            <w:gridSpan w:val="3"/>
            <w:vAlign w:val="center"/>
          </w:tcPr>
          <w:p w14:paraId="4AA545B4">
            <w:pPr>
              <w:spacing w:line="500" w:lineRule="exact"/>
              <w:jc w:val="center"/>
              <w:rPr>
                <w:rFonts w:ascii="宋体"/>
                <w:color w:val="000000" w:themeColor="text1"/>
                <w:highlight w:val="none"/>
                <w14:textFill>
                  <w14:solidFill>
                    <w14:schemeClr w14:val="tx1"/>
                  </w14:solidFill>
                </w14:textFill>
              </w:rPr>
            </w:pPr>
          </w:p>
        </w:tc>
        <w:tc>
          <w:tcPr>
            <w:tcW w:w="1392" w:type="dxa"/>
            <w:gridSpan w:val="2"/>
            <w:vAlign w:val="center"/>
          </w:tcPr>
          <w:p w14:paraId="487BB660">
            <w:pPr>
              <w:spacing w:line="500" w:lineRule="exact"/>
              <w:jc w:val="center"/>
              <w:rPr>
                <w:rFonts w:ascii="宋体"/>
                <w:color w:val="000000" w:themeColor="text1"/>
                <w:highlight w:val="none"/>
                <w14:textFill>
                  <w14:solidFill>
                    <w14:schemeClr w14:val="tx1"/>
                  </w14:solidFill>
                </w14:textFill>
              </w:rPr>
            </w:pPr>
          </w:p>
        </w:tc>
        <w:tc>
          <w:tcPr>
            <w:tcW w:w="2872" w:type="dxa"/>
            <w:gridSpan w:val="3"/>
            <w:vAlign w:val="center"/>
          </w:tcPr>
          <w:p w14:paraId="43A442BF">
            <w:pPr>
              <w:spacing w:line="500" w:lineRule="exact"/>
              <w:jc w:val="center"/>
              <w:rPr>
                <w:rFonts w:ascii="宋体"/>
                <w:color w:val="000000" w:themeColor="text1"/>
                <w:highlight w:val="none"/>
                <w14:textFill>
                  <w14:solidFill>
                    <w14:schemeClr w14:val="tx1"/>
                  </w14:solidFill>
                </w14:textFill>
              </w:rPr>
            </w:pPr>
          </w:p>
        </w:tc>
      </w:tr>
      <w:tr w14:paraId="0BD8D76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36" w:hRule="exact"/>
          <w:jc w:val="center"/>
        </w:trPr>
        <w:tc>
          <w:tcPr>
            <w:tcW w:w="1546" w:type="dxa"/>
            <w:tcBorders>
              <w:right w:val="single" w:color="auto" w:sz="4" w:space="0"/>
            </w:tcBorders>
            <w:vAlign w:val="center"/>
          </w:tcPr>
          <w:p w14:paraId="15D05CC6">
            <w:pPr>
              <w:spacing w:line="500" w:lineRule="exact"/>
              <w:jc w:val="center"/>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获奖情况</w:t>
            </w:r>
          </w:p>
        </w:tc>
        <w:tc>
          <w:tcPr>
            <w:tcW w:w="8099" w:type="dxa"/>
            <w:gridSpan w:val="8"/>
            <w:tcBorders>
              <w:left w:val="single" w:color="auto" w:sz="4" w:space="0"/>
            </w:tcBorders>
            <w:vAlign w:val="center"/>
          </w:tcPr>
          <w:p w14:paraId="25EA44A1">
            <w:pPr>
              <w:spacing w:line="500" w:lineRule="exact"/>
              <w:jc w:val="center"/>
              <w:rPr>
                <w:rFonts w:ascii="宋体"/>
                <w:color w:val="000000" w:themeColor="text1"/>
                <w:highlight w:val="none"/>
                <w14:textFill>
                  <w14:solidFill>
                    <w14:schemeClr w14:val="tx1"/>
                  </w14:solidFill>
                </w14:textFill>
              </w:rPr>
            </w:pPr>
          </w:p>
        </w:tc>
      </w:tr>
      <w:tr w14:paraId="266CBB4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62" w:hRule="atLeast"/>
          <w:jc w:val="center"/>
        </w:trPr>
        <w:tc>
          <w:tcPr>
            <w:tcW w:w="1546" w:type="dxa"/>
            <w:vAlign w:val="center"/>
          </w:tcPr>
          <w:p w14:paraId="6AC7ECDC">
            <w:pPr>
              <w:spacing w:line="500" w:lineRule="exact"/>
              <w:jc w:val="center"/>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说明在岗情况</w:t>
            </w:r>
          </w:p>
        </w:tc>
        <w:tc>
          <w:tcPr>
            <w:tcW w:w="8099" w:type="dxa"/>
            <w:gridSpan w:val="8"/>
            <w:vAlign w:val="center"/>
          </w:tcPr>
          <w:p w14:paraId="3E79C3A6">
            <w:pPr>
              <w:spacing w:line="500" w:lineRule="exact"/>
              <w:jc w:val="left"/>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□目前未在其他项目上任职，现从事工作为：</w:t>
            </w:r>
            <w:r>
              <w:rPr>
                <w:rFonts w:ascii="宋体"/>
                <w:color w:val="000000" w:themeColor="text1"/>
                <w:highlight w:val="none"/>
                <w:u w:val="single"/>
                <w14:textFill>
                  <w14:solidFill>
                    <w14:schemeClr w14:val="tx1"/>
                  </w14:solidFill>
                </w14:textFill>
              </w:rPr>
              <w:tab/>
            </w:r>
            <w:r>
              <w:rPr>
                <w:rFonts w:hint="eastAsia" w:ascii="宋体" w:hAnsi="宋体" w:cs="宋体"/>
                <w:color w:val="000000" w:themeColor="text1"/>
                <w:highlight w:val="none"/>
                <w14:textFill>
                  <w14:solidFill>
                    <w14:schemeClr w14:val="tx1"/>
                  </w14:solidFill>
                </w14:textFill>
              </w:rPr>
              <w:t>。</w:t>
            </w:r>
          </w:p>
          <w:p w14:paraId="53E44BB6">
            <w:pPr>
              <w:spacing w:line="500" w:lineRule="exact"/>
              <w:jc w:val="left"/>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□目前虽在其他项目上任职，但本项目成交后能够从该项目撤离，目前任职项目：</w:t>
            </w:r>
            <w:r>
              <w:rPr>
                <w:rFonts w:ascii="宋体"/>
                <w:color w:val="000000" w:themeColor="text1"/>
                <w:highlight w:val="none"/>
                <w:u w:val="single"/>
                <w14:textFill>
                  <w14:solidFill>
                    <w14:schemeClr w14:val="tx1"/>
                  </w14:solidFill>
                </w14:textFill>
              </w:rPr>
              <w:tab/>
            </w:r>
            <w:r>
              <w:rPr>
                <w:rFonts w:hint="eastAsia" w:ascii="宋体" w:hAnsi="宋体" w:cs="宋体"/>
                <w:color w:val="000000" w:themeColor="text1"/>
                <w:highlight w:val="none"/>
                <w14:textFill>
                  <w14:solidFill>
                    <w14:schemeClr w14:val="tx1"/>
                  </w14:solidFill>
                </w14:textFill>
              </w:rPr>
              <w:t>，担任职位：</w:t>
            </w:r>
            <w:r>
              <w:rPr>
                <w:rFonts w:ascii="宋体"/>
                <w:color w:val="000000" w:themeColor="text1"/>
                <w:highlight w:val="none"/>
                <w:u w:val="single"/>
                <w14:textFill>
                  <w14:solidFill>
                    <w14:schemeClr w14:val="tx1"/>
                  </w14:solidFill>
                </w14:textFill>
              </w:rPr>
              <w:tab/>
            </w:r>
            <w:r>
              <w:rPr>
                <w:rFonts w:hint="eastAsia" w:ascii="宋体" w:hAnsi="宋体" w:cs="宋体"/>
                <w:color w:val="000000" w:themeColor="text1"/>
                <w:highlight w:val="none"/>
                <w14:textFill>
                  <w14:solidFill>
                    <w14:schemeClr w14:val="tx1"/>
                  </w14:solidFill>
                </w14:textFill>
              </w:rPr>
              <w:t>。</w:t>
            </w:r>
          </w:p>
        </w:tc>
      </w:tr>
      <w:tr w14:paraId="274D96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9" w:hRule="atLeast"/>
          <w:jc w:val="center"/>
        </w:trPr>
        <w:tc>
          <w:tcPr>
            <w:tcW w:w="1546" w:type="dxa"/>
            <w:tcBorders>
              <w:bottom w:val="single" w:color="auto" w:sz="12" w:space="0"/>
            </w:tcBorders>
            <w:vAlign w:val="center"/>
          </w:tcPr>
          <w:p w14:paraId="0ABA67F6">
            <w:pPr>
              <w:spacing w:line="500" w:lineRule="exact"/>
              <w:jc w:val="center"/>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备注</w:t>
            </w:r>
          </w:p>
        </w:tc>
        <w:tc>
          <w:tcPr>
            <w:tcW w:w="8099" w:type="dxa"/>
            <w:gridSpan w:val="8"/>
            <w:tcBorders>
              <w:bottom w:val="single" w:color="auto" w:sz="12" w:space="0"/>
            </w:tcBorders>
            <w:vAlign w:val="center"/>
          </w:tcPr>
          <w:p w14:paraId="471B23E1">
            <w:pPr>
              <w:spacing w:line="500" w:lineRule="exact"/>
              <w:jc w:val="center"/>
              <w:rPr>
                <w:rFonts w:ascii="宋体"/>
                <w:color w:val="000000" w:themeColor="text1"/>
                <w:highlight w:val="none"/>
                <w14:textFill>
                  <w14:solidFill>
                    <w14:schemeClr w14:val="tx1"/>
                  </w14:solidFill>
                </w14:textFill>
              </w:rPr>
            </w:pPr>
          </w:p>
        </w:tc>
      </w:tr>
    </w:tbl>
    <w:p w14:paraId="7C9F08EB">
      <w:pPr>
        <w:spacing w:line="500" w:lineRule="exact"/>
        <w:jc w:val="left"/>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注：</w:t>
      </w:r>
    </w:p>
    <w:p w14:paraId="63DC6F59">
      <w:pPr>
        <w:spacing w:line="500" w:lineRule="exact"/>
        <w:ind w:firstLine="420" w:firstLineChars="200"/>
        <w:jc w:val="left"/>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1</w:t>
      </w:r>
      <w:r>
        <w:rPr>
          <w:rFonts w:ascii="宋体" w:cs="宋体"/>
          <w:color w:val="000000" w:themeColor="text1"/>
          <w:highlight w:val="none"/>
          <w14:textFill>
            <w14:solidFill>
              <w14:schemeClr w14:val="tx1"/>
            </w14:solidFill>
          </w14:textFill>
        </w:rPr>
        <w:t>.</w:t>
      </w:r>
      <w:r>
        <w:rPr>
          <w:rFonts w:hint="eastAsia" w:ascii="宋体" w:hAnsi="宋体" w:cs="宋体"/>
          <w:color w:val="000000" w:themeColor="text1"/>
          <w:highlight w:val="none"/>
          <w14:textFill>
            <w14:solidFill>
              <w14:schemeClr w14:val="tx1"/>
            </w14:solidFill>
          </w14:textFill>
        </w:rPr>
        <w:t>本表后面附上项目经理的身份证、职称资格证书以及资格审查条件所要求的其他相关证书（如建造师注册证书、安全生产考核合格证书等）的复印件。身份证如为第二代身份证的应附前后两面的复印件；建造师证应附有标明建造师级别、姓名、专业、证书号和注册号、发证机关的相关页面复印件；安全生产考核合格证应附有姓名、证书号和类别、发证机关和有效期的相关页面复印件；</w:t>
      </w:r>
    </w:p>
    <w:p w14:paraId="766FA5A0">
      <w:pPr>
        <w:autoSpaceDE w:val="0"/>
        <w:autoSpaceDN w:val="0"/>
        <w:adjustRightInd w:val="0"/>
        <w:spacing w:line="480" w:lineRule="exact"/>
        <w:ind w:firstLine="420"/>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2</w:t>
      </w:r>
      <w:r>
        <w:rPr>
          <w:rFonts w:ascii="宋体" w:cs="宋体"/>
          <w:color w:val="000000" w:themeColor="text1"/>
          <w:highlight w:val="none"/>
          <w14:textFill>
            <w14:solidFill>
              <w14:schemeClr w14:val="tx1"/>
            </w14:solidFill>
          </w14:textFill>
        </w:rPr>
        <w:t>.</w:t>
      </w:r>
      <w:r>
        <w:rPr>
          <w:rFonts w:hint="eastAsia" w:ascii="宋体" w:hAnsi="宋体" w:cs="宋体"/>
          <w:color w:val="000000" w:themeColor="text1"/>
          <w:highlight w:val="none"/>
          <w14:textFill>
            <w14:solidFill>
              <w14:schemeClr w14:val="tx1"/>
            </w14:solidFill>
          </w14:textFill>
        </w:rPr>
        <w:t>目前未在具体项目上任职的，请在备注栏说明现在负责的工作内容。</w:t>
      </w:r>
    </w:p>
    <w:p w14:paraId="16D4B7FF">
      <w:pPr>
        <w:autoSpaceDE w:val="0"/>
        <w:autoSpaceDN w:val="0"/>
        <w:adjustRightInd w:val="0"/>
        <w:spacing w:line="480" w:lineRule="exact"/>
        <w:ind w:firstLine="420"/>
        <w:rPr>
          <w:rFonts w:ascii="宋体"/>
          <w:color w:val="000000" w:themeColor="text1"/>
          <w:highlight w:val="none"/>
          <w14:textFill>
            <w14:solidFill>
              <w14:schemeClr w14:val="tx1"/>
            </w14:solidFill>
          </w14:textFill>
        </w:rPr>
      </w:pPr>
    </w:p>
    <w:p w14:paraId="2EDB5F58">
      <w:pPr>
        <w:spacing w:line="360" w:lineRule="auto"/>
        <w:ind w:right="480" w:firstLine="2940" w:firstLineChars="1400"/>
        <w:rPr>
          <w:rFonts w:ascii="宋体"/>
          <w:color w:val="000000" w:themeColor="text1"/>
          <w:highlight w:val="none"/>
          <w:u w:val="singl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法定代表人或者委托代理人（签字或盖印鉴）：</w:t>
      </w:r>
      <w:r>
        <w:rPr>
          <w:rFonts w:ascii="宋体" w:hAnsi="宋体" w:cs="宋体"/>
          <w:color w:val="000000" w:themeColor="text1"/>
          <w:highlight w:val="none"/>
          <w:u w:val="single"/>
          <w14:textFill>
            <w14:solidFill>
              <w14:schemeClr w14:val="tx1"/>
            </w14:solidFill>
          </w14:textFill>
        </w:rPr>
        <w:t xml:space="preserve">               </w:t>
      </w:r>
    </w:p>
    <w:p w14:paraId="36E30852">
      <w:pPr>
        <w:spacing w:line="360" w:lineRule="auto"/>
        <w:ind w:right="480" w:firstLine="2940" w:firstLineChars="1400"/>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供应商（盖公章）：</w:t>
      </w:r>
      <w:r>
        <w:rPr>
          <w:rFonts w:ascii="宋体" w:hAnsi="宋体" w:cs="宋体"/>
          <w:color w:val="000000" w:themeColor="text1"/>
          <w:highlight w:val="none"/>
          <w:u w:val="single"/>
          <w14:textFill>
            <w14:solidFill>
              <w14:schemeClr w14:val="tx1"/>
            </w14:solidFill>
          </w14:textFill>
        </w:rPr>
        <w:t xml:space="preserve">                           </w:t>
      </w:r>
    </w:p>
    <w:p w14:paraId="592E6CCA">
      <w:pPr>
        <w:spacing w:line="360" w:lineRule="auto"/>
        <w:ind w:right="480" w:firstLine="210" w:firstLineChars="100"/>
        <w:jc w:val="center"/>
        <w:rPr>
          <w:rFonts w:ascii="宋体"/>
          <w:color w:val="000000" w:themeColor="text1"/>
          <w:sz w:val="28"/>
          <w:szCs w:val="28"/>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年</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月</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日</w:t>
      </w:r>
    </w:p>
    <w:p w14:paraId="5229FBC4">
      <w:pPr>
        <w:spacing w:line="360" w:lineRule="auto"/>
        <w:jc w:val="center"/>
        <w:rPr>
          <w:rFonts w:ascii="宋体"/>
          <w:b/>
          <w:bCs/>
          <w:color w:val="000000" w:themeColor="text1"/>
          <w:sz w:val="36"/>
          <w:szCs w:val="36"/>
          <w:highlight w:val="none"/>
          <w14:textFill>
            <w14:solidFill>
              <w14:schemeClr w14:val="tx1"/>
            </w14:solidFill>
          </w14:textFill>
        </w:rPr>
      </w:pPr>
    </w:p>
    <w:p w14:paraId="5954F5D0">
      <w:pPr>
        <w:spacing w:line="360" w:lineRule="auto"/>
        <w:jc w:val="center"/>
        <w:rPr>
          <w:rFonts w:ascii="宋体"/>
          <w:b/>
          <w:bCs/>
          <w:color w:val="000000" w:themeColor="text1"/>
          <w:sz w:val="36"/>
          <w:szCs w:val="36"/>
          <w:highlight w:val="none"/>
          <w14:textFill>
            <w14:solidFill>
              <w14:schemeClr w14:val="tx1"/>
            </w14:solidFill>
          </w14:textFill>
        </w:rPr>
      </w:pPr>
      <w:r>
        <w:rPr>
          <w:rFonts w:hint="eastAsia" w:ascii="宋体" w:hAnsi="宋体" w:cs="宋体"/>
          <w:b/>
          <w:bCs/>
          <w:color w:val="000000" w:themeColor="text1"/>
          <w:sz w:val="36"/>
          <w:szCs w:val="36"/>
          <w:highlight w:val="none"/>
          <w14:textFill>
            <w14:solidFill>
              <w14:schemeClr w14:val="tx1"/>
            </w14:solidFill>
          </w14:textFill>
        </w:rPr>
        <w:t>拟委任的项目总工资历表</w:t>
      </w:r>
    </w:p>
    <w:tbl>
      <w:tblPr>
        <w:tblStyle w:val="59"/>
        <w:tblW w:w="964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684"/>
        <w:gridCol w:w="1315"/>
        <w:gridCol w:w="1515"/>
        <w:gridCol w:w="867"/>
        <w:gridCol w:w="612"/>
        <w:gridCol w:w="780"/>
        <w:gridCol w:w="1388"/>
        <w:gridCol w:w="7"/>
        <w:gridCol w:w="1477"/>
      </w:tblGrid>
      <w:tr w14:paraId="0D7D2A4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8" w:hRule="atLeast"/>
          <w:jc w:val="center"/>
        </w:trPr>
        <w:tc>
          <w:tcPr>
            <w:tcW w:w="1684" w:type="dxa"/>
            <w:tcBorders>
              <w:top w:val="single" w:color="auto" w:sz="12" w:space="0"/>
            </w:tcBorders>
            <w:vAlign w:val="center"/>
          </w:tcPr>
          <w:p w14:paraId="5D25CBBE">
            <w:pPr>
              <w:spacing w:line="500" w:lineRule="exact"/>
              <w:jc w:val="center"/>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姓</w:t>
            </w:r>
            <w:r>
              <w:rPr>
                <w:rFonts w:ascii="宋体"/>
                <w:color w:val="000000" w:themeColor="text1"/>
                <w:highlight w:val="none"/>
                <w14:textFill>
                  <w14:solidFill>
                    <w14:schemeClr w14:val="tx1"/>
                  </w14:solidFill>
                </w14:textFill>
              </w:rPr>
              <w:tab/>
            </w:r>
            <w:r>
              <w:rPr>
                <w:rFonts w:hint="eastAsia" w:ascii="宋体" w:hAnsi="宋体" w:cs="宋体"/>
                <w:color w:val="000000" w:themeColor="text1"/>
                <w:highlight w:val="none"/>
                <w14:textFill>
                  <w14:solidFill>
                    <w14:schemeClr w14:val="tx1"/>
                  </w14:solidFill>
                </w14:textFill>
              </w:rPr>
              <w:t>名</w:t>
            </w:r>
          </w:p>
        </w:tc>
        <w:tc>
          <w:tcPr>
            <w:tcW w:w="1315" w:type="dxa"/>
            <w:tcBorders>
              <w:top w:val="single" w:color="auto" w:sz="12" w:space="0"/>
            </w:tcBorders>
            <w:vAlign w:val="center"/>
          </w:tcPr>
          <w:p w14:paraId="4D8744ED">
            <w:pPr>
              <w:spacing w:line="500" w:lineRule="exact"/>
              <w:jc w:val="center"/>
              <w:rPr>
                <w:rFonts w:ascii="宋体"/>
                <w:color w:val="000000" w:themeColor="text1"/>
                <w:highlight w:val="none"/>
                <w14:textFill>
                  <w14:solidFill>
                    <w14:schemeClr w14:val="tx1"/>
                  </w14:solidFill>
                </w14:textFill>
              </w:rPr>
            </w:pPr>
          </w:p>
        </w:tc>
        <w:tc>
          <w:tcPr>
            <w:tcW w:w="1515" w:type="dxa"/>
            <w:tcBorders>
              <w:top w:val="single" w:color="auto" w:sz="12" w:space="0"/>
            </w:tcBorders>
            <w:vAlign w:val="center"/>
          </w:tcPr>
          <w:p w14:paraId="428FC6A7">
            <w:pPr>
              <w:spacing w:line="500" w:lineRule="exact"/>
              <w:jc w:val="center"/>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年龄</w:t>
            </w:r>
          </w:p>
        </w:tc>
        <w:tc>
          <w:tcPr>
            <w:tcW w:w="1479" w:type="dxa"/>
            <w:gridSpan w:val="2"/>
            <w:tcBorders>
              <w:top w:val="single" w:color="auto" w:sz="12" w:space="0"/>
            </w:tcBorders>
            <w:vAlign w:val="center"/>
          </w:tcPr>
          <w:p w14:paraId="5782118B">
            <w:pPr>
              <w:spacing w:line="500" w:lineRule="exact"/>
              <w:jc w:val="center"/>
              <w:rPr>
                <w:rFonts w:ascii="宋体"/>
                <w:color w:val="000000" w:themeColor="text1"/>
                <w:highlight w:val="none"/>
                <w14:textFill>
                  <w14:solidFill>
                    <w14:schemeClr w14:val="tx1"/>
                  </w14:solidFill>
                </w14:textFill>
              </w:rPr>
            </w:pPr>
          </w:p>
        </w:tc>
        <w:tc>
          <w:tcPr>
            <w:tcW w:w="2168" w:type="dxa"/>
            <w:gridSpan w:val="2"/>
            <w:tcBorders>
              <w:top w:val="single" w:color="auto" w:sz="12" w:space="0"/>
            </w:tcBorders>
            <w:vAlign w:val="center"/>
          </w:tcPr>
          <w:p w14:paraId="4F24F992">
            <w:pPr>
              <w:spacing w:line="500" w:lineRule="exact"/>
              <w:jc w:val="center"/>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专</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业</w:t>
            </w:r>
          </w:p>
        </w:tc>
        <w:tc>
          <w:tcPr>
            <w:tcW w:w="1484" w:type="dxa"/>
            <w:gridSpan w:val="2"/>
            <w:tcBorders>
              <w:top w:val="single" w:color="auto" w:sz="12" w:space="0"/>
            </w:tcBorders>
            <w:vAlign w:val="center"/>
          </w:tcPr>
          <w:p w14:paraId="35FDB20C">
            <w:pPr>
              <w:spacing w:line="500" w:lineRule="exact"/>
              <w:jc w:val="center"/>
              <w:rPr>
                <w:rFonts w:ascii="宋体"/>
                <w:color w:val="000000" w:themeColor="text1"/>
                <w:highlight w:val="none"/>
                <w14:textFill>
                  <w14:solidFill>
                    <w14:schemeClr w14:val="tx1"/>
                  </w14:solidFill>
                </w14:textFill>
              </w:rPr>
            </w:pPr>
          </w:p>
        </w:tc>
      </w:tr>
      <w:tr w14:paraId="7AD032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8" w:hRule="atLeast"/>
          <w:jc w:val="center"/>
        </w:trPr>
        <w:tc>
          <w:tcPr>
            <w:tcW w:w="1684" w:type="dxa"/>
            <w:vAlign w:val="center"/>
          </w:tcPr>
          <w:p w14:paraId="5F92ECFD">
            <w:pPr>
              <w:spacing w:line="500" w:lineRule="exact"/>
              <w:jc w:val="center"/>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技术职称</w:t>
            </w:r>
          </w:p>
        </w:tc>
        <w:tc>
          <w:tcPr>
            <w:tcW w:w="1315" w:type="dxa"/>
            <w:vAlign w:val="center"/>
          </w:tcPr>
          <w:p w14:paraId="4DE9632B">
            <w:pPr>
              <w:spacing w:line="500" w:lineRule="exact"/>
              <w:jc w:val="center"/>
              <w:rPr>
                <w:rFonts w:ascii="宋体"/>
                <w:color w:val="000000" w:themeColor="text1"/>
                <w:highlight w:val="none"/>
                <w14:textFill>
                  <w14:solidFill>
                    <w14:schemeClr w14:val="tx1"/>
                  </w14:solidFill>
                </w14:textFill>
              </w:rPr>
            </w:pPr>
          </w:p>
        </w:tc>
        <w:tc>
          <w:tcPr>
            <w:tcW w:w="1515" w:type="dxa"/>
            <w:vAlign w:val="center"/>
          </w:tcPr>
          <w:p w14:paraId="772E4FE2">
            <w:pPr>
              <w:spacing w:line="500" w:lineRule="exact"/>
              <w:jc w:val="center"/>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学</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历</w:t>
            </w:r>
          </w:p>
        </w:tc>
        <w:tc>
          <w:tcPr>
            <w:tcW w:w="1479" w:type="dxa"/>
            <w:gridSpan w:val="2"/>
            <w:vAlign w:val="center"/>
          </w:tcPr>
          <w:p w14:paraId="07B60997">
            <w:pPr>
              <w:spacing w:line="500" w:lineRule="exact"/>
              <w:jc w:val="center"/>
              <w:rPr>
                <w:rFonts w:ascii="宋体"/>
                <w:color w:val="000000" w:themeColor="text1"/>
                <w:highlight w:val="none"/>
                <w14:textFill>
                  <w14:solidFill>
                    <w14:schemeClr w14:val="tx1"/>
                  </w14:solidFill>
                </w14:textFill>
              </w:rPr>
            </w:pPr>
          </w:p>
        </w:tc>
        <w:tc>
          <w:tcPr>
            <w:tcW w:w="2168" w:type="dxa"/>
            <w:gridSpan w:val="2"/>
            <w:vAlign w:val="center"/>
          </w:tcPr>
          <w:p w14:paraId="2C8DA41E">
            <w:pPr>
              <w:spacing w:line="500" w:lineRule="exact"/>
              <w:jc w:val="center"/>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拟在本项目</w:t>
            </w:r>
          </w:p>
          <w:p w14:paraId="2495D588">
            <w:pPr>
              <w:spacing w:line="500" w:lineRule="exact"/>
              <w:jc w:val="center"/>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工程任职</w:t>
            </w:r>
          </w:p>
        </w:tc>
        <w:tc>
          <w:tcPr>
            <w:tcW w:w="1484" w:type="dxa"/>
            <w:gridSpan w:val="2"/>
            <w:vAlign w:val="center"/>
          </w:tcPr>
          <w:p w14:paraId="1A15827F">
            <w:pPr>
              <w:spacing w:line="500" w:lineRule="exact"/>
              <w:jc w:val="center"/>
              <w:rPr>
                <w:rFonts w:ascii="宋体"/>
                <w:color w:val="000000" w:themeColor="text1"/>
                <w:highlight w:val="none"/>
                <w14:textFill>
                  <w14:solidFill>
                    <w14:schemeClr w14:val="tx1"/>
                  </w14:solidFill>
                </w14:textFill>
              </w:rPr>
            </w:pPr>
          </w:p>
        </w:tc>
      </w:tr>
      <w:tr w14:paraId="31DAB7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4" w:hRule="atLeast"/>
          <w:jc w:val="center"/>
        </w:trPr>
        <w:tc>
          <w:tcPr>
            <w:tcW w:w="1684" w:type="dxa"/>
            <w:vAlign w:val="center"/>
          </w:tcPr>
          <w:p w14:paraId="061F60FD">
            <w:pPr>
              <w:spacing w:line="500" w:lineRule="exact"/>
              <w:jc w:val="center"/>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工作年限</w:t>
            </w:r>
          </w:p>
        </w:tc>
        <w:tc>
          <w:tcPr>
            <w:tcW w:w="4309" w:type="dxa"/>
            <w:gridSpan w:val="4"/>
            <w:tcBorders>
              <w:right w:val="single" w:color="auto" w:sz="4" w:space="0"/>
            </w:tcBorders>
            <w:vAlign w:val="center"/>
          </w:tcPr>
          <w:p w14:paraId="5DBD506C">
            <w:pPr>
              <w:spacing w:line="500" w:lineRule="exact"/>
              <w:jc w:val="center"/>
              <w:rPr>
                <w:rFonts w:ascii="宋体"/>
                <w:color w:val="000000" w:themeColor="text1"/>
                <w:highlight w:val="none"/>
                <w:u w:val="single"/>
                <w14:textFill>
                  <w14:solidFill>
                    <w14:schemeClr w14:val="tx1"/>
                  </w14:solidFill>
                </w14:textFill>
              </w:rPr>
            </w:pPr>
          </w:p>
        </w:tc>
        <w:tc>
          <w:tcPr>
            <w:tcW w:w="2175" w:type="dxa"/>
            <w:gridSpan w:val="3"/>
            <w:tcBorders>
              <w:left w:val="single" w:color="auto" w:sz="4" w:space="0"/>
              <w:right w:val="single" w:color="auto" w:sz="4" w:space="0"/>
            </w:tcBorders>
            <w:vAlign w:val="center"/>
          </w:tcPr>
          <w:p w14:paraId="25D3D497">
            <w:pPr>
              <w:spacing w:line="500" w:lineRule="exact"/>
              <w:jc w:val="center"/>
              <w:rPr>
                <w:rFonts w:ascii="宋体"/>
                <w:color w:val="000000" w:themeColor="text1"/>
                <w:highlight w:val="none"/>
                <w:u w:val="single"/>
                <w14:textFill>
                  <w14:solidFill>
                    <w14:schemeClr w14:val="tx1"/>
                  </w14:solidFill>
                </w14:textFill>
              </w:rPr>
            </w:pPr>
            <w:r>
              <w:rPr>
                <w:rFonts w:hint="eastAsia" w:ascii="宋体" w:hAnsi="宋体" w:cs="宋体"/>
                <w:color w:val="000000" w:themeColor="text1"/>
                <w:highlight w:val="none"/>
                <w:u w:val="single"/>
                <w14:textFill>
                  <w14:solidFill>
                    <w14:schemeClr w14:val="tx1"/>
                  </w14:solidFill>
                </w14:textFill>
              </w:rPr>
              <w:t>类似施工经验年限</w:t>
            </w:r>
          </w:p>
        </w:tc>
        <w:tc>
          <w:tcPr>
            <w:tcW w:w="1477" w:type="dxa"/>
            <w:tcBorders>
              <w:left w:val="single" w:color="auto" w:sz="4" w:space="0"/>
            </w:tcBorders>
            <w:vAlign w:val="center"/>
          </w:tcPr>
          <w:p w14:paraId="4449D416">
            <w:pPr>
              <w:spacing w:line="500" w:lineRule="exact"/>
              <w:jc w:val="center"/>
              <w:rPr>
                <w:rFonts w:ascii="宋体"/>
                <w:color w:val="000000" w:themeColor="text1"/>
                <w:highlight w:val="none"/>
                <w:u w:val="single"/>
                <w14:textFill>
                  <w14:solidFill>
                    <w14:schemeClr w14:val="tx1"/>
                  </w14:solidFill>
                </w14:textFill>
              </w:rPr>
            </w:pPr>
          </w:p>
        </w:tc>
      </w:tr>
      <w:tr w14:paraId="3356C6C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4" w:hRule="atLeast"/>
          <w:jc w:val="center"/>
        </w:trPr>
        <w:tc>
          <w:tcPr>
            <w:tcW w:w="1684" w:type="dxa"/>
            <w:vAlign w:val="center"/>
          </w:tcPr>
          <w:p w14:paraId="5E0B678D">
            <w:pPr>
              <w:spacing w:line="500" w:lineRule="exact"/>
              <w:jc w:val="center"/>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毕业学校</w:t>
            </w:r>
          </w:p>
        </w:tc>
        <w:tc>
          <w:tcPr>
            <w:tcW w:w="7961" w:type="dxa"/>
            <w:gridSpan w:val="8"/>
            <w:vAlign w:val="center"/>
          </w:tcPr>
          <w:p w14:paraId="2A6E705A">
            <w:pPr>
              <w:spacing w:line="500" w:lineRule="exact"/>
              <w:jc w:val="center"/>
              <w:rPr>
                <w:rFonts w:ascii="宋体"/>
                <w:color w:val="000000" w:themeColor="text1"/>
                <w:highlight w:val="none"/>
                <w14:textFill>
                  <w14:solidFill>
                    <w14:schemeClr w14:val="tx1"/>
                  </w14:solidFill>
                </w14:textFill>
              </w:rPr>
            </w:pPr>
            <w:r>
              <w:rPr>
                <w:rFonts w:hAnsi="宋体" w:eastAsia="Times New Roman" w:cs="宋体"/>
                <w:color w:val="000000" w:themeColor="text1"/>
                <w:kern w:val="0"/>
                <w:sz w:val="22"/>
                <w:highlight w:val="none"/>
                <w:u w:val="single"/>
                <w:lang w:val="zh-CN" w:bidi="zh-CN"/>
                <w14:textFill>
                  <w14:solidFill>
                    <w14:schemeClr w14:val="tx1"/>
                  </w14:solidFill>
                </w14:textFill>
              </w:rPr>
              <w:tab/>
            </w:r>
            <w:r>
              <w:rPr>
                <w:rFonts w:ascii="宋体" w:hAnsi="宋体" w:cs="宋体"/>
                <w:color w:val="000000" w:themeColor="text1"/>
                <w:kern w:val="0"/>
                <w:sz w:val="22"/>
                <w:highlight w:val="none"/>
                <w:lang w:val="zh-CN" w:bidi="zh-CN"/>
                <w14:textFill>
                  <w14:solidFill>
                    <w14:schemeClr w14:val="tx1"/>
                  </w14:solidFill>
                </w14:textFill>
              </w:rPr>
              <w:t>年</w:t>
            </w:r>
            <w:r>
              <w:rPr>
                <w:rFonts w:ascii="宋体" w:hAnsi="宋体" w:cs="宋体"/>
                <w:color w:val="000000" w:themeColor="text1"/>
                <w:kern w:val="0"/>
                <w:sz w:val="22"/>
                <w:highlight w:val="none"/>
                <w:u w:val="single"/>
                <w:lang w:val="zh-CN" w:bidi="zh-CN"/>
                <w14:textFill>
                  <w14:solidFill>
                    <w14:schemeClr w14:val="tx1"/>
                  </w14:solidFill>
                </w14:textFill>
              </w:rPr>
              <w:t xml:space="preserve"> </w:t>
            </w:r>
            <w:r>
              <w:rPr>
                <w:rFonts w:ascii="宋体" w:hAnsi="宋体" w:cs="宋体"/>
                <w:color w:val="000000" w:themeColor="text1"/>
                <w:kern w:val="0"/>
                <w:sz w:val="22"/>
                <w:highlight w:val="none"/>
                <w:u w:val="single"/>
                <w:lang w:val="zh-CN" w:bidi="zh-CN"/>
                <w14:textFill>
                  <w14:solidFill>
                    <w14:schemeClr w14:val="tx1"/>
                  </w14:solidFill>
                </w14:textFill>
              </w:rPr>
              <w:tab/>
            </w:r>
            <w:r>
              <w:rPr>
                <w:rFonts w:ascii="宋体" w:hAnsi="宋体" w:cs="宋体"/>
                <w:color w:val="000000" w:themeColor="text1"/>
                <w:spacing w:val="-3"/>
                <w:kern w:val="0"/>
                <w:sz w:val="22"/>
                <w:highlight w:val="none"/>
                <w:lang w:val="zh-CN" w:bidi="zh-CN"/>
                <w14:textFill>
                  <w14:solidFill>
                    <w14:schemeClr w14:val="tx1"/>
                  </w14:solidFill>
                </w14:textFill>
              </w:rPr>
              <w:t>月</w:t>
            </w:r>
            <w:r>
              <w:rPr>
                <w:rFonts w:ascii="宋体" w:hAnsi="宋体" w:cs="宋体"/>
                <w:color w:val="000000" w:themeColor="text1"/>
                <w:kern w:val="0"/>
                <w:sz w:val="22"/>
                <w:highlight w:val="none"/>
                <w:lang w:val="zh-CN" w:bidi="zh-CN"/>
                <w14:textFill>
                  <w14:solidFill>
                    <w14:schemeClr w14:val="tx1"/>
                  </w14:solidFill>
                </w14:textFill>
              </w:rPr>
              <w:t>毕</w:t>
            </w:r>
            <w:r>
              <w:rPr>
                <w:rFonts w:ascii="宋体" w:hAnsi="宋体" w:cs="宋体"/>
                <w:color w:val="000000" w:themeColor="text1"/>
                <w:spacing w:val="-3"/>
                <w:kern w:val="0"/>
                <w:sz w:val="22"/>
                <w:highlight w:val="none"/>
                <w:lang w:val="zh-CN" w:bidi="zh-CN"/>
                <w14:textFill>
                  <w14:solidFill>
                    <w14:schemeClr w14:val="tx1"/>
                  </w14:solidFill>
                </w14:textFill>
              </w:rPr>
              <w:t>业</w:t>
            </w:r>
            <w:r>
              <w:rPr>
                <w:rFonts w:ascii="宋体" w:hAnsi="宋体" w:cs="宋体"/>
                <w:color w:val="000000" w:themeColor="text1"/>
                <w:kern w:val="0"/>
                <w:sz w:val="22"/>
                <w:highlight w:val="none"/>
                <w:lang w:val="zh-CN" w:bidi="zh-CN"/>
                <w14:textFill>
                  <w14:solidFill>
                    <w14:schemeClr w14:val="tx1"/>
                  </w14:solidFill>
                </w14:textFill>
              </w:rPr>
              <w:t>于</w:t>
            </w:r>
            <w:r>
              <w:rPr>
                <w:rFonts w:ascii="宋体" w:hAnsi="宋体" w:cs="宋体"/>
                <w:color w:val="000000" w:themeColor="text1"/>
                <w:kern w:val="0"/>
                <w:sz w:val="22"/>
                <w:highlight w:val="none"/>
                <w:u w:val="single"/>
                <w:lang w:val="zh-CN" w:bidi="zh-CN"/>
                <w14:textFill>
                  <w14:solidFill>
                    <w14:schemeClr w14:val="tx1"/>
                  </w14:solidFill>
                </w14:textFill>
              </w:rPr>
              <w:t xml:space="preserve"> </w:t>
            </w:r>
            <w:r>
              <w:rPr>
                <w:rFonts w:ascii="宋体" w:hAnsi="宋体" w:cs="宋体"/>
                <w:color w:val="000000" w:themeColor="text1"/>
                <w:kern w:val="0"/>
                <w:sz w:val="22"/>
                <w:highlight w:val="none"/>
                <w:u w:val="single"/>
                <w:lang w:val="zh-CN" w:bidi="zh-CN"/>
                <w14:textFill>
                  <w14:solidFill>
                    <w14:schemeClr w14:val="tx1"/>
                  </w14:solidFill>
                </w14:textFill>
              </w:rPr>
              <w:tab/>
            </w:r>
            <w:r>
              <w:rPr>
                <w:rFonts w:ascii="宋体" w:hAnsi="宋体" w:cs="宋体"/>
                <w:color w:val="000000" w:themeColor="text1"/>
                <w:spacing w:val="-3"/>
                <w:kern w:val="0"/>
                <w:sz w:val="22"/>
                <w:highlight w:val="none"/>
                <w:lang w:val="zh-CN" w:bidi="zh-CN"/>
                <w14:textFill>
                  <w14:solidFill>
                    <w14:schemeClr w14:val="tx1"/>
                  </w14:solidFill>
                </w14:textFill>
              </w:rPr>
              <w:t>学</w:t>
            </w:r>
            <w:r>
              <w:rPr>
                <w:rFonts w:ascii="宋体" w:hAnsi="宋体" w:cs="宋体"/>
                <w:color w:val="000000" w:themeColor="text1"/>
                <w:kern w:val="0"/>
                <w:sz w:val="22"/>
                <w:highlight w:val="none"/>
                <w:lang w:val="zh-CN" w:bidi="zh-CN"/>
                <w14:textFill>
                  <w14:solidFill>
                    <w14:schemeClr w14:val="tx1"/>
                  </w14:solidFill>
                </w14:textFill>
              </w:rPr>
              <w:t>校</w:t>
            </w:r>
            <w:r>
              <w:rPr>
                <w:rFonts w:ascii="宋体" w:hAnsi="宋体" w:cs="宋体"/>
                <w:color w:val="000000" w:themeColor="text1"/>
                <w:kern w:val="0"/>
                <w:sz w:val="22"/>
                <w:highlight w:val="none"/>
                <w:u w:val="single"/>
                <w:lang w:val="zh-CN" w:bidi="zh-CN"/>
                <w14:textFill>
                  <w14:solidFill>
                    <w14:schemeClr w14:val="tx1"/>
                  </w14:solidFill>
                </w14:textFill>
              </w:rPr>
              <w:t xml:space="preserve"> </w:t>
            </w:r>
            <w:r>
              <w:rPr>
                <w:rFonts w:ascii="宋体" w:hAnsi="宋体" w:cs="宋体"/>
                <w:color w:val="000000" w:themeColor="text1"/>
                <w:kern w:val="0"/>
                <w:sz w:val="22"/>
                <w:highlight w:val="none"/>
                <w:u w:val="single"/>
                <w:lang w:val="zh-CN" w:bidi="zh-CN"/>
                <w14:textFill>
                  <w14:solidFill>
                    <w14:schemeClr w14:val="tx1"/>
                  </w14:solidFill>
                </w14:textFill>
              </w:rPr>
              <w:tab/>
            </w:r>
            <w:r>
              <w:rPr>
                <w:rFonts w:ascii="宋体" w:hAnsi="宋体" w:cs="宋体"/>
                <w:color w:val="000000" w:themeColor="text1"/>
                <w:spacing w:val="-3"/>
                <w:kern w:val="0"/>
                <w:sz w:val="22"/>
                <w:highlight w:val="none"/>
                <w:lang w:val="zh-CN" w:bidi="zh-CN"/>
                <w14:textFill>
                  <w14:solidFill>
                    <w14:schemeClr w14:val="tx1"/>
                  </w14:solidFill>
                </w14:textFill>
              </w:rPr>
              <w:t>专</w:t>
            </w:r>
            <w:r>
              <w:rPr>
                <w:rFonts w:ascii="宋体" w:hAnsi="宋体" w:cs="宋体"/>
                <w:color w:val="000000" w:themeColor="text1"/>
                <w:kern w:val="0"/>
                <w:sz w:val="22"/>
                <w:highlight w:val="none"/>
                <w:lang w:val="zh-CN" w:bidi="zh-CN"/>
                <w14:textFill>
                  <w14:solidFill>
                    <w14:schemeClr w14:val="tx1"/>
                  </w14:solidFill>
                </w14:textFill>
              </w:rPr>
              <w:t>业</w:t>
            </w:r>
            <w:r>
              <w:rPr>
                <w:rFonts w:ascii="宋体" w:hAnsi="宋体" w:cs="宋体"/>
                <w:color w:val="000000" w:themeColor="text1"/>
                <w:spacing w:val="-3"/>
                <w:kern w:val="0"/>
                <w:sz w:val="22"/>
                <w:highlight w:val="none"/>
                <w:lang w:val="zh-CN" w:bidi="zh-CN"/>
                <w14:textFill>
                  <w14:solidFill>
                    <w14:schemeClr w14:val="tx1"/>
                  </w14:solidFill>
                </w14:textFill>
              </w:rPr>
              <w:t>，</w:t>
            </w:r>
            <w:r>
              <w:rPr>
                <w:rFonts w:ascii="宋体" w:hAnsi="宋体" w:cs="宋体"/>
                <w:color w:val="000000" w:themeColor="text1"/>
                <w:kern w:val="0"/>
                <w:sz w:val="22"/>
                <w:highlight w:val="none"/>
                <w:lang w:val="zh-CN" w:bidi="zh-CN"/>
                <w14:textFill>
                  <w14:solidFill>
                    <w14:schemeClr w14:val="tx1"/>
                  </w14:solidFill>
                </w14:textFill>
              </w:rPr>
              <w:t>学制</w:t>
            </w:r>
            <w:r>
              <w:rPr>
                <w:rFonts w:ascii="宋体" w:hAnsi="宋体" w:cs="宋体"/>
                <w:color w:val="000000" w:themeColor="text1"/>
                <w:kern w:val="0"/>
                <w:sz w:val="22"/>
                <w:highlight w:val="none"/>
                <w:u w:val="single"/>
                <w:lang w:val="zh-CN" w:bidi="zh-CN"/>
                <w14:textFill>
                  <w14:solidFill>
                    <w14:schemeClr w14:val="tx1"/>
                  </w14:solidFill>
                </w14:textFill>
              </w:rPr>
              <w:t xml:space="preserve"> </w:t>
            </w:r>
            <w:r>
              <w:rPr>
                <w:rFonts w:ascii="宋体" w:hAnsi="宋体" w:cs="宋体"/>
                <w:color w:val="000000" w:themeColor="text1"/>
                <w:kern w:val="0"/>
                <w:sz w:val="22"/>
                <w:highlight w:val="none"/>
                <w:u w:val="single"/>
                <w:lang w:val="zh-CN" w:bidi="zh-CN"/>
                <w14:textFill>
                  <w14:solidFill>
                    <w14:schemeClr w14:val="tx1"/>
                  </w14:solidFill>
                </w14:textFill>
              </w:rPr>
              <w:tab/>
            </w:r>
            <w:r>
              <w:rPr>
                <w:rFonts w:ascii="宋体" w:hAnsi="宋体" w:cs="宋体"/>
                <w:color w:val="000000" w:themeColor="text1"/>
                <w:kern w:val="0"/>
                <w:sz w:val="22"/>
                <w:highlight w:val="none"/>
                <w:lang w:val="zh-CN" w:bidi="zh-CN"/>
                <w14:textFill>
                  <w14:solidFill>
                    <w14:schemeClr w14:val="tx1"/>
                  </w14:solidFill>
                </w14:textFill>
              </w:rPr>
              <w:t>年</w:t>
            </w:r>
          </w:p>
        </w:tc>
      </w:tr>
      <w:tr w14:paraId="7537679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8" w:hRule="atLeast"/>
          <w:jc w:val="center"/>
        </w:trPr>
        <w:tc>
          <w:tcPr>
            <w:tcW w:w="9645" w:type="dxa"/>
            <w:gridSpan w:val="9"/>
            <w:vAlign w:val="center"/>
          </w:tcPr>
          <w:p w14:paraId="220D25E9">
            <w:pPr>
              <w:spacing w:line="500" w:lineRule="exact"/>
              <w:jc w:val="center"/>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经</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历</w:t>
            </w:r>
          </w:p>
        </w:tc>
      </w:tr>
      <w:tr w14:paraId="01199FD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4" w:hRule="atLeast"/>
          <w:jc w:val="center"/>
        </w:trPr>
        <w:tc>
          <w:tcPr>
            <w:tcW w:w="1684" w:type="dxa"/>
            <w:vAlign w:val="center"/>
          </w:tcPr>
          <w:p w14:paraId="728E4CDC">
            <w:pPr>
              <w:spacing w:line="500" w:lineRule="exact"/>
              <w:jc w:val="center"/>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u w:val="single"/>
                <w14:textFill>
                  <w14:solidFill>
                    <w14:schemeClr w14:val="tx1"/>
                  </w14:solidFill>
                </w14:textFill>
              </w:rPr>
              <w:t>时</w:t>
            </w:r>
            <w:r>
              <w:rPr>
                <w:rFonts w:ascii="宋体" w:hAnsi="宋体" w:cs="宋体"/>
                <w:color w:val="000000" w:themeColor="text1"/>
                <w:highlight w:val="none"/>
                <w:u w:val="single"/>
                <w14:textFill>
                  <w14:solidFill>
                    <w14:schemeClr w14:val="tx1"/>
                  </w14:solidFill>
                </w14:textFill>
              </w:rPr>
              <w:t xml:space="preserve">   </w:t>
            </w:r>
            <w:r>
              <w:rPr>
                <w:rFonts w:hint="eastAsia" w:ascii="宋体" w:hAnsi="宋体" w:cs="宋体"/>
                <w:color w:val="000000" w:themeColor="text1"/>
                <w:highlight w:val="none"/>
                <w:u w:val="single"/>
                <w14:textFill>
                  <w14:solidFill>
                    <w14:schemeClr w14:val="tx1"/>
                  </w14:solidFill>
                </w14:textFill>
              </w:rPr>
              <w:t>间</w:t>
            </w:r>
          </w:p>
        </w:tc>
        <w:tc>
          <w:tcPr>
            <w:tcW w:w="3697" w:type="dxa"/>
            <w:gridSpan w:val="3"/>
            <w:vAlign w:val="center"/>
          </w:tcPr>
          <w:p w14:paraId="53B9A291">
            <w:pPr>
              <w:spacing w:line="500" w:lineRule="exact"/>
              <w:jc w:val="center"/>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参加过的类似工程项目名称</w:t>
            </w:r>
          </w:p>
        </w:tc>
        <w:tc>
          <w:tcPr>
            <w:tcW w:w="1392" w:type="dxa"/>
            <w:gridSpan w:val="2"/>
            <w:vAlign w:val="center"/>
          </w:tcPr>
          <w:p w14:paraId="518C3A82">
            <w:pPr>
              <w:spacing w:line="500" w:lineRule="exact"/>
              <w:jc w:val="center"/>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担任职务</w:t>
            </w:r>
          </w:p>
        </w:tc>
        <w:tc>
          <w:tcPr>
            <w:tcW w:w="2872" w:type="dxa"/>
            <w:gridSpan w:val="3"/>
            <w:vAlign w:val="center"/>
          </w:tcPr>
          <w:p w14:paraId="0FF82906">
            <w:pPr>
              <w:spacing w:line="500" w:lineRule="exact"/>
              <w:jc w:val="center"/>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发包人及</w:t>
            </w:r>
          </w:p>
          <w:p w14:paraId="542F971B">
            <w:pPr>
              <w:spacing w:line="500" w:lineRule="exact"/>
              <w:jc w:val="center"/>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联系电话</w:t>
            </w:r>
          </w:p>
        </w:tc>
      </w:tr>
      <w:tr w14:paraId="4C037A7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1684" w:type="dxa"/>
            <w:vAlign w:val="center"/>
          </w:tcPr>
          <w:p w14:paraId="2F6174BD">
            <w:pPr>
              <w:spacing w:line="500" w:lineRule="exact"/>
              <w:jc w:val="center"/>
              <w:rPr>
                <w:rFonts w:ascii="宋体"/>
                <w:color w:val="000000" w:themeColor="text1"/>
                <w:highlight w:val="none"/>
                <w14:textFill>
                  <w14:solidFill>
                    <w14:schemeClr w14:val="tx1"/>
                  </w14:solidFill>
                </w14:textFill>
              </w:rPr>
            </w:pPr>
          </w:p>
        </w:tc>
        <w:tc>
          <w:tcPr>
            <w:tcW w:w="3697" w:type="dxa"/>
            <w:gridSpan w:val="3"/>
            <w:vAlign w:val="center"/>
          </w:tcPr>
          <w:p w14:paraId="3155AC22">
            <w:pPr>
              <w:spacing w:line="500" w:lineRule="exact"/>
              <w:jc w:val="center"/>
              <w:rPr>
                <w:rFonts w:ascii="宋体"/>
                <w:color w:val="000000" w:themeColor="text1"/>
                <w:highlight w:val="none"/>
                <w14:textFill>
                  <w14:solidFill>
                    <w14:schemeClr w14:val="tx1"/>
                  </w14:solidFill>
                </w14:textFill>
              </w:rPr>
            </w:pPr>
          </w:p>
        </w:tc>
        <w:tc>
          <w:tcPr>
            <w:tcW w:w="1392" w:type="dxa"/>
            <w:gridSpan w:val="2"/>
            <w:vAlign w:val="center"/>
          </w:tcPr>
          <w:p w14:paraId="2BBD6A49">
            <w:pPr>
              <w:spacing w:line="500" w:lineRule="exact"/>
              <w:jc w:val="center"/>
              <w:rPr>
                <w:rFonts w:ascii="宋体"/>
                <w:color w:val="000000" w:themeColor="text1"/>
                <w:highlight w:val="none"/>
                <w14:textFill>
                  <w14:solidFill>
                    <w14:schemeClr w14:val="tx1"/>
                  </w14:solidFill>
                </w14:textFill>
              </w:rPr>
            </w:pPr>
          </w:p>
        </w:tc>
        <w:tc>
          <w:tcPr>
            <w:tcW w:w="2872" w:type="dxa"/>
            <w:gridSpan w:val="3"/>
            <w:vAlign w:val="center"/>
          </w:tcPr>
          <w:p w14:paraId="010567DC">
            <w:pPr>
              <w:spacing w:line="500" w:lineRule="exact"/>
              <w:jc w:val="center"/>
              <w:rPr>
                <w:rFonts w:ascii="宋体"/>
                <w:color w:val="000000" w:themeColor="text1"/>
                <w:highlight w:val="none"/>
                <w14:textFill>
                  <w14:solidFill>
                    <w14:schemeClr w14:val="tx1"/>
                  </w14:solidFill>
                </w14:textFill>
              </w:rPr>
            </w:pPr>
          </w:p>
        </w:tc>
      </w:tr>
      <w:tr w14:paraId="2A915D1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1684" w:type="dxa"/>
            <w:vAlign w:val="center"/>
          </w:tcPr>
          <w:p w14:paraId="50F4B094">
            <w:pPr>
              <w:spacing w:line="500" w:lineRule="exact"/>
              <w:jc w:val="center"/>
              <w:rPr>
                <w:rFonts w:ascii="宋体"/>
                <w:color w:val="000000" w:themeColor="text1"/>
                <w:highlight w:val="none"/>
                <w14:textFill>
                  <w14:solidFill>
                    <w14:schemeClr w14:val="tx1"/>
                  </w14:solidFill>
                </w14:textFill>
              </w:rPr>
            </w:pPr>
          </w:p>
        </w:tc>
        <w:tc>
          <w:tcPr>
            <w:tcW w:w="3697" w:type="dxa"/>
            <w:gridSpan w:val="3"/>
            <w:vAlign w:val="center"/>
          </w:tcPr>
          <w:p w14:paraId="4E8F5984">
            <w:pPr>
              <w:spacing w:line="500" w:lineRule="exact"/>
              <w:jc w:val="center"/>
              <w:rPr>
                <w:rFonts w:ascii="宋体"/>
                <w:color w:val="000000" w:themeColor="text1"/>
                <w:highlight w:val="none"/>
                <w14:textFill>
                  <w14:solidFill>
                    <w14:schemeClr w14:val="tx1"/>
                  </w14:solidFill>
                </w14:textFill>
              </w:rPr>
            </w:pPr>
          </w:p>
        </w:tc>
        <w:tc>
          <w:tcPr>
            <w:tcW w:w="1392" w:type="dxa"/>
            <w:gridSpan w:val="2"/>
            <w:vAlign w:val="center"/>
          </w:tcPr>
          <w:p w14:paraId="46D16319">
            <w:pPr>
              <w:spacing w:line="500" w:lineRule="exact"/>
              <w:jc w:val="center"/>
              <w:rPr>
                <w:rFonts w:ascii="宋体"/>
                <w:color w:val="000000" w:themeColor="text1"/>
                <w:highlight w:val="none"/>
                <w14:textFill>
                  <w14:solidFill>
                    <w14:schemeClr w14:val="tx1"/>
                  </w14:solidFill>
                </w14:textFill>
              </w:rPr>
            </w:pPr>
          </w:p>
        </w:tc>
        <w:tc>
          <w:tcPr>
            <w:tcW w:w="2872" w:type="dxa"/>
            <w:gridSpan w:val="3"/>
            <w:vAlign w:val="center"/>
          </w:tcPr>
          <w:p w14:paraId="5FCC8127">
            <w:pPr>
              <w:spacing w:line="500" w:lineRule="exact"/>
              <w:jc w:val="center"/>
              <w:rPr>
                <w:rFonts w:ascii="宋体"/>
                <w:color w:val="000000" w:themeColor="text1"/>
                <w:highlight w:val="none"/>
                <w14:textFill>
                  <w14:solidFill>
                    <w14:schemeClr w14:val="tx1"/>
                  </w14:solidFill>
                </w14:textFill>
              </w:rPr>
            </w:pPr>
          </w:p>
        </w:tc>
      </w:tr>
      <w:tr w14:paraId="1592E40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1684" w:type="dxa"/>
            <w:tcBorders>
              <w:right w:val="single" w:color="auto" w:sz="4" w:space="0"/>
            </w:tcBorders>
            <w:vAlign w:val="center"/>
          </w:tcPr>
          <w:p w14:paraId="3E52F342">
            <w:pPr>
              <w:spacing w:line="500" w:lineRule="exact"/>
              <w:jc w:val="center"/>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获奖情况</w:t>
            </w:r>
          </w:p>
        </w:tc>
        <w:tc>
          <w:tcPr>
            <w:tcW w:w="7961" w:type="dxa"/>
            <w:gridSpan w:val="8"/>
            <w:tcBorders>
              <w:left w:val="single" w:color="auto" w:sz="4" w:space="0"/>
            </w:tcBorders>
            <w:vAlign w:val="center"/>
          </w:tcPr>
          <w:p w14:paraId="7F29F4CE">
            <w:pPr>
              <w:spacing w:line="500" w:lineRule="exact"/>
              <w:jc w:val="center"/>
              <w:rPr>
                <w:rFonts w:ascii="宋体"/>
                <w:color w:val="000000" w:themeColor="text1"/>
                <w:highlight w:val="none"/>
                <w14:textFill>
                  <w14:solidFill>
                    <w14:schemeClr w14:val="tx1"/>
                  </w14:solidFill>
                </w14:textFill>
              </w:rPr>
            </w:pPr>
          </w:p>
        </w:tc>
      </w:tr>
      <w:tr w14:paraId="7FD52B1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62" w:hRule="atLeast"/>
          <w:jc w:val="center"/>
        </w:trPr>
        <w:tc>
          <w:tcPr>
            <w:tcW w:w="1684" w:type="dxa"/>
            <w:vAlign w:val="center"/>
          </w:tcPr>
          <w:p w14:paraId="40204E5B">
            <w:pPr>
              <w:spacing w:line="500" w:lineRule="exact"/>
              <w:jc w:val="center"/>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说明在岗情况</w:t>
            </w:r>
          </w:p>
        </w:tc>
        <w:tc>
          <w:tcPr>
            <w:tcW w:w="7961" w:type="dxa"/>
            <w:gridSpan w:val="8"/>
            <w:vAlign w:val="center"/>
          </w:tcPr>
          <w:p w14:paraId="22C0723E">
            <w:pPr>
              <w:spacing w:line="500" w:lineRule="exact"/>
              <w:jc w:val="left"/>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□目前未在其他项目上任职，现从事工作为：</w:t>
            </w:r>
            <w:r>
              <w:rPr>
                <w:rFonts w:ascii="宋体"/>
                <w:color w:val="000000" w:themeColor="text1"/>
                <w:highlight w:val="none"/>
                <w:u w:val="single"/>
                <w14:textFill>
                  <w14:solidFill>
                    <w14:schemeClr w14:val="tx1"/>
                  </w14:solidFill>
                </w14:textFill>
              </w:rPr>
              <w:tab/>
            </w:r>
            <w:r>
              <w:rPr>
                <w:rFonts w:hint="eastAsia" w:ascii="宋体" w:hAnsi="宋体" w:cs="宋体"/>
                <w:color w:val="000000" w:themeColor="text1"/>
                <w:highlight w:val="none"/>
                <w14:textFill>
                  <w14:solidFill>
                    <w14:schemeClr w14:val="tx1"/>
                  </w14:solidFill>
                </w14:textFill>
              </w:rPr>
              <w:t>。</w:t>
            </w:r>
          </w:p>
          <w:p w14:paraId="7906F71C">
            <w:pPr>
              <w:spacing w:line="500" w:lineRule="exact"/>
              <w:jc w:val="left"/>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□目前虽在其他项目上任职，但本项目成交后能够从该项目撤离，目前任职项目：</w:t>
            </w:r>
            <w:r>
              <w:rPr>
                <w:rFonts w:ascii="宋体"/>
                <w:color w:val="000000" w:themeColor="text1"/>
                <w:highlight w:val="none"/>
                <w:u w:val="single"/>
                <w14:textFill>
                  <w14:solidFill>
                    <w14:schemeClr w14:val="tx1"/>
                  </w14:solidFill>
                </w14:textFill>
              </w:rPr>
              <w:tab/>
            </w:r>
            <w:r>
              <w:rPr>
                <w:rFonts w:hint="eastAsia" w:ascii="宋体" w:hAnsi="宋体" w:cs="宋体"/>
                <w:color w:val="000000" w:themeColor="text1"/>
                <w:highlight w:val="none"/>
                <w14:textFill>
                  <w14:solidFill>
                    <w14:schemeClr w14:val="tx1"/>
                  </w14:solidFill>
                </w14:textFill>
              </w:rPr>
              <w:t>，担任职位：</w:t>
            </w:r>
            <w:r>
              <w:rPr>
                <w:rFonts w:ascii="宋体"/>
                <w:color w:val="000000" w:themeColor="text1"/>
                <w:highlight w:val="none"/>
                <w:u w:val="single"/>
                <w14:textFill>
                  <w14:solidFill>
                    <w14:schemeClr w14:val="tx1"/>
                  </w14:solidFill>
                </w14:textFill>
              </w:rPr>
              <w:tab/>
            </w:r>
            <w:r>
              <w:rPr>
                <w:rFonts w:hint="eastAsia" w:ascii="宋体" w:hAnsi="宋体" w:cs="宋体"/>
                <w:color w:val="000000" w:themeColor="text1"/>
                <w:highlight w:val="none"/>
                <w14:textFill>
                  <w14:solidFill>
                    <w14:schemeClr w14:val="tx1"/>
                  </w14:solidFill>
                </w14:textFill>
              </w:rPr>
              <w:t>。</w:t>
            </w:r>
          </w:p>
        </w:tc>
      </w:tr>
      <w:tr w14:paraId="7FD40A3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9" w:hRule="atLeast"/>
          <w:jc w:val="center"/>
        </w:trPr>
        <w:tc>
          <w:tcPr>
            <w:tcW w:w="1684" w:type="dxa"/>
            <w:tcBorders>
              <w:bottom w:val="single" w:color="auto" w:sz="12" w:space="0"/>
            </w:tcBorders>
            <w:vAlign w:val="center"/>
          </w:tcPr>
          <w:p w14:paraId="3CE0B214">
            <w:pPr>
              <w:spacing w:line="500" w:lineRule="exact"/>
              <w:jc w:val="center"/>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备注</w:t>
            </w:r>
          </w:p>
        </w:tc>
        <w:tc>
          <w:tcPr>
            <w:tcW w:w="7961" w:type="dxa"/>
            <w:gridSpan w:val="8"/>
            <w:tcBorders>
              <w:bottom w:val="single" w:color="auto" w:sz="12" w:space="0"/>
            </w:tcBorders>
            <w:vAlign w:val="center"/>
          </w:tcPr>
          <w:p w14:paraId="72D6C54C">
            <w:pPr>
              <w:spacing w:line="500" w:lineRule="exact"/>
              <w:jc w:val="center"/>
              <w:rPr>
                <w:rFonts w:ascii="宋体"/>
                <w:color w:val="000000" w:themeColor="text1"/>
                <w:highlight w:val="none"/>
                <w14:textFill>
                  <w14:solidFill>
                    <w14:schemeClr w14:val="tx1"/>
                  </w14:solidFill>
                </w14:textFill>
              </w:rPr>
            </w:pPr>
          </w:p>
        </w:tc>
      </w:tr>
    </w:tbl>
    <w:p w14:paraId="337D5FC5">
      <w:pPr>
        <w:spacing w:line="500" w:lineRule="exact"/>
        <w:jc w:val="left"/>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注：</w:t>
      </w:r>
    </w:p>
    <w:p w14:paraId="4BD6861E">
      <w:pPr>
        <w:spacing w:line="500" w:lineRule="exact"/>
        <w:ind w:firstLine="420" w:firstLineChars="200"/>
        <w:jc w:val="left"/>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1</w:t>
      </w:r>
      <w:r>
        <w:rPr>
          <w:rFonts w:ascii="宋体" w:cs="宋体"/>
          <w:color w:val="000000" w:themeColor="text1"/>
          <w:highlight w:val="none"/>
          <w14:textFill>
            <w14:solidFill>
              <w14:schemeClr w14:val="tx1"/>
            </w14:solidFill>
          </w14:textFill>
        </w:rPr>
        <w:t>.</w:t>
      </w:r>
      <w:r>
        <w:rPr>
          <w:rFonts w:hint="eastAsia" w:ascii="宋体" w:hAnsi="宋体" w:cs="宋体"/>
          <w:color w:val="000000" w:themeColor="text1"/>
          <w:highlight w:val="none"/>
          <w14:textFill>
            <w14:solidFill>
              <w14:schemeClr w14:val="tx1"/>
            </w14:solidFill>
          </w14:textFill>
        </w:rPr>
        <w:t>本表后面附上项目总工的身份证、职称资格证书以及资格审查条件所要求的其他相关证书的复印件。身份证如为第二代身份证的应附前后两面的复印件；</w:t>
      </w:r>
    </w:p>
    <w:p w14:paraId="24DD2E68">
      <w:pPr>
        <w:spacing w:line="500" w:lineRule="exact"/>
        <w:ind w:firstLine="420" w:firstLineChars="200"/>
        <w:jc w:val="left"/>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2</w:t>
      </w:r>
      <w:r>
        <w:rPr>
          <w:rFonts w:ascii="宋体" w:cs="宋体"/>
          <w:color w:val="000000" w:themeColor="text1"/>
          <w:highlight w:val="none"/>
          <w14:textFill>
            <w14:solidFill>
              <w14:schemeClr w14:val="tx1"/>
            </w14:solidFill>
          </w14:textFill>
        </w:rPr>
        <w:t>.</w:t>
      </w:r>
      <w:r>
        <w:rPr>
          <w:rFonts w:hint="eastAsia" w:ascii="宋体" w:hAnsi="宋体" w:cs="宋体"/>
          <w:color w:val="000000" w:themeColor="text1"/>
          <w:highlight w:val="none"/>
          <w14:textFill>
            <w14:solidFill>
              <w14:schemeClr w14:val="tx1"/>
            </w14:solidFill>
          </w14:textFill>
        </w:rPr>
        <w:t>目前未在具体项目上任职的，请在备注栏说明现在负责的工作内容。</w:t>
      </w:r>
    </w:p>
    <w:p w14:paraId="1BFE3CF5">
      <w:pPr>
        <w:spacing w:line="520" w:lineRule="exact"/>
        <w:rPr>
          <w:rFonts w:ascii="宋体"/>
          <w:color w:val="000000" w:themeColor="text1"/>
          <w:highlight w:val="none"/>
          <w14:textFill>
            <w14:solidFill>
              <w14:schemeClr w14:val="tx1"/>
            </w14:solidFill>
          </w14:textFill>
        </w:rPr>
      </w:pPr>
    </w:p>
    <w:p w14:paraId="5BD79D31">
      <w:pPr>
        <w:adjustRightInd w:val="0"/>
        <w:snapToGrid w:val="0"/>
        <w:spacing w:line="300" w:lineRule="auto"/>
        <w:jc w:val="center"/>
        <w:rPr>
          <w:rFonts w:ascii="宋体"/>
          <w:color w:val="000000" w:themeColor="text1"/>
          <w:highlight w:val="none"/>
          <w14:textFill>
            <w14:solidFill>
              <w14:schemeClr w14:val="tx1"/>
            </w14:solidFill>
          </w14:textFill>
        </w:rPr>
      </w:pPr>
    </w:p>
    <w:p w14:paraId="5A6F760C">
      <w:pPr>
        <w:spacing w:line="360" w:lineRule="auto"/>
        <w:ind w:right="480" w:firstLine="2940" w:firstLineChars="1400"/>
        <w:rPr>
          <w:rFonts w:ascii="宋体"/>
          <w:color w:val="000000" w:themeColor="text1"/>
          <w:highlight w:val="none"/>
          <w:u w:val="singl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法定代表人或者委托代理人（签字或盖印鉴）：</w:t>
      </w:r>
      <w:r>
        <w:rPr>
          <w:rFonts w:ascii="宋体" w:hAnsi="宋体" w:cs="宋体"/>
          <w:color w:val="000000" w:themeColor="text1"/>
          <w:highlight w:val="none"/>
          <w:u w:val="single"/>
          <w14:textFill>
            <w14:solidFill>
              <w14:schemeClr w14:val="tx1"/>
            </w14:solidFill>
          </w14:textFill>
        </w:rPr>
        <w:t xml:space="preserve">               </w:t>
      </w:r>
    </w:p>
    <w:p w14:paraId="333CCBC8">
      <w:pPr>
        <w:spacing w:line="360" w:lineRule="auto"/>
        <w:ind w:right="480" w:firstLine="2940" w:firstLineChars="1400"/>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供应商（盖公章）：</w:t>
      </w:r>
      <w:r>
        <w:rPr>
          <w:rFonts w:ascii="宋体" w:hAnsi="宋体" w:cs="宋体"/>
          <w:color w:val="000000" w:themeColor="text1"/>
          <w:highlight w:val="none"/>
          <w:u w:val="single"/>
          <w14:textFill>
            <w14:solidFill>
              <w14:schemeClr w14:val="tx1"/>
            </w14:solidFill>
          </w14:textFill>
        </w:rPr>
        <w:t xml:space="preserve">                           </w:t>
      </w:r>
    </w:p>
    <w:p w14:paraId="2521C396">
      <w:pPr>
        <w:spacing w:line="360" w:lineRule="auto"/>
        <w:ind w:right="480" w:firstLine="210" w:firstLineChars="100"/>
        <w:jc w:val="center"/>
        <w:rPr>
          <w:rFonts w:ascii="宋体"/>
          <w:color w:val="000000" w:themeColor="text1"/>
          <w:sz w:val="28"/>
          <w:szCs w:val="28"/>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年</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月</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日</w:t>
      </w:r>
    </w:p>
    <w:p w14:paraId="525FB6D1">
      <w:pPr>
        <w:spacing w:line="360" w:lineRule="auto"/>
        <w:jc w:val="center"/>
        <w:rPr>
          <w:rFonts w:ascii="宋体"/>
          <w:b/>
          <w:bCs/>
          <w:color w:val="000000" w:themeColor="text1"/>
          <w:sz w:val="36"/>
          <w:szCs w:val="36"/>
          <w:highlight w:val="none"/>
          <w14:textFill>
            <w14:solidFill>
              <w14:schemeClr w14:val="tx1"/>
            </w14:solidFill>
          </w14:textFill>
        </w:rPr>
        <w:sectPr>
          <w:headerReference r:id="rId15" w:type="default"/>
          <w:footerReference r:id="rId16" w:type="default"/>
          <w:pgSz w:w="11910" w:h="16850"/>
          <w:pgMar w:top="1134" w:right="1134" w:bottom="1134" w:left="1134" w:header="720" w:footer="720" w:gutter="0"/>
          <w:cols w:space="720" w:num="1"/>
        </w:sectPr>
      </w:pPr>
    </w:p>
    <w:p w14:paraId="1C49631C">
      <w:pPr>
        <w:spacing w:line="360" w:lineRule="auto"/>
        <w:jc w:val="center"/>
        <w:rPr>
          <w:rFonts w:hint="eastAsia" w:ascii="宋体" w:hAnsi="宋体" w:eastAsia="宋体" w:cs="宋体"/>
          <w:b/>
          <w:bCs/>
          <w:color w:val="000000" w:themeColor="text1"/>
          <w:sz w:val="36"/>
          <w:szCs w:val="36"/>
          <w:highlight w:val="none"/>
          <w14:textFill>
            <w14:solidFill>
              <w14:schemeClr w14:val="tx1"/>
            </w14:solidFill>
          </w14:textFill>
        </w:rPr>
      </w:pPr>
      <w:r>
        <w:rPr>
          <w:rFonts w:hint="eastAsia" w:ascii="宋体" w:hAnsi="宋体" w:eastAsia="宋体" w:cs="宋体"/>
          <w:b/>
          <w:bCs/>
          <w:color w:val="000000" w:themeColor="text1"/>
          <w:sz w:val="36"/>
          <w:szCs w:val="36"/>
          <w:highlight w:val="none"/>
          <w:lang w:eastAsia="zh-CN"/>
          <w14:textFill>
            <w14:solidFill>
              <w14:schemeClr w14:val="tx1"/>
            </w14:solidFill>
          </w14:textFill>
        </w:rPr>
        <w:t>拟委任的主要人员</w:t>
      </w:r>
      <w:r>
        <w:rPr>
          <w:rFonts w:hint="eastAsia" w:ascii="宋体" w:hAnsi="宋体" w:eastAsia="宋体" w:cs="宋体"/>
          <w:b/>
          <w:bCs/>
          <w:color w:val="000000" w:themeColor="text1"/>
          <w:sz w:val="36"/>
          <w:szCs w:val="36"/>
          <w:highlight w:val="none"/>
          <w14:textFill>
            <w14:solidFill>
              <w14:schemeClr w14:val="tx1"/>
            </w14:solidFill>
          </w14:textFill>
        </w:rPr>
        <w:t>（项目经理、总工</w:t>
      </w:r>
      <w:r>
        <w:rPr>
          <w:rFonts w:hint="eastAsia" w:ascii="宋体" w:hAnsi="宋体" w:eastAsia="宋体" w:cs="宋体"/>
          <w:b/>
          <w:bCs/>
          <w:color w:val="000000" w:themeColor="text1"/>
          <w:sz w:val="36"/>
          <w:szCs w:val="36"/>
          <w:highlight w:val="none"/>
          <w:lang w:eastAsia="zh-CN"/>
          <w14:textFill>
            <w14:solidFill>
              <w14:schemeClr w14:val="tx1"/>
            </w14:solidFill>
          </w14:textFill>
        </w:rPr>
        <w:t>、专职安全员</w:t>
      </w:r>
      <w:r>
        <w:rPr>
          <w:rFonts w:hint="eastAsia" w:ascii="宋体" w:hAnsi="宋体" w:eastAsia="宋体" w:cs="宋体"/>
          <w:b/>
          <w:bCs/>
          <w:color w:val="000000" w:themeColor="text1"/>
          <w:sz w:val="36"/>
          <w:szCs w:val="36"/>
          <w:highlight w:val="none"/>
          <w14:textFill>
            <w14:solidFill>
              <w14:schemeClr w14:val="tx1"/>
            </w14:solidFill>
          </w14:textFill>
        </w:rPr>
        <w:t>）</w:t>
      </w:r>
    </w:p>
    <w:p w14:paraId="4A2DD2A3">
      <w:pPr>
        <w:spacing w:line="360" w:lineRule="auto"/>
        <w:jc w:val="center"/>
        <w:rPr>
          <w:rFonts w:hint="eastAsia" w:ascii="宋体" w:hAnsi="宋体" w:eastAsia="宋体" w:cs="宋体"/>
          <w:b/>
          <w:bCs/>
          <w:color w:val="000000" w:themeColor="text1"/>
          <w:sz w:val="36"/>
          <w:szCs w:val="36"/>
          <w:highlight w:val="none"/>
          <w14:textFill>
            <w14:solidFill>
              <w14:schemeClr w14:val="tx1"/>
            </w14:solidFill>
          </w14:textFill>
        </w:rPr>
      </w:pPr>
      <w:r>
        <w:rPr>
          <w:rFonts w:hint="eastAsia" w:ascii="宋体" w:hAnsi="宋体" w:eastAsia="宋体" w:cs="宋体"/>
          <w:b/>
          <w:bCs/>
          <w:color w:val="000000" w:themeColor="text1"/>
          <w:sz w:val="36"/>
          <w:szCs w:val="36"/>
          <w:highlight w:val="none"/>
          <w14:textFill>
            <w14:solidFill>
              <w14:schemeClr w14:val="tx1"/>
            </w14:solidFill>
          </w14:textFill>
        </w:rPr>
        <w:t>无在岗项目承诺书</w:t>
      </w:r>
    </w:p>
    <w:p w14:paraId="64E72E56">
      <w:pPr>
        <w:pStyle w:val="472"/>
        <w:jc w:val="center"/>
        <w:rPr>
          <w:rFonts w:ascii="黑体" w:hAnsi="黑体" w:eastAsia="黑体" w:cs="黑体"/>
          <w:b/>
          <w:color w:val="000000" w:themeColor="text1"/>
          <w:spacing w:val="28"/>
          <w:sz w:val="32"/>
          <w:szCs w:val="32"/>
          <w:highlight w:val="none"/>
          <w14:textFill>
            <w14:solidFill>
              <w14:schemeClr w14:val="tx1"/>
            </w14:solidFill>
          </w14:textFill>
        </w:rPr>
      </w:pPr>
    </w:p>
    <w:p w14:paraId="0D2E50BB">
      <w:pPr>
        <w:pStyle w:val="472"/>
        <w:jc w:val="center"/>
        <w:rPr>
          <w:bCs/>
          <w:color w:val="000000" w:themeColor="text1"/>
          <w:spacing w:val="17"/>
          <w:szCs w:val="21"/>
          <w:highlight w:val="none"/>
          <w14:textFill>
            <w14:solidFill>
              <w14:schemeClr w14:val="tx1"/>
            </w14:solidFill>
          </w14:textFill>
        </w:rPr>
      </w:pPr>
      <w:r>
        <w:rPr>
          <w:rFonts w:hint="eastAsia"/>
          <w:bCs/>
          <w:color w:val="000000" w:themeColor="text1"/>
          <w:spacing w:val="17"/>
          <w:szCs w:val="21"/>
          <w:highlight w:val="none"/>
          <w14:textFill>
            <w14:solidFill>
              <w14:schemeClr w14:val="tx1"/>
            </w14:solidFill>
          </w14:textFill>
        </w:rPr>
        <w:t>（无在岗项目指目前未在其他项目上任职，或目前虽在其他项目上任职但本项目中标后能够从任职的项目上随时撤离。）</w:t>
      </w:r>
    </w:p>
    <w:p w14:paraId="0C136280">
      <w:pPr>
        <w:pStyle w:val="472"/>
        <w:jc w:val="center"/>
        <w:rPr>
          <w:bCs/>
          <w:color w:val="000000" w:themeColor="text1"/>
          <w:spacing w:val="17"/>
          <w:szCs w:val="21"/>
          <w:highlight w:val="none"/>
          <w14:textFill>
            <w14:solidFill>
              <w14:schemeClr w14:val="tx1"/>
            </w14:solidFill>
          </w14:textFill>
        </w:rPr>
      </w:pPr>
    </w:p>
    <w:p w14:paraId="6634C5FE">
      <w:pPr>
        <w:pStyle w:val="472"/>
        <w:spacing w:beforeLines="100" w:line="360" w:lineRule="auto"/>
        <w:rPr>
          <w:color w:val="000000" w:themeColor="text1"/>
          <w:spacing w:val="17"/>
          <w:highlight w:val="none"/>
          <w14:textFill>
            <w14:solidFill>
              <w14:schemeClr w14:val="tx1"/>
            </w14:solidFill>
          </w14:textFill>
        </w:rPr>
      </w:pPr>
      <w:r>
        <w:rPr>
          <w:rFonts w:hint="eastAsia"/>
          <w:color w:val="000000" w:themeColor="text1"/>
          <w:spacing w:val="17"/>
          <w:highlight w:val="none"/>
          <w:u w:val="single"/>
          <w14:textFill>
            <w14:solidFill>
              <w14:schemeClr w14:val="tx1"/>
            </w14:solidFill>
          </w14:textFill>
        </w:rPr>
        <w:t xml:space="preserve">致：                         </w:t>
      </w:r>
      <w:r>
        <w:rPr>
          <w:rFonts w:hint="eastAsia"/>
          <w:color w:val="000000" w:themeColor="text1"/>
          <w:spacing w:val="17"/>
          <w:highlight w:val="none"/>
          <w14:textFill>
            <w14:solidFill>
              <w14:schemeClr w14:val="tx1"/>
            </w14:solidFill>
          </w14:textFill>
        </w:rPr>
        <w:t>（采购单位名称）：</w:t>
      </w:r>
    </w:p>
    <w:p w14:paraId="4D71E8C9">
      <w:pPr>
        <w:pStyle w:val="472"/>
        <w:spacing w:line="360" w:lineRule="auto"/>
        <w:ind w:firstLine="480"/>
        <w:rPr>
          <w:color w:val="000000" w:themeColor="text1"/>
          <w:spacing w:val="17"/>
          <w:highlight w:val="none"/>
          <w14:textFill>
            <w14:solidFill>
              <w14:schemeClr w14:val="tx1"/>
            </w14:solidFill>
          </w14:textFill>
        </w:rPr>
      </w:pPr>
      <w:r>
        <w:rPr>
          <w:rFonts w:hint="eastAsia"/>
          <w:color w:val="000000" w:themeColor="text1"/>
          <w:spacing w:val="17"/>
          <w:highlight w:val="none"/>
          <w14:textFill>
            <w14:solidFill>
              <w14:schemeClr w14:val="tx1"/>
            </w14:solidFill>
          </w14:textFill>
        </w:rPr>
        <w:t>我方参加了贵单位采购的</w:t>
      </w:r>
      <w:r>
        <w:rPr>
          <w:rFonts w:hint="eastAsia"/>
          <w:color w:val="000000" w:themeColor="text1"/>
          <w:spacing w:val="17"/>
          <w:highlight w:val="none"/>
          <w:u w:val="single"/>
          <w14:textFill>
            <w14:solidFill>
              <w14:schemeClr w14:val="tx1"/>
            </w14:solidFill>
          </w14:textFill>
        </w:rPr>
        <w:t xml:space="preserve">         （项目名称）       </w:t>
      </w:r>
      <w:r>
        <w:rPr>
          <w:rFonts w:hint="eastAsia"/>
          <w:color w:val="000000" w:themeColor="text1"/>
          <w:spacing w:val="17"/>
          <w:highlight w:val="none"/>
          <w14:textFill>
            <w14:solidFill>
              <w14:schemeClr w14:val="tx1"/>
            </w14:solidFill>
          </w14:textFill>
        </w:rPr>
        <w:t>的施工磋商，我方对拟投入该项目的项目经理、项目总工、专职安全员的在岗情况承诺如下：</w:t>
      </w:r>
    </w:p>
    <w:p w14:paraId="3077562D">
      <w:pPr>
        <w:pStyle w:val="472"/>
        <w:spacing w:line="360" w:lineRule="auto"/>
        <w:ind w:firstLine="488" w:firstLineChars="200"/>
        <w:rPr>
          <w:color w:val="000000" w:themeColor="text1"/>
          <w:spacing w:val="17"/>
          <w:szCs w:val="21"/>
          <w:highlight w:val="none"/>
          <w14:textFill>
            <w14:solidFill>
              <w14:schemeClr w14:val="tx1"/>
            </w14:solidFill>
          </w14:textFill>
        </w:rPr>
      </w:pPr>
      <w:r>
        <w:rPr>
          <w:rFonts w:hint="eastAsia"/>
          <w:color w:val="000000" w:themeColor="text1"/>
          <w:spacing w:val="17"/>
          <w:highlight w:val="none"/>
          <w14:textFill>
            <w14:solidFill>
              <w14:schemeClr w14:val="tx1"/>
            </w14:solidFill>
          </w14:textFill>
        </w:rPr>
        <w:t>一、拟委任的项目经理</w:t>
      </w:r>
      <w:r>
        <w:rPr>
          <w:rFonts w:hint="eastAsia"/>
          <w:color w:val="000000" w:themeColor="text1"/>
          <w:spacing w:val="17"/>
          <w:szCs w:val="21"/>
          <w:highlight w:val="none"/>
          <w:u w:val="single"/>
          <w14:textFill>
            <w14:solidFill>
              <w14:schemeClr w14:val="tx1"/>
            </w14:solidFill>
          </w14:textFill>
        </w:rPr>
        <w:t xml:space="preserve">  （姓名及身份证号）  </w:t>
      </w:r>
      <w:r>
        <w:rPr>
          <w:rFonts w:hint="eastAsia"/>
          <w:color w:val="000000" w:themeColor="text1"/>
          <w:spacing w:val="17"/>
          <w:szCs w:val="21"/>
          <w:highlight w:val="none"/>
          <w14:textFill>
            <w14:solidFill>
              <w14:schemeClr w14:val="tx1"/>
            </w14:solidFill>
          </w14:textFill>
        </w:rPr>
        <w:t>，</w:t>
      </w:r>
    </w:p>
    <w:p w14:paraId="3FF540A3">
      <w:pPr>
        <w:pStyle w:val="472"/>
        <w:spacing w:line="360" w:lineRule="auto"/>
        <w:ind w:firstLine="488"/>
        <w:rPr>
          <w:color w:val="000000" w:themeColor="text1"/>
          <w:spacing w:val="17"/>
          <w:szCs w:val="21"/>
          <w:highlight w:val="none"/>
          <w14:textFill>
            <w14:solidFill>
              <w14:schemeClr w14:val="tx1"/>
            </w14:solidFill>
          </w14:textFill>
        </w:rPr>
      </w:pPr>
      <w:r>
        <w:rPr>
          <w:rFonts w:hint="eastAsia"/>
          <w:color w:val="000000" w:themeColor="text1"/>
          <w:spacing w:val="17"/>
          <w:szCs w:val="21"/>
          <w:highlight w:val="none"/>
          <w14:textFill>
            <w14:solidFill>
              <w14:schemeClr w14:val="tx1"/>
            </w14:solidFill>
          </w14:textFill>
        </w:rPr>
        <w:t>□ 目前未在其他项目上任职，现从事工作为</w:t>
      </w:r>
      <w:r>
        <w:rPr>
          <w:rFonts w:hint="eastAsia"/>
          <w:color w:val="000000" w:themeColor="text1"/>
          <w:spacing w:val="17"/>
          <w:szCs w:val="21"/>
          <w:highlight w:val="none"/>
          <w:u w:val="single"/>
          <w14:textFill>
            <w14:solidFill>
              <w14:schemeClr w14:val="tx1"/>
            </w14:solidFill>
          </w14:textFill>
        </w:rPr>
        <w:t xml:space="preserve">              </w:t>
      </w:r>
      <w:r>
        <w:rPr>
          <w:rFonts w:hint="eastAsia"/>
          <w:color w:val="000000" w:themeColor="text1"/>
          <w:spacing w:val="17"/>
          <w:szCs w:val="21"/>
          <w:highlight w:val="none"/>
          <w14:textFill>
            <w14:solidFill>
              <w14:schemeClr w14:val="tx1"/>
            </w14:solidFill>
          </w14:textFill>
        </w:rPr>
        <w:t>。</w:t>
      </w:r>
    </w:p>
    <w:p w14:paraId="112D041F">
      <w:pPr>
        <w:pStyle w:val="472"/>
        <w:spacing w:line="360" w:lineRule="auto"/>
        <w:ind w:firstLine="488"/>
        <w:rPr>
          <w:color w:val="000000" w:themeColor="text1"/>
          <w:spacing w:val="17"/>
          <w:szCs w:val="21"/>
          <w:highlight w:val="none"/>
          <w14:textFill>
            <w14:solidFill>
              <w14:schemeClr w14:val="tx1"/>
            </w14:solidFill>
          </w14:textFill>
        </w:rPr>
      </w:pPr>
      <w:r>
        <w:rPr>
          <w:rFonts w:hint="eastAsia"/>
          <w:color w:val="000000" w:themeColor="text1"/>
          <w:spacing w:val="17"/>
          <w:szCs w:val="21"/>
          <w:highlight w:val="none"/>
          <w14:textFill>
            <w14:solidFill>
              <w14:schemeClr w14:val="tx1"/>
            </w14:solidFill>
          </w14:textFill>
        </w:rPr>
        <w:t>□ 目前虽在其他项目上任职，但本项目中标后能够从该项目随时撤离，目前任职项目：</w:t>
      </w:r>
      <w:r>
        <w:rPr>
          <w:rFonts w:hint="eastAsia"/>
          <w:color w:val="000000" w:themeColor="text1"/>
          <w:spacing w:val="17"/>
          <w:szCs w:val="21"/>
          <w:highlight w:val="none"/>
          <w:u w:val="single"/>
          <w14:textFill>
            <w14:solidFill>
              <w14:schemeClr w14:val="tx1"/>
            </w14:solidFill>
          </w14:textFill>
        </w:rPr>
        <w:t xml:space="preserve">    （项目名称）    </w:t>
      </w:r>
      <w:r>
        <w:rPr>
          <w:rFonts w:hint="eastAsia"/>
          <w:color w:val="000000" w:themeColor="text1"/>
          <w:spacing w:val="17"/>
          <w:szCs w:val="21"/>
          <w:highlight w:val="none"/>
          <w14:textFill>
            <w14:solidFill>
              <w14:schemeClr w14:val="tx1"/>
            </w14:solidFill>
          </w14:textFill>
        </w:rPr>
        <w:t>，担任职位：</w:t>
      </w:r>
      <w:r>
        <w:rPr>
          <w:rFonts w:hint="eastAsia"/>
          <w:color w:val="000000" w:themeColor="text1"/>
          <w:spacing w:val="17"/>
          <w:szCs w:val="21"/>
          <w:highlight w:val="none"/>
          <w:u w:val="single"/>
          <w14:textFill>
            <w14:solidFill>
              <w14:schemeClr w14:val="tx1"/>
            </w14:solidFill>
          </w14:textFill>
        </w:rPr>
        <w:t xml:space="preserve">      </w:t>
      </w:r>
      <w:r>
        <w:rPr>
          <w:color w:val="000000" w:themeColor="text1"/>
          <w:spacing w:val="17"/>
          <w:szCs w:val="21"/>
          <w:highlight w:val="none"/>
          <w:u w:val="single"/>
          <w14:textFill>
            <w14:solidFill>
              <w14:schemeClr w14:val="tx1"/>
            </w14:solidFill>
          </w14:textFill>
        </w:rPr>
        <w:t xml:space="preserve"> </w:t>
      </w:r>
      <w:r>
        <w:rPr>
          <w:rFonts w:hint="eastAsia"/>
          <w:color w:val="000000" w:themeColor="text1"/>
          <w:spacing w:val="17"/>
          <w:szCs w:val="21"/>
          <w:highlight w:val="none"/>
          <w14:textFill>
            <w14:solidFill>
              <w14:schemeClr w14:val="tx1"/>
            </w14:solidFill>
          </w14:textFill>
        </w:rPr>
        <w:t>。</w:t>
      </w:r>
    </w:p>
    <w:p w14:paraId="10A43C4A">
      <w:pPr>
        <w:pStyle w:val="472"/>
        <w:spacing w:line="360" w:lineRule="auto"/>
        <w:ind w:firstLine="488"/>
        <w:rPr>
          <w:color w:val="000000" w:themeColor="text1"/>
          <w:spacing w:val="17"/>
          <w:szCs w:val="21"/>
          <w:highlight w:val="none"/>
          <w14:textFill>
            <w14:solidFill>
              <w14:schemeClr w14:val="tx1"/>
            </w14:solidFill>
          </w14:textFill>
        </w:rPr>
      </w:pPr>
      <w:r>
        <w:rPr>
          <w:rFonts w:hint="eastAsia"/>
          <w:color w:val="000000" w:themeColor="text1"/>
          <w:spacing w:val="17"/>
          <w:highlight w:val="none"/>
          <w14:textFill>
            <w14:solidFill>
              <w14:schemeClr w14:val="tx1"/>
            </w14:solidFill>
          </w14:textFill>
        </w:rPr>
        <w:t>二、拟委任的项目总工</w:t>
      </w:r>
      <w:r>
        <w:rPr>
          <w:rFonts w:hint="eastAsia"/>
          <w:color w:val="000000" w:themeColor="text1"/>
          <w:spacing w:val="17"/>
          <w:szCs w:val="21"/>
          <w:highlight w:val="none"/>
          <w:u w:val="single"/>
          <w14:textFill>
            <w14:solidFill>
              <w14:schemeClr w14:val="tx1"/>
            </w14:solidFill>
          </w14:textFill>
        </w:rPr>
        <w:t xml:space="preserve">  （姓名及身份证号）  </w:t>
      </w:r>
      <w:r>
        <w:rPr>
          <w:rFonts w:hint="eastAsia"/>
          <w:color w:val="000000" w:themeColor="text1"/>
          <w:spacing w:val="17"/>
          <w:szCs w:val="21"/>
          <w:highlight w:val="none"/>
          <w14:textFill>
            <w14:solidFill>
              <w14:schemeClr w14:val="tx1"/>
            </w14:solidFill>
          </w14:textFill>
        </w:rPr>
        <w:t>，</w:t>
      </w:r>
    </w:p>
    <w:p w14:paraId="05FAC280">
      <w:pPr>
        <w:pStyle w:val="472"/>
        <w:spacing w:line="360" w:lineRule="auto"/>
        <w:ind w:left="480"/>
        <w:rPr>
          <w:color w:val="000000" w:themeColor="text1"/>
          <w:spacing w:val="17"/>
          <w:szCs w:val="21"/>
          <w:highlight w:val="none"/>
          <w14:textFill>
            <w14:solidFill>
              <w14:schemeClr w14:val="tx1"/>
            </w14:solidFill>
          </w14:textFill>
        </w:rPr>
      </w:pPr>
      <w:r>
        <w:rPr>
          <w:rFonts w:hint="eastAsia"/>
          <w:color w:val="000000" w:themeColor="text1"/>
          <w:spacing w:val="17"/>
          <w:szCs w:val="21"/>
          <w:highlight w:val="none"/>
          <w14:textFill>
            <w14:solidFill>
              <w14:schemeClr w14:val="tx1"/>
            </w14:solidFill>
          </w14:textFill>
        </w:rPr>
        <w:t>□ 目前未在其他项目上任职，现从事工作为</w:t>
      </w:r>
      <w:r>
        <w:rPr>
          <w:rFonts w:hint="eastAsia"/>
          <w:color w:val="000000" w:themeColor="text1"/>
          <w:spacing w:val="17"/>
          <w:szCs w:val="21"/>
          <w:highlight w:val="none"/>
          <w:u w:val="single"/>
          <w14:textFill>
            <w14:solidFill>
              <w14:schemeClr w14:val="tx1"/>
            </w14:solidFill>
          </w14:textFill>
        </w:rPr>
        <w:t xml:space="preserve">              </w:t>
      </w:r>
      <w:r>
        <w:rPr>
          <w:rFonts w:hint="eastAsia"/>
          <w:color w:val="000000" w:themeColor="text1"/>
          <w:spacing w:val="17"/>
          <w:szCs w:val="21"/>
          <w:highlight w:val="none"/>
          <w14:textFill>
            <w14:solidFill>
              <w14:schemeClr w14:val="tx1"/>
            </w14:solidFill>
          </w14:textFill>
        </w:rPr>
        <w:t>。</w:t>
      </w:r>
    </w:p>
    <w:p w14:paraId="7845B4F2">
      <w:pPr>
        <w:pStyle w:val="472"/>
        <w:spacing w:line="360" w:lineRule="auto"/>
        <w:ind w:firstLine="488"/>
        <w:rPr>
          <w:color w:val="000000" w:themeColor="text1"/>
          <w:spacing w:val="17"/>
          <w:szCs w:val="21"/>
          <w:highlight w:val="none"/>
          <w14:textFill>
            <w14:solidFill>
              <w14:schemeClr w14:val="tx1"/>
            </w14:solidFill>
          </w14:textFill>
        </w:rPr>
      </w:pPr>
      <w:r>
        <w:rPr>
          <w:rFonts w:hint="eastAsia"/>
          <w:color w:val="000000" w:themeColor="text1"/>
          <w:spacing w:val="17"/>
          <w:szCs w:val="21"/>
          <w:highlight w:val="none"/>
          <w14:textFill>
            <w14:solidFill>
              <w14:schemeClr w14:val="tx1"/>
            </w14:solidFill>
          </w14:textFill>
        </w:rPr>
        <w:t>□ 目前虽在其他项目上任职，但本项目中标后能够从该项目随时撤离，目前任职项目：</w:t>
      </w:r>
      <w:r>
        <w:rPr>
          <w:rFonts w:hint="eastAsia"/>
          <w:color w:val="000000" w:themeColor="text1"/>
          <w:spacing w:val="17"/>
          <w:szCs w:val="21"/>
          <w:highlight w:val="none"/>
          <w:u w:val="single"/>
          <w14:textFill>
            <w14:solidFill>
              <w14:schemeClr w14:val="tx1"/>
            </w14:solidFill>
          </w14:textFill>
        </w:rPr>
        <w:t xml:space="preserve">    （项目名称）     </w:t>
      </w:r>
      <w:r>
        <w:rPr>
          <w:rFonts w:hint="eastAsia"/>
          <w:color w:val="000000" w:themeColor="text1"/>
          <w:spacing w:val="17"/>
          <w:szCs w:val="21"/>
          <w:highlight w:val="none"/>
          <w14:textFill>
            <w14:solidFill>
              <w14:schemeClr w14:val="tx1"/>
            </w14:solidFill>
          </w14:textFill>
        </w:rPr>
        <w:t>，担任职位：</w:t>
      </w:r>
      <w:r>
        <w:rPr>
          <w:rFonts w:hint="eastAsia"/>
          <w:color w:val="000000" w:themeColor="text1"/>
          <w:spacing w:val="17"/>
          <w:szCs w:val="21"/>
          <w:highlight w:val="none"/>
          <w:u w:val="single"/>
          <w14:textFill>
            <w14:solidFill>
              <w14:schemeClr w14:val="tx1"/>
            </w14:solidFill>
          </w14:textFill>
        </w:rPr>
        <w:t xml:space="preserve">      </w:t>
      </w:r>
      <w:r>
        <w:rPr>
          <w:color w:val="000000" w:themeColor="text1"/>
          <w:spacing w:val="17"/>
          <w:szCs w:val="21"/>
          <w:highlight w:val="none"/>
          <w:u w:val="single"/>
          <w14:textFill>
            <w14:solidFill>
              <w14:schemeClr w14:val="tx1"/>
            </w14:solidFill>
          </w14:textFill>
        </w:rPr>
        <w:t xml:space="preserve"> </w:t>
      </w:r>
      <w:r>
        <w:rPr>
          <w:rFonts w:hint="eastAsia"/>
          <w:color w:val="000000" w:themeColor="text1"/>
          <w:spacing w:val="17"/>
          <w:szCs w:val="21"/>
          <w:highlight w:val="none"/>
          <w14:textFill>
            <w14:solidFill>
              <w14:schemeClr w14:val="tx1"/>
            </w14:solidFill>
          </w14:textFill>
        </w:rPr>
        <w:t>。</w:t>
      </w:r>
    </w:p>
    <w:p w14:paraId="68BCCC96">
      <w:pPr>
        <w:pStyle w:val="472"/>
        <w:spacing w:line="360" w:lineRule="auto"/>
        <w:ind w:left="480"/>
        <w:rPr>
          <w:color w:val="000000" w:themeColor="text1"/>
          <w:spacing w:val="17"/>
          <w:szCs w:val="21"/>
          <w:highlight w:val="none"/>
          <w:u w:val="single"/>
          <w14:textFill>
            <w14:solidFill>
              <w14:schemeClr w14:val="tx1"/>
            </w14:solidFill>
          </w14:textFill>
        </w:rPr>
      </w:pPr>
      <w:r>
        <w:rPr>
          <w:rFonts w:hint="eastAsia"/>
          <w:color w:val="000000" w:themeColor="text1"/>
          <w:spacing w:val="17"/>
          <w:highlight w:val="none"/>
          <w14:textFill>
            <w14:solidFill>
              <w14:schemeClr w14:val="tx1"/>
            </w14:solidFill>
          </w14:textFill>
        </w:rPr>
        <w:t>三、拟委任的专职安全员</w:t>
      </w:r>
      <w:r>
        <w:rPr>
          <w:rFonts w:hint="eastAsia"/>
          <w:color w:val="000000" w:themeColor="text1"/>
          <w:spacing w:val="17"/>
          <w:szCs w:val="21"/>
          <w:highlight w:val="none"/>
          <w:u w:val="single"/>
          <w14:textFill>
            <w14:solidFill>
              <w14:schemeClr w14:val="tx1"/>
            </w14:solidFill>
          </w14:textFill>
        </w:rPr>
        <w:t xml:space="preserve">  （姓名及身份证号）  </w:t>
      </w:r>
    </w:p>
    <w:p w14:paraId="7D614B0F">
      <w:pPr>
        <w:pStyle w:val="472"/>
        <w:spacing w:line="360" w:lineRule="auto"/>
        <w:ind w:left="480"/>
        <w:rPr>
          <w:color w:val="000000" w:themeColor="text1"/>
          <w:spacing w:val="17"/>
          <w:szCs w:val="21"/>
          <w:highlight w:val="none"/>
          <w14:textFill>
            <w14:solidFill>
              <w14:schemeClr w14:val="tx1"/>
            </w14:solidFill>
          </w14:textFill>
        </w:rPr>
      </w:pPr>
      <w:r>
        <w:rPr>
          <w:rFonts w:hint="eastAsia"/>
          <w:color w:val="000000" w:themeColor="text1"/>
          <w:spacing w:val="17"/>
          <w:szCs w:val="21"/>
          <w:highlight w:val="none"/>
          <w14:textFill>
            <w14:solidFill>
              <w14:schemeClr w14:val="tx1"/>
            </w14:solidFill>
          </w14:textFill>
        </w:rPr>
        <w:t>□ 目前未在其他项目上任职，现从事工作为</w:t>
      </w:r>
      <w:r>
        <w:rPr>
          <w:rFonts w:hint="eastAsia"/>
          <w:color w:val="000000" w:themeColor="text1"/>
          <w:spacing w:val="17"/>
          <w:szCs w:val="21"/>
          <w:highlight w:val="none"/>
          <w:u w:val="single"/>
          <w14:textFill>
            <w14:solidFill>
              <w14:schemeClr w14:val="tx1"/>
            </w14:solidFill>
          </w14:textFill>
        </w:rPr>
        <w:t xml:space="preserve">              </w:t>
      </w:r>
      <w:r>
        <w:rPr>
          <w:rFonts w:hint="eastAsia"/>
          <w:color w:val="000000" w:themeColor="text1"/>
          <w:spacing w:val="17"/>
          <w:szCs w:val="21"/>
          <w:highlight w:val="none"/>
          <w14:textFill>
            <w14:solidFill>
              <w14:schemeClr w14:val="tx1"/>
            </w14:solidFill>
          </w14:textFill>
        </w:rPr>
        <w:t>。</w:t>
      </w:r>
    </w:p>
    <w:p w14:paraId="47DB8B93">
      <w:pPr>
        <w:pStyle w:val="472"/>
        <w:spacing w:line="360" w:lineRule="auto"/>
        <w:ind w:firstLine="488"/>
        <w:rPr>
          <w:color w:val="000000" w:themeColor="text1"/>
          <w:spacing w:val="17"/>
          <w:szCs w:val="21"/>
          <w:highlight w:val="none"/>
          <w14:textFill>
            <w14:solidFill>
              <w14:schemeClr w14:val="tx1"/>
            </w14:solidFill>
          </w14:textFill>
        </w:rPr>
      </w:pPr>
      <w:r>
        <w:rPr>
          <w:rFonts w:hint="eastAsia"/>
          <w:color w:val="000000" w:themeColor="text1"/>
          <w:spacing w:val="17"/>
          <w:szCs w:val="21"/>
          <w:highlight w:val="none"/>
          <w14:textFill>
            <w14:solidFill>
              <w14:schemeClr w14:val="tx1"/>
            </w14:solidFill>
          </w14:textFill>
        </w:rPr>
        <w:t>□ 目前虽在其他项目上任职，但本项目中标后能够从该项目随时撤离，目前任职项目：</w:t>
      </w:r>
      <w:r>
        <w:rPr>
          <w:rFonts w:hint="eastAsia"/>
          <w:color w:val="000000" w:themeColor="text1"/>
          <w:spacing w:val="17"/>
          <w:szCs w:val="21"/>
          <w:highlight w:val="none"/>
          <w:u w:val="single"/>
          <w14:textFill>
            <w14:solidFill>
              <w14:schemeClr w14:val="tx1"/>
            </w14:solidFill>
          </w14:textFill>
        </w:rPr>
        <w:t xml:space="preserve">    （项目名称）     </w:t>
      </w:r>
      <w:r>
        <w:rPr>
          <w:rFonts w:hint="eastAsia"/>
          <w:color w:val="000000" w:themeColor="text1"/>
          <w:spacing w:val="17"/>
          <w:szCs w:val="21"/>
          <w:highlight w:val="none"/>
          <w14:textFill>
            <w14:solidFill>
              <w14:schemeClr w14:val="tx1"/>
            </w14:solidFill>
          </w14:textFill>
        </w:rPr>
        <w:t>，担任职位：</w:t>
      </w:r>
      <w:r>
        <w:rPr>
          <w:rFonts w:hint="eastAsia"/>
          <w:color w:val="000000" w:themeColor="text1"/>
          <w:spacing w:val="17"/>
          <w:szCs w:val="21"/>
          <w:highlight w:val="none"/>
          <w:u w:val="single"/>
          <w14:textFill>
            <w14:solidFill>
              <w14:schemeClr w14:val="tx1"/>
            </w14:solidFill>
          </w14:textFill>
        </w:rPr>
        <w:t xml:space="preserve">      </w:t>
      </w:r>
      <w:r>
        <w:rPr>
          <w:color w:val="000000" w:themeColor="text1"/>
          <w:spacing w:val="17"/>
          <w:szCs w:val="21"/>
          <w:highlight w:val="none"/>
          <w:u w:val="single"/>
          <w14:textFill>
            <w14:solidFill>
              <w14:schemeClr w14:val="tx1"/>
            </w14:solidFill>
          </w14:textFill>
        </w:rPr>
        <w:t xml:space="preserve"> </w:t>
      </w:r>
      <w:r>
        <w:rPr>
          <w:rFonts w:hint="eastAsia"/>
          <w:color w:val="000000" w:themeColor="text1"/>
          <w:spacing w:val="17"/>
          <w:szCs w:val="21"/>
          <w:highlight w:val="none"/>
          <w14:textFill>
            <w14:solidFill>
              <w14:schemeClr w14:val="tx1"/>
            </w14:solidFill>
          </w14:textFill>
        </w:rPr>
        <w:t>。</w:t>
      </w:r>
    </w:p>
    <w:p w14:paraId="7CBE2DF9">
      <w:pPr>
        <w:pStyle w:val="472"/>
        <w:spacing w:line="360" w:lineRule="auto"/>
        <w:ind w:firstLine="480"/>
        <w:rPr>
          <w:color w:val="000000" w:themeColor="text1"/>
          <w:spacing w:val="17"/>
          <w:highlight w:val="none"/>
          <w14:textFill>
            <w14:solidFill>
              <w14:schemeClr w14:val="tx1"/>
            </w14:solidFill>
          </w14:textFill>
        </w:rPr>
      </w:pPr>
      <w:r>
        <w:rPr>
          <w:rFonts w:hint="eastAsia"/>
          <w:color w:val="000000" w:themeColor="text1"/>
          <w:spacing w:val="17"/>
          <w:highlight w:val="none"/>
          <w14:textFill>
            <w14:solidFill>
              <w14:schemeClr w14:val="tx1"/>
            </w14:solidFill>
          </w14:textFill>
        </w:rPr>
        <w:t>我方承诺对上述内容的真实性负责，若我方提供了虚假承诺或违背了上述承诺，招标人有权废除、取消我方的中标资格，并由招标人将我方上述行为作为“失信行为”上报省级交通主管部门，并申请录入公路建设市场监督管理系统。</w:t>
      </w:r>
    </w:p>
    <w:p w14:paraId="56F4E99E">
      <w:pPr>
        <w:pStyle w:val="472"/>
        <w:spacing w:line="360" w:lineRule="auto"/>
        <w:ind w:firstLine="480"/>
        <w:jc w:val="right"/>
        <w:rPr>
          <w:color w:val="000000" w:themeColor="text1"/>
          <w:spacing w:val="17"/>
          <w:highlight w:val="none"/>
          <w14:textFill>
            <w14:solidFill>
              <w14:schemeClr w14:val="tx1"/>
            </w14:solidFill>
          </w14:textFill>
        </w:rPr>
      </w:pPr>
    </w:p>
    <w:p w14:paraId="13B4D256">
      <w:pPr>
        <w:spacing w:line="360" w:lineRule="auto"/>
        <w:ind w:right="480" w:firstLine="2940" w:firstLineChars="1400"/>
        <w:rPr>
          <w:rFonts w:ascii="宋体"/>
          <w:color w:val="000000" w:themeColor="text1"/>
          <w:highlight w:val="none"/>
          <w:u w:val="singl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xml:space="preserve"> 法定代表人或者委托代理人（签字或盖印鉴）：</w:t>
      </w:r>
      <w:r>
        <w:rPr>
          <w:rFonts w:ascii="宋体" w:hAnsi="宋体" w:cs="宋体"/>
          <w:color w:val="000000" w:themeColor="text1"/>
          <w:highlight w:val="none"/>
          <w:u w:val="single"/>
          <w14:textFill>
            <w14:solidFill>
              <w14:schemeClr w14:val="tx1"/>
            </w14:solidFill>
          </w14:textFill>
        </w:rPr>
        <w:t xml:space="preserve">               </w:t>
      </w:r>
    </w:p>
    <w:p w14:paraId="1370BE28">
      <w:pPr>
        <w:spacing w:line="360" w:lineRule="auto"/>
        <w:ind w:right="480" w:firstLine="2940" w:firstLineChars="1400"/>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供应商（盖公章）：</w:t>
      </w:r>
      <w:r>
        <w:rPr>
          <w:rFonts w:ascii="宋体" w:hAnsi="宋体" w:cs="宋体"/>
          <w:color w:val="000000" w:themeColor="text1"/>
          <w:highlight w:val="none"/>
          <w:u w:val="single"/>
          <w14:textFill>
            <w14:solidFill>
              <w14:schemeClr w14:val="tx1"/>
            </w14:solidFill>
          </w14:textFill>
        </w:rPr>
        <w:t xml:space="preserve">                           </w:t>
      </w:r>
    </w:p>
    <w:p w14:paraId="419F9DCC">
      <w:pPr>
        <w:spacing w:line="360" w:lineRule="auto"/>
        <w:ind w:right="480" w:firstLine="210" w:firstLineChars="100"/>
        <w:jc w:val="center"/>
        <w:rPr>
          <w:rFonts w:ascii="宋体"/>
          <w:b/>
          <w:bCs/>
          <w:color w:val="000000" w:themeColor="text1"/>
          <w:sz w:val="36"/>
          <w:szCs w:val="36"/>
          <w:highlight w:val="none"/>
          <w14:textFill>
            <w14:solidFill>
              <w14:schemeClr w14:val="tx1"/>
            </w14:solidFill>
          </w14:textFill>
        </w:rPr>
        <w:sectPr>
          <w:headerReference r:id="rId17" w:type="default"/>
          <w:footerReference r:id="rId18" w:type="default"/>
          <w:pgSz w:w="11910" w:h="16850"/>
          <w:pgMar w:top="1134" w:right="1134" w:bottom="1134" w:left="1134" w:header="720" w:footer="720" w:gutter="0"/>
          <w:cols w:space="720" w:num="1"/>
        </w:sectPr>
      </w:pP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年</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月</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日</w:t>
      </w:r>
    </w:p>
    <w:p w14:paraId="6FFFD970">
      <w:pPr>
        <w:spacing w:line="360" w:lineRule="auto"/>
        <w:jc w:val="center"/>
        <w:rPr>
          <w:rFonts w:ascii="宋体"/>
          <w:b/>
          <w:bCs/>
          <w:color w:val="000000" w:themeColor="text1"/>
          <w:sz w:val="36"/>
          <w:szCs w:val="36"/>
          <w:highlight w:val="none"/>
          <w14:textFill>
            <w14:solidFill>
              <w14:schemeClr w14:val="tx1"/>
            </w14:solidFill>
          </w14:textFill>
        </w:rPr>
      </w:pPr>
      <w:r>
        <w:rPr>
          <w:rFonts w:hint="eastAsia" w:ascii="宋体" w:hAnsi="宋体" w:cs="宋体"/>
          <w:b/>
          <w:bCs/>
          <w:color w:val="000000" w:themeColor="text1"/>
          <w:sz w:val="36"/>
          <w:szCs w:val="36"/>
          <w:highlight w:val="none"/>
          <w14:textFill>
            <w14:solidFill>
              <w14:schemeClr w14:val="tx1"/>
            </w14:solidFill>
          </w14:textFill>
        </w:rPr>
        <w:t>拟委任的其他管理和技术人员汇总表</w:t>
      </w:r>
    </w:p>
    <w:tbl>
      <w:tblPr>
        <w:tblStyle w:val="59"/>
        <w:tblW w:w="0" w:type="auto"/>
        <w:tblInd w:w="15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34"/>
        <w:gridCol w:w="927"/>
        <w:gridCol w:w="2682"/>
        <w:gridCol w:w="1103"/>
        <w:gridCol w:w="1307"/>
        <w:gridCol w:w="1946"/>
      </w:tblGrid>
      <w:tr w14:paraId="76C0F7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1" w:hRule="atLeast"/>
        </w:trPr>
        <w:tc>
          <w:tcPr>
            <w:tcW w:w="934" w:type="dxa"/>
          </w:tcPr>
          <w:p w14:paraId="0A264A77">
            <w:pPr>
              <w:pStyle w:val="475"/>
              <w:autoSpaceDE w:val="0"/>
              <w:autoSpaceDN w:val="0"/>
              <w:spacing w:before="12"/>
              <w:jc w:val="left"/>
              <w:rPr>
                <w:rFonts w:ascii="黑体" w:hAnsi="宋体" w:cs="宋体"/>
                <w:color w:val="000000" w:themeColor="text1"/>
                <w:kern w:val="0"/>
                <w:sz w:val="27"/>
                <w:highlight w:val="none"/>
                <w:lang w:val="zh-CN" w:bidi="zh-CN"/>
                <w14:textFill>
                  <w14:solidFill>
                    <w14:schemeClr w14:val="tx1"/>
                  </w14:solidFill>
                </w14:textFill>
              </w:rPr>
            </w:pPr>
          </w:p>
          <w:p w14:paraId="165D139C">
            <w:pPr>
              <w:pStyle w:val="475"/>
              <w:autoSpaceDE w:val="0"/>
              <w:autoSpaceDN w:val="0"/>
              <w:ind w:left="256"/>
              <w:jc w:val="left"/>
              <w:rPr>
                <w:rFonts w:ascii="宋体" w:hAnsi="宋体" w:cs="宋体"/>
                <w:color w:val="000000" w:themeColor="text1"/>
                <w:kern w:val="0"/>
                <w:sz w:val="22"/>
                <w:highlight w:val="none"/>
                <w:lang w:val="zh-CN" w:eastAsia="en-US" w:bidi="zh-CN"/>
                <w14:textFill>
                  <w14:solidFill>
                    <w14:schemeClr w14:val="tx1"/>
                  </w14:solidFill>
                </w14:textFill>
              </w:rPr>
            </w:pPr>
            <w:r>
              <w:rPr>
                <w:rFonts w:ascii="宋体" w:hAnsi="宋体" w:cs="宋体"/>
                <w:color w:val="000000" w:themeColor="text1"/>
                <w:kern w:val="0"/>
                <w:sz w:val="22"/>
                <w:highlight w:val="none"/>
                <w:lang w:val="zh-CN" w:eastAsia="en-US" w:bidi="zh-CN"/>
                <w14:textFill>
                  <w14:solidFill>
                    <w14:schemeClr w14:val="tx1"/>
                  </w14:solidFill>
                </w14:textFill>
              </w:rPr>
              <w:t>姓名</w:t>
            </w:r>
          </w:p>
        </w:tc>
        <w:tc>
          <w:tcPr>
            <w:tcW w:w="927" w:type="dxa"/>
          </w:tcPr>
          <w:p w14:paraId="53F1CBE5">
            <w:pPr>
              <w:pStyle w:val="475"/>
              <w:autoSpaceDE w:val="0"/>
              <w:autoSpaceDN w:val="0"/>
              <w:spacing w:before="12"/>
              <w:jc w:val="left"/>
              <w:rPr>
                <w:rFonts w:ascii="黑体" w:hAnsi="宋体" w:cs="宋体"/>
                <w:color w:val="000000" w:themeColor="text1"/>
                <w:kern w:val="0"/>
                <w:sz w:val="27"/>
                <w:highlight w:val="none"/>
                <w:lang w:val="zh-CN" w:eastAsia="en-US" w:bidi="zh-CN"/>
                <w14:textFill>
                  <w14:solidFill>
                    <w14:schemeClr w14:val="tx1"/>
                  </w14:solidFill>
                </w14:textFill>
              </w:rPr>
            </w:pPr>
          </w:p>
          <w:p w14:paraId="424DF9E5">
            <w:pPr>
              <w:pStyle w:val="475"/>
              <w:autoSpaceDE w:val="0"/>
              <w:autoSpaceDN w:val="0"/>
              <w:ind w:left="251"/>
              <w:jc w:val="left"/>
              <w:rPr>
                <w:rFonts w:ascii="宋体" w:hAnsi="宋体" w:cs="宋体"/>
                <w:color w:val="000000" w:themeColor="text1"/>
                <w:kern w:val="0"/>
                <w:sz w:val="22"/>
                <w:highlight w:val="none"/>
                <w:lang w:val="zh-CN" w:eastAsia="en-US" w:bidi="zh-CN"/>
                <w14:textFill>
                  <w14:solidFill>
                    <w14:schemeClr w14:val="tx1"/>
                  </w14:solidFill>
                </w14:textFill>
              </w:rPr>
            </w:pPr>
            <w:r>
              <w:rPr>
                <w:rFonts w:ascii="宋体" w:hAnsi="宋体" w:cs="宋体"/>
                <w:color w:val="000000" w:themeColor="text1"/>
                <w:kern w:val="0"/>
                <w:sz w:val="22"/>
                <w:highlight w:val="none"/>
                <w:lang w:val="zh-CN" w:eastAsia="en-US" w:bidi="zh-CN"/>
                <w14:textFill>
                  <w14:solidFill>
                    <w14:schemeClr w14:val="tx1"/>
                  </w14:solidFill>
                </w14:textFill>
              </w:rPr>
              <w:t>年龄</w:t>
            </w:r>
          </w:p>
        </w:tc>
        <w:tc>
          <w:tcPr>
            <w:tcW w:w="2682" w:type="dxa"/>
          </w:tcPr>
          <w:p w14:paraId="31D38BF1">
            <w:pPr>
              <w:pStyle w:val="475"/>
              <w:autoSpaceDE w:val="0"/>
              <w:autoSpaceDN w:val="0"/>
              <w:spacing w:before="12"/>
              <w:jc w:val="left"/>
              <w:rPr>
                <w:rFonts w:ascii="黑体" w:hAnsi="宋体" w:cs="宋体"/>
                <w:color w:val="000000" w:themeColor="text1"/>
                <w:kern w:val="0"/>
                <w:sz w:val="27"/>
                <w:highlight w:val="none"/>
                <w:lang w:val="zh-CN" w:eastAsia="en-US" w:bidi="zh-CN"/>
                <w14:textFill>
                  <w14:solidFill>
                    <w14:schemeClr w14:val="tx1"/>
                  </w14:solidFill>
                </w14:textFill>
              </w:rPr>
            </w:pPr>
          </w:p>
          <w:p w14:paraId="3DB76BB7">
            <w:pPr>
              <w:pStyle w:val="475"/>
              <w:autoSpaceDE w:val="0"/>
              <w:autoSpaceDN w:val="0"/>
              <w:ind w:left="394"/>
              <w:jc w:val="left"/>
              <w:rPr>
                <w:rFonts w:ascii="宋体" w:hAnsi="宋体" w:cs="宋体"/>
                <w:color w:val="000000" w:themeColor="text1"/>
                <w:kern w:val="0"/>
                <w:sz w:val="22"/>
                <w:highlight w:val="none"/>
                <w:lang w:val="zh-CN" w:eastAsia="en-US" w:bidi="zh-CN"/>
                <w14:textFill>
                  <w14:solidFill>
                    <w14:schemeClr w14:val="tx1"/>
                  </w14:solidFill>
                </w14:textFill>
              </w:rPr>
            </w:pPr>
            <w:r>
              <w:rPr>
                <w:rFonts w:ascii="宋体" w:hAnsi="宋体" w:cs="宋体"/>
                <w:color w:val="000000" w:themeColor="text1"/>
                <w:kern w:val="0"/>
                <w:sz w:val="22"/>
                <w:highlight w:val="none"/>
                <w:lang w:val="zh-CN" w:eastAsia="en-US" w:bidi="zh-CN"/>
                <w14:textFill>
                  <w14:solidFill>
                    <w14:schemeClr w14:val="tx1"/>
                  </w14:solidFill>
                </w14:textFill>
              </w:rPr>
              <w:t>拟在本标段工程任职</w:t>
            </w:r>
          </w:p>
        </w:tc>
        <w:tc>
          <w:tcPr>
            <w:tcW w:w="1103" w:type="dxa"/>
          </w:tcPr>
          <w:p w14:paraId="7376ECF2">
            <w:pPr>
              <w:pStyle w:val="475"/>
              <w:autoSpaceDE w:val="0"/>
              <w:autoSpaceDN w:val="0"/>
              <w:spacing w:before="12"/>
              <w:jc w:val="left"/>
              <w:rPr>
                <w:rFonts w:ascii="黑体" w:hAnsi="宋体" w:cs="宋体"/>
                <w:color w:val="000000" w:themeColor="text1"/>
                <w:kern w:val="0"/>
                <w:sz w:val="27"/>
                <w:highlight w:val="none"/>
                <w:lang w:val="zh-CN" w:eastAsia="en-US" w:bidi="zh-CN"/>
                <w14:textFill>
                  <w14:solidFill>
                    <w14:schemeClr w14:val="tx1"/>
                  </w14:solidFill>
                </w14:textFill>
              </w:rPr>
            </w:pPr>
          </w:p>
          <w:p w14:paraId="4A7E3C00">
            <w:pPr>
              <w:pStyle w:val="475"/>
              <w:autoSpaceDE w:val="0"/>
              <w:autoSpaceDN w:val="0"/>
              <w:ind w:left="127"/>
              <w:jc w:val="left"/>
              <w:rPr>
                <w:rFonts w:ascii="宋体" w:hAnsi="宋体" w:cs="宋体"/>
                <w:color w:val="000000" w:themeColor="text1"/>
                <w:kern w:val="0"/>
                <w:sz w:val="22"/>
                <w:highlight w:val="none"/>
                <w:lang w:val="zh-CN" w:eastAsia="en-US" w:bidi="zh-CN"/>
                <w14:textFill>
                  <w14:solidFill>
                    <w14:schemeClr w14:val="tx1"/>
                  </w14:solidFill>
                </w14:textFill>
              </w:rPr>
            </w:pPr>
            <w:r>
              <w:rPr>
                <w:rFonts w:ascii="宋体" w:hAnsi="宋体" w:cs="宋体"/>
                <w:color w:val="000000" w:themeColor="text1"/>
                <w:kern w:val="0"/>
                <w:sz w:val="22"/>
                <w:highlight w:val="none"/>
                <w:lang w:val="zh-CN" w:eastAsia="en-US" w:bidi="zh-CN"/>
                <w14:textFill>
                  <w14:solidFill>
                    <w14:schemeClr w14:val="tx1"/>
                  </w14:solidFill>
                </w14:textFill>
              </w:rPr>
              <w:t>技术职称</w:t>
            </w:r>
          </w:p>
        </w:tc>
        <w:tc>
          <w:tcPr>
            <w:tcW w:w="1307" w:type="dxa"/>
          </w:tcPr>
          <w:p w14:paraId="67DA0E2F">
            <w:pPr>
              <w:pStyle w:val="475"/>
              <w:autoSpaceDE w:val="0"/>
              <w:autoSpaceDN w:val="0"/>
              <w:spacing w:before="12"/>
              <w:jc w:val="left"/>
              <w:rPr>
                <w:rFonts w:ascii="黑体" w:hAnsi="宋体" w:cs="宋体"/>
                <w:color w:val="000000" w:themeColor="text1"/>
                <w:kern w:val="0"/>
                <w:sz w:val="27"/>
                <w:highlight w:val="none"/>
                <w:lang w:val="zh-CN" w:eastAsia="en-US" w:bidi="zh-CN"/>
                <w14:textFill>
                  <w14:solidFill>
                    <w14:schemeClr w14:val="tx1"/>
                  </w14:solidFill>
                </w14:textFill>
              </w:rPr>
            </w:pPr>
          </w:p>
          <w:p w14:paraId="3619992C">
            <w:pPr>
              <w:pStyle w:val="475"/>
              <w:autoSpaceDE w:val="0"/>
              <w:autoSpaceDN w:val="0"/>
              <w:ind w:left="229"/>
              <w:jc w:val="left"/>
              <w:rPr>
                <w:rFonts w:ascii="宋体" w:hAnsi="宋体" w:cs="宋体"/>
                <w:color w:val="000000" w:themeColor="text1"/>
                <w:kern w:val="0"/>
                <w:sz w:val="22"/>
                <w:highlight w:val="none"/>
                <w:lang w:val="zh-CN" w:eastAsia="en-US" w:bidi="zh-CN"/>
                <w14:textFill>
                  <w14:solidFill>
                    <w14:schemeClr w14:val="tx1"/>
                  </w14:solidFill>
                </w14:textFill>
              </w:rPr>
            </w:pPr>
            <w:r>
              <w:rPr>
                <w:rFonts w:ascii="宋体" w:hAnsi="宋体" w:cs="宋体"/>
                <w:color w:val="000000" w:themeColor="text1"/>
                <w:kern w:val="0"/>
                <w:sz w:val="22"/>
                <w:highlight w:val="none"/>
                <w:lang w:val="zh-CN" w:eastAsia="en-US" w:bidi="zh-CN"/>
                <w14:textFill>
                  <w14:solidFill>
                    <w14:schemeClr w14:val="tx1"/>
                  </w14:solidFill>
                </w14:textFill>
              </w:rPr>
              <w:t>工作年限</w:t>
            </w:r>
          </w:p>
        </w:tc>
        <w:tc>
          <w:tcPr>
            <w:tcW w:w="1946" w:type="dxa"/>
          </w:tcPr>
          <w:p w14:paraId="3F8CE9EE">
            <w:pPr>
              <w:pStyle w:val="475"/>
              <w:autoSpaceDE w:val="0"/>
              <w:autoSpaceDN w:val="0"/>
              <w:spacing w:before="12"/>
              <w:jc w:val="left"/>
              <w:rPr>
                <w:rFonts w:ascii="黑体" w:hAnsi="宋体" w:cs="宋体"/>
                <w:color w:val="000000" w:themeColor="text1"/>
                <w:kern w:val="0"/>
                <w:sz w:val="27"/>
                <w:highlight w:val="none"/>
                <w:lang w:val="zh-CN" w:eastAsia="en-US" w:bidi="zh-CN"/>
                <w14:textFill>
                  <w14:solidFill>
                    <w14:schemeClr w14:val="tx1"/>
                  </w14:solidFill>
                </w14:textFill>
              </w:rPr>
            </w:pPr>
          </w:p>
          <w:p w14:paraId="41A59DC5">
            <w:pPr>
              <w:pStyle w:val="475"/>
              <w:autoSpaceDE w:val="0"/>
              <w:autoSpaceDN w:val="0"/>
              <w:ind w:left="125"/>
              <w:jc w:val="left"/>
              <w:rPr>
                <w:rFonts w:ascii="宋体" w:hAnsi="宋体" w:cs="宋体"/>
                <w:color w:val="000000" w:themeColor="text1"/>
                <w:kern w:val="0"/>
                <w:sz w:val="22"/>
                <w:highlight w:val="none"/>
                <w:lang w:val="zh-CN" w:eastAsia="en-US" w:bidi="zh-CN"/>
                <w14:textFill>
                  <w14:solidFill>
                    <w14:schemeClr w14:val="tx1"/>
                  </w14:solidFill>
                </w14:textFill>
              </w:rPr>
            </w:pPr>
            <w:r>
              <w:rPr>
                <w:rFonts w:ascii="宋体" w:hAnsi="宋体" w:cs="宋体"/>
                <w:color w:val="000000" w:themeColor="text1"/>
                <w:kern w:val="0"/>
                <w:sz w:val="22"/>
                <w:highlight w:val="none"/>
                <w:lang w:val="zh-CN" w:eastAsia="en-US" w:bidi="zh-CN"/>
                <w14:textFill>
                  <w14:solidFill>
                    <w14:schemeClr w14:val="tx1"/>
                  </w14:solidFill>
                </w14:textFill>
              </w:rPr>
              <w:t>类似施工经验年限</w:t>
            </w:r>
          </w:p>
        </w:tc>
      </w:tr>
      <w:tr w14:paraId="756909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7" w:hRule="atLeast"/>
        </w:trPr>
        <w:tc>
          <w:tcPr>
            <w:tcW w:w="934" w:type="dxa"/>
          </w:tcPr>
          <w:p w14:paraId="2E964706">
            <w:pPr>
              <w:pStyle w:val="475"/>
              <w:autoSpaceDE w:val="0"/>
              <w:autoSpaceDN w:val="0"/>
              <w:jc w:val="left"/>
              <w:rPr>
                <w:rFonts w:ascii="Times New Roman" w:hAnsi="宋体" w:cs="宋体"/>
                <w:color w:val="000000" w:themeColor="text1"/>
                <w:kern w:val="0"/>
                <w:sz w:val="20"/>
                <w:highlight w:val="none"/>
                <w:lang w:val="zh-CN" w:eastAsia="en-US" w:bidi="zh-CN"/>
                <w14:textFill>
                  <w14:solidFill>
                    <w14:schemeClr w14:val="tx1"/>
                  </w14:solidFill>
                </w14:textFill>
              </w:rPr>
            </w:pPr>
          </w:p>
        </w:tc>
        <w:tc>
          <w:tcPr>
            <w:tcW w:w="927" w:type="dxa"/>
          </w:tcPr>
          <w:p w14:paraId="70051341">
            <w:pPr>
              <w:pStyle w:val="475"/>
              <w:autoSpaceDE w:val="0"/>
              <w:autoSpaceDN w:val="0"/>
              <w:jc w:val="left"/>
              <w:rPr>
                <w:rFonts w:ascii="Times New Roman" w:hAnsi="宋体" w:cs="宋体"/>
                <w:color w:val="000000" w:themeColor="text1"/>
                <w:kern w:val="0"/>
                <w:sz w:val="20"/>
                <w:highlight w:val="none"/>
                <w:lang w:val="zh-CN" w:eastAsia="en-US" w:bidi="zh-CN"/>
                <w14:textFill>
                  <w14:solidFill>
                    <w14:schemeClr w14:val="tx1"/>
                  </w14:solidFill>
                </w14:textFill>
              </w:rPr>
            </w:pPr>
          </w:p>
        </w:tc>
        <w:tc>
          <w:tcPr>
            <w:tcW w:w="2682" w:type="dxa"/>
          </w:tcPr>
          <w:p w14:paraId="20624B3C">
            <w:pPr>
              <w:pStyle w:val="475"/>
              <w:autoSpaceDE w:val="0"/>
              <w:autoSpaceDN w:val="0"/>
              <w:jc w:val="left"/>
              <w:rPr>
                <w:rFonts w:ascii="Times New Roman" w:hAnsi="宋体" w:cs="宋体"/>
                <w:color w:val="000000" w:themeColor="text1"/>
                <w:kern w:val="0"/>
                <w:sz w:val="20"/>
                <w:highlight w:val="none"/>
                <w:lang w:val="zh-CN" w:eastAsia="en-US" w:bidi="zh-CN"/>
                <w14:textFill>
                  <w14:solidFill>
                    <w14:schemeClr w14:val="tx1"/>
                  </w14:solidFill>
                </w14:textFill>
              </w:rPr>
            </w:pPr>
          </w:p>
        </w:tc>
        <w:tc>
          <w:tcPr>
            <w:tcW w:w="1103" w:type="dxa"/>
          </w:tcPr>
          <w:p w14:paraId="01140320">
            <w:pPr>
              <w:pStyle w:val="475"/>
              <w:autoSpaceDE w:val="0"/>
              <w:autoSpaceDN w:val="0"/>
              <w:jc w:val="left"/>
              <w:rPr>
                <w:rFonts w:ascii="Times New Roman" w:hAnsi="宋体" w:cs="宋体"/>
                <w:color w:val="000000" w:themeColor="text1"/>
                <w:kern w:val="0"/>
                <w:sz w:val="20"/>
                <w:highlight w:val="none"/>
                <w:lang w:val="zh-CN" w:eastAsia="en-US" w:bidi="zh-CN"/>
                <w14:textFill>
                  <w14:solidFill>
                    <w14:schemeClr w14:val="tx1"/>
                  </w14:solidFill>
                </w14:textFill>
              </w:rPr>
            </w:pPr>
          </w:p>
        </w:tc>
        <w:tc>
          <w:tcPr>
            <w:tcW w:w="1307" w:type="dxa"/>
          </w:tcPr>
          <w:p w14:paraId="5C1BF219">
            <w:pPr>
              <w:pStyle w:val="475"/>
              <w:autoSpaceDE w:val="0"/>
              <w:autoSpaceDN w:val="0"/>
              <w:jc w:val="left"/>
              <w:rPr>
                <w:rFonts w:ascii="Times New Roman" w:hAnsi="宋体" w:cs="宋体"/>
                <w:color w:val="000000" w:themeColor="text1"/>
                <w:kern w:val="0"/>
                <w:sz w:val="20"/>
                <w:highlight w:val="none"/>
                <w:lang w:val="zh-CN" w:eastAsia="en-US" w:bidi="zh-CN"/>
                <w14:textFill>
                  <w14:solidFill>
                    <w14:schemeClr w14:val="tx1"/>
                  </w14:solidFill>
                </w14:textFill>
              </w:rPr>
            </w:pPr>
          </w:p>
        </w:tc>
        <w:tc>
          <w:tcPr>
            <w:tcW w:w="1946" w:type="dxa"/>
          </w:tcPr>
          <w:p w14:paraId="3B8383E6">
            <w:pPr>
              <w:pStyle w:val="475"/>
              <w:autoSpaceDE w:val="0"/>
              <w:autoSpaceDN w:val="0"/>
              <w:jc w:val="left"/>
              <w:rPr>
                <w:rFonts w:ascii="Times New Roman" w:hAnsi="宋体" w:cs="宋体"/>
                <w:color w:val="000000" w:themeColor="text1"/>
                <w:kern w:val="0"/>
                <w:sz w:val="20"/>
                <w:highlight w:val="none"/>
                <w:lang w:val="zh-CN" w:eastAsia="en-US" w:bidi="zh-CN"/>
                <w14:textFill>
                  <w14:solidFill>
                    <w14:schemeClr w14:val="tx1"/>
                  </w14:solidFill>
                </w14:textFill>
              </w:rPr>
            </w:pPr>
          </w:p>
        </w:tc>
      </w:tr>
      <w:tr w14:paraId="4E1D44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7" w:hRule="atLeast"/>
        </w:trPr>
        <w:tc>
          <w:tcPr>
            <w:tcW w:w="934" w:type="dxa"/>
          </w:tcPr>
          <w:p w14:paraId="1FBE89C7">
            <w:pPr>
              <w:pStyle w:val="475"/>
              <w:autoSpaceDE w:val="0"/>
              <w:autoSpaceDN w:val="0"/>
              <w:jc w:val="left"/>
              <w:rPr>
                <w:rFonts w:ascii="Times New Roman" w:hAnsi="宋体" w:cs="宋体"/>
                <w:color w:val="000000" w:themeColor="text1"/>
                <w:kern w:val="0"/>
                <w:sz w:val="20"/>
                <w:highlight w:val="none"/>
                <w:lang w:val="zh-CN" w:eastAsia="en-US" w:bidi="zh-CN"/>
                <w14:textFill>
                  <w14:solidFill>
                    <w14:schemeClr w14:val="tx1"/>
                  </w14:solidFill>
                </w14:textFill>
              </w:rPr>
            </w:pPr>
          </w:p>
        </w:tc>
        <w:tc>
          <w:tcPr>
            <w:tcW w:w="927" w:type="dxa"/>
          </w:tcPr>
          <w:p w14:paraId="42A32678">
            <w:pPr>
              <w:pStyle w:val="475"/>
              <w:autoSpaceDE w:val="0"/>
              <w:autoSpaceDN w:val="0"/>
              <w:jc w:val="left"/>
              <w:rPr>
                <w:rFonts w:ascii="Times New Roman" w:hAnsi="宋体" w:cs="宋体"/>
                <w:color w:val="000000" w:themeColor="text1"/>
                <w:kern w:val="0"/>
                <w:sz w:val="20"/>
                <w:highlight w:val="none"/>
                <w:lang w:val="zh-CN" w:eastAsia="en-US" w:bidi="zh-CN"/>
                <w14:textFill>
                  <w14:solidFill>
                    <w14:schemeClr w14:val="tx1"/>
                  </w14:solidFill>
                </w14:textFill>
              </w:rPr>
            </w:pPr>
          </w:p>
        </w:tc>
        <w:tc>
          <w:tcPr>
            <w:tcW w:w="2682" w:type="dxa"/>
          </w:tcPr>
          <w:p w14:paraId="2FCF0AF5">
            <w:pPr>
              <w:pStyle w:val="475"/>
              <w:autoSpaceDE w:val="0"/>
              <w:autoSpaceDN w:val="0"/>
              <w:jc w:val="left"/>
              <w:rPr>
                <w:rFonts w:ascii="Times New Roman" w:hAnsi="宋体" w:cs="宋体"/>
                <w:color w:val="000000" w:themeColor="text1"/>
                <w:kern w:val="0"/>
                <w:sz w:val="20"/>
                <w:highlight w:val="none"/>
                <w:lang w:val="zh-CN" w:eastAsia="en-US" w:bidi="zh-CN"/>
                <w14:textFill>
                  <w14:solidFill>
                    <w14:schemeClr w14:val="tx1"/>
                  </w14:solidFill>
                </w14:textFill>
              </w:rPr>
            </w:pPr>
          </w:p>
        </w:tc>
        <w:tc>
          <w:tcPr>
            <w:tcW w:w="1103" w:type="dxa"/>
          </w:tcPr>
          <w:p w14:paraId="3878D6B2">
            <w:pPr>
              <w:pStyle w:val="475"/>
              <w:autoSpaceDE w:val="0"/>
              <w:autoSpaceDN w:val="0"/>
              <w:jc w:val="left"/>
              <w:rPr>
                <w:rFonts w:ascii="Times New Roman" w:hAnsi="宋体" w:cs="宋体"/>
                <w:color w:val="000000" w:themeColor="text1"/>
                <w:kern w:val="0"/>
                <w:sz w:val="20"/>
                <w:highlight w:val="none"/>
                <w:lang w:val="zh-CN" w:eastAsia="en-US" w:bidi="zh-CN"/>
                <w14:textFill>
                  <w14:solidFill>
                    <w14:schemeClr w14:val="tx1"/>
                  </w14:solidFill>
                </w14:textFill>
              </w:rPr>
            </w:pPr>
          </w:p>
        </w:tc>
        <w:tc>
          <w:tcPr>
            <w:tcW w:w="1307" w:type="dxa"/>
          </w:tcPr>
          <w:p w14:paraId="402E1BB2">
            <w:pPr>
              <w:pStyle w:val="475"/>
              <w:autoSpaceDE w:val="0"/>
              <w:autoSpaceDN w:val="0"/>
              <w:jc w:val="left"/>
              <w:rPr>
                <w:rFonts w:ascii="Times New Roman" w:hAnsi="宋体" w:cs="宋体"/>
                <w:color w:val="000000" w:themeColor="text1"/>
                <w:kern w:val="0"/>
                <w:sz w:val="20"/>
                <w:highlight w:val="none"/>
                <w:lang w:val="zh-CN" w:eastAsia="en-US" w:bidi="zh-CN"/>
                <w14:textFill>
                  <w14:solidFill>
                    <w14:schemeClr w14:val="tx1"/>
                  </w14:solidFill>
                </w14:textFill>
              </w:rPr>
            </w:pPr>
          </w:p>
        </w:tc>
        <w:tc>
          <w:tcPr>
            <w:tcW w:w="1946" w:type="dxa"/>
          </w:tcPr>
          <w:p w14:paraId="4F4DF93E">
            <w:pPr>
              <w:pStyle w:val="475"/>
              <w:autoSpaceDE w:val="0"/>
              <w:autoSpaceDN w:val="0"/>
              <w:jc w:val="left"/>
              <w:rPr>
                <w:rFonts w:ascii="Times New Roman" w:hAnsi="宋体" w:cs="宋体"/>
                <w:color w:val="000000" w:themeColor="text1"/>
                <w:kern w:val="0"/>
                <w:sz w:val="20"/>
                <w:highlight w:val="none"/>
                <w:lang w:val="zh-CN" w:eastAsia="en-US" w:bidi="zh-CN"/>
                <w14:textFill>
                  <w14:solidFill>
                    <w14:schemeClr w14:val="tx1"/>
                  </w14:solidFill>
                </w14:textFill>
              </w:rPr>
            </w:pPr>
          </w:p>
        </w:tc>
      </w:tr>
      <w:tr w14:paraId="34DE4C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0" w:hRule="atLeast"/>
        </w:trPr>
        <w:tc>
          <w:tcPr>
            <w:tcW w:w="934" w:type="dxa"/>
          </w:tcPr>
          <w:p w14:paraId="4414C1C0">
            <w:pPr>
              <w:pStyle w:val="475"/>
              <w:autoSpaceDE w:val="0"/>
              <w:autoSpaceDN w:val="0"/>
              <w:jc w:val="left"/>
              <w:rPr>
                <w:rFonts w:ascii="Times New Roman" w:hAnsi="宋体" w:cs="宋体"/>
                <w:color w:val="000000" w:themeColor="text1"/>
                <w:kern w:val="0"/>
                <w:sz w:val="20"/>
                <w:highlight w:val="none"/>
                <w:lang w:val="zh-CN" w:eastAsia="en-US" w:bidi="zh-CN"/>
                <w14:textFill>
                  <w14:solidFill>
                    <w14:schemeClr w14:val="tx1"/>
                  </w14:solidFill>
                </w14:textFill>
              </w:rPr>
            </w:pPr>
          </w:p>
        </w:tc>
        <w:tc>
          <w:tcPr>
            <w:tcW w:w="927" w:type="dxa"/>
          </w:tcPr>
          <w:p w14:paraId="47EFAD01">
            <w:pPr>
              <w:pStyle w:val="475"/>
              <w:autoSpaceDE w:val="0"/>
              <w:autoSpaceDN w:val="0"/>
              <w:jc w:val="left"/>
              <w:rPr>
                <w:rFonts w:ascii="Times New Roman" w:hAnsi="宋体" w:cs="宋体"/>
                <w:color w:val="000000" w:themeColor="text1"/>
                <w:kern w:val="0"/>
                <w:sz w:val="20"/>
                <w:highlight w:val="none"/>
                <w:lang w:val="zh-CN" w:eastAsia="en-US" w:bidi="zh-CN"/>
                <w14:textFill>
                  <w14:solidFill>
                    <w14:schemeClr w14:val="tx1"/>
                  </w14:solidFill>
                </w14:textFill>
              </w:rPr>
            </w:pPr>
          </w:p>
        </w:tc>
        <w:tc>
          <w:tcPr>
            <w:tcW w:w="2682" w:type="dxa"/>
          </w:tcPr>
          <w:p w14:paraId="5215D3A1">
            <w:pPr>
              <w:pStyle w:val="475"/>
              <w:autoSpaceDE w:val="0"/>
              <w:autoSpaceDN w:val="0"/>
              <w:jc w:val="left"/>
              <w:rPr>
                <w:rFonts w:ascii="Times New Roman" w:hAnsi="宋体" w:cs="宋体"/>
                <w:color w:val="000000" w:themeColor="text1"/>
                <w:kern w:val="0"/>
                <w:sz w:val="20"/>
                <w:highlight w:val="none"/>
                <w:lang w:val="zh-CN" w:eastAsia="en-US" w:bidi="zh-CN"/>
                <w14:textFill>
                  <w14:solidFill>
                    <w14:schemeClr w14:val="tx1"/>
                  </w14:solidFill>
                </w14:textFill>
              </w:rPr>
            </w:pPr>
          </w:p>
        </w:tc>
        <w:tc>
          <w:tcPr>
            <w:tcW w:w="1103" w:type="dxa"/>
          </w:tcPr>
          <w:p w14:paraId="2E3A7552">
            <w:pPr>
              <w:pStyle w:val="475"/>
              <w:autoSpaceDE w:val="0"/>
              <w:autoSpaceDN w:val="0"/>
              <w:jc w:val="left"/>
              <w:rPr>
                <w:rFonts w:ascii="Times New Roman" w:hAnsi="宋体" w:cs="宋体"/>
                <w:color w:val="000000" w:themeColor="text1"/>
                <w:kern w:val="0"/>
                <w:sz w:val="20"/>
                <w:highlight w:val="none"/>
                <w:lang w:val="zh-CN" w:eastAsia="en-US" w:bidi="zh-CN"/>
                <w14:textFill>
                  <w14:solidFill>
                    <w14:schemeClr w14:val="tx1"/>
                  </w14:solidFill>
                </w14:textFill>
              </w:rPr>
            </w:pPr>
          </w:p>
        </w:tc>
        <w:tc>
          <w:tcPr>
            <w:tcW w:w="1307" w:type="dxa"/>
          </w:tcPr>
          <w:p w14:paraId="098DCE5C">
            <w:pPr>
              <w:pStyle w:val="475"/>
              <w:autoSpaceDE w:val="0"/>
              <w:autoSpaceDN w:val="0"/>
              <w:jc w:val="left"/>
              <w:rPr>
                <w:rFonts w:ascii="Times New Roman" w:hAnsi="宋体" w:cs="宋体"/>
                <w:color w:val="000000" w:themeColor="text1"/>
                <w:kern w:val="0"/>
                <w:sz w:val="20"/>
                <w:highlight w:val="none"/>
                <w:lang w:val="zh-CN" w:eastAsia="en-US" w:bidi="zh-CN"/>
                <w14:textFill>
                  <w14:solidFill>
                    <w14:schemeClr w14:val="tx1"/>
                  </w14:solidFill>
                </w14:textFill>
              </w:rPr>
            </w:pPr>
          </w:p>
        </w:tc>
        <w:tc>
          <w:tcPr>
            <w:tcW w:w="1946" w:type="dxa"/>
          </w:tcPr>
          <w:p w14:paraId="60185C25">
            <w:pPr>
              <w:pStyle w:val="475"/>
              <w:autoSpaceDE w:val="0"/>
              <w:autoSpaceDN w:val="0"/>
              <w:jc w:val="left"/>
              <w:rPr>
                <w:rFonts w:ascii="Times New Roman" w:hAnsi="宋体" w:cs="宋体"/>
                <w:color w:val="000000" w:themeColor="text1"/>
                <w:kern w:val="0"/>
                <w:sz w:val="20"/>
                <w:highlight w:val="none"/>
                <w:lang w:val="zh-CN" w:eastAsia="en-US" w:bidi="zh-CN"/>
                <w14:textFill>
                  <w14:solidFill>
                    <w14:schemeClr w14:val="tx1"/>
                  </w14:solidFill>
                </w14:textFill>
              </w:rPr>
            </w:pPr>
          </w:p>
        </w:tc>
      </w:tr>
      <w:tr w14:paraId="52447C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2" w:hRule="atLeast"/>
        </w:trPr>
        <w:tc>
          <w:tcPr>
            <w:tcW w:w="934" w:type="dxa"/>
          </w:tcPr>
          <w:p w14:paraId="3528E71E">
            <w:pPr>
              <w:pStyle w:val="475"/>
              <w:autoSpaceDE w:val="0"/>
              <w:autoSpaceDN w:val="0"/>
              <w:jc w:val="left"/>
              <w:rPr>
                <w:rFonts w:ascii="Times New Roman" w:hAnsi="宋体" w:cs="宋体"/>
                <w:color w:val="000000" w:themeColor="text1"/>
                <w:kern w:val="0"/>
                <w:sz w:val="20"/>
                <w:highlight w:val="none"/>
                <w:lang w:val="zh-CN" w:eastAsia="en-US" w:bidi="zh-CN"/>
                <w14:textFill>
                  <w14:solidFill>
                    <w14:schemeClr w14:val="tx1"/>
                  </w14:solidFill>
                </w14:textFill>
              </w:rPr>
            </w:pPr>
          </w:p>
        </w:tc>
        <w:tc>
          <w:tcPr>
            <w:tcW w:w="927" w:type="dxa"/>
          </w:tcPr>
          <w:p w14:paraId="4E3CAF56">
            <w:pPr>
              <w:pStyle w:val="475"/>
              <w:autoSpaceDE w:val="0"/>
              <w:autoSpaceDN w:val="0"/>
              <w:jc w:val="left"/>
              <w:rPr>
                <w:rFonts w:ascii="Times New Roman" w:hAnsi="宋体" w:cs="宋体"/>
                <w:color w:val="000000" w:themeColor="text1"/>
                <w:kern w:val="0"/>
                <w:sz w:val="20"/>
                <w:highlight w:val="none"/>
                <w:lang w:val="zh-CN" w:eastAsia="en-US" w:bidi="zh-CN"/>
                <w14:textFill>
                  <w14:solidFill>
                    <w14:schemeClr w14:val="tx1"/>
                  </w14:solidFill>
                </w14:textFill>
              </w:rPr>
            </w:pPr>
          </w:p>
        </w:tc>
        <w:tc>
          <w:tcPr>
            <w:tcW w:w="2682" w:type="dxa"/>
          </w:tcPr>
          <w:p w14:paraId="22A1B44D">
            <w:pPr>
              <w:pStyle w:val="475"/>
              <w:autoSpaceDE w:val="0"/>
              <w:autoSpaceDN w:val="0"/>
              <w:jc w:val="left"/>
              <w:rPr>
                <w:rFonts w:ascii="Times New Roman" w:hAnsi="宋体" w:cs="宋体"/>
                <w:color w:val="000000" w:themeColor="text1"/>
                <w:kern w:val="0"/>
                <w:sz w:val="20"/>
                <w:highlight w:val="none"/>
                <w:lang w:val="zh-CN" w:eastAsia="en-US" w:bidi="zh-CN"/>
                <w14:textFill>
                  <w14:solidFill>
                    <w14:schemeClr w14:val="tx1"/>
                  </w14:solidFill>
                </w14:textFill>
              </w:rPr>
            </w:pPr>
          </w:p>
        </w:tc>
        <w:tc>
          <w:tcPr>
            <w:tcW w:w="1103" w:type="dxa"/>
          </w:tcPr>
          <w:p w14:paraId="2A4BF067">
            <w:pPr>
              <w:pStyle w:val="475"/>
              <w:autoSpaceDE w:val="0"/>
              <w:autoSpaceDN w:val="0"/>
              <w:jc w:val="left"/>
              <w:rPr>
                <w:rFonts w:ascii="Times New Roman" w:hAnsi="宋体" w:cs="宋体"/>
                <w:color w:val="000000" w:themeColor="text1"/>
                <w:kern w:val="0"/>
                <w:sz w:val="20"/>
                <w:highlight w:val="none"/>
                <w:lang w:val="zh-CN" w:eastAsia="en-US" w:bidi="zh-CN"/>
                <w14:textFill>
                  <w14:solidFill>
                    <w14:schemeClr w14:val="tx1"/>
                  </w14:solidFill>
                </w14:textFill>
              </w:rPr>
            </w:pPr>
          </w:p>
        </w:tc>
        <w:tc>
          <w:tcPr>
            <w:tcW w:w="1307" w:type="dxa"/>
          </w:tcPr>
          <w:p w14:paraId="62F0ED21">
            <w:pPr>
              <w:pStyle w:val="475"/>
              <w:autoSpaceDE w:val="0"/>
              <w:autoSpaceDN w:val="0"/>
              <w:jc w:val="left"/>
              <w:rPr>
                <w:rFonts w:ascii="Times New Roman" w:hAnsi="宋体" w:cs="宋体"/>
                <w:color w:val="000000" w:themeColor="text1"/>
                <w:kern w:val="0"/>
                <w:sz w:val="20"/>
                <w:highlight w:val="none"/>
                <w:lang w:val="zh-CN" w:eastAsia="en-US" w:bidi="zh-CN"/>
                <w14:textFill>
                  <w14:solidFill>
                    <w14:schemeClr w14:val="tx1"/>
                  </w14:solidFill>
                </w14:textFill>
              </w:rPr>
            </w:pPr>
          </w:p>
        </w:tc>
        <w:tc>
          <w:tcPr>
            <w:tcW w:w="1946" w:type="dxa"/>
          </w:tcPr>
          <w:p w14:paraId="5EE0313F">
            <w:pPr>
              <w:pStyle w:val="475"/>
              <w:autoSpaceDE w:val="0"/>
              <w:autoSpaceDN w:val="0"/>
              <w:jc w:val="left"/>
              <w:rPr>
                <w:rFonts w:ascii="Times New Roman" w:hAnsi="宋体" w:cs="宋体"/>
                <w:color w:val="000000" w:themeColor="text1"/>
                <w:kern w:val="0"/>
                <w:sz w:val="20"/>
                <w:highlight w:val="none"/>
                <w:lang w:val="zh-CN" w:eastAsia="en-US" w:bidi="zh-CN"/>
                <w14:textFill>
                  <w14:solidFill>
                    <w14:schemeClr w14:val="tx1"/>
                  </w14:solidFill>
                </w14:textFill>
              </w:rPr>
            </w:pPr>
          </w:p>
        </w:tc>
      </w:tr>
      <w:tr w14:paraId="1B8A1B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5" w:hRule="atLeast"/>
        </w:trPr>
        <w:tc>
          <w:tcPr>
            <w:tcW w:w="934" w:type="dxa"/>
          </w:tcPr>
          <w:p w14:paraId="517F44B5">
            <w:pPr>
              <w:pStyle w:val="475"/>
              <w:autoSpaceDE w:val="0"/>
              <w:autoSpaceDN w:val="0"/>
              <w:jc w:val="left"/>
              <w:rPr>
                <w:rFonts w:ascii="Times New Roman" w:hAnsi="宋体" w:cs="宋体"/>
                <w:color w:val="000000" w:themeColor="text1"/>
                <w:kern w:val="0"/>
                <w:sz w:val="20"/>
                <w:highlight w:val="none"/>
                <w:lang w:val="zh-CN" w:eastAsia="en-US" w:bidi="zh-CN"/>
                <w14:textFill>
                  <w14:solidFill>
                    <w14:schemeClr w14:val="tx1"/>
                  </w14:solidFill>
                </w14:textFill>
              </w:rPr>
            </w:pPr>
          </w:p>
        </w:tc>
        <w:tc>
          <w:tcPr>
            <w:tcW w:w="927" w:type="dxa"/>
          </w:tcPr>
          <w:p w14:paraId="1499A462">
            <w:pPr>
              <w:pStyle w:val="475"/>
              <w:autoSpaceDE w:val="0"/>
              <w:autoSpaceDN w:val="0"/>
              <w:jc w:val="left"/>
              <w:rPr>
                <w:rFonts w:ascii="Times New Roman" w:hAnsi="宋体" w:cs="宋体"/>
                <w:color w:val="000000" w:themeColor="text1"/>
                <w:kern w:val="0"/>
                <w:sz w:val="20"/>
                <w:highlight w:val="none"/>
                <w:lang w:val="zh-CN" w:eastAsia="en-US" w:bidi="zh-CN"/>
                <w14:textFill>
                  <w14:solidFill>
                    <w14:schemeClr w14:val="tx1"/>
                  </w14:solidFill>
                </w14:textFill>
              </w:rPr>
            </w:pPr>
          </w:p>
        </w:tc>
        <w:tc>
          <w:tcPr>
            <w:tcW w:w="2682" w:type="dxa"/>
          </w:tcPr>
          <w:p w14:paraId="46FD6841">
            <w:pPr>
              <w:pStyle w:val="475"/>
              <w:autoSpaceDE w:val="0"/>
              <w:autoSpaceDN w:val="0"/>
              <w:jc w:val="left"/>
              <w:rPr>
                <w:rFonts w:ascii="Times New Roman" w:hAnsi="宋体" w:cs="宋体"/>
                <w:color w:val="000000" w:themeColor="text1"/>
                <w:kern w:val="0"/>
                <w:sz w:val="20"/>
                <w:highlight w:val="none"/>
                <w:lang w:val="zh-CN" w:eastAsia="en-US" w:bidi="zh-CN"/>
                <w14:textFill>
                  <w14:solidFill>
                    <w14:schemeClr w14:val="tx1"/>
                  </w14:solidFill>
                </w14:textFill>
              </w:rPr>
            </w:pPr>
          </w:p>
        </w:tc>
        <w:tc>
          <w:tcPr>
            <w:tcW w:w="1103" w:type="dxa"/>
          </w:tcPr>
          <w:p w14:paraId="59913562">
            <w:pPr>
              <w:pStyle w:val="475"/>
              <w:autoSpaceDE w:val="0"/>
              <w:autoSpaceDN w:val="0"/>
              <w:jc w:val="left"/>
              <w:rPr>
                <w:rFonts w:ascii="Times New Roman" w:hAnsi="宋体" w:cs="宋体"/>
                <w:color w:val="000000" w:themeColor="text1"/>
                <w:kern w:val="0"/>
                <w:sz w:val="20"/>
                <w:highlight w:val="none"/>
                <w:lang w:val="zh-CN" w:eastAsia="en-US" w:bidi="zh-CN"/>
                <w14:textFill>
                  <w14:solidFill>
                    <w14:schemeClr w14:val="tx1"/>
                  </w14:solidFill>
                </w14:textFill>
              </w:rPr>
            </w:pPr>
          </w:p>
        </w:tc>
        <w:tc>
          <w:tcPr>
            <w:tcW w:w="1307" w:type="dxa"/>
          </w:tcPr>
          <w:p w14:paraId="42DE790A">
            <w:pPr>
              <w:pStyle w:val="475"/>
              <w:autoSpaceDE w:val="0"/>
              <w:autoSpaceDN w:val="0"/>
              <w:jc w:val="left"/>
              <w:rPr>
                <w:rFonts w:ascii="Times New Roman" w:hAnsi="宋体" w:cs="宋体"/>
                <w:color w:val="000000" w:themeColor="text1"/>
                <w:kern w:val="0"/>
                <w:sz w:val="20"/>
                <w:highlight w:val="none"/>
                <w:lang w:val="zh-CN" w:eastAsia="en-US" w:bidi="zh-CN"/>
                <w14:textFill>
                  <w14:solidFill>
                    <w14:schemeClr w14:val="tx1"/>
                  </w14:solidFill>
                </w14:textFill>
              </w:rPr>
            </w:pPr>
          </w:p>
        </w:tc>
        <w:tc>
          <w:tcPr>
            <w:tcW w:w="1946" w:type="dxa"/>
          </w:tcPr>
          <w:p w14:paraId="174C46EC">
            <w:pPr>
              <w:pStyle w:val="475"/>
              <w:autoSpaceDE w:val="0"/>
              <w:autoSpaceDN w:val="0"/>
              <w:jc w:val="left"/>
              <w:rPr>
                <w:rFonts w:ascii="Times New Roman" w:hAnsi="宋体" w:cs="宋体"/>
                <w:color w:val="000000" w:themeColor="text1"/>
                <w:kern w:val="0"/>
                <w:sz w:val="20"/>
                <w:highlight w:val="none"/>
                <w:lang w:val="zh-CN" w:eastAsia="en-US" w:bidi="zh-CN"/>
                <w14:textFill>
                  <w14:solidFill>
                    <w14:schemeClr w14:val="tx1"/>
                  </w14:solidFill>
                </w14:textFill>
              </w:rPr>
            </w:pPr>
          </w:p>
        </w:tc>
      </w:tr>
      <w:tr w14:paraId="6F9A41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5" w:hRule="atLeast"/>
        </w:trPr>
        <w:tc>
          <w:tcPr>
            <w:tcW w:w="934" w:type="dxa"/>
          </w:tcPr>
          <w:p w14:paraId="5B1F3455">
            <w:pPr>
              <w:pStyle w:val="475"/>
              <w:autoSpaceDE w:val="0"/>
              <w:autoSpaceDN w:val="0"/>
              <w:jc w:val="left"/>
              <w:rPr>
                <w:rFonts w:ascii="Times New Roman" w:hAnsi="宋体" w:cs="宋体"/>
                <w:color w:val="000000" w:themeColor="text1"/>
                <w:kern w:val="0"/>
                <w:sz w:val="20"/>
                <w:highlight w:val="none"/>
                <w:lang w:val="zh-CN" w:eastAsia="en-US" w:bidi="zh-CN"/>
                <w14:textFill>
                  <w14:solidFill>
                    <w14:schemeClr w14:val="tx1"/>
                  </w14:solidFill>
                </w14:textFill>
              </w:rPr>
            </w:pPr>
          </w:p>
        </w:tc>
        <w:tc>
          <w:tcPr>
            <w:tcW w:w="927" w:type="dxa"/>
          </w:tcPr>
          <w:p w14:paraId="445C52E2">
            <w:pPr>
              <w:pStyle w:val="475"/>
              <w:autoSpaceDE w:val="0"/>
              <w:autoSpaceDN w:val="0"/>
              <w:jc w:val="left"/>
              <w:rPr>
                <w:rFonts w:ascii="Times New Roman" w:hAnsi="宋体" w:cs="宋体"/>
                <w:color w:val="000000" w:themeColor="text1"/>
                <w:kern w:val="0"/>
                <w:sz w:val="20"/>
                <w:highlight w:val="none"/>
                <w:lang w:val="zh-CN" w:eastAsia="en-US" w:bidi="zh-CN"/>
                <w14:textFill>
                  <w14:solidFill>
                    <w14:schemeClr w14:val="tx1"/>
                  </w14:solidFill>
                </w14:textFill>
              </w:rPr>
            </w:pPr>
          </w:p>
        </w:tc>
        <w:tc>
          <w:tcPr>
            <w:tcW w:w="2682" w:type="dxa"/>
          </w:tcPr>
          <w:p w14:paraId="5C414EBA">
            <w:pPr>
              <w:pStyle w:val="475"/>
              <w:autoSpaceDE w:val="0"/>
              <w:autoSpaceDN w:val="0"/>
              <w:jc w:val="left"/>
              <w:rPr>
                <w:rFonts w:ascii="Times New Roman" w:hAnsi="宋体" w:cs="宋体"/>
                <w:color w:val="000000" w:themeColor="text1"/>
                <w:kern w:val="0"/>
                <w:sz w:val="20"/>
                <w:highlight w:val="none"/>
                <w:lang w:val="zh-CN" w:eastAsia="en-US" w:bidi="zh-CN"/>
                <w14:textFill>
                  <w14:solidFill>
                    <w14:schemeClr w14:val="tx1"/>
                  </w14:solidFill>
                </w14:textFill>
              </w:rPr>
            </w:pPr>
          </w:p>
        </w:tc>
        <w:tc>
          <w:tcPr>
            <w:tcW w:w="1103" w:type="dxa"/>
          </w:tcPr>
          <w:p w14:paraId="4413B5A7">
            <w:pPr>
              <w:pStyle w:val="475"/>
              <w:autoSpaceDE w:val="0"/>
              <w:autoSpaceDN w:val="0"/>
              <w:jc w:val="left"/>
              <w:rPr>
                <w:rFonts w:ascii="Times New Roman" w:hAnsi="宋体" w:cs="宋体"/>
                <w:color w:val="000000" w:themeColor="text1"/>
                <w:kern w:val="0"/>
                <w:sz w:val="20"/>
                <w:highlight w:val="none"/>
                <w:lang w:val="zh-CN" w:eastAsia="en-US" w:bidi="zh-CN"/>
                <w14:textFill>
                  <w14:solidFill>
                    <w14:schemeClr w14:val="tx1"/>
                  </w14:solidFill>
                </w14:textFill>
              </w:rPr>
            </w:pPr>
          </w:p>
        </w:tc>
        <w:tc>
          <w:tcPr>
            <w:tcW w:w="1307" w:type="dxa"/>
          </w:tcPr>
          <w:p w14:paraId="06FD1EC8">
            <w:pPr>
              <w:pStyle w:val="475"/>
              <w:autoSpaceDE w:val="0"/>
              <w:autoSpaceDN w:val="0"/>
              <w:jc w:val="left"/>
              <w:rPr>
                <w:rFonts w:ascii="Times New Roman" w:hAnsi="宋体" w:cs="宋体"/>
                <w:color w:val="000000" w:themeColor="text1"/>
                <w:kern w:val="0"/>
                <w:sz w:val="20"/>
                <w:highlight w:val="none"/>
                <w:lang w:val="zh-CN" w:eastAsia="en-US" w:bidi="zh-CN"/>
                <w14:textFill>
                  <w14:solidFill>
                    <w14:schemeClr w14:val="tx1"/>
                  </w14:solidFill>
                </w14:textFill>
              </w:rPr>
            </w:pPr>
          </w:p>
        </w:tc>
        <w:tc>
          <w:tcPr>
            <w:tcW w:w="1946" w:type="dxa"/>
          </w:tcPr>
          <w:p w14:paraId="6F1B50E9">
            <w:pPr>
              <w:pStyle w:val="475"/>
              <w:autoSpaceDE w:val="0"/>
              <w:autoSpaceDN w:val="0"/>
              <w:jc w:val="left"/>
              <w:rPr>
                <w:rFonts w:ascii="Times New Roman" w:hAnsi="宋体" w:cs="宋体"/>
                <w:color w:val="000000" w:themeColor="text1"/>
                <w:kern w:val="0"/>
                <w:sz w:val="20"/>
                <w:highlight w:val="none"/>
                <w:lang w:val="zh-CN" w:eastAsia="en-US" w:bidi="zh-CN"/>
                <w14:textFill>
                  <w14:solidFill>
                    <w14:schemeClr w14:val="tx1"/>
                  </w14:solidFill>
                </w14:textFill>
              </w:rPr>
            </w:pPr>
          </w:p>
        </w:tc>
      </w:tr>
      <w:tr w14:paraId="3CC467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6" w:hRule="atLeast"/>
        </w:trPr>
        <w:tc>
          <w:tcPr>
            <w:tcW w:w="934" w:type="dxa"/>
          </w:tcPr>
          <w:p w14:paraId="13FC7582">
            <w:pPr>
              <w:pStyle w:val="475"/>
              <w:autoSpaceDE w:val="0"/>
              <w:autoSpaceDN w:val="0"/>
              <w:jc w:val="left"/>
              <w:rPr>
                <w:rFonts w:ascii="Times New Roman" w:hAnsi="宋体" w:cs="宋体"/>
                <w:color w:val="000000" w:themeColor="text1"/>
                <w:kern w:val="0"/>
                <w:sz w:val="20"/>
                <w:highlight w:val="none"/>
                <w:lang w:val="zh-CN" w:eastAsia="en-US" w:bidi="zh-CN"/>
                <w14:textFill>
                  <w14:solidFill>
                    <w14:schemeClr w14:val="tx1"/>
                  </w14:solidFill>
                </w14:textFill>
              </w:rPr>
            </w:pPr>
          </w:p>
        </w:tc>
        <w:tc>
          <w:tcPr>
            <w:tcW w:w="927" w:type="dxa"/>
          </w:tcPr>
          <w:p w14:paraId="6C451EF6">
            <w:pPr>
              <w:pStyle w:val="475"/>
              <w:autoSpaceDE w:val="0"/>
              <w:autoSpaceDN w:val="0"/>
              <w:jc w:val="left"/>
              <w:rPr>
                <w:rFonts w:ascii="Times New Roman" w:hAnsi="宋体" w:cs="宋体"/>
                <w:color w:val="000000" w:themeColor="text1"/>
                <w:kern w:val="0"/>
                <w:sz w:val="20"/>
                <w:highlight w:val="none"/>
                <w:lang w:val="zh-CN" w:eastAsia="en-US" w:bidi="zh-CN"/>
                <w14:textFill>
                  <w14:solidFill>
                    <w14:schemeClr w14:val="tx1"/>
                  </w14:solidFill>
                </w14:textFill>
              </w:rPr>
            </w:pPr>
          </w:p>
        </w:tc>
        <w:tc>
          <w:tcPr>
            <w:tcW w:w="2682" w:type="dxa"/>
          </w:tcPr>
          <w:p w14:paraId="27A7C78F">
            <w:pPr>
              <w:pStyle w:val="475"/>
              <w:autoSpaceDE w:val="0"/>
              <w:autoSpaceDN w:val="0"/>
              <w:jc w:val="left"/>
              <w:rPr>
                <w:rFonts w:ascii="Times New Roman" w:hAnsi="宋体" w:cs="宋体"/>
                <w:color w:val="000000" w:themeColor="text1"/>
                <w:kern w:val="0"/>
                <w:sz w:val="20"/>
                <w:highlight w:val="none"/>
                <w:lang w:val="zh-CN" w:eastAsia="en-US" w:bidi="zh-CN"/>
                <w14:textFill>
                  <w14:solidFill>
                    <w14:schemeClr w14:val="tx1"/>
                  </w14:solidFill>
                </w14:textFill>
              </w:rPr>
            </w:pPr>
          </w:p>
        </w:tc>
        <w:tc>
          <w:tcPr>
            <w:tcW w:w="1103" w:type="dxa"/>
          </w:tcPr>
          <w:p w14:paraId="0026A850">
            <w:pPr>
              <w:pStyle w:val="475"/>
              <w:autoSpaceDE w:val="0"/>
              <w:autoSpaceDN w:val="0"/>
              <w:jc w:val="left"/>
              <w:rPr>
                <w:rFonts w:ascii="Times New Roman" w:hAnsi="宋体" w:cs="宋体"/>
                <w:color w:val="000000" w:themeColor="text1"/>
                <w:kern w:val="0"/>
                <w:sz w:val="20"/>
                <w:highlight w:val="none"/>
                <w:lang w:val="zh-CN" w:eastAsia="en-US" w:bidi="zh-CN"/>
                <w14:textFill>
                  <w14:solidFill>
                    <w14:schemeClr w14:val="tx1"/>
                  </w14:solidFill>
                </w14:textFill>
              </w:rPr>
            </w:pPr>
          </w:p>
        </w:tc>
        <w:tc>
          <w:tcPr>
            <w:tcW w:w="1307" w:type="dxa"/>
          </w:tcPr>
          <w:p w14:paraId="0A6B5DB8">
            <w:pPr>
              <w:pStyle w:val="475"/>
              <w:autoSpaceDE w:val="0"/>
              <w:autoSpaceDN w:val="0"/>
              <w:jc w:val="left"/>
              <w:rPr>
                <w:rFonts w:ascii="Times New Roman" w:hAnsi="宋体" w:cs="宋体"/>
                <w:color w:val="000000" w:themeColor="text1"/>
                <w:kern w:val="0"/>
                <w:sz w:val="20"/>
                <w:highlight w:val="none"/>
                <w:lang w:val="zh-CN" w:eastAsia="en-US" w:bidi="zh-CN"/>
                <w14:textFill>
                  <w14:solidFill>
                    <w14:schemeClr w14:val="tx1"/>
                  </w14:solidFill>
                </w14:textFill>
              </w:rPr>
            </w:pPr>
          </w:p>
        </w:tc>
        <w:tc>
          <w:tcPr>
            <w:tcW w:w="1946" w:type="dxa"/>
          </w:tcPr>
          <w:p w14:paraId="3F5E3BC9">
            <w:pPr>
              <w:pStyle w:val="475"/>
              <w:autoSpaceDE w:val="0"/>
              <w:autoSpaceDN w:val="0"/>
              <w:jc w:val="left"/>
              <w:rPr>
                <w:rFonts w:ascii="Times New Roman" w:hAnsi="宋体" w:cs="宋体"/>
                <w:color w:val="000000" w:themeColor="text1"/>
                <w:kern w:val="0"/>
                <w:sz w:val="20"/>
                <w:highlight w:val="none"/>
                <w:lang w:val="zh-CN" w:eastAsia="en-US" w:bidi="zh-CN"/>
                <w14:textFill>
                  <w14:solidFill>
                    <w14:schemeClr w14:val="tx1"/>
                  </w14:solidFill>
                </w14:textFill>
              </w:rPr>
            </w:pPr>
          </w:p>
        </w:tc>
      </w:tr>
      <w:tr w14:paraId="00F048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7" w:hRule="atLeast"/>
        </w:trPr>
        <w:tc>
          <w:tcPr>
            <w:tcW w:w="934" w:type="dxa"/>
          </w:tcPr>
          <w:p w14:paraId="16079F29">
            <w:pPr>
              <w:pStyle w:val="475"/>
              <w:autoSpaceDE w:val="0"/>
              <w:autoSpaceDN w:val="0"/>
              <w:jc w:val="left"/>
              <w:rPr>
                <w:rFonts w:ascii="Times New Roman" w:hAnsi="宋体" w:cs="宋体"/>
                <w:color w:val="000000" w:themeColor="text1"/>
                <w:kern w:val="0"/>
                <w:sz w:val="20"/>
                <w:highlight w:val="none"/>
                <w:lang w:val="zh-CN" w:eastAsia="en-US" w:bidi="zh-CN"/>
                <w14:textFill>
                  <w14:solidFill>
                    <w14:schemeClr w14:val="tx1"/>
                  </w14:solidFill>
                </w14:textFill>
              </w:rPr>
            </w:pPr>
          </w:p>
        </w:tc>
        <w:tc>
          <w:tcPr>
            <w:tcW w:w="927" w:type="dxa"/>
          </w:tcPr>
          <w:p w14:paraId="18F3105B">
            <w:pPr>
              <w:pStyle w:val="475"/>
              <w:autoSpaceDE w:val="0"/>
              <w:autoSpaceDN w:val="0"/>
              <w:jc w:val="left"/>
              <w:rPr>
                <w:rFonts w:ascii="Times New Roman" w:hAnsi="宋体" w:cs="宋体"/>
                <w:color w:val="000000" w:themeColor="text1"/>
                <w:kern w:val="0"/>
                <w:sz w:val="20"/>
                <w:highlight w:val="none"/>
                <w:lang w:val="zh-CN" w:eastAsia="en-US" w:bidi="zh-CN"/>
                <w14:textFill>
                  <w14:solidFill>
                    <w14:schemeClr w14:val="tx1"/>
                  </w14:solidFill>
                </w14:textFill>
              </w:rPr>
            </w:pPr>
          </w:p>
        </w:tc>
        <w:tc>
          <w:tcPr>
            <w:tcW w:w="2682" w:type="dxa"/>
          </w:tcPr>
          <w:p w14:paraId="7E8866FA">
            <w:pPr>
              <w:pStyle w:val="475"/>
              <w:autoSpaceDE w:val="0"/>
              <w:autoSpaceDN w:val="0"/>
              <w:jc w:val="left"/>
              <w:rPr>
                <w:rFonts w:ascii="Times New Roman" w:hAnsi="宋体" w:cs="宋体"/>
                <w:color w:val="000000" w:themeColor="text1"/>
                <w:kern w:val="0"/>
                <w:sz w:val="20"/>
                <w:highlight w:val="none"/>
                <w:lang w:val="zh-CN" w:eastAsia="en-US" w:bidi="zh-CN"/>
                <w14:textFill>
                  <w14:solidFill>
                    <w14:schemeClr w14:val="tx1"/>
                  </w14:solidFill>
                </w14:textFill>
              </w:rPr>
            </w:pPr>
          </w:p>
        </w:tc>
        <w:tc>
          <w:tcPr>
            <w:tcW w:w="1103" w:type="dxa"/>
          </w:tcPr>
          <w:p w14:paraId="5EB229C7">
            <w:pPr>
              <w:pStyle w:val="475"/>
              <w:autoSpaceDE w:val="0"/>
              <w:autoSpaceDN w:val="0"/>
              <w:jc w:val="left"/>
              <w:rPr>
                <w:rFonts w:ascii="Times New Roman" w:hAnsi="宋体" w:cs="宋体"/>
                <w:color w:val="000000" w:themeColor="text1"/>
                <w:kern w:val="0"/>
                <w:sz w:val="20"/>
                <w:highlight w:val="none"/>
                <w:lang w:val="zh-CN" w:eastAsia="en-US" w:bidi="zh-CN"/>
                <w14:textFill>
                  <w14:solidFill>
                    <w14:schemeClr w14:val="tx1"/>
                  </w14:solidFill>
                </w14:textFill>
              </w:rPr>
            </w:pPr>
          </w:p>
        </w:tc>
        <w:tc>
          <w:tcPr>
            <w:tcW w:w="1307" w:type="dxa"/>
          </w:tcPr>
          <w:p w14:paraId="4BEEA973">
            <w:pPr>
              <w:pStyle w:val="475"/>
              <w:autoSpaceDE w:val="0"/>
              <w:autoSpaceDN w:val="0"/>
              <w:jc w:val="left"/>
              <w:rPr>
                <w:rFonts w:ascii="Times New Roman" w:hAnsi="宋体" w:cs="宋体"/>
                <w:color w:val="000000" w:themeColor="text1"/>
                <w:kern w:val="0"/>
                <w:sz w:val="20"/>
                <w:highlight w:val="none"/>
                <w:lang w:val="zh-CN" w:eastAsia="en-US" w:bidi="zh-CN"/>
                <w14:textFill>
                  <w14:solidFill>
                    <w14:schemeClr w14:val="tx1"/>
                  </w14:solidFill>
                </w14:textFill>
              </w:rPr>
            </w:pPr>
          </w:p>
        </w:tc>
        <w:tc>
          <w:tcPr>
            <w:tcW w:w="1946" w:type="dxa"/>
          </w:tcPr>
          <w:p w14:paraId="1BFBBC37">
            <w:pPr>
              <w:pStyle w:val="475"/>
              <w:autoSpaceDE w:val="0"/>
              <w:autoSpaceDN w:val="0"/>
              <w:jc w:val="left"/>
              <w:rPr>
                <w:rFonts w:ascii="Times New Roman" w:hAnsi="宋体" w:cs="宋体"/>
                <w:color w:val="000000" w:themeColor="text1"/>
                <w:kern w:val="0"/>
                <w:sz w:val="20"/>
                <w:highlight w:val="none"/>
                <w:lang w:val="zh-CN" w:eastAsia="en-US" w:bidi="zh-CN"/>
                <w14:textFill>
                  <w14:solidFill>
                    <w14:schemeClr w14:val="tx1"/>
                  </w14:solidFill>
                </w14:textFill>
              </w:rPr>
            </w:pPr>
          </w:p>
        </w:tc>
      </w:tr>
      <w:tr w14:paraId="3EBD49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5" w:hRule="atLeast"/>
        </w:trPr>
        <w:tc>
          <w:tcPr>
            <w:tcW w:w="934" w:type="dxa"/>
          </w:tcPr>
          <w:p w14:paraId="41D17C3C">
            <w:pPr>
              <w:pStyle w:val="475"/>
              <w:autoSpaceDE w:val="0"/>
              <w:autoSpaceDN w:val="0"/>
              <w:jc w:val="left"/>
              <w:rPr>
                <w:rFonts w:ascii="Times New Roman" w:hAnsi="宋体" w:cs="宋体"/>
                <w:color w:val="000000" w:themeColor="text1"/>
                <w:kern w:val="0"/>
                <w:sz w:val="20"/>
                <w:highlight w:val="none"/>
                <w:lang w:val="zh-CN" w:eastAsia="en-US" w:bidi="zh-CN"/>
                <w14:textFill>
                  <w14:solidFill>
                    <w14:schemeClr w14:val="tx1"/>
                  </w14:solidFill>
                </w14:textFill>
              </w:rPr>
            </w:pPr>
          </w:p>
        </w:tc>
        <w:tc>
          <w:tcPr>
            <w:tcW w:w="927" w:type="dxa"/>
          </w:tcPr>
          <w:p w14:paraId="008FC4E0">
            <w:pPr>
              <w:pStyle w:val="475"/>
              <w:autoSpaceDE w:val="0"/>
              <w:autoSpaceDN w:val="0"/>
              <w:jc w:val="left"/>
              <w:rPr>
                <w:rFonts w:ascii="Times New Roman" w:hAnsi="宋体" w:cs="宋体"/>
                <w:color w:val="000000" w:themeColor="text1"/>
                <w:kern w:val="0"/>
                <w:sz w:val="20"/>
                <w:highlight w:val="none"/>
                <w:lang w:val="zh-CN" w:eastAsia="en-US" w:bidi="zh-CN"/>
                <w14:textFill>
                  <w14:solidFill>
                    <w14:schemeClr w14:val="tx1"/>
                  </w14:solidFill>
                </w14:textFill>
              </w:rPr>
            </w:pPr>
          </w:p>
        </w:tc>
        <w:tc>
          <w:tcPr>
            <w:tcW w:w="2682" w:type="dxa"/>
          </w:tcPr>
          <w:p w14:paraId="11501022">
            <w:pPr>
              <w:pStyle w:val="475"/>
              <w:autoSpaceDE w:val="0"/>
              <w:autoSpaceDN w:val="0"/>
              <w:jc w:val="left"/>
              <w:rPr>
                <w:rFonts w:ascii="Times New Roman" w:hAnsi="宋体" w:cs="宋体"/>
                <w:color w:val="000000" w:themeColor="text1"/>
                <w:kern w:val="0"/>
                <w:sz w:val="20"/>
                <w:highlight w:val="none"/>
                <w:lang w:val="zh-CN" w:eastAsia="en-US" w:bidi="zh-CN"/>
                <w14:textFill>
                  <w14:solidFill>
                    <w14:schemeClr w14:val="tx1"/>
                  </w14:solidFill>
                </w14:textFill>
              </w:rPr>
            </w:pPr>
          </w:p>
        </w:tc>
        <w:tc>
          <w:tcPr>
            <w:tcW w:w="1103" w:type="dxa"/>
          </w:tcPr>
          <w:p w14:paraId="100C3685">
            <w:pPr>
              <w:pStyle w:val="475"/>
              <w:autoSpaceDE w:val="0"/>
              <w:autoSpaceDN w:val="0"/>
              <w:jc w:val="left"/>
              <w:rPr>
                <w:rFonts w:ascii="Times New Roman" w:hAnsi="宋体" w:cs="宋体"/>
                <w:color w:val="000000" w:themeColor="text1"/>
                <w:kern w:val="0"/>
                <w:sz w:val="20"/>
                <w:highlight w:val="none"/>
                <w:lang w:val="zh-CN" w:eastAsia="en-US" w:bidi="zh-CN"/>
                <w14:textFill>
                  <w14:solidFill>
                    <w14:schemeClr w14:val="tx1"/>
                  </w14:solidFill>
                </w14:textFill>
              </w:rPr>
            </w:pPr>
          </w:p>
        </w:tc>
        <w:tc>
          <w:tcPr>
            <w:tcW w:w="1307" w:type="dxa"/>
          </w:tcPr>
          <w:p w14:paraId="6801CE50">
            <w:pPr>
              <w:pStyle w:val="475"/>
              <w:autoSpaceDE w:val="0"/>
              <w:autoSpaceDN w:val="0"/>
              <w:jc w:val="left"/>
              <w:rPr>
                <w:rFonts w:ascii="Times New Roman" w:hAnsi="宋体" w:cs="宋体"/>
                <w:color w:val="000000" w:themeColor="text1"/>
                <w:kern w:val="0"/>
                <w:sz w:val="20"/>
                <w:highlight w:val="none"/>
                <w:lang w:val="zh-CN" w:eastAsia="en-US" w:bidi="zh-CN"/>
                <w14:textFill>
                  <w14:solidFill>
                    <w14:schemeClr w14:val="tx1"/>
                  </w14:solidFill>
                </w14:textFill>
              </w:rPr>
            </w:pPr>
          </w:p>
        </w:tc>
        <w:tc>
          <w:tcPr>
            <w:tcW w:w="1946" w:type="dxa"/>
          </w:tcPr>
          <w:p w14:paraId="28D4C2BB">
            <w:pPr>
              <w:pStyle w:val="475"/>
              <w:autoSpaceDE w:val="0"/>
              <w:autoSpaceDN w:val="0"/>
              <w:jc w:val="left"/>
              <w:rPr>
                <w:rFonts w:ascii="Times New Roman" w:hAnsi="宋体" w:cs="宋体"/>
                <w:color w:val="000000" w:themeColor="text1"/>
                <w:kern w:val="0"/>
                <w:sz w:val="20"/>
                <w:highlight w:val="none"/>
                <w:lang w:val="zh-CN" w:eastAsia="en-US" w:bidi="zh-CN"/>
                <w14:textFill>
                  <w14:solidFill>
                    <w14:schemeClr w14:val="tx1"/>
                  </w14:solidFill>
                </w14:textFill>
              </w:rPr>
            </w:pPr>
          </w:p>
        </w:tc>
      </w:tr>
      <w:tr w14:paraId="5F9F59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2" w:hRule="atLeast"/>
        </w:trPr>
        <w:tc>
          <w:tcPr>
            <w:tcW w:w="934" w:type="dxa"/>
          </w:tcPr>
          <w:p w14:paraId="52F2CABE">
            <w:pPr>
              <w:pStyle w:val="475"/>
              <w:autoSpaceDE w:val="0"/>
              <w:autoSpaceDN w:val="0"/>
              <w:jc w:val="left"/>
              <w:rPr>
                <w:rFonts w:ascii="Times New Roman" w:hAnsi="宋体" w:cs="宋体"/>
                <w:color w:val="000000" w:themeColor="text1"/>
                <w:kern w:val="0"/>
                <w:sz w:val="20"/>
                <w:highlight w:val="none"/>
                <w:lang w:val="zh-CN" w:eastAsia="en-US" w:bidi="zh-CN"/>
                <w14:textFill>
                  <w14:solidFill>
                    <w14:schemeClr w14:val="tx1"/>
                  </w14:solidFill>
                </w14:textFill>
              </w:rPr>
            </w:pPr>
          </w:p>
        </w:tc>
        <w:tc>
          <w:tcPr>
            <w:tcW w:w="927" w:type="dxa"/>
          </w:tcPr>
          <w:p w14:paraId="70551B41">
            <w:pPr>
              <w:pStyle w:val="475"/>
              <w:autoSpaceDE w:val="0"/>
              <w:autoSpaceDN w:val="0"/>
              <w:jc w:val="left"/>
              <w:rPr>
                <w:rFonts w:ascii="Times New Roman" w:hAnsi="宋体" w:cs="宋体"/>
                <w:color w:val="000000" w:themeColor="text1"/>
                <w:kern w:val="0"/>
                <w:sz w:val="20"/>
                <w:highlight w:val="none"/>
                <w:lang w:val="zh-CN" w:eastAsia="en-US" w:bidi="zh-CN"/>
                <w14:textFill>
                  <w14:solidFill>
                    <w14:schemeClr w14:val="tx1"/>
                  </w14:solidFill>
                </w14:textFill>
              </w:rPr>
            </w:pPr>
          </w:p>
        </w:tc>
        <w:tc>
          <w:tcPr>
            <w:tcW w:w="2682" w:type="dxa"/>
          </w:tcPr>
          <w:p w14:paraId="6408B359">
            <w:pPr>
              <w:pStyle w:val="475"/>
              <w:autoSpaceDE w:val="0"/>
              <w:autoSpaceDN w:val="0"/>
              <w:jc w:val="left"/>
              <w:rPr>
                <w:rFonts w:ascii="Times New Roman" w:hAnsi="宋体" w:cs="宋体"/>
                <w:color w:val="000000" w:themeColor="text1"/>
                <w:kern w:val="0"/>
                <w:sz w:val="20"/>
                <w:highlight w:val="none"/>
                <w:lang w:val="zh-CN" w:eastAsia="en-US" w:bidi="zh-CN"/>
                <w14:textFill>
                  <w14:solidFill>
                    <w14:schemeClr w14:val="tx1"/>
                  </w14:solidFill>
                </w14:textFill>
              </w:rPr>
            </w:pPr>
          </w:p>
        </w:tc>
        <w:tc>
          <w:tcPr>
            <w:tcW w:w="1103" w:type="dxa"/>
          </w:tcPr>
          <w:p w14:paraId="141F42D1">
            <w:pPr>
              <w:pStyle w:val="475"/>
              <w:autoSpaceDE w:val="0"/>
              <w:autoSpaceDN w:val="0"/>
              <w:jc w:val="left"/>
              <w:rPr>
                <w:rFonts w:ascii="Times New Roman" w:hAnsi="宋体" w:cs="宋体"/>
                <w:color w:val="000000" w:themeColor="text1"/>
                <w:kern w:val="0"/>
                <w:sz w:val="20"/>
                <w:highlight w:val="none"/>
                <w:lang w:val="zh-CN" w:eastAsia="en-US" w:bidi="zh-CN"/>
                <w14:textFill>
                  <w14:solidFill>
                    <w14:schemeClr w14:val="tx1"/>
                  </w14:solidFill>
                </w14:textFill>
              </w:rPr>
            </w:pPr>
          </w:p>
        </w:tc>
        <w:tc>
          <w:tcPr>
            <w:tcW w:w="1307" w:type="dxa"/>
          </w:tcPr>
          <w:p w14:paraId="41B19714">
            <w:pPr>
              <w:pStyle w:val="475"/>
              <w:autoSpaceDE w:val="0"/>
              <w:autoSpaceDN w:val="0"/>
              <w:jc w:val="left"/>
              <w:rPr>
                <w:rFonts w:ascii="Times New Roman" w:hAnsi="宋体" w:cs="宋体"/>
                <w:color w:val="000000" w:themeColor="text1"/>
                <w:kern w:val="0"/>
                <w:sz w:val="20"/>
                <w:highlight w:val="none"/>
                <w:lang w:val="zh-CN" w:eastAsia="en-US" w:bidi="zh-CN"/>
                <w14:textFill>
                  <w14:solidFill>
                    <w14:schemeClr w14:val="tx1"/>
                  </w14:solidFill>
                </w14:textFill>
              </w:rPr>
            </w:pPr>
          </w:p>
        </w:tc>
        <w:tc>
          <w:tcPr>
            <w:tcW w:w="1946" w:type="dxa"/>
          </w:tcPr>
          <w:p w14:paraId="6D469C1F">
            <w:pPr>
              <w:pStyle w:val="475"/>
              <w:autoSpaceDE w:val="0"/>
              <w:autoSpaceDN w:val="0"/>
              <w:jc w:val="left"/>
              <w:rPr>
                <w:rFonts w:ascii="Times New Roman" w:hAnsi="宋体" w:cs="宋体"/>
                <w:color w:val="000000" w:themeColor="text1"/>
                <w:kern w:val="0"/>
                <w:sz w:val="20"/>
                <w:highlight w:val="none"/>
                <w:lang w:val="zh-CN" w:eastAsia="en-US" w:bidi="zh-CN"/>
                <w14:textFill>
                  <w14:solidFill>
                    <w14:schemeClr w14:val="tx1"/>
                  </w14:solidFill>
                </w14:textFill>
              </w:rPr>
            </w:pPr>
          </w:p>
        </w:tc>
      </w:tr>
      <w:tr w14:paraId="5FD965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7" w:hRule="atLeast"/>
        </w:trPr>
        <w:tc>
          <w:tcPr>
            <w:tcW w:w="934" w:type="dxa"/>
          </w:tcPr>
          <w:p w14:paraId="54958F65">
            <w:pPr>
              <w:pStyle w:val="475"/>
              <w:autoSpaceDE w:val="0"/>
              <w:autoSpaceDN w:val="0"/>
              <w:jc w:val="left"/>
              <w:rPr>
                <w:rFonts w:ascii="Times New Roman" w:hAnsi="宋体" w:cs="宋体"/>
                <w:color w:val="000000" w:themeColor="text1"/>
                <w:kern w:val="0"/>
                <w:sz w:val="20"/>
                <w:highlight w:val="none"/>
                <w:lang w:val="zh-CN" w:eastAsia="en-US" w:bidi="zh-CN"/>
                <w14:textFill>
                  <w14:solidFill>
                    <w14:schemeClr w14:val="tx1"/>
                  </w14:solidFill>
                </w14:textFill>
              </w:rPr>
            </w:pPr>
          </w:p>
        </w:tc>
        <w:tc>
          <w:tcPr>
            <w:tcW w:w="927" w:type="dxa"/>
          </w:tcPr>
          <w:p w14:paraId="1EB3DE60">
            <w:pPr>
              <w:pStyle w:val="475"/>
              <w:autoSpaceDE w:val="0"/>
              <w:autoSpaceDN w:val="0"/>
              <w:jc w:val="left"/>
              <w:rPr>
                <w:rFonts w:ascii="Times New Roman" w:hAnsi="宋体" w:cs="宋体"/>
                <w:color w:val="000000" w:themeColor="text1"/>
                <w:kern w:val="0"/>
                <w:sz w:val="20"/>
                <w:highlight w:val="none"/>
                <w:lang w:val="zh-CN" w:eastAsia="en-US" w:bidi="zh-CN"/>
                <w14:textFill>
                  <w14:solidFill>
                    <w14:schemeClr w14:val="tx1"/>
                  </w14:solidFill>
                </w14:textFill>
              </w:rPr>
            </w:pPr>
          </w:p>
        </w:tc>
        <w:tc>
          <w:tcPr>
            <w:tcW w:w="2682" w:type="dxa"/>
          </w:tcPr>
          <w:p w14:paraId="3EA8AA34">
            <w:pPr>
              <w:pStyle w:val="475"/>
              <w:autoSpaceDE w:val="0"/>
              <w:autoSpaceDN w:val="0"/>
              <w:jc w:val="left"/>
              <w:rPr>
                <w:rFonts w:ascii="Times New Roman" w:hAnsi="宋体" w:cs="宋体"/>
                <w:color w:val="000000" w:themeColor="text1"/>
                <w:kern w:val="0"/>
                <w:sz w:val="20"/>
                <w:highlight w:val="none"/>
                <w:lang w:val="zh-CN" w:eastAsia="en-US" w:bidi="zh-CN"/>
                <w14:textFill>
                  <w14:solidFill>
                    <w14:schemeClr w14:val="tx1"/>
                  </w14:solidFill>
                </w14:textFill>
              </w:rPr>
            </w:pPr>
          </w:p>
        </w:tc>
        <w:tc>
          <w:tcPr>
            <w:tcW w:w="1103" w:type="dxa"/>
          </w:tcPr>
          <w:p w14:paraId="15430D69">
            <w:pPr>
              <w:pStyle w:val="475"/>
              <w:autoSpaceDE w:val="0"/>
              <w:autoSpaceDN w:val="0"/>
              <w:jc w:val="left"/>
              <w:rPr>
                <w:rFonts w:ascii="Times New Roman" w:hAnsi="宋体" w:cs="宋体"/>
                <w:color w:val="000000" w:themeColor="text1"/>
                <w:kern w:val="0"/>
                <w:sz w:val="20"/>
                <w:highlight w:val="none"/>
                <w:lang w:val="zh-CN" w:eastAsia="en-US" w:bidi="zh-CN"/>
                <w14:textFill>
                  <w14:solidFill>
                    <w14:schemeClr w14:val="tx1"/>
                  </w14:solidFill>
                </w14:textFill>
              </w:rPr>
            </w:pPr>
          </w:p>
        </w:tc>
        <w:tc>
          <w:tcPr>
            <w:tcW w:w="1307" w:type="dxa"/>
          </w:tcPr>
          <w:p w14:paraId="65F7D83E">
            <w:pPr>
              <w:pStyle w:val="475"/>
              <w:autoSpaceDE w:val="0"/>
              <w:autoSpaceDN w:val="0"/>
              <w:jc w:val="left"/>
              <w:rPr>
                <w:rFonts w:ascii="Times New Roman" w:hAnsi="宋体" w:cs="宋体"/>
                <w:color w:val="000000" w:themeColor="text1"/>
                <w:kern w:val="0"/>
                <w:sz w:val="20"/>
                <w:highlight w:val="none"/>
                <w:lang w:val="zh-CN" w:eastAsia="en-US" w:bidi="zh-CN"/>
                <w14:textFill>
                  <w14:solidFill>
                    <w14:schemeClr w14:val="tx1"/>
                  </w14:solidFill>
                </w14:textFill>
              </w:rPr>
            </w:pPr>
          </w:p>
        </w:tc>
        <w:tc>
          <w:tcPr>
            <w:tcW w:w="1946" w:type="dxa"/>
          </w:tcPr>
          <w:p w14:paraId="7B0A86FF">
            <w:pPr>
              <w:pStyle w:val="475"/>
              <w:autoSpaceDE w:val="0"/>
              <w:autoSpaceDN w:val="0"/>
              <w:jc w:val="left"/>
              <w:rPr>
                <w:rFonts w:ascii="Times New Roman" w:hAnsi="宋体" w:cs="宋体"/>
                <w:color w:val="000000" w:themeColor="text1"/>
                <w:kern w:val="0"/>
                <w:sz w:val="20"/>
                <w:highlight w:val="none"/>
                <w:lang w:val="zh-CN" w:eastAsia="en-US" w:bidi="zh-CN"/>
                <w14:textFill>
                  <w14:solidFill>
                    <w14:schemeClr w14:val="tx1"/>
                  </w14:solidFill>
                </w14:textFill>
              </w:rPr>
            </w:pPr>
          </w:p>
        </w:tc>
      </w:tr>
    </w:tbl>
    <w:p w14:paraId="5813B2F2">
      <w:pPr>
        <w:spacing w:line="500" w:lineRule="exact"/>
        <w:jc w:val="left"/>
        <w:rPr>
          <w:rFonts w:ascii="宋体" w:hAnsi="宋体" w:cs="宋体"/>
          <w:color w:val="000000" w:themeColor="text1"/>
          <w:highlight w:val="none"/>
          <w14:textFill>
            <w14:solidFill>
              <w14:schemeClr w14:val="tx1"/>
            </w14:solidFill>
          </w14:textFill>
        </w:rPr>
      </w:pPr>
    </w:p>
    <w:p w14:paraId="693F5904">
      <w:pPr>
        <w:spacing w:line="500" w:lineRule="exact"/>
        <w:jc w:val="left"/>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注：本表后须附人员的身份证以及资格审查条件所要求的其他相关证书（如安全生产考核合格证书等）的复印件。身份证应附前后两面的复印件；安全生产考核合格证应附有姓名、证书号和类别、发证机关和有效期的相关页面复印件。</w:t>
      </w:r>
    </w:p>
    <w:p w14:paraId="4A9DE152">
      <w:pPr>
        <w:spacing w:line="520" w:lineRule="exact"/>
        <w:rPr>
          <w:rFonts w:ascii="宋体"/>
          <w:color w:val="000000" w:themeColor="text1"/>
          <w:highlight w:val="none"/>
          <w14:textFill>
            <w14:solidFill>
              <w14:schemeClr w14:val="tx1"/>
            </w14:solidFill>
          </w14:textFill>
        </w:rPr>
      </w:pPr>
    </w:p>
    <w:p w14:paraId="5C2AC920">
      <w:pPr>
        <w:adjustRightInd w:val="0"/>
        <w:snapToGrid w:val="0"/>
        <w:spacing w:line="300" w:lineRule="auto"/>
        <w:jc w:val="center"/>
        <w:rPr>
          <w:rFonts w:ascii="宋体"/>
          <w:color w:val="000000" w:themeColor="text1"/>
          <w:highlight w:val="none"/>
          <w14:textFill>
            <w14:solidFill>
              <w14:schemeClr w14:val="tx1"/>
            </w14:solidFill>
          </w14:textFill>
        </w:rPr>
      </w:pPr>
    </w:p>
    <w:p w14:paraId="456C447B">
      <w:pPr>
        <w:spacing w:line="360" w:lineRule="auto"/>
        <w:ind w:right="480" w:firstLine="2940" w:firstLineChars="1400"/>
        <w:rPr>
          <w:rFonts w:ascii="宋体"/>
          <w:color w:val="000000" w:themeColor="text1"/>
          <w:highlight w:val="none"/>
          <w:u w:val="singl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法定代表人或者委托代理人（签字或盖印鉴）：</w:t>
      </w:r>
      <w:r>
        <w:rPr>
          <w:rFonts w:ascii="宋体" w:hAnsi="宋体" w:cs="宋体"/>
          <w:color w:val="000000" w:themeColor="text1"/>
          <w:highlight w:val="none"/>
          <w:u w:val="single"/>
          <w14:textFill>
            <w14:solidFill>
              <w14:schemeClr w14:val="tx1"/>
            </w14:solidFill>
          </w14:textFill>
        </w:rPr>
        <w:t xml:space="preserve">               </w:t>
      </w:r>
    </w:p>
    <w:p w14:paraId="52340782">
      <w:pPr>
        <w:spacing w:line="360" w:lineRule="auto"/>
        <w:ind w:right="480" w:firstLine="2940" w:firstLineChars="1400"/>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供应商（盖公章）：</w:t>
      </w:r>
      <w:r>
        <w:rPr>
          <w:rFonts w:ascii="宋体" w:hAnsi="宋体" w:cs="宋体"/>
          <w:color w:val="000000" w:themeColor="text1"/>
          <w:highlight w:val="none"/>
          <w:u w:val="single"/>
          <w14:textFill>
            <w14:solidFill>
              <w14:schemeClr w14:val="tx1"/>
            </w14:solidFill>
          </w14:textFill>
        </w:rPr>
        <w:t xml:space="preserve">                           </w:t>
      </w:r>
    </w:p>
    <w:p w14:paraId="2BE80AE9">
      <w:pPr>
        <w:spacing w:line="360" w:lineRule="auto"/>
        <w:ind w:right="480" w:firstLine="210" w:firstLineChars="100"/>
        <w:jc w:val="center"/>
        <w:rPr>
          <w:rFonts w:ascii="宋体"/>
          <w:color w:val="000000" w:themeColor="text1"/>
          <w:sz w:val="28"/>
          <w:szCs w:val="28"/>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年</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月</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日</w:t>
      </w:r>
    </w:p>
    <w:p w14:paraId="3F9E84BA">
      <w:pPr>
        <w:spacing w:before="120" w:after="120" w:line="420" w:lineRule="exact"/>
        <w:jc w:val="center"/>
        <w:rPr>
          <w:rFonts w:ascii="宋体"/>
          <w:color w:val="000000" w:themeColor="text1"/>
          <w:highlight w:val="none"/>
          <w14:textFill>
            <w14:solidFill>
              <w14:schemeClr w14:val="tx1"/>
            </w14:solidFill>
          </w14:textFill>
        </w:rPr>
      </w:pPr>
      <w:r>
        <w:rPr>
          <w:rFonts w:ascii="宋体"/>
          <w:color w:val="000000" w:themeColor="text1"/>
          <w:sz w:val="44"/>
          <w:szCs w:val="44"/>
          <w:highlight w:val="none"/>
          <w14:textFill>
            <w14:solidFill>
              <w14:schemeClr w14:val="tx1"/>
            </w14:solidFill>
          </w14:textFill>
        </w:rPr>
        <w:br w:type="page"/>
      </w:r>
      <w:r>
        <w:rPr>
          <w:rFonts w:hint="eastAsia" w:ascii="宋体" w:hAnsi="宋体" w:cs="宋体"/>
          <w:b/>
          <w:bCs/>
          <w:color w:val="000000" w:themeColor="text1"/>
          <w:sz w:val="36"/>
          <w:szCs w:val="36"/>
          <w:highlight w:val="none"/>
          <w14:textFill>
            <w14:solidFill>
              <w14:schemeClr w14:val="tx1"/>
            </w14:solidFill>
          </w14:textFill>
        </w:rPr>
        <w:t>农民工工资保证金承诺书</w:t>
      </w:r>
    </w:p>
    <w:p w14:paraId="52569C40">
      <w:pPr>
        <w:spacing w:line="420" w:lineRule="exact"/>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致：</w:t>
      </w:r>
      <w:r>
        <w:rPr>
          <w:rFonts w:ascii="宋体" w:hAnsi="宋体" w:cs="宋体"/>
          <w:color w:val="000000" w:themeColor="text1"/>
          <w:highlight w:val="none"/>
          <w:u w:val="singl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（采购人名称）</w:t>
      </w:r>
    </w:p>
    <w:p w14:paraId="0E9660A0">
      <w:pPr>
        <w:spacing w:line="420" w:lineRule="exact"/>
        <w:ind w:firstLine="420" w:firstLineChars="200"/>
        <w:rPr>
          <w:rFonts w:ascii="宋体"/>
          <w:color w:val="000000" w:themeColor="text1"/>
          <w:highlight w:val="none"/>
          <w:u w:val="singl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根据《广西壮族自治区人力资源和社会保障厅</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广西壮族自治区住房和城乡建设厅</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广西壮族自治区交通运输厅</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广西壮族自治区水利厅</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中国银行保险监督管理委员会广西监管局关于印发广西壮族自治区工程建设领域农民工工资保证金规定实施办法的通知》（桂人社规〔</w:t>
      </w:r>
      <w:r>
        <w:rPr>
          <w:rFonts w:ascii="宋体" w:hAnsi="宋体" w:cs="宋体"/>
          <w:color w:val="000000" w:themeColor="text1"/>
          <w:highlight w:val="none"/>
          <w14:textFill>
            <w14:solidFill>
              <w14:schemeClr w14:val="tx1"/>
            </w14:solidFill>
          </w14:textFill>
        </w:rPr>
        <w:t>2021</w:t>
      </w:r>
      <w:r>
        <w:rPr>
          <w:rFonts w:hint="eastAsia" w:ascii="宋体" w:hAnsi="宋体" w:cs="宋体"/>
          <w:color w:val="000000" w:themeColor="text1"/>
          <w:highlight w:val="none"/>
          <w14:textFill>
            <w14:solidFill>
              <w14:schemeClr w14:val="tx1"/>
            </w14:solidFill>
          </w14:textFill>
        </w:rPr>
        <w:t>〕</w:t>
      </w:r>
      <w:r>
        <w:rPr>
          <w:rFonts w:ascii="宋体" w:hAnsi="宋体" w:cs="宋体"/>
          <w:color w:val="000000" w:themeColor="text1"/>
          <w:highlight w:val="none"/>
          <w14:textFill>
            <w14:solidFill>
              <w14:schemeClr w14:val="tx1"/>
            </w14:solidFill>
          </w14:textFill>
        </w:rPr>
        <w:t>16</w:t>
      </w:r>
      <w:r>
        <w:rPr>
          <w:rFonts w:hint="eastAsia" w:ascii="宋体" w:hAnsi="宋体" w:cs="宋体"/>
          <w:color w:val="000000" w:themeColor="text1"/>
          <w:highlight w:val="none"/>
          <w14:textFill>
            <w14:solidFill>
              <w14:schemeClr w14:val="tx1"/>
            </w14:solidFill>
          </w14:textFill>
        </w:rPr>
        <w:t>号），在</w:t>
      </w:r>
      <w:r>
        <w:rPr>
          <w:rFonts w:ascii="宋体" w:hAnsi="宋体" w:cs="宋体"/>
          <w:color w:val="000000" w:themeColor="text1"/>
          <w:highlight w:val="none"/>
          <w:u w:val="single"/>
          <w14:textFill>
            <w14:solidFill>
              <w14:schemeClr w14:val="tx1"/>
            </w14:solidFill>
          </w14:textFill>
        </w:rPr>
        <w:t xml:space="preserve">    </w:t>
      </w:r>
      <w:r>
        <w:rPr>
          <w:rFonts w:hint="eastAsia" w:ascii="宋体" w:hAnsi="宋体" w:cs="宋体"/>
          <w:color w:val="000000" w:themeColor="text1"/>
          <w:highlight w:val="none"/>
          <w:u w:val="single"/>
          <w14:textFill>
            <w14:solidFill>
              <w14:schemeClr w14:val="tx1"/>
            </w14:solidFill>
          </w14:textFill>
        </w:rPr>
        <w:t>（项目名称）</w:t>
      </w:r>
      <w:r>
        <w:rPr>
          <w:rFonts w:ascii="宋体" w:hAnsi="宋体" w:cs="宋体"/>
          <w:color w:val="000000" w:themeColor="text1"/>
          <w:highlight w:val="none"/>
          <w:u w:val="singl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施工招标的磋商中，我单位对农民工工资的支付作出以下郑重承诺：</w:t>
      </w:r>
    </w:p>
    <w:p w14:paraId="17A13585">
      <w:pPr>
        <w:spacing w:line="360" w:lineRule="auto"/>
        <w:ind w:firstLine="420"/>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（一）我单位在本招标项目递交响应文件截止时间</w:t>
      </w:r>
      <w:r>
        <w:rPr>
          <w:rFonts w:ascii="宋体" w:hAnsi="宋体" w:cs="宋体"/>
          <w:color w:val="000000" w:themeColor="text1"/>
          <w:highlight w:val="none"/>
          <w:u w:val="single"/>
          <w14:textFill>
            <w14:solidFill>
              <w14:schemeClr w14:val="tx1"/>
            </w14:solidFill>
          </w14:textFill>
        </w:rPr>
        <w:t xml:space="preserve">         </w:t>
      </w:r>
      <w:r>
        <w:rPr>
          <w:rFonts w:hint="eastAsia" w:ascii="宋体" w:hAnsi="宋体" w:cs="宋体"/>
          <w:color w:val="000000" w:themeColor="text1"/>
          <w:highlight w:val="none"/>
          <w:u w:val="single"/>
          <w14:textFill>
            <w14:solidFill>
              <w14:schemeClr w14:val="tx1"/>
            </w14:solidFill>
          </w14:textFill>
        </w:rPr>
        <w:t>（开标日）</w:t>
      </w:r>
      <w:r>
        <w:rPr>
          <w:rFonts w:hint="eastAsia" w:ascii="宋体" w:hAnsi="宋体" w:cs="宋体"/>
          <w:color w:val="000000" w:themeColor="text1"/>
          <w:highlight w:val="none"/>
          <w14:textFill>
            <w14:solidFill>
              <w14:schemeClr w14:val="tx1"/>
            </w14:solidFill>
          </w14:textFill>
        </w:rPr>
        <w:t>前所承建的工程项目，不存在拖欠或克扣农民工工资的行为。</w:t>
      </w:r>
    </w:p>
    <w:p w14:paraId="407A4E28">
      <w:pPr>
        <w:pStyle w:val="470"/>
        <w:spacing w:line="420" w:lineRule="exact"/>
        <w:ind w:firstLine="420" w:firstLineChars="200"/>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（二）磋商成交后，我单位同意在签订合同后按《广西壮族自治区人力资源和社会保障厅广西壮族自治区住房和城乡建设厅</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广西壮族自治区交通运输厅</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广西壮族自治区水利厅中国银行保险监督管理委员会广西监管局关于印发广西壮族自治区工程建设领域农民工工资保证金规定实施办法的通知》</w:t>
      </w:r>
      <w:r>
        <w:rPr>
          <w:rFonts w:ascii="宋体" w:hAnsi="宋体" w:cs="宋体"/>
          <w:color w:val="000000" w:themeColor="text1"/>
          <w:highlight w:val="none"/>
          <w14:textFill>
            <w14:solidFill>
              <w14:schemeClr w14:val="tx1"/>
            </w14:solidFill>
          </w14:textFill>
        </w:rPr>
        <w:t>(</w:t>
      </w:r>
      <w:r>
        <w:rPr>
          <w:rFonts w:hint="eastAsia" w:ascii="宋体" w:hAnsi="宋体" w:cs="宋体"/>
          <w:color w:val="000000" w:themeColor="text1"/>
          <w:highlight w:val="none"/>
          <w14:textFill>
            <w14:solidFill>
              <w14:schemeClr w14:val="tx1"/>
            </w14:solidFill>
          </w14:textFill>
        </w:rPr>
        <w:t>桂人社规</w:t>
      </w:r>
      <w:r>
        <w:rPr>
          <w:rFonts w:ascii="宋体" w:hAnsi="宋体" w:cs="宋体"/>
          <w:color w:val="000000" w:themeColor="text1"/>
          <w:highlight w:val="none"/>
          <w14:textFill>
            <w14:solidFill>
              <w14:schemeClr w14:val="tx1"/>
            </w14:solidFill>
          </w14:textFill>
        </w:rPr>
        <w:t>(2021)16</w:t>
      </w:r>
      <w:r>
        <w:rPr>
          <w:rFonts w:hint="eastAsia" w:ascii="宋体" w:hAnsi="宋体" w:cs="宋体"/>
          <w:color w:val="000000" w:themeColor="text1"/>
          <w:highlight w:val="none"/>
          <w14:textFill>
            <w14:solidFill>
              <w14:schemeClr w14:val="tx1"/>
            </w14:solidFill>
          </w14:textFill>
        </w:rPr>
        <w:t>号</w:t>
      </w:r>
      <w:r>
        <w:rPr>
          <w:rFonts w:ascii="宋体" w:hAnsi="宋体" w:cs="宋体"/>
          <w:color w:val="000000" w:themeColor="text1"/>
          <w:highlight w:val="none"/>
          <w14:textFill>
            <w14:solidFill>
              <w14:schemeClr w14:val="tx1"/>
            </w14:solidFill>
          </w14:textFill>
        </w:rPr>
        <w:t>)</w:t>
      </w:r>
      <w:r>
        <w:rPr>
          <w:rFonts w:hint="eastAsia" w:ascii="宋体" w:hAnsi="宋体" w:cs="宋体"/>
          <w:color w:val="000000" w:themeColor="text1"/>
          <w:highlight w:val="none"/>
          <w14:textFill>
            <w14:solidFill>
              <w14:schemeClr w14:val="tx1"/>
            </w14:solidFill>
          </w14:textFill>
        </w:rPr>
        <w:t>规定的农民工工资保证金额度预存一定数额的资金作为农民工工资保证金或向发包人提供由工程项目所在地</w:t>
      </w:r>
      <w:r>
        <w:rPr>
          <w:rFonts w:ascii="宋体" w:hAnsi="宋体" w:cs="宋体"/>
          <w:color w:val="000000" w:themeColor="text1"/>
          <w:highlight w:val="none"/>
          <w14:textFill>
            <w14:solidFill>
              <w14:schemeClr w14:val="tx1"/>
            </w14:solidFill>
          </w14:textFill>
        </w:rPr>
        <w:t>(</w:t>
      </w:r>
      <w:r>
        <w:rPr>
          <w:rFonts w:hint="eastAsia" w:ascii="宋体" w:hAnsi="宋体" w:cs="宋体"/>
          <w:color w:val="000000" w:themeColor="text1"/>
          <w:highlight w:val="none"/>
          <w14:textFill>
            <w14:solidFill>
              <w14:schemeClr w14:val="tx1"/>
            </w14:solidFill>
          </w14:textFill>
        </w:rPr>
        <w:t>工程项目所在省区范围内</w:t>
      </w:r>
      <w:r>
        <w:rPr>
          <w:rFonts w:ascii="宋体" w:hAnsi="宋体" w:cs="宋体"/>
          <w:color w:val="000000" w:themeColor="text1"/>
          <w:highlight w:val="none"/>
          <w14:textFill>
            <w14:solidFill>
              <w14:schemeClr w14:val="tx1"/>
            </w14:solidFill>
          </w14:textFill>
        </w:rPr>
        <w:t>)</w:t>
      </w:r>
      <w:r>
        <w:rPr>
          <w:rFonts w:hint="eastAsia" w:ascii="宋体" w:hAnsi="宋体" w:cs="宋体"/>
          <w:color w:val="000000" w:themeColor="text1"/>
          <w:highlight w:val="none"/>
          <w14:textFill>
            <w14:solidFill>
              <w14:schemeClr w14:val="tx1"/>
            </w14:solidFill>
          </w14:textFill>
        </w:rPr>
        <w:t>商业银行出具同等金额农民工工资保证金银行保函，并到工程项目所在地具有管辖权的人力资源社会保障部门备案。</w:t>
      </w:r>
    </w:p>
    <w:p w14:paraId="1118B680">
      <w:pPr>
        <w:spacing w:line="420" w:lineRule="exact"/>
        <w:ind w:firstLine="420"/>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（三）在项目实施过程中，若出现结算价与成交价不一致时，以实际结算金额按《广西壮族自治区人力资源和社会保障厅</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广西壮族自治区住房和城乡建设厅</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广西壮族自治区交通运输厅</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广西壮族自治区水利厅</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中国银行保险监督管理委员会广西监管局关于印发广西壮族自治区工程建设领域农民工工资保证金规定实施办法的通知》</w:t>
      </w:r>
      <w:r>
        <w:rPr>
          <w:rFonts w:ascii="宋体" w:hAnsi="宋体" w:cs="宋体"/>
          <w:color w:val="000000" w:themeColor="text1"/>
          <w:highlight w:val="none"/>
          <w14:textFill>
            <w14:solidFill>
              <w14:schemeClr w14:val="tx1"/>
            </w14:solidFill>
          </w14:textFill>
        </w:rPr>
        <w:t>(</w:t>
      </w:r>
      <w:r>
        <w:rPr>
          <w:rFonts w:hint="eastAsia" w:ascii="宋体" w:hAnsi="宋体" w:cs="宋体"/>
          <w:color w:val="000000" w:themeColor="text1"/>
          <w:highlight w:val="none"/>
          <w14:textFill>
            <w14:solidFill>
              <w14:schemeClr w14:val="tx1"/>
            </w14:solidFill>
          </w14:textFill>
        </w:rPr>
        <w:t>桂人社规</w:t>
      </w:r>
      <w:r>
        <w:rPr>
          <w:rFonts w:ascii="宋体" w:hAnsi="宋体" w:cs="宋体"/>
          <w:color w:val="000000" w:themeColor="text1"/>
          <w:highlight w:val="none"/>
          <w14:textFill>
            <w14:solidFill>
              <w14:schemeClr w14:val="tx1"/>
            </w14:solidFill>
          </w14:textFill>
        </w:rPr>
        <w:t>(2021)16</w:t>
      </w:r>
      <w:r>
        <w:rPr>
          <w:rFonts w:hint="eastAsia" w:ascii="宋体" w:hAnsi="宋体" w:cs="宋体"/>
          <w:color w:val="000000" w:themeColor="text1"/>
          <w:highlight w:val="none"/>
          <w14:textFill>
            <w14:solidFill>
              <w14:schemeClr w14:val="tx1"/>
            </w14:solidFill>
          </w14:textFill>
        </w:rPr>
        <w:t>号</w:t>
      </w:r>
      <w:r>
        <w:rPr>
          <w:rFonts w:ascii="宋体" w:hAnsi="宋体" w:cs="宋体"/>
          <w:color w:val="000000" w:themeColor="text1"/>
          <w:highlight w:val="none"/>
          <w14:textFill>
            <w14:solidFill>
              <w14:schemeClr w14:val="tx1"/>
            </w14:solidFill>
          </w14:textFill>
        </w:rPr>
        <w:t>)</w:t>
      </w:r>
      <w:r>
        <w:rPr>
          <w:rFonts w:hint="eastAsia" w:ascii="宋体" w:hAnsi="宋体" w:cs="宋体"/>
          <w:color w:val="000000" w:themeColor="text1"/>
          <w:highlight w:val="none"/>
          <w14:textFill>
            <w14:solidFill>
              <w14:schemeClr w14:val="tx1"/>
            </w14:solidFill>
          </w14:textFill>
        </w:rPr>
        <w:t>规定的计算额度存入农民工工资保证金。</w:t>
      </w:r>
    </w:p>
    <w:p w14:paraId="4A0DF01B">
      <w:pPr>
        <w:spacing w:line="420" w:lineRule="exact"/>
        <w:ind w:firstLine="420"/>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（四）我单位向建设单位承诺依法足额支付农民工工资，一旦我单位（包含我单位的分包商）承建的</w:t>
      </w:r>
      <w:r>
        <w:rPr>
          <w:rFonts w:ascii="宋体" w:hAnsi="宋体" w:cs="宋体"/>
          <w:color w:val="000000" w:themeColor="text1"/>
          <w:highlight w:val="none"/>
          <w:u w:val="single"/>
          <w14:textFill>
            <w14:solidFill>
              <w14:schemeClr w14:val="tx1"/>
            </w14:solidFill>
          </w14:textFill>
        </w:rPr>
        <w:t xml:space="preserve">   </w:t>
      </w:r>
      <w:r>
        <w:rPr>
          <w:rFonts w:hint="eastAsia" w:ascii="宋体" w:hAnsi="宋体" w:cs="宋体"/>
          <w:color w:val="000000" w:themeColor="text1"/>
          <w:highlight w:val="none"/>
          <w:u w:val="single"/>
          <w14:textFill>
            <w14:solidFill>
              <w14:schemeClr w14:val="tx1"/>
            </w14:solidFill>
          </w14:textFill>
        </w:rPr>
        <w:t>（项目名称）</w:t>
      </w:r>
      <w:r>
        <w:rPr>
          <w:rFonts w:ascii="宋体" w:hAnsi="宋体" w:cs="宋体"/>
          <w:color w:val="000000" w:themeColor="text1"/>
          <w:highlight w:val="none"/>
          <w:u w:val="singl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施工招标出现拖欠农民工工资情况的，可由劳动保障、交通主管部门（或授权机构）及建设单位根据相关规定从其农民工工资保证金中先予支取。</w:t>
      </w:r>
    </w:p>
    <w:p w14:paraId="3DDBDEE1">
      <w:pPr>
        <w:pStyle w:val="470"/>
        <w:spacing w:line="420" w:lineRule="exact"/>
        <w:ind w:firstLine="420" w:firstLineChars="200"/>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（五）其它未尽事宜按《广西壮族自治区人力资源和社会保障厅</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广西壮族自治区住房和城乡建设厅</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广西壮族自治区交通运输厅</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广西壮族自治区水利厅</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中国银行保险监督管理委员会广西监管局关于印发广西壮族自治区工程建设领域农民工工资保证金规定实施办法的通知》（桂人社规〔</w:t>
      </w:r>
      <w:r>
        <w:rPr>
          <w:rFonts w:ascii="宋体" w:hAnsi="宋体" w:cs="宋体"/>
          <w:color w:val="000000" w:themeColor="text1"/>
          <w:highlight w:val="none"/>
          <w14:textFill>
            <w14:solidFill>
              <w14:schemeClr w14:val="tx1"/>
            </w14:solidFill>
          </w14:textFill>
        </w:rPr>
        <w:t>2021</w:t>
      </w:r>
      <w:r>
        <w:rPr>
          <w:rFonts w:hint="eastAsia" w:ascii="宋体" w:hAnsi="宋体" w:cs="宋体"/>
          <w:color w:val="000000" w:themeColor="text1"/>
          <w:highlight w:val="none"/>
          <w14:textFill>
            <w14:solidFill>
              <w14:schemeClr w14:val="tx1"/>
            </w14:solidFill>
          </w14:textFill>
        </w:rPr>
        <w:t>〕</w:t>
      </w:r>
      <w:r>
        <w:rPr>
          <w:rFonts w:ascii="宋体" w:hAnsi="宋体" w:cs="宋体"/>
          <w:color w:val="000000" w:themeColor="text1"/>
          <w:highlight w:val="none"/>
          <w14:textFill>
            <w14:solidFill>
              <w14:schemeClr w14:val="tx1"/>
            </w14:solidFill>
          </w14:textFill>
        </w:rPr>
        <w:t>16</w:t>
      </w:r>
      <w:r>
        <w:rPr>
          <w:rFonts w:hint="eastAsia" w:ascii="宋体" w:hAnsi="宋体" w:cs="宋体"/>
          <w:color w:val="000000" w:themeColor="text1"/>
          <w:highlight w:val="none"/>
          <w14:textFill>
            <w14:solidFill>
              <w14:schemeClr w14:val="tx1"/>
            </w14:solidFill>
          </w14:textFill>
        </w:rPr>
        <w:t>号）的有关规定执行。</w:t>
      </w:r>
    </w:p>
    <w:p w14:paraId="4B1B5C0C">
      <w:pPr>
        <w:pStyle w:val="470"/>
        <w:spacing w:line="360" w:lineRule="auto"/>
        <w:ind w:left="3360" w:leftChars="1400" w:hanging="420" w:hangingChars="200"/>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承诺人：（供应商全称）</w:t>
      </w:r>
      <w:r>
        <w:rPr>
          <w:rFonts w:ascii="宋体" w:hAnsi="宋体" w:cs="宋体"/>
          <w:color w:val="000000" w:themeColor="text1"/>
          <w:highlight w:val="none"/>
          <w:u w:val="singl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（盖单位公章）</w:t>
      </w:r>
    </w:p>
    <w:p w14:paraId="31F3CF78">
      <w:pPr>
        <w:spacing w:line="360" w:lineRule="auto"/>
        <w:ind w:right="480" w:firstLine="2940" w:firstLineChars="1400"/>
        <w:rPr>
          <w:rFonts w:ascii="宋体"/>
          <w:color w:val="000000" w:themeColor="text1"/>
          <w:highlight w:val="none"/>
          <w:u w:val="singl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法定代表人或者委托代理人（签字或盖印鉴）：</w:t>
      </w:r>
      <w:r>
        <w:rPr>
          <w:rFonts w:ascii="宋体" w:hAnsi="宋体" w:cs="宋体"/>
          <w:color w:val="000000" w:themeColor="text1"/>
          <w:highlight w:val="none"/>
          <w:u w:val="single"/>
          <w14:textFill>
            <w14:solidFill>
              <w14:schemeClr w14:val="tx1"/>
            </w14:solidFill>
          </w14:textFill>
        </w:rPr>
        <w:t xml:space="preserve">               </w:t>
      </w:r>
    </w:p>
    <w:p w14:paraId="54A5EA99">
      <w:pPr>
        <w:spacing w:line="360" w:lineRule="auto"/>
        <w:ind w:right="480" w:firstLine="2940" w:firstLineChars="1400"/>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供应商（盖公章）：</w:t>
      </w:r>
      <w:r>
        <w:rPr>
          <w:rFonts w:ascii="宋体" w:hAnsi="宋体" w:cs="宋体"/>
          <w:color w:val="000000" w:themeColor="text1"/>
          <w:highlight w:val="none"/>
          <w:u w:val="single"/>
          <w14:textFill>
            <w14:solidFill>
              <w14:schemeClr w14:val="tx1"/>
            </w14:solidFill>
          </w14:textFill>
        </w:rPr>
        <w:t xml:space="preserve">                           </w:t>
      </w:r>
    </w:p>
    <w:p w14:paraId="6F7FE0EF">
      <w:pPr>
        <w:spacing w:line="360" w:lineRule="auto"/>
        <w:ind w:right="480" w:firstLine="210" w:firstLineChars="100"/>
        <w:jc w:val="center"/>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日期：</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年</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月</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日</w:t>
      </w:r>
    </w:p>
    <w:p w14:paraId="720DF258">
      <w:pPr>
        <w:pStyle w:val="29"/>
        <w:spacing w:line="480" w:lineRule="exact"/>
        <w:rPr>
          <w:rFonts w:hAnsi="宋体" w:cs="Times New Roman"/>
          <w:b/>
          <w:bCs/>
          <w:color w:val="000000" w:themeColor="text1"/>
          <w:sz w:val="24"/>
          <w:szCs w:val="24"/>
          <w:highlight w:val="none"/>
          <w14:textFill>
            <w14:solidFill>
              <w14:schemeClr w14:val="tx1"/>
            </w14:solidFill>
          </w14:textFill>
        </w:rPr>
      </w:pPr>
    </w:p>
    <w:p w14:paraId="4AD80FE1">
      <w:pPr>
        <w:pStyle w:val="29"/>
        <w:spacing w:line="480" w:lineRule="exact"/>
        <w:rPr>
          <w:rFonts w:hAnsi="宋体" w:cs="Times New Roman"/>
          <w:b/>
          <w:bCs/>
          <w:color w:val="000000" w:themeColor="text1"/>
          <w:sz w:val="24"/>
          <w:szCs w:val="24"/>
          <w:highlight w:val="none"/>
          <w14:textFill>
            <w14:solidFill>
              <w14:schemeClr w14:val="tx1"/>
            </w14:solidFill>
          </w14:textFill>
        </w:rPr>
      </w:pPr>
    </w:p>
    <w:p w14:paraId="36B01CFD">
      <w:pPr>
        <w:pStyle w:val="29"/>
        <w:spacing w:line="440" w:lineRule="exact"/>
        <w:jc w:val="center"/>
        <w:rPr>
          <w:rFonts w:hint="eastAsia"/>
          <w:b/>
          <w:color w:val="000000"/>
          <w:sz w:val="36"/>
          <w:szCs w:val="36"/>
        </w:rPr>
      </w:pPr>
      <w:bookmarkStart w:id="99" w:name="_Toc188"/>
      <w:r>
        <w:rPr>
          <w:rFonts w:hint="eastAsia"/>
          <w:b/>
          <w:color w:val="000000"/>
          <w:sz w:val="36"/>
          <w:szCs w:val="36"/>
        </w:rPr>
        <w:t>企业信誉实力文件</w:t>
      </w:r>
    </w:p>
    <w:p w14:paraId="1B34B656">
      <w:pPr>
        <w:rPr>
          <w:rFonts w:hint="eastAsia"/>
          <w:b/>
          <w:color w:val="000000"/>
          <w:sz w:val="36"/>
          <w:szCs w:val="36"/>
        </w:rPr>
      </w:pPr>
    </w:p>
    <w:p w14:paraId="44672519">
      <w:pPr>
        <w:tabs>
          <w:tab w:val="left" w:pos="826"/>
        </w:tabs>
        <w:snapToGrid w:val="0"/>
        <w:jc w:val="center"/>
        <w:rPr>
          <w:rFonts w:ascii="宋体"/>
          <w:b/>
          <w:color w:val="000000"/>
          <w:sz w:val="24"/>
        </w:rPr>
      </w:pPr>
      <w:r>
        <w:rPr>
          <w:rFonts w:hint="eastAsia" w:ascii="宋体" w:hAnsi="宋体"/>
          <w:b/>
          <w:color w:val="000000"/>
          <w:sz w:val="24"/>
        </w:rPr>
        <w:t>近年企业信誉、业绩一览表（如有，可分开填写）</w:t>
      </w:r>
    </w:p>
    <w:p w14:paraId="5226FFD6">
      <w:pPr>
        <w:tabs>
          <w:tab w:val="left" w:pos="826"/>
        </w:tabs>
        <w:snapToGrid w:val="0"/>
        <w:ind w:firstLine="482" w:firstLineChars="200"/>
        <w:rPr>
          <w:rFonts w:ascii="宋体"/>
          <w:b/>
          <w:color w:val="000000"/>
          <w:sz w:val="24"/>
        </w:rPr>
      </w:pPr>
    </w:p>
    <w:tbl>
      <w:tblPr>
        <w:tblStyle w:val="5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6"/>
        <w:gridCol w:w="7654"/>
      </w:tblGrid>
      <w:tr w14:paraId="6EE67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986" w:type="dxa"/>
            <w:noWrap w:val="0"/>
            <w:vAlign w:val="center"/>
          </w:tcPr>
          <w:p w14:paraId="0B171CD9">
            <w:pPr>
              <w:jc w:val="center"/>
              <w:rPr>
                <w:rFonts w:ascii="宋体"/>
                <w:color w:val="000000"/>
                <w:szCs w:val="21"/>
              </w:rPr>
            </w:pPr>
            <w:r>
              <w:rPr>
                <w:rFonts w:hint="eastAsia" w:ascii="宋体" w:hAnsi="宋体"/>
                <w:color w:val="000000"/>
                <w:szCs w:val="21"/>
              </w:rPr>
              <w:t>序号</w:t>
            </w:r>
          </w:p>
        </w:tc>
        <w:tc>
          <w:tcPr>
            <w:tcW w:w="7654" w:type="dxa"/>
            <w:noWrap w:val="0"/>
            <w:vAlign w:val="center"/>
          </w:tcPr>
          <w:p w14:paraId="14C7750D">
            <w:pPr>
              <w:jc w:val="center"/>
              <w:rPr>
                <w:rFonts w:ascii="宋体"/>
                <w:color w:val="000000"/>
                <w:szCs w:val="21"/>
              </w:rPr>
            </w:pPr>
            <w:r>
              <w:rPr>
                <w:rFonts w:hint="eastAsia" w:ascii="宋体" w:hAnsi="宋体"/>
                <w:color w:val="000000"/>
                <w:szCs w:val="21"/>
              </w:rPr>
              <w:t>项目类别</w:t>
            </w:r>
          </w:p>
        </w:tc>
      </w:tr>
      <w:tr w14:paraId="0DE80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986" w:type="dxa"/>
            <w:noWrap w:val="0"/>
            <w:vAlign w:val="center"/>
          </w:tcPr>
          <w:p w14:paraId="58B1C39C">
            <w:pPr>
              <w:jc w:val="center"/>
              <w:rPr>
                <w:rFonts w:ascii="宋体"/>
                <w:color w:val="000000"/>
                <w:szCs w:val="21"/>
              </w:rPr>
            </w:pPr>
          </w:p>
        </w:tc>
        <w:tc>
          <w:tcPr>
            <w:tcW w:w="7654" w:type="dxa"/>
            <w:noWrap w:val="0"/>
            <w:vAlign w:val="center"/>
          </w:tcPr>
          <w:p w14:paraId="3898EBCA">
            <w:pPr>
              <w:jc w:val="center"/>
              <w:rPr>
                <w:rFonts w:ascii="宋体"/>
                <w:color w:val="000000"/>
                <w:szCs w:val="21"/>
              </w:rPr>
            </w:pPr>
          </w:p>
        </w:tc>
      </w:tr>
      <w:tr w14:paraId="702B1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986" w:type="dxa"/>
            <w:noWrap w:val="0"/>
            <w:vAlign w:val="center"/>
          </w:tcPr>
          <w:p w14:paraId="74BA613A">
            <w:pPr>
              <w:jc w:val="center"/>
              <w:rPr>
                <w:rFonts w:ascii="宋体"/>
                <w:color w:val="000000"/>
                <w:szCs w:val="21"/>
              </w:rPr>
            </w:pPr>
          </w:p>
        </w:tc>
        <w:tc>
          <w:tcPr>
            <w:tcW w:w="7654" w:type="dxa"/>
            <w:noWrap w:val="0"/>
            <w:vAlign w:val="center"/>
          </w:tcPr>
          <w:p w14:paraId="4088A512">
            <w:pPr>
              <w:jc w:val="center"/>
              <w:rPr>
                <w:rFonts w:ascii="宋体"/>
                <w:color w:val="000000"/>
                <w:szCs w:val="21"/>
              </w:rPr>
            </w:pPr>
          </w:p>
        </w:tc>
      </w:tr>
      <w:tr w14:paraId="48CCD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986" w:type="dxa"/>
            <w:noWrap w:val="0"/>
            <w:vAlign w:val="center"/>
          </w:tcPr>
          <w:p w14:paraId="08AD37F1">
            <w:pPr>
              <w:jc w:val="center"/>
              <w:rPr>
                <w:rFonts w:ascii="宋体"/>
                <w:color w:val="000000"/>
                <w:szCs w:val="21"/>
              </w:rPr>
            </w:pPr>
          </w:p>
        </w:tc>
        <w:tc>
          <w:tcPr>
            <w:tcW w:w="7654" w:type="dxa"/>
            <w:noWrap w:val="0"/>
            <w:vAlign w:val="center"/>
          </w:tcPr>
          <w:p w14:paraId="02DBA0FE">
            <w:pPr>
              <w:jc w:val="center"/>
              <w:rPr>
                <w:rFonts w:ascii="宋体"/>
                <w:color w:val="000000"/>
                <w:szCs w:val="21"/>
              </w:rPr>
            </w:pPr>
          </w:p>
        </w:tc>
      </w:tr>
      <w:tr w14:paraId="3E4B0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986" w:type="dxa"/>
            <w:noWrap w:val="0"/>
            <w:vAlign w:val="center"/>
          </w:tcPr>
          <w:p w14:paraId="2F01167E">
            <w:pPr>
              <w:jc w:val="center"/>
              <w:rPr>
                <w:rFonts w:ascii="宋体"/>
                <w:color w:val="000000"/>
                <w:szCs w:val="21"/>
              </w:rPr>
            </w:pPr>
          </w:p>
        </w:tc>
        <w:tc>
          <w:tcPr>
            <w:tcW w:w="7654" w:type="dxa"/>
            <w:noWrap w:val="0"/>
            <w:vAlign w:val="center"/>
          </w:tcPr>
          <w:p w14:paraId="77CA36E7">
            <w:pPr>
              <w:jc w:val="center"/>
              <w:rPr>
                <w:rFonts w:ascii="宋体"/>
                <w:color w:val="000000"/>
                <w:szCs w:val="21"/>
              </w:rPr>
            </w:pPr>
          </w:p>
        </w:tc>
      </w:tr>
      <w:tr w14:paraId="7D06C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986" w:type="dxa"/>
            <w:noWrap w:val="0"/>
            <w:vAlign w:val="center"/>
          </w:tcPr>
          <w:p w14:paraId="682BA033">
            <w:pPr>
              <w:jc w:val="center"/>
              <w:rPr>
                <w:rFonts w:ascii="宋体"/>
                <w:color w:val="000000"/>
                <w:szCs w:val="21"/>
              </w:rPr>
            </w:pPr>
          </w:p>
        </w:tc>
        <w:tc>
          <w:tcPr>
            <w:tcW w:w="7654" w:type="dxa"/>
            <w:noWrap w:val="0"/>
            <w:vAlign w:val="center"/>
          </w:tcPr>
          <w:p w14:paraId="735A79E0">
            <w:pPr>
              <w:jc w:val="center"/>
              <w:rPr>
                <w:rFonts w:ascii="宋体"/>
                <w:color w:val="000000"/>
                <w:szCs w:val="21"/>
              </w:rPr>
            </w:pPr>
          </w:p>
        </w:tc>
      </w:tr>
      <w:tr w14:paraId="246B8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986" w:type="dxa"/>
            <w:noWrap w:val="0"/>
            <w:vAlign w:val="center"/>
          </w:tcPr>
          <w:p w14:paraId="7385AD6D">
            <w:pPr>
              <w:jc w:val="center"/>
              <w:rPr>
                <w:rFonts w:ascii="宋体"/>
                <w:color w:val="000000"/>
                <w:szCs w:val="21"/>
              </w:rPr>
            </w:pPr>
          </w:p>
        </w:tc>
        <w:tc>
          <w:tcPr>
            <w:tcW w:w="7654" w:type="dxa"/>
            <w:noWrap w:val="0"/>
            <w:vAlign w:val="center"/>
          </w:tcPr>
          <w:p w14:paraId="55BF142C">
            <w:pPr>
              <w:jc w:val="center"/>
              <w:rPr>
                <w:rFonts w:ascii="宋体"/>
                <w:color w:val="000000"/>
                <w:szCs w:val="21"/>
              </w:rPr>
            </w:pPr>
          </w:p>
        </w:tc>
      </w:tr>
      <w:tr w14:paraId="3360B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986" w:type="dxa"/>
            <w:noWrap w:val="0"/>
            <w:vAlign w:val="center"/>
          </w:tcPr>
          <w:p w14:paraId="48A15155">
            <w:pPr>
              <w:jc w:val="center"/>
              <w:rPr>
                <w:rFonts w:ascii="宋体"/>
                <w:color w:val="000000"/>
                <w:szCs w:val="21"/>
              </w:rPr>
            </w:pPr>
          </w:p>
        </w:tc>
        <w:tc>
          <w:tcPr>
            <w:tcW w:w="7654" w:type="dxa"/>
            <w:noWrap w:val="0"/>
            <w:vAlign w:val="center"/>
          </w:tcPr>
          <w:p w14:paraId="5EC8C297">
            <w:pPr>
              <w:jc w:val="center"/>
              <w:rPr>
                <w:rFonts w:ascii="宋体"/>
                <w:color w:val="000000"/>
                <w:szCs w:val="21"/>
              </w:rPr>
            </w:pPr>
          </w:p>
        </w:tc>
      </w:tr>
    </w:tbl>
    <w:p w14:paraId="356B8064">
      <w:pPr>
        <w:tabs>
          <w:tab w:val="left" w:pos="826"/>
        </w:tabs>
        <w:snapToGrid w:val="0"/>
        <w:ind w:firstLine="422" w:firstLineChars="200"/>
        <w:rPr>
          <w:rFonts w:ascii="宋体"/>
          <w:b/>
          <w:color w:val="000000"/>
          <w:szCs w:val="21"/>
        </w:rPr>
      </w:pPr>
    </w:p>
    <w:p w14:paraId="63326948">
      <w:pPr>
        <w:ind w:firstLine="210" w:firstLineChars="100"/>
        <w:rPr>
          <w:rFonts w:hint="eastAsia"/>
          <w:b/>
          <w:color w:val="000000"/>
          <w:sz w:val="36"/>
          <w:szCs w:val="36"/>
        </w:rPr>
      </w:pPr>
      <w:r>
        <w:rPr>
          <w:rFonts w:hint="eastAsia" w:ascii="楷体" w:hAnsi="楷体" w:eastAsia="楷体" w:cs="楷体"/>
          <w:color w:val="000000"/>
          <w:szCs w:val="21"/>
        </w:rPr>
        <w:t>【备注：以上复印件均须加盖供应商单位公章。】</w:t>
      </w:r>
    </w:p>
    <w:p w14:paraId="4BE16538">
      <w:pPr>
        <w:pStyle w:val="2"/>
        <w:spacing w:before="300" w:after="310" w:line="240" w:lineRule="auto"/>
        <w:jc w:val="center"/>
        <w:rPr>
          <w:rFonts w:hint="eastAsia" w:ascii="宋体" w:hAnsi="宋体" w:cs="宋体"/>
          <w:color w:val="000000" w:themeColor="text1"/>
          <w:highlight w:val="none"/>
          <w14:textFill>
            <w14:solidFill>
              <w14:schemeClr w14:val="tx1"/>
            </w14:solidFill>
          </w14:textFill>
        </w:rPr>
      </w:pPr>
    </w:p>
    <w:p w14:paraId="114DA507">
      <w:pPr>
        <w:pStyle w:val="2"/>
        <w:spacing w:before="300" w:after="310" w:line="240" w:lineRule="auto"/>
        <w:jc w:val="center"/>
        <w:rPr>
          <w:rFonts w:hint="eastAsia" w:ascii="宋体" w:hAnsi="宋体" w:cs="宋体"/>
          <w:color w:val="000000" w:themeColor="text1"/>
          <w:highlight w:val="none"/>
          <w14:textFill>
            <w14:solidFill>
              <w14:schemeClr w14:val="tx1"/>
            </w14:solidFill>
          </w14:textFill>
        </w:rPr>
      </w:pPr>
    </w:p>
    <w:p w14:paraId="1665632A">
      <w:pPr>
        <w:pStyle w:val="2"/>
        <w:spacing w:before="300" w:after="310" w:line="240" w:lineRule="auto"/>
        <w:jc w:val="center"/>
        <w:rPr>
          <w:rFonts w:hint="eastAsia" w:ascii="宋体" w:hAnsi="宋体" w:cs="宋体"/>
          <w:color w:val="000000" w:themeColor="text1"/>
          <w:highlight w:val="none"/>
          <w14:textFill>
            <w14:solidFill>
              <w14:schemeClr w14:val="tx1"/>
            </w14:solidFill>
          </w14:textFill>
        </w:rPr>
      </w:pPr>
    </w:p>
    <w:p w14:paraId="7EF957F0">
      <w:pPr>
        <w:pStyle w:val="2"/>
        <w:spacing w:before="300" w:after="310" w:line="240" w:lineRule="auto"/>
        <w:jc w:val="center"/>
        <w:rPr>
          <w:rFonts w:hint="eastAsia" w:ascii="宋体" w:hAnsi="宋体" w:cs="宋体"/>
          <w:color w:val="000000" w:themeColor="text1"/>
          <w:highlight w:val="none"/>
          <w14:textFill>
            <w14:solidFill>
              <w14:schemeClr w14:val="tx1"/>
            </w14:solidFill>
          </w14:textFill>
        </w:rPr>
      </w:pPr>
    </w:p>
    <w:p w14:paraId="0C910803">
      <w:pPr>
        <w:pStyle w:val="2"/>
        <w:spacing w:before="300" w:after="310" w:line="240" w:lineRule="auto"/>
        <w:jc w:val="center"/>
        <w:rPr>
          <w:rFonts w:hint="eastAsia" w:ascii="宋体" w:hAnsi="宋体" w:cs="宋体"/>
          <w:color w:val="000000" w:themeColor="text1"/>
          <w:highlight w:val="none"/>
          <w14:textFill>
            <w14:solidFill>
              <w14:schemeClr w14:val="tx1"/>
            </w14:solidFill>
          </w14:textFill>
        </w:rPr>
      </w:pPr>
    </w:p>
    <w:p w14:paraId="2ACC4D03">
      <w:pPr>
        <w:rPr>
          <w:rFonts w:hint="eastAsia"/>
        </w:rPr>
      </w:pPr>
    </w:p>
    <w:p w14:paraId="08974D17">
      <w:pPr>
        <w:spacing w:line="400" w:lineRule="atLeast"/>
        <w:jc w:val="center"/>
        <w:rPr>
          <w:rFonts w:hint="eastAsia" w:ascii="宋体" w:hAnsi="宋体" w:eastAsia="宋体" w:cs="宋体"/>
          <w:b/>
          <w:bCs/>
          <w:color w:val="000000" w:themeColor="text1"/>
          <w:sz w:val="32"/>
          <w:szCs w:val="32"/>
          <w:highlight w:val="none"/>
          <w14:textFill>
            <w14:solidFill>
              <w14:schemeClr w14:val="tx1"/>
            </w14:solidFill>
          </w14:textFill>
        </w:rPr>
      </w:pPr>
    </w:p>
    <w:p w14:paraId="7487FEE3">
      <w:pPr>
        <w:spacing w:line="400" w:lineRule="atLeast"/>
        <w:jc w:val="center"/>
        <w:rPr>
          <w:rFonts w:hint="eastAsia" w:ascii="宋体" w:hAnsi="宋体" w:eastAsia="宋体" w:cs="宋体"/>
          <w:b/>
          <w:bCs/>
          <w:color w:val="000000" w:themeColor="text1"/>
          <w:sz w:val="32"/>
          <w:szCs w:val="32"/>
          <w:highlight w:val="none"/>
          <w14:textFill>
            <w14:solidFill>
              <w14:schemeClr w14:val="tx1"/>
            </w14:solidFill>
          </w14:textFill>
        </w:rPr>
      </w:pPr>
    </w:p>
    <w:p w14:paraId="5E93896A">
      <w:pPr>
        <w:pStyle w:val="2"/>
        <w:spacing w:before="300" w:after="310" w:line="240" w:lineRule="auto"/>
        <w:jc w:val="center"/>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第六章</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合同文本</w:t>
      </w:r>
      <w:bookmarkEnd w:id="99"/>
    </w:p>
    <w:p w14:paraId="7187C950">
      <w:pPr>
        <w:spacing w:line="400" w:lineRule="atLeast"/>
        <w:jc w:val="center"/>
        <w:rPr>
          <w:rFonts w:ascii="宋体" w:hAnsi="宋体" w:cs="宋体"/>
          <w:b/>
          <w:bCs/>
          <w:color w:val="000000" w:themeColor="text1"/>
          <w:sz w:val="32"/>
          <w:szCs w:val="32"/>
          <w:highlight w:val="none"/>
          <w14:textFill>
            <w14:solidFill>
              <w14:schemeClr w14:val="tx1"/>
            </w14:solidFill>
          </w14:textFill>
        </w:rPr>
      </w:pPr>
    </w:p>
    <w:p w14:paraId="4E1D873F">
      <w:pPr>
        <w:spacing w:line="400" w:lineRule="atLeast"/>
        <w:jc w:val="center"/>
        <w:rPr>
          <w:rFonts w:ascii="宋体" w:hAnsi="宋体" w:cs="宋体"/>
          <w:b/>
          <w:bCs/>
          <w:color w:val="000000" w:themeColor="text1"/>
          <w:sz w:val="32"/>
          <w:szCs w:val="32"/>
          <w:highlight w:val="none"/>
          <w14:textFill>
            <w14:solidFill>
              <w14:schemeClr w14:val="tx1"/>
            </w14:solidFill>
          </w14:textFill>
        </w:rPr>
      </w:pPr>
    </w:p>
    <w:p w14:paraId="0A0A5B7D">
      <w:pPr>
        <w:spacing w:line="400" w:lineRule="atLeast"/>
        <w:jc w:val="center"/>
        <w:rPr>
          <w:rFonts w:ascii="宋体" w:hAnsi="宋体" w:cs="宋体"/>
          <w:b/>
          <w:bCs/>
          <w:color w:val="000000" w:themeColor="text1"/>
          <w:sz w:val="32"/>
          <w:szCs w:val="32"/>
          <w:highlight w:val="none"/>
          <w14:textFill>
            <w14:solidFill>
              <w14:schemeClr w14:val="tx1"/>
            </w14:solidFill>
          </w14:textFill>
        </w:rPr>
      </w:pPr>
    </w:p>
    <w:p w14:paraId="2E4FD240">
      <w:pPr>
        <w:spacing w:line="400" w:lineRule="atLeast"/>
        <w:jc w:val="center"/>
        <w:rPr>
          <w:rFonts w:ascii="宋体" w:hAnsi="宋体" w:cs="宋体"/>
          <w:b/>
          <w:bCs/>
          <w:color w:val="000000" w:themeColor="text1"/>
          <w:sz w:val="32"/>
          <w:szCs w:val="32"/>
          <w:highlight w:val="none"/>
          <w14:textFill>
            <w14:solidFill>
              <w14:schemeClr w14:val="tx1"/>
            </w14:solidFill>
          </w14:textFill>
        </w:rPr>
      </w:pPr>
    </w:p>
    <w:p w14:paraId="1D5D35EE">
      <w:pPr>
        <w:spacing w:line="400" w:lineRule="atLeast"/>
        <w:jc w:val="center"/>
        <w:rPr>
          <w:rFonts w:ascii="宋体" w:hAnsi="宋体" w:cs="宋体"/>
          <w:b/>
          <w:bCs/>
          <w:color w:val="000000" w:themeColor="text1"/>
          <w:sz w:val="32"/>
          <w:szCs w:val="32"/>
          <w:highlight w:val="none"/>
          <w14:textFill>
            <w14:solidFill>
              <w14:schemeClr w14:val="tx1"/>
            </w14:solidFill>
          </w14:textFill>
        </w:rPr>
      </w:pPr>
    </w:p>
    <w:p w14:paraId="0A6D7084">
      <w:pPr>
        <w:spacing w:line="400" w:lineRule="atLeast"/>
        <w:jc w:val="center"/>
        <w:rPr>
          <w:rFonts w:ascii="宋体" w:hAnsi="宋体" w:cs="宋体"/>
          <w:b/>
          <w:bCs/>
          <w:color w:val="000000" w:themeColor="text1"/>
          <w:sz w:val="32"/>
          <w:szCs w:val="32"/>
          <w:highlight w:val="none"/>
          <w14:textFill>
            <w14:solidFill>
              <w14:schemeClr w14:val="tx1"/>
            </w14:solidFill>
          </w14:textFill>
        </w:rPr>
      </w:pPr>
    </w:p>
    <w:p w14:paraId="32673426">
      <w:pPr>
        <w:spacing w:line="400" w:lineRule="atLeast"/>
        <w:jc w:val="center"/>
        <w:rPr>
          <w:rFonts w:ascii="宋体" w:hAnsi="宋体" w:cs="宋体"/>
          <w:b/>
          <w:bCs/>
          <w:color w:val="000000" w:themeColor="text1"/>
          <w:sz w:val="32"/>
          <w:szCs w:val="32"/>
          <w:highlight w:val="none"/>
          <w14:textFill>
            <w14:solidFill>
              <w14:schemeClr w14:val="tx1"/>
            </w14:solidFill>
          </w14:textFill>
        </w:rPr>
      </w:pPr>
    </w:p>
    <w:p w14:paraId="3EA64C2A">
      <w:pPr>
        <w:spacing w:line="400" w:lineRule="atLeast"/>
        <w:jc w:val="center"/>
        <w:rPr>
          <w:rFonts w:ascii="宋体" w:hAnsi="宋体" w:cs="宋体"/>
          <w:b/>
          <w:bCs/>
          <w:color w:val="000000" w:themeColor="text1"/>
          <w:sz w:val="32"/>
          <w:szCs w:val="32"/>
          <w:highlight w:val="none"/>
          <w14:textFill>
            <w14:solidFill>
              <w14:schemeClr w14:val="tx1"/>
            </w14:solidFill>
          </w14:textFill>
        </w:rPr>
      </w:pPr>
    </w:p>
    <w:p w14:paraId="3448164F">
      <w:pPr>
        <w:spacing w:line="400" w:lineRule="atLeast"/>
        <w:jc w:val="center"/>
        <w:rPr>
          <w:rFonts w:ascii="宋体" w:hAnsi="宋体" w:cs="宋体"/>
          <w:b/>
          <w:bCs/>
          <w:color w:val="000000" w:themeColor="text1"/>
          <w:sz w:val="32"/>
          <w:szCs w:val="32"/>
          <w:highlight w:val="none"/>
          <w14:textFill>
            <w14:solidFill>
              <w14:schemeClr w14:val="tx1"/>
            </w14:solidFill>
          </w14:textFill>
        </w:rPr>
      </w:pPr>
    </w:p>
    <w:p w14:paraId="00240378">
      <w:pPr>
        <w:spacing w:line="400" w:lineRule="atLeast"/>
        <w:jc w:val="center"/>
        <w:rPr>
          <w:rFonts w:ascii="宋体" w:hAnsi="宋体" w:cs="宋体"/>
          <w:b/>
          <w:bCs/>
          <w:color w:val="000000" w:themeColor="text1"/>
          <w:sz w:val="32"/>
          <w:szCs w:val="32"/>
          <w:highlight w:val="none"/>
          <w14:textFill>
            <w14:solidFill>
              <w14:schemeClr w14:val="tx1"/>
            </w14:solidFill>
          </w14:textFill>
        </w:rPr>
      </w:pPr>
    </w:p>
    <w:p w14:paraId="57C21A75">
      <w:pPr>
        <w:spacing w:line="400" w:lineRule="atLeast"/>
        <w:jc w:val="center"/>
        <w:rPr>
          <w:rFonts w:ascii="宋体" w:hAnsi="宋体" w:cs="宋体"/>
          <w:b/>
          <w:bCs/>
          <w:color w:val="000000" w:themeColor="text1"/>
          <w:sz w:val="32"/>
          <w:szCs w:val="32"/>
          <w:highlight w:val="none"/>
          <w14:textFill>
            <w14:solidFill>
              <w14:schemeClr w14:val="tx1"/>
            </w14:solidFill>
          </w14:textFill>
        </w:rPr>
      </w:pPr>
    </w:p>
    <w:p w14:paraId="624A4C1D">
      <w:pPr>
        <w:spacing w:line="400" w:lineRule="atLeast"/>
        <w:jc w:val="center"/>
        <w:rPr>
          <w:rFonts w:ascii="宋体" w:hAnsi="宋体" w:cs="宋体"/>
          <w:b/>
          <w:bCs/>
          <w:color w:val="000000" w:themeColor="text1"/>
          <w:sz w:val="32"/>
          <w:szCs w:val="32"/>
          <w:highlight w:val="none"/>
          <w14:textFill>
            <w14:solidFill>
              <w14:schemeClr w14:val="tx1"/>
            </w14:solidFill>
          </w14:textFill>
        </w:rPr>
      </w:pPr>
    </w:p>
    <w:p w14:paraId="0C921FDE">
      <w:pPr>
        <w:spacing w:line="400" w:lineRule="atLeast"/>
        <w:jc w:val="center"/>
        <w:rPr>
          <w:rFonts w:ascii="宋体" w:hAnsi="宋体" w:cs="宋体"/>
          <w:b/>
          <w:bCs/>
          <w:color w:val="000000" w:themeColor="text1"/>
          <w:sz w:val="32"/>
          <w:szCs w:val="32"/>
          <w:highlight w:val="none"/>
          <w14:textFill>
            <w14:solidFill>
              <w14:schemeClr w14:val="tx1"/>
            </w14:solidFill>
          </w14:textFill>
        </w:rPr>
      </w:pPr>
    </w:p>
    <w:p w14:paraId="0AF52B59">
      <w:pPr>
        <w:spacing w:line="400" w:lineRule="atLeast"/>
        <w:jc w:val="center"/>
        <w:rPr>
          <w:rFonts w:ascii="宋体" w:hAnsi="宋体" w:cs="宋体"/>
          <w:b/>
          <w:bCs/>
          <w:color w:val="000000" w:themeColor="text1"/>
          <w:sz w:val="32"/>
          <w:szCs w:val="32"/>
          <w:highlight w:val="none"/>
          <w14:textFill>
            <w14:solidFill>
              <w14:schemeClr w14:val="tx1"/>
            </w14:solidFill>
          </w14:textFill>
        </w:rPr>
      </w:pPr>
    </w:p>
    <w:p w14:paraId="34F622D2">
      <w:pPr>
        <w:spacing w:line="400" w:lineRule="atLeast"/>
        <w:jc w:val="center"/>
        <w:rPr>
          <w:rFonts w:ascii="宋体" w:hAnsi="宋体" w:cs="宋体"/>
          <w:b/>
          <w:bCs/>
          <w:color w:val="000000" w:themeColor="text1"/>
          <w:sz w:val="32"/>
          <w:szCs w:val="32"/>
          <w:highlight w:val="none"/>
          <w14:textFill>
            <w14:solidFill>
              <w14:schemeClr w14:val="tx1"/>
            </w14:solidFill>
          </w14:textFill>
        </w:rPr>
      </w:pPr>
    </w:p>
    <w:p w14:paraId="4AFD3B7C">
      <w:pPr>
        <w:spacing w:line="400" w:lineRule="atLeast"/>
        <w:jc w:val="center"/>
        <w:rPr>
          <w:rFonts w:ascii="宋体" w:hAnsi="宋体" w:cs="宋体"/>
          <w:b/>
          <w:bCs/>
          <w:color w:val="000000" w:themeColor="text1"/>
          <w:sz w:val="32"/>
          <w:szCs w:val="32"/>
          <w:highlight w:val="none"/>
          <w14:textFill>
            <w14:solidFill>
              <w14:schemeClr w14:val="tx1"/>
            </w14:solidFill>
          </w14:textFill>
        </w:rPr>
      </w:pPr>
    </w:p>
    <w:p w14:paraId="4BF14228">
      <w:pPr>
        <w:spacing w:line="400" w:lineRule="atLeast"/>
        <w:jc w:val="center"/>
        <w:rPr>
          <w:rFonts w:ascii="宋体" w:hAnsi="宋体" w:cs="宋体"/>
          <w:b/>
          <w:bCs/>
          <w:color w:val="000000" w:themeColor="text1"/>
          <w:sz w:val="32"/>
          <w:szCs w:val="32"/>
          <w:highlight w:val="none"/>
          <w14:textFill>
            <w14:solidFill>
              <w14:schemeClr w14:val="tx1"/>
            </w14:solidFill>
          </w14:textFill>
        </w:rPr>
      </w:pPr>
    </w:p>
    <w:p w14:paraId="4898B6DF">
      <w:pPr>
        <w:spacing w:line="400" w:lineRule="atLeast"/>
        <w:jc w:val="center"/>
        <w:rPr>
          <w:rFonts w:ascii="宋体" w:hAnsi="宋体" w:cs="宋体"/>
          <w:b/>
          <w:bCs/>
          <w:color w:val="000000" w:themeColor="text1"/>
          <w:sz w:val="32"/>
          <w:szCs w:val="32"/>
          <w:highlight w:val="none"/>
          <w14:textFill>
            <w14:solidFill>
              <w14:schemeClr w14:val="tx1"/>
            </w14:solidFill>
          </w14:textFill>
        </w:rPr>
      </w:pPr>
    </w:p>
    <w:p w14:paraId="6EF19A4A">
      <w:pPr>
        <w:spacing w:line="400" w:lineRule="atLeast"/>
        <w:jc w:val="center"/>
        <w:rPr>
          <w:rFonts w:ascii="宋体" w:hAnsi="宋体" w:cs="宋体"/>
          <w:b/>
          <w:bCs/>
          <w:color w:val="000000" w:themeColor="text1"/>
          <w:sz w:val="32"/>
          <w:szCs w:val="32"/>
          <w:highlight w:val="none"/>
          <w14:textFill>
            <w14:solidFill>
              <w14:schemeClr w14:val="tx1"/>
            </w14:solidFill>
          </w14:textFill>
        </w:rPr>
      </w:pPr>
    </w:p>
    <w:p w14:paraId="7B7FBEC1">
      <w:pPr>
        <w:spacing w:line="400" w:lineRule="atLeast"/>
        <w:jc w:val="center"/>
        <w:rPr>
          <w:rFonts w:ascii="宋体" w:hAnsi="宋体" w:cs="宋体"/>
          <w:b/>
          <w:bCs/>
          <w:color w:val="000000" w:themeColor="text1"/>
          <w:sz w:val="32"/>
          <w:szCs w:val="32"/>
          <w:highlight w:val="none"/>
          <w14:textFill>
            <w14:solidFill>
              <w14:schemeClr w14:val="tx1"/>
            </w14:solidFill>
          </w14:textFill>
        </w:rPr>
      </w:pPr>
    </w:p>
    <w:p w14:paraId="38F7BA0F">
      <w:pPr>
        <w:spacing w:line="400" w:lineRule="atLeast"/>
        <w:jc w:val="center"/>
        <w:rPr>
          <w:rFonts w:ascii="宋体" w:hAnsi="宋体" w:cs="宋体"/>
          <w:b/>
          <w:bCs/>
          <w:color w:val="000000" w:themeColor="text1"/>
          <w:sz w:val="32"/>
          <w:szCs w:val="32"/>
          <w:highlight w:val="none"/>
          <w14:textFill>
            <w14:solidFill>
              <w14:schemeClr w14:val="tx1"/>
            </w14:solidFill>
          </w14:textFill>
        </w:rPr>
      </w:pPr>
    </w:p>
    <w:p w14:paraId="066740F0">
      <w:pPr>
        <w:spacing w:line="400" w:lineRule="atLeast"/>
        <w:jc w:val="center"/>
        <w:rPr>
          <w:rFonts w:ascii="宋体" w:hAnsi="宋体" w:cs="宋体"/>
          <w:b/>
          <w:bCs/>
          <w:color w:val="000000" w:themeColor="text1"/>
          <w:sz w:val="32"/>
          <w:szCs w:val="32"/>
          <w:highlight w:val="none"/>
          <w14:textFill>
            <w14:solidFill>
              <w14:schemeClr w14:val="tx1"/>
            </w14:solidFill>
          </w14:textFill>
        </w:rPr>
      </w:pPr>
    </w:p>
    <w:p w14:paraId="40CEEF1C">
      <w:pPr>
        <w:spacing w:line="400" w:lineRule="atLeast"/>
        <w:jc w:val="center"/>
        <w:rPr>
          <w:rFonts w:ascii="宋体" w:hAnsi="宋体" w:cs="宋体"/>
          <w:b/>
          <w:bCs/>
          <w:color w:val="000000" w:themeColor="text1"/>
          <w:sz w:val="32"/>
          <w:szCs w:val="32"/>
          <w:highlight w:val="none"/>
          <w14:textFill>
            <w14:solidFill>
              <w14:schemeClr w14:val="tx1"/>
            </w14:solidFill>
          </w14:textFill>
        </w:rPr>
      </w:pPr>
    </w:p>
    <w:p w14:paraId="26D7CCEC">
      <w:pPr>
        <w:spacing w:line="400" w:lineRule="atLeast"/>
        <w:jc w:val="center"/>
        <w:rPr>
          <w:rFonts w:ascii="宋体" w:hAnsi="宋体" w:cs="宋体"/>
          <w:b/>
          <w:bCs/>
          <w:color w:val="000000" w:themeColor="text1"/>
          <w:sz w:val="32"/>
          <w:szCs w:val="32"/>
          <w:highlight w:val="none"/>
          <w14:textFill>
            <w14:solidFill>
              <w14:schemeClr w14:val="tx1"/>
            </w14:solidFill>
          </w14:textFill>
        </w:rPr>
      </w:pPr>
    </w:p>
    <w:p w14:paraId="7C6DB7FC">
      <w:pPr>
        <w:spacing w:line="400" w:lineRule="atLeast"/>
        <w:jc w:val="center"/>
        <w:rPr>
          <w:rFonts w:ascii="宋体" w:hAnsi="宋体" w:cs="宋体"/>
          <w:b/>
          <w:bCs/>
          <w:color w:val="000000" w:themeColor="text1"/>
          <w:sz w:val="32"/>
          <w:szCs w:val="32"/>
          <w:highlight w:val="none"/>
          <w14:textFill>
            <w14:solidFill>
              <w14:schemeClr w14:val="tx1"/>
            </w14:solidFill>
          </w14:textFill>
        </w:rPr>
      </w:pPr>
    </w:p>
    <w:p w14:paraId="6FF85A2D">
      <w:pPr>
        <w:spacing w:line="400" w:lineRule="atLeast"/>
        <w:jc w:val="center"/>
        <w:rPr>
          <w:rFonts w:ascii="宋体" w:hAnsi="宋体" w:cs="宋体"/>
          <w:b/>
          <w:bCs/>
          <w:color w:val="000000" w:themeColor="text1"/>
          <w:sz w:val="32"/>
          <w:szCs w:val="32"/>
          <w:highlight w:val="none"/>
          <w14:textFill>
            <w14:solidFill>
              <w14:schemeClr w14:val="tx1"/>
            </w14:solidFill>
          </w14:textFill>
        </w:rPr>
      </w:pPr>
    </w:p>
    <w:p w14:paraId="0E84B633">
      <w:pPr>
        <w:spacing w:line="400" w:lineRule="atLeast"/>
        <w:jc w:val="center"/>
        <w:rPr>
          <w:rFonts w:ascii="宋体" w:hAnsi="宋体" w:cs="宋体"/>
          <w:b/>
          <w:bCs/>
          <w:color w:val="000000" w:themeColor="text1"/>
          <w:sz w:val="32"/>
          <w:szCs w:val="32"/>
          <w:highlight w:val="none"/>
          <w14:textFill>
            <w14:solidFill>
              <w14:schemeClr w14:val="tx1"/>
            </w14:solidFill>
          </w14:textFill>
        </w:rPr>
      </w:pPr>
    </w:p>
    <w:p w14:paraId="50182656">
      <w:pPr>
        <w:spacing w:line="400" w:lineRule="atLeast"/>
        <w:jc w:val="center"/>
        <w:rPr>
          <w:rFonts w:ascii="宋体" w:hAnsi="宋体" w:cs="宋体"/>
          <w:b/>
          <w:bCs/>
          <w:color w:val="000000" w:themeColor="text1"/>
          <w:sz w:val="32"/>
          <w:szCs w:val="32"/>
          <w:highlight w:val="none"/>
          <w14:textFill>
            <w14:solidFill>
              <w14:schemeClr w14:val="tx1"/>
            </w14:solidFill>
          </w14:textFill>
        </w:rPr>
      </w:pPr>
    </w:p>
    <w:p w14:paraId="3C7B8D5C">
      <w:pPr>
        <w:spacing w:line="400" w:lineRule="atLeast"/>
        <w:jc w:val="center"/>
        <w:rPr>
          <w:rFonts w:ascii="宋体" w:hAnsi="宋体" w:cs="宋体"/>
          <w:b/>
          <w:bCs/>
          <w:color w:val="000000" w:themeColor="text1"/>
          <w:sz w:val="32"/>
          <w:szCs w:val="32"/>
          <w:highlight w:val="none"/>
          <w14:textFill>
            <w14:solidFill>
              <w14:schemeClr w14:val="tx1"/>
            </w14:solidFill>
          </w14:textFill>
        </w:rPr>
      </w:pPr>
    </w:p>
    <w:p w14:paraId="1FC6C5BD">
      <w:pPr>
        <w:spacing w:line="400" w:lineRule="atLeast"/>
        <w:jc w:val="center"/>
        <w:rPr>
          <w:rFonts w:ascii="宋体" w:hAnsi="宋体" w:cs="宋体"/>
          <w:b/>
          <w:bCs/>
          <w:color w:val="000000" w:themeColor="text1"/>
          <w:sz w:val="32"/>
          <w:szCs w:val="32"/>
          <w:highlight w:val="none"/>
          <w14:textFill>
            <w14:solidFill>
              <w14:schemeClr w14:val="tx1"/>
            </w14:solidFill>
          </w14:textFill>
        </w:rPr>
      </w:pPr>
    </w:p>
    <w:p w14:paraId="42DBA8BC">
      <w:pPr>
        <w:spacing w:line="400" w:lineRule="atLeast"/>
        <w:jc w:val="center"/>
        <w:rPr>
          <w:rFonts w:ascii="宋体" w:hAnsi="宋体" w:cs="宋体"/>
          <w:b/>
          <w:bCs/>
          <w:color w:val="000000" w:themeColor="text1"/>
          <w:sz w:val="32"/>
          <w:szCs w:val="32"/>
          <w:highlight w:val="none"/>
          <w14:textFill>
            <w14:solidFill>
              <w14:schemeClr w14:val="tx1"/>
            </w14:solidFill>
          </w14:textFill>
        </w:rPr>
      </w:pPr>
    </w:p>
    <w:p w14:paraId="41A5CCC4">
      <w:pPr>
        <w:spacing w:line="400" w:lineRule="atLeast"/>
        <w:jc w:val="center"/>
        <w:rPr>
          <w:rFonts w:ascii="宋体" w:hAnsi="宋体" w:cs="宋体"/>
          <w:b/>
          <w:bCs/>
          <w:color w:val="000000" w:themeColor="text1"/>
          <w:sz w:val="32"/>
          <w:szCs w:val="32"/>
          <w:highlight w:val="none"/>
          <w14:textFill>
            <w14:solidFill>
              <w14:schemeClr w14:val="tx1"/>
            </w14:solidFill>
          </w14:textFill>
        </w:rPr>
      </w:pPr>
    </w:p>
    <w:p w14:paraId="445FED1D">
      <w:pPr>
        <w:rPr>
          <w:rFonts w:ascii="黑体" w:hAnsi="黑体" w:eastAsia="黑体" w:cs="黑体"/>
          <w:color w:val="000000" w:themeColor="text1"/>
          <w:spacing w:val="8"/>
          <w:sz w:val="35"/>
          <w:szCs w:val="35"/>
          <w:highlight w:val="none"/>
          <w14:textFill>
            <w14:solidFill>
              <w14:schemeClr w14:val="tx1"/>
            </w14:solidFill>
          </w14:textFill>
        </w:rPr>
      </w:pPr>
    </w:p>
    <w:p w14:paraId="3063D452">
      <w:pPr>
        <w:jc w:val="center"/>
        <w:rPr>
          <w:rFonts w:ascii="宋体" w:hAnsi="宋体" w:cs="宋体"/>
          <w:b/>
          <w:bCs/>
          <w:color w:val="000000" w:themeColor="text1"/>
          <w:spacing w:val="8"/>
          <w:sz w:val="35"/>
          <w:szCs w:val="35"/>
          <w:highlight w:val="none"/>
          <w14:textFill>
            <w14:solidFill>
              <w14:schemeClr w14:val="tx1"/>
            </w14:solidFill>
          </w14:textFill>
        </w:rPr>
      </w:pPr>
      <w:r>
        <w:rPr>
          <w:rFonts w:hint="eastAsia" w:ascii="宋体" w:hAnsi="宋体" w:cs="宋体"/>
          <w:b/>
          <w:bCs/>
          <w:color w:val="000000" w:themeColor="text1"/>
          <w:spacing w:val="8"/>
          <w:sz w:val="35"/>
          <w:szCs w:val="35"/>
          <w:highlight w:val="none"/>
          <w14:textFill>
            <w14:solidFill>
              <w14:schemeClr w14:val="tx1"/>
            </w14:solidFill>
          </w14:textFill>
        </w:rPr>
        <w:t>（一）通用合同条款</w:t>
      </w:r>
    </w:p>
    <w:p w14:paraId="012DB184">
      <w:pPr>
        <w:jc w:val="center"/>
        <w:rPr>
          <w:rFonts w:ascii="黑体" w:hAnsi="黑体" w:eastAsia="黑体" w:cs="黑体"/>
          <w:color w:val="000000" w:themeColor="text1"/>
          <w:spacing w:val="8"/>
          <w:sz w:val="35"/>
          <w:szCs w:val="35"/>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本部分不加修改地引用交通运输部办公厅关于印发《公路养护项目合同范本》的通知（交办公路函〔2025〕1819号）中的“</w:t>
      </w:r>
      <w:r>
        <w:rPr>
          <w:color w:val="000000" w:themeColor="text1"/>
          <w:sz w:val="24"/>
          <w:highlight w:val="none"/>
          <w14:textFill>
            <w14:solidFill>
              <w14:schemeClr w14:val="tx1"/>
            </w14:solidFill>
          </w14:textFill>
        </w:rPr>
        <w:t>通用合同条款”</w:t>
      </w:r>
    </w:p>
    <w:p w14:paraId="1FA14251">
      <w:pPr>
        <w:spacing w:before="253" w:line="220" w:lineRule="auto"/>
        <w:ind w:left="488"/>
        <w:outlineLvl w:val="2"/>
        <w:rPr>
          <w:rFonts w:ascii="宋体" w:hAnsi="宋体" w:cs="宋体"/>
          <w:color w:val="000000" w:themeColor="text1"/>
          <w:sz w:val="24"/>
          <w:szCs w:val="24"/>
          <w:highlight w:val="none"/>
          <w14:textFill>
            <w14:solidFill>
              <w14:schemeClr w14:val="tx1"/>
            </w14:solidFill>
          </w14:textFill>
        </w:rPr>
      </w:pPr>
      <w:bookmarkStart w:id="100" w:name="_Toc31254"/>
      <w:r>
        <w:rPr>
          <w:rFonts w:eastAsia="Times New Roman"/>
          <w:b/>
          <w:bCs/>
          <w:color w:val="000000" w:themeColor="text1"/>
          <w:spacing w:val="-7"/>
          <w:sz w:val="24"/>
          <w:szCs w:val="24"/>
          <w:highlight w:val="none"/>
          <w14:textFill>
            <w14:solidFill>
              <w14:schemeClr w14:val="tx1"/>
            </w14:solidFill>
          </w14:textFill>
        </w:rPr>
        <w:t>1.</w:t>
      </w:r>
      <w:r>
        <w:rPr>
          <w:rFonts w:eastAsia="Times New Roman"/>
          <w:b/>
          <w:bCs/>
          <w:color w:val="000000" w:themeColor="text1"/>
          <w:spacing w:val="8"/>
          <w:sz w:val="24"/>
          <w:szCs w:val="24"/>
          <w:highlight w:val="none"/>
          <w14:textFill>
            <w14:solidFill>
              <w14:schemeClr w14:val="tx1"/>
            </w14:solidFill>
          </w14:textFill>
        </w:rPr>
        <w:t xml:space="preserve">  </w:t>
      </w:r>
      <w:r>
        <w:rPr>
          <w:rFonts w:ascii="宋体" w:hAnsi="宋体" w:cs="宋体"/>
          <w:b/>
          <w:bCs/>
          <w:color w:val="000000" w:themeColor="text1"/>
          <w:spacing w:val="-7"/>
          <w:sz w:val="24"/>
          <w:szCs w:val="24"/>
          <w:highlight w:val="none"/>
          <w14:textFill>
            <w14:solidFill>
              <w14:schemeClr w14:val="tx1"/>
            </w14:solidFill>
          </w14:textFill>
        </w:rPr>
        <w:t>一般约定</w:t>
      </w:r>
      <w:bookmarkEnd w:id="100"/>
    </w:p>
    <w:p w14:paraId="32AD10EE">
      <w:pPr>
        <w:spacing w:before="258" w:line="220" w:lineRule="auto"/>
        <w:ind w:left="488"/>
        <w:outlineLvl w:val="3"/>
        <w:rPr>
          <w:rFonts w:ascii="宋体" w:hAnsi="宋体" w:cs="宋体"/>
          <w:color w:val="000000" w:themeColor="text1"/>
          <w:sz w:val="24"/>
          <w:szCs w:val="24"/>
          <w:highlight w:val="none"/>
          <w14:textFill>
            <w14:solidFill>
              <w14:schemeClr w14:val="tx1"/>
            </w14:solidFill>
          </w14:textFill>
        </w:rPr>
      </w:pPr>
      <w:r>
        <w:rPr>
          <w:rFonts w:eastAsia="Times New Roman"/>
          <w:b/>
          <w:bCs/>
          <w:color w:val="000000" w:themeColor="text1"/>
          <w:spacing w:val="-5"/>
          <w:sz w:val="24"/>
          <w:szCs w:val="24"/>
          <w:highlight w:val="none"/>
          <w14:textFill>
            <w14:solidFill>
              <w14:schemeClr w14:val="tx1"/>
            </w14:solidFill>
          </w14:textFill>
        </w:rPr>
        <w:t>1.1</w:t>
      </w:r>
      <w:r>
        <w:rPr>
          <w:rFonts w:eastAsia="Times New Roman"/>
          <w:b/>
          <w:bCs/>
          <w:color w:val="000000" w:themeColor="text1"/>
          <w:spacing w:val="5"/>
          <w:sz w:val="24"/>
          <w:szCs w:val="24"/>
          <w:highlight w:val="none"/>
          <w14:textFill>
            <w14:solidFill>
              <w14:schemeClr w14:val="tx1"/>
            </w14:solidFill>
          </w14:textFill>
        </w:rPr>
        <w:t xml:space="preserve">  </w:t>
      </w:r>
      <w:r>
        <w:rPr>
          <w:rFonts w:ascii="宋体" w:hAnsi="宋体" w:cs="宋体"/>
          <w:b/>
          <w:bCs/>
          <w:color w:val="000000" w:themeColor="text1"/>
          <w:spacing w:val="-5"/>
          <w:sz w:val="24"/>
          <w:szCs w:val="24"/>
          <w:highlight w:val="none"/>
          <w14:textFill>
            <w14:solidFill>
              <w14:schemeClr w14:val="tx1"/>
            </w14:solidFill>
          </w14:textFill>
        </w:rPr>
        <w:t>词语定义</w:t>
      </w:r>
    </w:p>
    <w:p w14:paraId="052B5F7E">
      <w:pPr>
        <w:spacing w:before="123" w:line="219" w:lineRule="auto"/>
        <w:ind w:left="482"/>
        <w:rPr>
          <w:rFonts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pacing w:val="-1"/>
          <w:sz w:val="24"/>
          <w:szCs w:val="24"/>
          <w:highlight w:val="none"/>
          <w14:textFill>
            <w14:solidFill>
              <w14:schemeClr w14:val="tx1"/>
            </w14:solidFill>
          </w14:textFill>
        </w:rPr>
        <w:t>合同中的下列词语应具有本款所赋予的含义。</w:t>
      </w:r>
    </w:p>
    <w:p w14:paraId="6E0589DB">
      <w:pPr>
        <w:spacing w:before="118" w:line="221" w:lineRule="auto"/>
        <w:ind w:left="500"/>
        <w:rPr>
          <w:rFonts w:ascii="宋体" w:hAnsi="宋体" w:cs="宋体"/>
          <w:color w:val="000000" w:themeColor="text1"/>
          <w:sz w:val="24"/>
          <w:szCs w:val="24"/>
          <w:highlight w:val="none"/>
          <w14:textFill>
            <w14:solidFill>
              <w14:schemeClr w14:val="tx1"/>
            </w14:solidFill>
          </w14:textFill>
        </w:rPr>
      </w:pPr>
      <w:r>
        <w:rPr>
          <w:rFonts w:eastAsia="Times New Roman"/>
          <w:color w:val="000000" w:themeColor="text1"/>
          <w:spacing w:val="-6"/>
          <w:sz w:val="24"/>
          <w:szCs w:val="24"/>
          <w:highlight w:val="none"/>
          <w14:textFill>
            <w14:solidFill>
              <w14:schemeClr w14:val="tx1"/>
            </w14:solidFill>
          </w14:textFill>
        </w:rPr>
        <w:t>1.1.1</w:t>
      </w:r>
      <w:r>
        <w:rPr>
          <w:rFonts w:eastAsia="Times New Roman"/>
          <w:color w:val="000000" w:themeColor="text1"/>
          <w:spacing w:val="6"/>
          <w:sz w:val="24"/>
          <w:szCs w:val="24"/>
          <w:highlight w:val="none"/>
          <w14:textFill>
            <w14:solidFill>
              <w14:schemeClr w14:val="tx1"/>
            </w14:solidFill>
          </w14:textFill>
        </w:rPr>
        <w:t xml:space="preserve">  </w:t>
      </w:r>
      <w:r>
        <w:rPr>
          <w:rFonts w:ascii="宋体" w:hAnsi="宋体" w:cs="宋体"/>
          <w:color w:val="000000" w:themeColor="text1"/>
          <w:spacing w:val="-6"/>
          <w:sz w:val="24"/>
          <w:szCs w:val="24"/>
          <w:highlight w:val="none"/>
          <w14:textFill>
            <w14:solidFill>
              <w14:schemeClr w14:val="tx1"/>
            </w14:solidFill>
          </w14:textFill>
        </w:rPr>
        <w:t>合同</w:t>
      </w:r>
    </w:p>
    <w:p w14:paraId="713D605F">
      <w:pPr>
        <w:spacing w:before="108" w:line="286" w:lineRule="auto"/>
        <w:ind w:right="164" w:firstLine="499"/>
        <w:rPr>
          <w:rFonts w:ascii="宋体" w:hAnsi="宋体" w:cs="宋体"/>
          <w:color w:val="000000" w:themeColor="text1"/>
          <w:sz w:val="24"/>
          <w:szCs w:val="24"/>
          <w:highlight w:val="none"/>
          <w14:textFill>
            <w14:solidFill>
              <w14:schemeClr w14:val="tx1"/>
            </w14:solidFill>
          </w14:textFill>
        </w:rPr>
      </w:pPr>
      <w:r>
        <w:rPr>
          <w:rFonts w:eastAsia="Times New Roman"/>
          <w:color w:val="000000" w:themeColor="text1"/>
          <w:spacing w:val="1"/>
          <w:sz w:val="24"/>
          <w:szCs w:val="24"/>
          <w:highlight w:val="none"/>
          <w14:textFill>
            <w14:solidFill>
              <w14:schemeClr w14:val="tx1"/>
            </w14:solidFill>
          </w14:textFill>
        </w:rPr>
        <w:t xml:space="preserve">1.1.1.1  </w:t>
      </w:r>
      <w:r>
        <w:rPr>
          <w:rFonts w:ascii="宋体" w:hAnsi="宋体" w:cs="宋体"/>
          <w:color w:val="000000" w:themeColor="text1"/>
          <w:spacing w:val="1"/>
          <w:sz w:val="24"/>
          <w:szCs w:val="24"/>
          <w:highlight w:val="none"/>
          <w14:textFill>
            <w14:solidFill>
              <w14:schemeClr w14:val="tx1"/>
            </w14:solidFill>
          </w14:textFill>
        </w:rPr>
        <w:t>合同文件（或称合同</w:t>
      </w:r>
      <w:r>
        <w:rPr>
          <w:rFonts w:ascii="宋体" w:hAnsi="宋体" w:cs="宋体"/>
          <w:color w:val="000000" w:themeColor="text1"/>
          <w:spacing w:val="-42"/>
          <w:sz w:val="24"/>
          <w:szCs w:val="24"/>
          <w:highlight w:val="none"/>
          <w14:textFill>
            <w14:solidFill>
              <w14:schemeClr w14:val="tx1"/>
            </w14:solidFill>
          </w14:textFill>
        </w:rPr>
        <w:t>）：</w:t>
      </w:r>
      <w:r>
        <w:rPr>
          <w:rFonts w:ascii="宋体" w:hAnsi="宋体" w:cs="宋体"/>
          <w:color w:val="000000" w:themeColor="text1"/>
          <w:spacing w:val="1"/>
          <w:sz w:val="24"/>
          <w:szCs w:val="24"/>
          <w:highlight w:val="none"/>
          <w14:textFill>
            <w14:solidFill>
              <w14:schemeClr w14:val="tx1"/>
            </w14:solidFill>
          </w14:textFill>
        </w:rPr>
        <w:t>指合同协议书、中标通知书</w:t>
      </w:r>
      <w:r>
        <w:rPr>
          <w:rFonts w:ascii="宋体" w:hAnsi="宋体" w:cs="宋体"/>
          <w:color w:val="000000" w:themeColor="text1"/>
          <w:sz w:val="24"/>
          <w:szCs w:val="24"/>
          <w:highlight w:val="none"/>
          <w14:textFill>
            <w14:solidFill>
              <w14:schemeClr w14:val="tx1"/>
            </w14:solidFill>
          </w14:textFill>
        </w:rPr>
        <w:t>（如有）、投标函</w:t>
      </w:r>
      <w:r>
        <w:rPr>
          <w:rFonts w:ascii="宋体" w:hAnsi="宋体" w:cs="宋体"/>
          <w:color w:val="000000" w:themeColor="text1"/>
          <w:spacing w:val="1"/>
          <w:sz w:val="24"/>
          <w:szCs w:val="24"/>
          <w:highlight w:val="none"/>
          <w14:textFill>
            <w14:solidFill>
              <w14:schemeClr w14:val="tx1"/>
            </w14:solidFill>
          </w14:textFill>
        </w:rPr>
        <w:t>及投标函附录（如有）、专用合同条款、通用合同条款</w:t>
      </w:r>
      <w:r>
        <w:rPr>
          <w:rFonts w:ascii="宋体" w:hAnsi="宋体" w:cs="宋体"/>
          <w:color w:val="000000" w:themeColor="text1"/>
          <w:sz w:val="24"/>
          <w:szCs w:val="24"/>
          <w:highlight w:val="none"/>
          <w14:textFill>
            <w14:solidFill>
              <w14:schemeClr w14:val="tx1"/>
            </w14:solidFill>
          </w14:textFill>
        </w:rPr>
        <w:t>、技术规范、图纸、工程量</w:t>
      </w:r>
      <w:r>
        <w:rPr>
          <w:rFonts w:ascii="宋体" w:hAnsi="宋体" w:cs="宋体"/>
          <w:color w:val="000000" w:themeColor="text1"/>
          <w:spacing w:val="-4"/>
          <w:sz w:val="24"/>
          <w:szCs w:val="24"/>
          <w:highlight w:val="none"/>
          <w14:textFill>
            <w14:solidFill>
              <w14:schemeClr w14:val="tx1"/>
            </w14:solidFill>
          </w14:textFill>
        </w:rPr>
        <w:t>清单计量规则（或养护绩效管理规则）、已标价工程量清单（或绩效清单</w:t>
      </w:r>
      <w:r>
        <w:rPr>
          <w:rFonts w:ascii="宋体" w:hAnsi="宋体" w:cs="宋体"/>
          <w:color w:val="000000" w:themeColor="text1"/>
          <w:spacing w:val="-38"/>
          <w:sz w:val="24"/>
          <w:szCs w:val="24"/>
          <w:highlight w:val="none"/>
          <w14:textFill>
            <w14:solidFill>
              <w14:schemeClr w14:val="tx1"/>
            </w14:solidFill>
          </w14:textFill>
        </w:rPr>
        <w:t>），</w:t>
      </w:r>
      <w:r>
        <w:rPr>
          <w:rFonts w:ascii="宋体" w:hAnsi="宋体" w:cs="宋体"/>
          <w:color w:val="000000" w:themeColor="text1"/>
          <w:spacing w:val="-4"/>
          <w:sz w:val="24"/>
          <w:szCs w:val="24"/>
          <w:highlight w:val="none"/>
          <w14:textFill>
            <w14:solidFill>
              <w14:schemeClr w14:val="tx1"/>
            </w14:solidFill>
          </w14:textFill>
        </w:rPr>
        <w:t>以及其</w:t>
      </w:r>
      <w:r>
        <w:rPr>
          <w:rFonts w:ascii="宋体" w:hAnsi="宋体" w:cs="宋体"/>
          <w:color w:val="000000" w:themeColor="text1"/>
          <w:spacing w:val="-2"/>
          <w:sz w:val="24"/>
          <w:szCs w:val="24"/>
          <w:highlight w:val="none"/>
          <w14:textFill>
            <w14:solidFill>
              <w14:schemeClr w14:val="tx1"/>
            </w14:solidFill>
          </w14:textFill>
        </w:rPr>
        <w:t>他合同文件。</w:t>
      </w:r>
    </w:p>
    <w:p w14:paraId="0A1CE46B">
      <w:pPr>
        <w:spacing w:before="115" w:line="264" w:lineRule="auto"/>
        <w:ind w:left="2" w:right="164" w:firstLine="497"/>
        <w:rPr>
          <w:rFonts w:ascii="宋体" w:hAnsi="宋体" w:cs="宋体"/>
          <w:color w:val="000000" w:themeColor="text1"/>
          <w:sz w:val="24"/>
          <w:szCs w:val="24"/>
          <w:highlight w:val="none"/>
          <w14:textFill>
            <w14:solidFill>
              <w14:schemeClr w14:val="tx1"/>
            </w14:solidFill>
          </w14:textFill>
        </w:rPr>
      </w:pPr>
      <w:r>
        <w:rPr>
          <w:rFonts w:eastAsia="Times New Roman"/>
          <w:color w:val="000000" w:themeColor="text1"/>
          <w:spacing w:val="5"/>
          <w:sz w:val="24"/>
          <w:szCs w:val="24"/>
          <w:highlight w:val="none"/>
          <w14:textFill>
            <w14:solidFill>
              <w14:schemeClr w14:val="tx1"/>
            </w14:solidFill>
          </w14:textFill>
        </w:rPr>
        <w:t xml:space="preserve">1.1.1.2  </w:t>
      </w:r>
      <w:r>
        <w:rPr>
          <w:rFonts w:ascii="宋体" w:hAnsi="宋体" w:cs="宋体"/>
          <w:color w:val="000000" w:themeColor="text1"/>
          <w:spacing w:val="5"/>
          <w:sz w:val="24"/>
          <w:szCs w:val="24"/>
          <w:highlight w:val="none"/>
          <w14:textFill>
            <w14:solidFill>
              <w14:schemeClr w14:val="tx1"/>
            </w14:solidFill>
          </w14:textFill>
        </w:rPr>
        <w:t>合同协议书：指由发包人和承包人共同签署的明</w:t>
      </w:r>
      <w:r>
        <w:rPr>
          <w:rFonts w:ascii="宋体" w:hAnsi="宋体" w:cs="宋体"/>
          <w:color w:val="000000" w:themeColor="text1"/>
          <w:spacing w:val="4"/>
          <w:sz w:val="24"/>
          <w:szCs w:val="24"/>
          <w:highlight w:val="none"/>
          <w14:textFill>
            <w14:solidFill>
              <w14:schemeClr w14:val="tx1"/>
            </w14:solidFill>
          </w14:textFill>
        </w:rPr>
        <w:t>确签约合同价、工期</w:t>
      </w:r>
      <w:r>
        <w:rPr>
          <w:rFonts w:ascii="宋体" w:hAnsi="宋体" w:cs="宋体"/>
          <w:color w:val="000000" w:themeColor="text1"/>
          <w:spacing w:val="-1"/>
          <w:sz w:val="24"/>
          <w:szCs w:val="24"/>
          <w:highlight w:val="none"/>
          <w14:textFill>
            <w14:solidFill>
              <w14:schemeClr w14:val="tx1"/>
            </w14:solidFill>
          </w14:textFill>
        </w:rPr>
        <w:t>和合同组成等合同核心内容的文件。</w:t>
      </w:r>
    </w:p>
    <w:p w14:paraId="6B1D3B63">
      <w:pPr>
        <w:spacing w:before="113" w:line="219" w:lineRule="auto"/>
        <w:ind w:left="500"/>
        <w:rPr>
          <w:rFonts w:ascii="宋体" w:hAnsi="宋体" w:cs="宋体"/>
          <w:color w:val="000000" w:themeColor="text1"/>
          <w:sz w:val="24"/>
          <w:szCs w:val="24"/>
          <w:highlight w:val="none"/>
          <w14:textFill>
            <w14:solidFill>
              <w14:schemeClr w14:val="tx1"/>
            </w14:solidFill>
          </w14:textFill>
        </w:rPr>
      </w:pPr>
      <w:r>
        <w:rPr>
          <w:rFonts w:eastAsia="Times New Roman"/>
          <w:color w:val="000000" w:themeColor="text1"/>
          <w:spacing w:val="-2"/>
          <w:sz w:val="24"/>
          <w:szCs w:val="24"/>
          <w:highlight w:val="none"/>
          <w14:textFill>
            <w14:solidFill>
              <w14:schemeClr w14:val="tx1"/>
            </w14:solidFill>
          </w14:textFill>
        </w:rPr>
        <w:t>1.1.1.3</w:t>
      </w:r>
      <w:r>
        <w:rPr>
          <w:rFonts w:eastAsia="Times New Roman"/>
          <w:color w:val="000000" w:themeColor="text1"/>
          <w:spacing w:val="15"/>
          <w:w w:val="101"/>
          <w:sz w:val="24"/>
          <w:szCs w:val="24"/>
          <w:highlight w:val="none"/>
          <w14:textFill>
            <w14:solidFill>
              <w14:schemeClr w14:val="tx1"/>
            </w14:solidFill>
          </w14:textFill>
        </w:rPr>
        <w:t xml:space="preserve">  </w:t>
      </w:r>
      <w:r>
        <w:rPr>
          <w:rFonts w:ascii="宋体" w:hAnsi="宋体" w:cs="宋体"/>
          <w:color w:val="000000" w:themeColor="text1"/>
          <w:spacing w:val="-2"/>
          <w:sz w:val="24"/>
          <w:szCs w:val="24"/>
          <w:highlight w:val="none"/>
          <w14:textFill>
            <w14:solidFill>
              <w14:schemeClr w14:val="tx1"/>
            </w14:solidFill>
          </w14:textFill>
        </w:rPr>
        <w:t>中标通知书：指发包人通知承包人中</w:t>
      </w:r>
      <w:r>
        <w:rPr>
          <w:rFonts w:ascii="宋体" w:hAnsi="宋体" w:cs="宋体"/>
          <w:color w:val="000000" w:themeColor="text1"/>
          <w:spacing w:val="-3"/>
          <w:sz w:val="24"/>
          <w:szCs w:val="24"/>
          <w:highlight w:val="none"/>
          <w14:textFill>
            <w14:solidFill>
              <w14:schemeClr w14:val="tx1"/>
            </w14:solidFill>
          </w14:textFill>
        </w:rPr>
        <w:t>标的函件。</w:t>
      </w:r>
    </w:p>
    <w:p w14:paraId="74325E9D">
      <w:pPr>
        <w:spacing w:before="117" w:line="263" w:lineRule="auto"/>
        <w:ind w:right="164" w:firstLine="500"/>
        <w:rPr>
          <w:rFonts w:ascii="宋体" w:hAnsi="宋体" w:cs="宋体"/>
          <w:color w:val="000000" w:themeColor="text1"/>
          <w:sz w:val="24"/>
          <w:szCs w:val="24"/>
          <w:highlight w:val="none"/>
          <w14:textFill>
            <w14:solidFill>
              <w14:schemeClr w14:val="tx1"/>
            </w14:solidFill>
          </w14:textFill>
        </w:rPr>
      </w:pPr>
      <w:r>
        <w:rPr>
          <w:rFonts w:eastAsia="Times New Roman"/>
          <w:color w:val="000000" w:themeColor="text1"/>
          <w:spacing w:val="5"/>
          <w:sz w:val="24"/>
          <w:szCs w:val="24"/>
          <w:highlight w:val="none"/>
          <w14:textFill>
            <w14:solidFill>
              <w14:schemeClr w14:val="tx1"/>
            </w14:solidFill>
          </w14:textFill>
        </w:rPr>
        <w:t xml:space="preserve">1.1.1.4  </w:t>
      </w:r>
      <w:r>
        <w:rPr>
          <w:rFonts w:ascii="宋体" w:hAnsi="宋体" w:cs="宋体"/>
          <w:color w:val="000000" w:themeColor="text1"/>
          <w:spacing w:val="5"/>
          <w:sz w:val="24"/>
          <w:szCs w:val="24"/>
          <w:highlight w:val="none"/>
          <w14:textFill>
            <w14:solidFill>
              <w14:schemeClr w14:val="tx1"/>
            </w14:solidFill>
          </w14:textFill>
        </w:rPr>
        <w:t>投标函：指构成合同文件组成部分的由承包人填</w:t>
      </w:r>
      <w:r>
        <w:rPr>
          <w:rFonts w:ascii="宋体" w:hAnsi="宋体" w:cs="宋体"/>
          <w:color w:val="000000" w:themeColor="text1"/>
          <w:spacing w:val="4"/>
          <w:sz w:val="24"/>
          <w:szCs w:val="24"/>
          <w:highlight w:val="none"/>
          <w14:textFill>
            <w14:solidFill>
              <w14:schemeClr w14:val="tx1"/>
            </w14:solidFill>
          </w14:textFill>
        </w:rPr>
        <w:t>写并签署，明确投标</w:t>
      </w:r>
      <w:r>
        <w:rPr>
          <w:rFonts w:ascii="宋体" w:hAnsi="宋体" w:cs="宋体"/>
          <w:color w:val="000000" w:themeColor="text1"/>
          <w:spacing w:val="-1"/>
          <w:sz w:val="24"/>
          <w:szCs w:val="24"/>
          <w:highlight w:val="none"/>
          <w14:textFill>
            <w14:solidFill>
              <w14:schemeClr w14:val="tx1"/>
            </w14:solidFill>
          </w14:textFill>
        </w:rPr>
        <w:t>报价、工期等实质性内容的文件。</w:t>
      </w:r>
    </w:p>
    <w:p w14:paraId="6F2C9DF6">
      <w:pPr>
        <w:spacing w:before="114" w:line="219" w:lineRule="auto"/>
        <w:ind w:left="500"/>
        <w:rPr>
          <w:rFonts w:ascii="宋体" w:hAnsi="宋体" w:cs="宋体"/>
          <w:color w:val="000000" w:themeColor="text1"/>
          <w:sz w:val="24"/>
          <w:szCs w:val="24"/>
          <w:highlight w:val="none"/>
          <w14:textFill>
            <w14:solidFill>
              <w14:schemeClr w14:val="tx1"/>
            </w14:solidFill>
          </w14:textFill>
        </w:rPr>
      </w:pPr>
      <w:r>
        <w:rPr>
          <w:rFonts w:eastAsia="Times New Roman"/>
          <w:color w:val="000000" w:themeColor="text1"/>
          <w:spacing w:val="-1"/>
          <w:sz w:val="24"/>
          <w:szCs w:val="24"/>
          <w:highlight w:val="none"/>
          <w14:textFill>
            <w14:solidFill>
              <w14:schemeClr w14:val="tx1"/>
            </w14:solidFill>
          </w14:textFill>
        </w:rPr>
        <w:t xml:space="preserve">1.1.1.5  </w:t>
      </w:r>
      <w:r>
        <w:rPr>
          <w:rFonts w:ascii="宋体" w:hAnsi="宋体" w:cs="宋体"/>
          <w:color w:val="000000" w:themeColor="text1"/>
          <w:spacing w:val="-1"/>
          <w:sz w:val="24"/>
          <w:szCs w:val="24"/>
          <w:highlight w:val="none"/>
          <w14:textFill>
            <w14:solidFill>
              <w14:schemeClr w14:val="tx1"/>
            </w14:solidFill>
          </w14:textFill>
        </w:rPr>
        <w:t>投标函附录：指附在投标函后构成合同文件的附录。</w:t>
      </w:r>
    </w:p>
    <w:p w14:paraId="38C3B8A2">
      <w:pPr>
        <w:spacing w:before="114" w:line="219" w:lineRule="auto"/>
        <w:ind w:left="500"/>
        <w:rPr>
          <w:rFonts w:eastAsia="Times New Roman"/>
          <w:color w:val="000000" w:themeColor="text1"/>
          <w:spacing w:val="-1"/>
          <w:sz w:val="24"/>
          <w:szCs w:val="24"/>
          <w:highlight w:val="none"/>
          <w14:textFill>
            <w14:solidFill>
              <w14:schemeClr w14:val="tx1"/>
            </w14:solidFill>
          </w14:textFill>
        </w:rPr>
      </w:pPr>
      <w:r>
        <w:rPr>
          <w:rFonts w:eastAsia="Times New Roman"/>
          <w:color w:val="000000" w:themeColor="text1"/>
          <w:spacing w:val="-1"/>
          <w:sz w:val="24"/>
          <w:szCs w:val="24"/>
          <w:highlight w:val="none"/>
          <w14:textFill>
            <w14:solidFill>
              <w14:schemeClr w14:val="tx1"/>
            </w14:solidFill>
          </w14:textFill>
        </w:rPr>
        <w:t>1.1.1.6 技术规范：指本合同所约定的技术标准和要求，是合同文件的组成部分。</w:t>
      </w:r>
    </w:p>
    <w:p w14:paraId="514ADF31">
      <w:pPr>
        <w:spacing w:before="116" w:line="263" w:lineRule="auto"/>
        <w:ind w:right="164" w:firstLine="499"/>
        <w:rPr>
          <w:rFonts w:ascii="宋体" w:hAnsi="宋体" w:cs="宋体"/>
          <w:color w:val="000000" w:themeColor="text1"/>
          <w:sz w:val="24"/>
          <w:szCs w:val="24"/>
          <w:highlight w:val="none"/>
          <w14:textFill>
            <w14:solidFill>
              <w14:schemeClr w14:val="tx1"/>
            </w14:solidFill>
          </w14:textFill>
        </w:rPr>
      </w:pPr>
      <w:r>
        <w:rPr>
          <w:rFonts w:eastAsia="Times New Roman"/>
          <w:color w:val="000000" w:themeColor="text1"/>
          <w:spacing w:val="4"/>
          <w:sz w:val="24"/>
          <w:szCs w:val="24"/>
          <w:highlight w:val="none"/>
          <w14:textFill>
            <w14:solidFill>
              <w14:schemeClr w14:val="tx1"/>
            </w14:solidFill>
          </w14:textFill>
        </w:rPr>
        <w:t>1.1.1.7</w:t>
      </w:r>
      <w:r>
        <w:rPr>
          <w:rFonts w:eastAsia="Times New Roman"/>
          <w:color w:val="000000" w:themeColor="text1"/>
          <w:spacing w:val="20"/>
          <w:sz w:val="24"/>
          <w:szCs w:val="24"/>
          <w:highlight w:val="none"/>
          <w14:textFill>
            <w14:solidFill>
              <w14:schemeClr w14:val="tx1"/>
            </w14:solidFill>
          </w14:textFill>
        </w:rPr>
        <w:t xml:space="preserve">  </w:t>
      </w:r>
      <w:r>
        <w:rPr>
          <w:rFonts w:ascii="宋体" w:hAnsi="宋体" w:cs="宋体"/>
          <w:color w:val="000000" w:themeColor="text1"/>
          <w:spacing w:val="4"/>
          <w:sz w:val="24"/>
          <w:szCs w:val="24"/>
          <w:highlight w:val="none"/>
          <w14:textFill>
            <w14:solidFill>
              <w14:schemeClr w14:val="tx1"/>
            </w14:solidFill>
          </w14:textFill>
        </w:rPr>
        <w:t>图纸：指包含在合同中的工程图纸，以及由发包人按合同约定提</w:t>
      </w:r>
      <w:r>
        <w:rPr>
          <w:rFonts w:ascii="宋体" w:hAnsi="宋体" w:cs="宋体"/>
          <w:color w:val="000000" w:themeColor="text1"/>
          <w:spacing w:val="3"/>
          <w:sz w:val="24"/>
          <w:szCs w:val="24"/>
          <w:highlight w:val="none"/>
          <w14:textFill>
            <w14:solidFill>
              <w14:schemeClr w14:val="tx1"/>
            </w14:solidFill>
          </w14:textFill>
        </w:rPr>
        <w:t>供的</w:t>
      </w:r>
      <w:r>
        <w:rPr>
          <w:rFonts w:ascii="宋体" w:hAnsi="宋体" w:cs="宋体"/>
          <w:color w:val="000000" w:themeColor="text1"/>
          <w:spacing w:val="-1"/>
          <w:sz w:val="24"/>
          <w:szCs w:val="24"/>
          <w:highlight w:val="none"/>
          <w14:textFill>
            <w14:solidFill>
              <w14:schemeClr w14:val="tx1"/>
            </w14:solidFill>
          </w14:textFill>
        </w:rPr>
        <w:t>任何补充和修改的图纸，包括配套的说明。</w:t>
      </w:r>
    </w:p>
    <w:p w14:paraId="565FA03E">
      <w:pPr>
        <w:spacing w:before="116" w:line="264" w:lineRule="auto"/>
        <w:ind w:left="2" w:right="164" w:firstLine="497"/>
        <w:rPr>
          <w:rFonts w:ascii="宋体" w:hAnsi="宋体" w:cs="宋体"/>
          <w:color w:val="000000" w:themeColor="text1"/>
          <w:sz w:val="24"/>
          <w:szCs w:val="24"/>
          <w:highlight w:val="none"/>
          <w14:textFill>
            <w14:solidFill>
              <w14:schemeClr w14:val="tx1"/>
            </w14:solidFill>
          </w14:textFill>
        </w:rPr>
      </w:pPr>
      <w:r>
        <w:rPr>
          <w:rFonts w:eastAsia="Times New Roman"/>
          <w:color w:val="000000" w:themeColor="text1"/>
          <w:spacing w:val="5"/>
          <w:sz w:val="24"/>
          <w:szCs w:val="24"/>
          <w:highlight w:val="none"/>
          <w14:textFill>
            <w14:solidFill>
              <w14:schemeClr w14:val="tx1"/>
            </w14:solidFill>
          </w14:textFill>
        </w:rPr>
        <w:t xml:space="preserve">1.1.1.8  </w:t>
      </w:r>
      <w:r>
        <w:rPr>
          <w:rFonts w:ascii="宋体" w:hAnsi="宋体" w:cs="宋体"/>
          <w:color w:val="000000" w:themeColor="text1"/>
          <w:spacing w:val="5"/>
          <w:sz w:val="24"/>
          <w:szCs w:val="24"/>
          <w:highlight w:val="none"/>
          <w14:textFill>
            <w14:solidFill>
              <w14:schemeClr w14:val="tx1"/>
            </w14:solidFill>
          </w14:textFill>
        </w:rPr>
        <w:t>工程量清单计量规则：指合同约定的计算合同工</w:t>
      </w:r>
      <w:r>
        <w:rPr>
          <w:rFonts w:ascii="宋体" w:hAnsi="宋体" w:cs="宋体"/>
          <w:color w:val="000000" w:themeColor="text1"/>
          <w:spacing w:val="4"/>
          <w:sz w:val="24"/>
          <w:szCs w:val="24"/>
          <w:highlight w:val="none"/>
          <w14:textFill>
            <w14:solidFill>
              <w14:schemeClr w14:val="tx1"/>
            </w14:solidFill>
          </w14:textFill>
        </w:rPr>
        <w:t>程量清单子目数量的</w:t>
      </w:r>
      <w:r>
        <w:rPr>
          <w:rFonts w:ascii="宋体" w:hAnsi="宋体" w:cs="宋体"/>
          <w:color w:val="000000" w:themeColor="text1"/>
          <w:spacing w:val="-4"/>
          <w:sz w:val="24"/>
          <w:szCs w:val="24"/>
          <w:highlight w:val="none"/>
          <w14:textFill>
            <w14:solidFill>
              <w14:schemeClr w14:val="tx1"/>
            </w14:solidFill>
          </w14:textFill>
        </w:rPr>
        <w:t>规则。</w:t>
      </w:r>
    </w:p>
    <w:p w14:paraId="0EF59C0F">
      <w:pPr>
        <w:spacing w:before="111" w:line="279" w:lineRule="auto"/>
        <w:ind w:left="1" w:right="164" w:firstLine="498"/>
        <w:rPr>
          <w:rFonts w:ascii="宋体" w:hAnsi="宋体" w:cs="宋体"/>
          <w:color w:val="000000" w:themeColor="text1"/>
          <w:sz w:val="24"/>
          <w:szCs w:val="24"/>
          <w:highlight w:val="none"/>
          <w14:textFill>
            <w14:solidFill>
              <w14:schemeClr w14:val="tx1"/>
            </w14:solidFill>
          </w14:textFill>
        </w:rPr>
      </w:pPr>
      <w:r>
        <w:rPr>
          <w:rFonts w:eastAsia="Times New Roman"/>
          <w:color w:val="000000" w:themeColor="text1"/>
          <w:spacing w:val="5"/>
          <w:sz w:val="24"/>
          <w:szCs w:val="24"/>
          <w:highlight w:val="none"/>
          <w14:textFill>
            <w14:solidFill>
              <w14:schemeClr w14:val="tx1"/>
            </w14:solidFill>
          </w14:textFill>
        </w:rPr>
        <w:t xml:space="preserve">1.1.1.9  </w:t>
      </w:r>
      <w:r>
        <w:rPr>
          <w:rFonts w:ascii="宋体" w:hAnsi="宋体" w:cs="宋体"/>
          <w:color w:val="000000" w:themeColor="text1"/>
          <w:spacing w:val="5"/>
          <w:sz w:val="24"/>
          <w:szCs w:val="24"/>
          <w:highlight w:val="none"/>
          <w14:textFill>
            <w14:solidFill>
              <w14:schemeClr w14:val="tx1"/>
            </w14:solidFill>
          </w14:textFill>
        </w:rPr>
        <w:t>养护绩效管理规则：指合同约定的衡量承包人完</w:t>
      </w:r>
      <w:r>
        <w:rPr>
          <w:rFonts w:ascii="宋体" w:hAnsi="宋体" w:cs="宋体"/>
          <w:color w:val="000000" w:themeColor="text1"/>
          <w:spacing w:val="4"/>
          <w:sz w:val="24"/>
          <w:szCs w:val="24"/>
          <w:highlight w:val="none"/>
          <w14:textFill>
            <w14:solidFill>
              <w14:schemeClr w14:val="tx1"/>
            </w14:solidFill>
          </w14:textFill>
        </w:rPr>
        <w:t>成绩效服务水平的情</w:t>
      </w:r>
      <w:r>
        <w:rPr>
          <w:rFonts w:ascii="宋体" w:hAnsi="宋体" w:cs="宋体"/>
          <w:color w:val="000000" w:themeColor="text1"/>
          <w:spacing w:val="1"/>
          <w:sz w:val="24"/>
          <w:szCs w:val="24"/>
          <w:highlight w:val="none"/>
          <w14:textFill>
            <w14:solidFill>
              <w14:schemeClr w14:val="tx1"/>
            </w14:solidFill>
          </w14:textFill>
        </w:rPr>
        <w:t>况并据此支付合同款项的规则，包括养护绩效内容及要求</w:t>
      </w:r>
      <w:r>
        <w:rPr>
          <w:rFonts w:ascii="宋体" w:hAnsi="宋体" w:cs="宋体"/>
          <w:color w:val="000000" w:themeColor="text1"/>
          <w:sz w:val="24"/>
          <w:szCs w:val="24"/>
          <w:highlight w:val="none"/>
          <w14:textFill>
            <w14:solidFill>
              <w14:schemeClr w14:val="tx1"/>
            </w14:solidFill>
          </w14:textFill>
        </w:rPr>
        <w:t>、养护绩效考核、资金支</w:t>
      </w:r>
      <w:r>
        <w:rPr>
          <w:rFonts w:ascii="宋体" w:hAnsi="宋体" w:cs="宋体"/>
          <w:color w:val="000000" w:themeColor="text1"/>
          <w:spacing w:val="-2"/>
          <w:sz w:val="24"/>
          <w:szCs w:val="24"/>
          <w:highlight w:val="none"/>
          <w14:textFill>
            <w14:solidFill>
              <w14:schemeClr w14:val="tx1"/>
            </w14:solidFill>
          </w14:textFill>
        </w:rPr>
        <w:t>付方法等。</w:t>
      </w:r>
    </w:p>
    <w:p w14:paraId="101FF3BB">
      <w:pPr>
        <w:spacing w:before="111" w:line="286" w:lineRule="auto"/>
        <w:ind w:right="164" w:firstLine="499"/>
        <w:rPr>
          <w:rFonts w:ascii="宋体" w:hAnsi="宋体" w:cs="宋体"/>
          <w:color w:val="000000" w:themeColor="text1"/>
          <w:sz w:val="24"/>
          <w:szCs w:val="24"/>
          <w:highlight w:val="none"/>
          <w14:textFill>
            <w14:solidFill>
              <w14:schemeClr w14:val="tx1"/>
            </w14:solidFill>
          </w14:textFill>
        </w:rPr>
      </w:pPr>
      <w:r>
        <w:rPr>
          <w:rFonts w:eastAsia="Times New Roman"/>
          <w:color w:val="000000" w:themeColor="text1"/>
          <w:spacing w:val="1"/>
          <w:sz w:val="24"/>
          <w:szCs w:val="24"/>
          <w:highlight w:val="none"/>
          <w14:textFill>
            <w14:solidFill>
              <w14:schemeClr w14:val="tx1"/>
            </w14:solidFill>
          </w14:textFill>
        </w:rPr>
        <w:t>1.1.1.10</w:t>
      </w:r>
      <w:r>
        <w:rPr>
          <w:rFonts w:eastAsia="Times New Roman"/>
          <w:color w:val="000000" w:themeColor="text1"/>
          <w:spacing w:val="19"/>
          <w:sz w:val="24"/>
          <w:szCs w:val="24"/>
          <w:highlight w:val="none"/>
          <w14:textFill>
            <w14:solidFill>
              <w14:schemeClr w14:val="tx1"/>
            </w14:solidFill>
          </w14:textFill>
        </w:rPr>
        <w:t xml:space="preserve">  </w:t>
      </w:r>
      <w:r>
        <w:rPr>
          <w:rFonts w:ascii="宋体" w:hAnsi="宋体" w:cs="宋体"/>
          <w:color w:val="000000" w:themeColor="text1"/>
          <w:spacing w:val="1"/>
          <w:sz w:val="24"/>
          <w:szCs w:val="24"/>
          <w:highlight w:val="none"/>
          <w14:textFill>
            <w14:solidFill>
              <w14:schemeClr w14:val="tx1"/>
            </w14:solidFill>
          </w14:textFill>
        </w:rPr>
        <w:t>已标价工程量清单：指构成合同文件组成</w:t>
      </w:r>
      <w:r>
        <w:rPr>
          <w:rFonts w:ascii="宋体" w:hAnsi="宋体" w:cs="宋体"/>
          <w:color w:val="000000" w:themeColor="text1"/>
          <w:sz w:val="24"/>
          <w:szCs w:val="24"/>
          <w:highlight w:val="none"/>
          <w14:textFill>
            <w14:solidFill>
              <w14:schemeClr w14:val="tx1"/>
            </w14:solidFill>
          </w14:textFill>
        </w:rPr>
        <w:t>部分的已标明价格、经算术</w:t>
      </w:r>
      <w:r>
        <w:rPr>
          <w:rFonts w:ascii="宋体" w:hAnsi="宋体" w:cs="宋体"/>
          <w:color w:val="000000" w:themeColor="text1"/>
          <w:spacing w:val="1"/>
          <w:sz w:val="24"/>
          <w:szCs w:val="24"/>
          <w:highlight w:val="none"/>
          <w14:textFill>
            <w14:solidFill>
              <w14:schemeClr w14:val="tx1"/>
            </w14:solidFill>
          </w14:textFill>
        </w:rPr>
        <w:t>性错误修正及其他错误修正（如有）且承包人已确认的最终</w:t>
      </w:r>
      <w:r>
        <w:rPr>
          <w:rFonts w:ascii="宋体" w:hAnsi="宋体" w:cs="宋体"/>
          <w:color w:val="000000" w:themeColor="text1"/>
          <w:sz w:val="24"/>
          <w:szCs w:val="24"/>
          <w:highlight w:val="none"/>
          <w14:textFill>
            <w14:solidFill>
              <w14:schemeClr w14:val="tx1"/>
            </w14:solidFill>
          </w14:textFill>
        </w:rPr>
        <w:t>的工程量清单，包括工</w:t>
      </w:r>
      <w:r>
        <w:rPr>
          <w:rFonts w:ascii="宋体" w:hAnsi="宋体" w:cs="宋体"/>
          <w:color w:val="000000" w:themeColor="text1"/>
          <w:spacing w:val="1"/>
          <w:sz w:val="24"/>
          <w:szCs w:val="24"/>
          <w:highlight w:val="none"/>
          <w14:textFill>
            <w14:solidFill>
              <w14:schemeClr w14:val="tx1"/>
            </w14:solidFill>
          </w14:textFill>
        </w:rPr>
        <w:t>程量清单说明、投标报价说明（如有）、计日工说明、</w:t>
      </w:r>
      <w:r>
        <w:rPr>
          <w:rFonts w:ascii="宋体" w:hAnsi="宋体" w:cs="宋体"/>
          <w:color w:val="000000" w:themeColor="text1"/>
          <w:sz w:val="24"/>
          <w:szCs w:val="24"/>
          <w:highlight w:val="none"/>
          <w14:textFill>
            <w14:solidFill>
              <w14:schemeClr w14:val="tx1"/>
            </w14:solidFill>
          </w14:textFill>
        </w:rPr>
        <w:t>其他说明及工程量清单各项</w:t>
      </w:r>
      <w:r>
        <w:rPr>
          <w:rFonts w:ascii="宋体" w:hAnsi="宋体" w:cs="宋体"/>
          <w:color w:val="000000" w:themeColor="text1"/>
          <w:spacing w:val="-3"/>
          <w:sz w:val="24"/>
          <w:szCs w:val="24"/>
          <w:highlight w:val="none"/>
          <w14:textFill>
            <w14:solidFill>
              <w14:schemeClr w14:val="tx1"/>
            </w14:solidFill>
          </w14:textFill>
        </w:rPr>
        <w:t>表格。</w:t>
      </w:r>
    </w:p>
    <w:p w14:paraId="4F1101A8">
      <w:pPr>
        <w:spacing w:before="114" w:line="286" w:lineRule="auto"/>
        <w:ind w:left="2" w:right="164" w:firstLine="497"/>
        <w:rPr>
          <w:rFonts w:ascii="宋体" w:hAnsi="宋体" w:cs="宋体"/>
          <w:color w:val="000000" w:themeColor="text1"/>
          <w:sz w:val="24"/>
          <w:szCs w:val="24"/>
          <w:highlight w:val="none"/>
          <w14:textFill>
            <w14:solidFill>
              <w14:schemeClr w14:val="tx1"/>
            </w14:solidFill>
          </w14:textFill>
        </w:rPr>
      </w:pPr>
      <w:r>
        <w:rPr>
          <w:rFonts w:eastAsia="Times New Roman"/>
          <w:color w:val="000000" w:themeColor="text1"/>
          <w:spacing w:val="2"/>
          <w:sz w:val="24"/>
          <w:szCs w:val="24"/>
          <w:highlight w:val="none"/>
          <w14:textFill>
            <w14:solidFill>
              <w14:schemeClr w14:val="tx1"/>
            </w14:solidFill>
          </w14:textFill>
        </w:rPr>
        <w:t xml:space="preserve">1.1.1.11  </w:t>
      </w:r>
      <w:r>
        <w:rPr>
          <w:rFonts w:ascii="宋体" w:hAnsi="宋体" w:cs="宋体"/>
          <w:color w:val="000000" w:themeColor="text1"/>
          <w:spacing w:val="2"/>
          <w:sz w:val="24"/>
          <w:szCs w:val="24"/>
          <w:highlight w:val="none"/>
          <w14:textFill>
            <w14:solidFill>
              <w14:schemeClr w14:val="tx1"/>
            </w14:solidFill>
          </w14:textFill>
        </w:rPr>
        <w:t>绩效清单：指构成合同文件组成</w:t>
      </w:r>
      <w:r>
        <w:rPr>
          <w:rFonts w:ascii="宋体" w:hAnsi="宋体" w:cs="宋体"/>
          <w:color w:val="000000" w:themeColor="text1"/>
          <w:spacing w:val="1"/>
          <w:sz w:val="24"/>
          <w:szCs w:val="24"/>
          <w:highlight w:val="none"/>
          <w14:textFill>
            <w14:solidFill>
              <w14:schemeClr w14:val="tx1"/>
            </w14:solidFill>
          </w14:textFill>
        </w:rPr>
        <w:t>部分的已标明合同总价，以及合同总价所包括的日常养护、养护工程相应线路路段或设施综</w:t>
      </w:r>
      <w:r>
        <w:rPr>
          <w:rFonts w:ascii="宋体" w:hAnsi="宋体" w:cs="宋体"/>
          <w:color w:val="000000" w:themeColor="text1"/>
          <w:sz w:val="24"/>
          <w:szCs w:val="24"/>
          <w:highlight w:val="none"/>
          <w14:textFill>
            <w14:solidFill>
              <w14:schemeClr w14:val="tx1"/>
            </w14:solidFill>
          </w14:textFill>
        </w:rPr>
        <w:t>合报价的清单，包括绩效清</w:t>
      </w:r>
      <w:r>
        <w:rPr>
          <w:rFonts w:ascii="宋体" w:hAnsi="宋体" w:cs="宋体"/>
          <w:color w:val="000000" w:themeColor="text1"/>
          <w:spacing w:val="-1"/>
          <w:sz w:val="24"/>
          <w:szCs w:val="24"/>
          <w:highlight w:val="none"/>
          <w14:textFill>
            <w14:solidFill>
              <w14:schemeClr w14:val="tx1"/>
            </w14:solidFill>
          </w14:textFill>
        </w:rPr>
        <w:t>单说明、报价说明及绩效清单表、</w:t>
      </w:r>
      <w:r>
        <w:rPr>
          <w:rFonts w:ascii="宋体" w:hAnsi="宋体" w:cs="宋体"/>
          <w:color w:val="000000" w:themeColor="text1"/>
          <w:spacing w:val="-60"/>
          <w:sz w:val="24"/>
          <w:szCs w:val="24"/>
          <w:highlight w:val="none"/>
          <w14:textFill>
            <w14:solidFill>
              <w14:schemeClr w14:val="tx1"/>
            </w14:solidFill>
          </w14:textFill>
        </w:rPr>
        <w:t xml:space="preserve"> </w:t>
      </w:r>
      <w:r>
        <w:rPr>
          <w:rFonts w:ascii="宋体" w:hAnsi="宋体" w:cs="宋体"/>
          <w:color w:val="000000" w:themeColor="text1"/>
          <w:spacing w:val="-1"/>
          <w:sz w:val="24"/>
          <w:szCs w:val="24"/>
          <w:highlight w:val="none"/>
          <w14:textFill>
            <w14:solidFill>
              <w14:schemeClr w14:val="tx1"/>
            </w14:solidFill>
          </w14:textFill>
        </w:rPr>
        <w:t>日常养护绩效清单测算明细、养护工程绩效清单</w:t>
      </w:r>
      <w:r>
        <w:rPr>
          <w:rFonts w:ascii="宋体" w:hAnsi="宋体" w:cs="宋体"/>
          <w:color w:val="000000" w:themeColor="text1"/>
          <w:spacing w:val="-7"/>
          <w:sz w:val="24"/>
          <w:szCs w:val="24"/>
          <w:highlight w:val="none"/>
          <w14:textFill>
            <w14:solidFill>
              <w14:schemeClr w14:val="tx1"/>
            </w14:solidFill>
          </w14:textFill>
        </w:rPr>
        <w:t>测算明细（如有）、其他说明文件和表格清单。</w:t>
      </w:r>
    </w:p>
    <w:p w14:paraId="539E325D">
      <w:pPr>
        <w:spacing w:before="115" w:line="263" w:lineRule="auto"/>
        <w:ind w:left="13" w:right="164" w:firstLine="487"/>
        <w:rPr>
          <w:rFonts w:ascii="宋体" w:hAnsi="宋体" w:cs="宋体"/>
          <w:color w:val="000000" w:themeColor="text1"/>
          <w:sz w:val="24"/>
          <w:szCs w:val="24"/>
          <w:highlight w:val="none"/>
          <w14:textFill>
            <w14:solidFill>
              <w14:schemeClr w14:val="tx1"/>
            </w14:solidFill>
          </w14:textFill>
        </w:rPr>
      </w:pPr>
      <w:r>
        <w:rPr>
          <w:rFonts w:eastAsia="Times New Roman"/>
          <w:color w:val="000000" w:themeColor="text1"/>
          <w:spacing w:val="8"/>
          <w:sz w:val="24"/>
          <w:szCs w:val="24"/>
          <w:highlight w:val="none"/>
          <w14:textFill>
            <w14:solidFill>
              <w14:schemeClr w14:val="tx1"/>
            </w14:solidFill>
          </w14:textFill>
        </w:rPr>
        <w:t xml:space="preserve">1.1.1.12  </w:t>
      </w:r>
      <w:r>
        <w:rPr>
          <w:rFonts w:ascii="宋体" w:hAnsi="宋体" w:cs="宋体"/>
          <w:color w:val="000000" w:themeColor="text1"/>
          <w:spacing w:val="8"/>
          <w:sz w:val="24"/>
          <w:szCs w:val="24"/>
          <w:highlight w:val="none"/>
          <w14:textFill>
            <w14:solidFill>
              <w14:schemeClr w14:val="tx1"/>
            </w14:solidFill>
          </w14:textFill>
        </w:rPr>
        <w:t>其他合同文件：指经合同双方当事人确认构成合同文</w:t>
      </w:r>
      <w:r>
        <w:rPr>
          <w:rFonts w:ascii="宋体" w:hAnsi="宋体" w:cs="宋体"/>
          <w:color w:val="000000" w:themeColor="text1"/>
          <w:spacing w:val="7"/>
          <w:sz w:val="24"/>
          <w:szCs w:val="24"/>
          <w:highlight w:val="none"/>
          <w14:textFill>
            <w14:solidFill>
              <w14:schemeClr w14:val="tx1"/>
            </w14:solidFill>
          </w14:textFill>
        </w:rPr>
        <w:t>件的其他文件</w:t>
      </w:r>
      <w:r>
        <w:rPr>
          <w:rFonts w:ascii="宋体" w:hAnsi="宋体" w:cs="宋体"/>
          <w:color w:val="000000" w:themeColor="text1"/>
          <w:spacing w:val="-9"/>
          <w:sz w:val="24"/>
          <w:szCs w:val="24"/>
          <w:highlight w:val="none"/>
          <w14:textFill>
            <w14:solidFill>
              <w14:schemeClr w14:val="tx1"/>
            </w14:solidFill>
          </w14:textFill>
        </w:rPr>
        <w:t>（包括合同谈判文件等）。</w:t>
      </w:r>
    </w:p>
    <w:p w14:paraId="47E5C520">
      <w:pPr>
        <w:spacing w:before="78" w:line="220" w:lineRule="auto"/>
        <w:ind w:left="499"/>
        <w:rPr>
          <w:rFonts w:ascii="宋体" w:hAnsi="宋体" w:cs="宋体"/>
          <w:color w:val="000000" w:themeColor="text1"/>
          <w:sz w:val="24"/>
          <w:szCs w:val="24"/>
          <w:highlight w:val="none"/>
          <w14:textFill>
            <w14:solidFill>
              <w14:schemeClr w14:val="tx1"/>
            </w14:solidFill>
          </w14:textFill>
        </w:rPr>
      </w:pPr>
      <w:bookmarkStart w:id="101" w:name="bookmark212"/>
      <w:bookmarkEnd w:id="101"/>
      <w:r>
        <w:rPr>
          <w:rFonts w:eastAsia="Times New Roman"/>
          <w:color w:val="000000" w:themeColor="text1"/>
          <w:spacing w:val="-2"/>
          <w:sz w:val="24"/>
          <w:szCs w:val="24"/>
          <w:highlight w:val="none"/>
          <w14:textFill>
            <w14:solidFill>
              <w14:schemeClr w14:val="tx1"/>
            </w14:solidFill>
          </w14:textFill>
        </w:rPr>
        <w:t xml:space="preserve">1.1.2  </w:t>
      </w:r>
      <w:r>
        <w:rPr>
          <w:rFonts w:ascii="宋体" w:hAnsi="宋体" w:cs="宋体"/>
          <w:color w:val="000000" w:themeColor="text1"/>
          <w:spacing w:val="-2"/>
          <w:sz w:val="24"/>
          <w:szCs w:val="24"/>
          <w:highlight w:val="none"/>
          <w14:textFill>
            <w14:solidFill>
              <w14:schemeClr w14:val="tx1"/>
            </w14:solidFill>
          </w14:textFill>
        </w:rPr>
        <w:t>合同当事人和人员</w:t>
      </w:r>
    </w:p>
    <w:p w14:paraId="50DB40F0">
      <w:pPr>
        <w:spacing w:before="115" w:line="219" w:lineRule="auto"/>
        <w:ind w:left="499"/>
        <w:rPr>
          <w:rFonts w:ascii="宋体" w:hAnsi="宋体" w:cs="宋体"/>
          <w:color w:val="000000" w:themeColor="text1"/>
          <w:sz w:val="24"/>
          <w:szCs w:val="24"/>
          <w:highlight w:val="none"/>
          <w14:textFill>
            <w14:solidFill>
              <w14:schemeClr w14:val="tx1"/>
            </w14:solidFill>
          </w14:textFill>
        </w:rPr>
      </w:pPr>
      <w:r>
        <w:rPr>
          <w:rFonts w:eastAsia="Times New Roman"/>
          <w:color w:val="000000" w:themeColor="text1"/>
          <w:spacing w:val="-1"/>
          <w:sz w:val="24"/>
          <w:szCs w:val="24"/>
          <w:highlight w:val="none"/>
          <w14:textFill>
            <w14:solidFill>
              <w14:schemeClr w14:val="tx1"/>
            </w14:solidFill>
          </w14:textFill>
        </w:rPr>
        <w:t xml:space="preserve">1.1.2.1  </w:t>
      </w:r>
      <w:r>
        <w:rPr>
          <w:rFonts w:ascii="宋体" w:hAnsi="宋体" w:cs="宋体"/>
          <w:color w:val="000000" w:themeColor="text1"/>
          <w:spacing w:val="-1"/>
          <w:sz w:val="24"/>
          <w:szCs w:val="24"/>
          <w:highlight w:val="none"/>
          <w14:textFill>
            <w14:solidFill>
              <w14:schemeClr w14:val="tx1"/>
            </w14:solidFill>
          </w14:textFill>
        </w:rPr>
        <w:t>合同当事人：指发包人和（或）承</w:t>
      </w:r>
      <w:r>
        <w:rPr>
          <w:rFonts w:ascii="宋体" w:hAnsi="宋体" w:cs="宋体"/>
          <w:color w:val="000000" w:themeColor="text1"/>
          <w:spacing w:val="-2"/>
          <w:sz w:val="24"/>
          <w:szCs w:val="24"/>
          <w:highlight w:val="none"/>
          <w14:textFill>
            <w14:solidFill>
              <w14:schemeClr w14:val="tx1"/>
            </w14:solidFill>
          </w14:textFill>
        </w:rPr>
        <w:t>包人。</w:t>
      </w:r>
    </w:p>
    <w:p w14:paraId="3C519B61">
      <w:pPr>
        <w:spacing w:before="113" w:line="264" w:lineRule="auto"/>
        <w:ind w:right="164" w:firstLine="498"/>
        <w:rPr>
          <w:rFonts w:ascii="宋体" w:hAnsi="宋体" w:cs="宋体"/>
          <w:color w:val="000000" w:themeColor="text1"/>
          <w:sz w:val="24"/>
          <w:szCs w:val="24"/>
          <w:highlight w:val="none"/>
          <w14:textFill>
            <w14:solidFill>
              <w14:schemeClr w14:val="tx1"/>
            </w14:solidFill>
          </w14:textFill>
        </w:rPr>
      </w:pPr>
      <w:r>
        <w:rPr>
          <w:rFonts w:eastAsia="Times New Roman"/>
          <w:color w:val="000000" w:themeColor="text1"/>
          <w:spacing w:val="5"/>
          <w:sz w:val="24"/>
          <w:szCs w:val="24"/>
          <w:highlight w:val="none"/>
          <w14:textFill>
            <w14:solidFill>
              <w14:schemeClr w14:val="tx1"/>
            </w14:solidFill>
          </w14:textFill>
        </w:rPr>
        <w:t xml:space="preserve">1.1.2.2  </w:t>
      </w:r>
      <w:r>
        <w:rPr>
          <w:rFonts w:ascii="宋体" w:hAnsi="宋体" w:cs="宋体"/>
          <w:color w:val="000000" w:themeColor="text1"/>
          <w:spacing w:val="5"/>
          <w:sz w:val="24"/>
          <w:szCs w:val="24"/>
          <w:highlight w:val="none"/>
          <w14:textFill>
            <w14:solidFill>
              <w14:schemeClr w14:val="tx1"/>
            </w14:solidFill>
          </w14:textFill>
        </w:rPr>
        <w:t>发包人：指专用合同条款中指明并与承包人在合</w:t>
      </w:r>
      <w:r>
        <w:rPr>
          <w:rFonts w:ascii="宋体" w:hAnsi="宋体" w:cs="宋体"/>
          <w:color w:val="000000" w:themeColor="text1"/>
          <w:spacing w:val="4"/>
          <w:sz w:val="24"/>
          <w:szCs w:val="24"/>
          <w:highlight w:val="none"/>
          <w14:textFill>
            <w14:solidFill>
              <w14:schemeClr w14:val="tx1"/>
            </w14:solidFill>
          </w14:textFill>
        </w:rPr>
        <w:t>同协议书中签字的当</w:t>
      </w:r>
      <w:r>
        <w:rPr>
          <w:rFonts w:ascii="宋体" w:hAnsi="宋体" w:cs="宋体"/>
          <w:color w:val="000000" w:themeColor="text1"/>
          <w:spacing w:val="-4"/>
          <w:sz w:val="24"/>
          <w:szCs w:val="24"/>
          <w:highlight w:val="none"/>
          <w14:textFill>
            <w14:solidFill>
              <w14:schemeClr w14:val="tx1"/>
            </w14:solidFill>
          </w14:textFill>
        </w:rPr>
        <w:t>事人。</w:t>
      </w:r>
    </w:p>
    <w:p w14:paraId="40A47CAE">
      <w:pPr>
        <w:spacing w:before="114" w:line="219" w:lineRule="auto"/>
        <w:ind w:left="499"/>
        <w:rPr>
          <w:rFonts w:ascii="宋体" w:hAnsi="宋体" w:cs="宋体"/>
          <w:color w:val="000000" w:themeColor="text1"/>
          <w:sz w:val="24"/>
          <w:szCs w:val="24"/>
          <w:highlight w:val="none"/>
          <w14:textFill>
            <w14:solidFill>
              <w14:schemeClr w14:val="tx1"/>
            </w14:solidFill>
          </w14:textFill>
        </w:rPr>
      </w:pPr>
      <w:r>
        <w:rPr>
          <w:rFonts w:eastAsia="Times New Roman"/>
          <w:color w:val="000000" w:themeColor="text1"/>
          <w:spacing w:val="-1"/>
          <w:sz w:val="24"/>
          <w:szCs w:val="24"/>
          <w:highlight w:val="none"/>
          <w14:textFill>
            <w14:solidFill>
              <w14:schemeClr w14:val="tx1"/>
            </w14:solidFill>
          </w14:textFill>
        </w:rPr>
        <w:t xml:space="preserve">1.1.2.3  </w:t>
      </w:r>
      <w:r>
        <w:rPr>
          <w:rFonts w:ascii="宋体" w:hAnsi="宋体" w:cs="宋体"/>
          <w:color w:val="000000" w:themeColor="text1"/>
          <w:spacing w:val="-1"/>
          <w:sz w:val="24"/>
          <w:szCs w:val="24"/>
          <w:highlight w:val="none"/>
          <w14:textFill>
            <w14:solidFill>
              <w14:schemeClr w14:val="tx1"/>
            </w14:solidFill>
          </w14:textFill>
        </w:rPr>
        <w:t>承包人：指与发包人签订合同协议书的当事人。</w:t>
      </w:r>
    </w:p>
    <w:p w14:paraId="5A17D9B0">
      <w:pPr>
        <w:spacing w:before="114" w:line="265" w:lineRule="auto"/>
        <w:ind w:left="2" w:right="164" w:firstLine="496"/>
        <w:rPr>
          <w:rFonts w:ascii="宋体" w:hAnsi="宋体" w:cs="宋体"/>
          <w:color w:val="000000" w:themeColor="text1"/>
          <w:sz w:val="24"/>
          <w:szCs w:val="24"/>
          <w:highlight w:val="none"/>
          <w14:textFill>
            <w14:solidFill>
              <w14:schemeClr w14:val="tx1"/>
            </w14:solidFill>
          </w14:textFill>
        </w:rPr>
      </w:pPr>
      <w:r>
        <w:rPr>
          <w:rFonts w:eastAsia="Times New Roman"/>
          <w:color w:val="000000" w:themeColor="text1"/>
          <w:spacing w:val="5"/>
          <w:sz w:val="24"/>
          <w:szCs w:val="24"/>
          <w:highlight w:val="none"/>
          <w14:textFill>
            <w14:solidFill>
              <w14:schemeClr w14:val="tx1"/>
            </w14:solidFill>
          </w14:textFill>
        </w:rPr>
        <w:t xml:space="preserve">1.1.2.4  </w:t>
      </w:r>
      <w:r>
        <w:rPr>
          <w:rFonts w:ascii="宋体" w:hAnsi="宋体" w:cs="宋体"/>
          <w:color w:val="000000" w:themeColor="text1"/>
          <w:spacing w:val="5"/>
          <w:sz w:val="24"/>
          <w:szCs w:val="24"/>
          <w:highlight w:val="none"/>
          <w14:textFill>
            <w14:solidFill>
              <w14:schemeClr w14:val="tx1"/>
            </w14:solidFill>
          </w14:textFill>
        </w:rPr>
        <w:t>承包人项目经理：指由承包人书面委派负责管理</w:t>
      </w:r>
      <w:r>
        <w:rPr>
          <w:rFonts w:ascii="宋体" w:hAnsi="宋体" w:cs="宋体"/>
          <w:color w:val="000000" w:themeColor="text1"/>
          <w:spacing w:val="4"/>
          <w:sz w:val="24"/>
          <w:szCs w:val="24"/>
          <w:highlight w:val="none"/>
          <w14:textFill>
            <w14:solidFill>
              <w14:schemeClr w14:val="tx1"/>
            </w14:solidFill>
          </w14:textFill>
        </w:rPr>
        <w:t>养护项目的全权负责</w:t>
      </w:r>
      <w:r>
        <w:rPr>
          <w:rFonts w:ascii="宋体" w:hAnsi="宋体" w:cs="宋体"/>
          <w:color w:val="000000" w:themeColor="text1"/>
          <w:spacing w:val="-6"/>
          <w:sz w:val="24"/>
          <w:szCs w:val="24"/>
          <w:highlight w:val="none"/>
          <w14:textFill>
            <w14:solidFill>
              <w14:schemeClr w14:val="tx1"/>
            </w14:solidFill>
          </w14:textFill>
        </w:rPr>
        <w:t>人。</w:t>
      </w:r>
    </w:p>
    <w:p w14:paraId="4F083B4A">
      <w:pPr>
        <w:spacing w:before="112" w:line="263" w:lineRule="auto"/>
        <w:ind w:right="164" w:firstLine="499"/>
        <w:rPr>
          <w:rFonts w:ascii="宋体" w:hAnsi="宋体" w:cs="宋体"/>
          <w:color w:val="000000" w:themeColor="text1"/>
          <w:sz w:val="24"/>
          <w:szCs w:val="24"/>
          <w:highlight w:val="none"/>
          <w14:textFill>
            <w14:solidFill>
              <w14:schemeClr w14:val="tx1"/>
            </w14:solidFill>
          </w14:textFill>
        </w:rPr>
      </w:pPr>
      <w:r>
        <w:rPr>
          <w:rFonts w:eastAsia="Times New Roman"/>
          <w:color w:val="000000" w:themeColor="text1"/>
          <w:spacing w:val="5"/>
          <w:sz w:val="24"/>
          <w:szCs w:val="24"/>
          <w:highlight w:val="none"/>
          <w14:textFill>
            <w14:solidFill>
              <w14:schemeClr w14:val="tx1"/>
            </w14:solidFill>
          </w14:textFill>
        </w:rPr>
        <w:t xml:space="preserve">1.1.2.5  </w:t>
      </w:r>
      <w:r>
        <w:rPr>
          <w:rFonts w:ascii="宋体" w:hAnsi="宋体" w:cs="宋体"/>
          <w:color w:val="000000" w:themeColor="text1"/>
          <w:spacing w:val="5"/>
          <w:sz w:val="24"/>
          <w:szCs w:val="24"/>
          <w:highlight w:val="none"/>
          <w14:textFill>
            <w14:solidFill>
              <w14:schemeClr w14:val="tx1"/>
            </w14:solidFill>
          </w14:textFill>
        </w:rPr>
        <w:t>承包人项目总工：指由承包人书面委派负责养护</w:t>
      </w:r>
      <w:r>
        <w:rPr>
          <w:rFonts w:ascii="宋体" w:hAnsi="宋体" w:cs="宋体"/>
          <w:color w:val="000000" w:themeColor="text1"/>
          <w:spacing w:val="4"/>
          <w:sz w:val="24"/>
          <w:szCs w:val="24"/>
          <w:highlight w:val="none"/>
          <w14:textFill>
            <w14:solidFill>
              <w14:schemeClr w14:val="tx1"/>
            </w14:solidFill>
          </w14:textFill>
        </w:rPr>
        <w:t>项目技术管理的总工</w:t>
      </w:r>
      <w:r>
        <w:rPr>
          <w:rFonts w:ascii="宋体" w:hAnsi="宋体" w:cs="宋体"/>
          <w:color w:val="000000" w:themeColor="text1"/>
          <w:spacing w:val="-1"/>
          <w:sz w:val="24"/>
          <w:szCs w:val="24"/>
          <w:highlight w:val="none"/>
          <w14:textFill>
            <w14:solidFill>
              <w14:schemeClr w14:val="tx1"/>
            </w14:solidFill>
          </w14:textFill>
        </w:rPr>
        <w:t>程师或技术总负责人。</w:t>
      </w:r>
    </w:p>
    <w:p w14:paraId="717A85B5">
      <w:pPr>
        <w:spacing w:before="116" w:line="264" w:lineRule="auto"/>
        <w:ind w:left="24" w:right="164" w:firstLine="475"/>
        <w:rPr>
          <w:rFonts w:ascii="宋体" w:hAnsi="宋体" w:cs="宋体"/>
          <w:color w:val="000000" w:themeColor="text1"/>
          <w:sz w:val="24"/>
          <w:szCs w:val="24"/>
          <w:highlight w:val="none"/>
          <w14:textFill>
            <w14:solidFill>
              <w14:schemeClr w14:val="tx1"/>
            </w14:solidFill>
          </w14:textFill>
        </w:rPr>
      </w:pPr>
      <w:r>
        <w:rPr>
          <w:rFonts w:eastAsia="Times New Roman"/>
          <w:color w:val="000000" w:themeColor="text1"/>
          <w:spacing w:val="5"/>
          <w:sz w:val="24"/>
          <w:szCs w:val="24"/>
          <w:highlight w:val="none"/>
          <w14:textFill>
            <w14:solidFill>
              <w14:schemeClr w14:val="tx1"/>
            </w14:solidFill>
          </w14:textFill>
        </w:rPr>
        <w:t xml:space="preserve">1.1.2.6  </w:t>
      </w:r>
      <w:r>
        <w:rPr>
          <w:rFonts w:ascii="宋体" w:hAnsi="宋体" w:cs="宋体"/>
          <w:color w:val="000000" w:themeColor="text1"/>
          <w:spacing w:val="5"/>
          <w:sz w:val="24"/>
          <w:szCs w:val="24"/>
          <w:highlight w:val="none"/>
          <w14:textFill>
            <w14:solidFill>
              <w14:schemeClr w14:val="tx1"/>
            </w14:solidFill>
          </w14:textFill>
        </w:rPr>
        <w:t>分包人：指从承包人处分包合同中部分养护工程</w:t>
      </w:r>
      <w:r>
        <w:rPr>
          <w:rFonts w:ascii="宋体" w:hAnsi="宋体" w:cs="宋体"/>
          <w:color w:val="000000" w:themeColor="text1"/>
          <w:spacing w:val="4"/>
          <w:sz w:val="24"/>
          <w:szCs w:val="24"/>
          <w:highlight w:val="none"/>
          <w14:textFill>
            <w14:solidFill>
              <w14:schemeClr w14:val="tx1"/>
            </w14:solidFill>
          </w14:textFill>
        </w:rPr>
        <w:t>，并与其签订分包合</w:t>
      </w:r>
      <w:r>
        <w:rPr>
          <w:rFonts w:ascii="宋体" w:hAnsi="宋体" w:cs="宋体"/>
          <w:color w:val="000000" w:themeColor="text1"/>
          <w:spacing w:val="-4"/>
          <w:sz w:val="24"/>
          <w:szCs w:val="24"/>
          <w:highlight w:val="none"/>
          <w14:textFill>
            <w14:solidFill>
              <w14:schemeClr w14:val="tx1"/>
            </w14:solidFill>
          </w14:textFill>
        </w:rPr>
        <w:t>同的法人或其他组织。</w:t>
      </w:r>
    </w:p>
    <w:p w14:paraId="70EC09DC">
      <w:pPr>
        <w:spacing w:before="114" w:line="278" w:lineRule="auto"/>
        <w:ind w:left="4" w:right="164" w:firstLine="494"/>
        <w:rPr>
          <w:rFonts w:ascii="宋体" w:hAnsi="宋体" w:cs="宋体"/>
          <w:color w:val="000000" w:themeColor="text1"/>
          <w:sz w:val="24"/>
          <w:szCs w:val="24"/>
          <w:highlight w:val="none"/>
          <w14:textFill>
            <w14:solidFill>
              <w14:schemeClr w14:val="tx1"/>
            </w14:solidFill>
          </w14:textFill>
        </w:rPr>
      </w:pPr>
      <w:r>
        <w:rPr>
          <w:rFonts w:eastAsia="Times New Roman"/>
          <w:color w:val="000000" w:themeColor="text1"/>
          <w:spacing w:val="1"/>
          <w:sz w:val="24"/>
          <w:szCs w:val="24"/>
          <w:highlight w:val="none"/>
          <w14:textFill>
            <w14:solidFill>
              <w14:schemeClr w14:val="tx1"/>
            </w14:solidFill>
          </w14:textFill>
        </w:rPr>
        <w:t xml:space="preserve">1.1.2.7  </w:t>
      </w:r>
      <w:r>
        <w:rPr>
          <w:rFonts w:ascii="宋体" w:hAnsi="宋体" w:cs="宋体"/>
          <w:color w:val="000000" w:themeColor="text1"/>
          <w:spacing w:val="1"/>
          <w:sz w:val="24"/>
          <w:szCs w:val="24"/>
          <w:highlight w:val="none"/>
          <w14:textFill>
            <w14:solidFill>
              <w14:schemeClr w14:val="tx1"/>
            </w14:solidFill>
          </w14:textFill>
        </w:rPr>
        <w:t>咨询人（监理人</w:t>
      </w:r>
      <w:r>
        <w:rPr>
          <w:rFonts w:ascii="宋体" w:hAnsi="宋体" w:cs="宋体"/>
          <w:color w:val="000000" w:themeColor="text1"/>
          <w:spacing w:val="-47"/>
          <w:sz w:val="24"/>
          <w:szCs w:val="24"/>
          <w:highlight w:val="none"/>
          <w14:textFill>
            <w14:solidFill>
              <w14:schemeClr w14:val="tx1"/>
            </w14:solidFill>
          </w14:textFill>
        </w:rPr>
        <w:t>）：</w:t>
      </w:r>
      <w:r>
        <w:rPr>
          <w:rFonts w:ascii="宋体" w:hAnsi="宋体" w:cs="宋体"/>
          <w:color w:val="000000" w:themeColor="text1"/>
          <w:spacing w:val="1"/>
          <w:sz w:val="24"/>
          <w:szCs w:val="24"/>
          <w:highlight w:val="none"/>
          <w14:textFill>
            <w14:solidFill>
              <w14:schemeClr w14:val="tx1"/>
            </w14:solidFill>
          </w14:textFill>
        </w:rPr>
        <w:t>指在专用合同条款中指明的，受发包人委托对合同</w:t>
      </w:r>
      <w:r>
        <w:rPr>
          <w:rFonts w:ascii="宋体" w:hAnsi="宋体" w:cs="宋体"/>
          <w:color w:val="000000" w:themeColor="text1"/>
          <w:spacing w:val="7"/>
          <w:sz w:val="24"/>
          <w:szCs w:val="24"/>
          <w:highlight w:val="none"/>
          <w14:textFill>
            <w14:solidFill>
              <w14:schemeClr w14:val="tx1"/>
            </w14:solidFill>
          </w14:textFill>
        </w:rPr>
        <w:t>履行实施管理的法人或其他组织。未委托咨询人（监理人）的，本合同中咨询人</w:t>
      </w:r>
      <w:r>
        <w:rPr>
          <w:rFonts w:ascii="宋体" w:hAnsi="宋体" w:cs="宋体"/>
          <w:color w:val="000000" w:themeColor="text1"/>
          <w:spacing w:val="-1"/>
          <w:sz w:val="24"/>
          <w:szCs w:val="24"/>
          <w:highlight w:val="none"/>
          <w14:textFill>
            <w14:solidFill>
              <w14:schemeClr w14:val="tx1"/>
            </w14:solidFill>
          </w14:textFill>
        </w:rPr>
        <w:t>（监理人）职责由发包人指定的管理机构或人员履行。</w:t>
      </w:r>
    </w:p>
    <w:p w14:paraId="3037D005">
      <w:pPr>
        <w:spacing w:before="114" w:line="264" w:lineRule="auto"/>
        <w:ind w:left="1" w:right="166" w:firstLine="497"/>
        <w:rPr>
          <w:rFonts w:ascii="宋体" w:hAnsi="宋体" w:cs="宋体"/>
          <w:color w:val="000000" w:themeColor="text1"/>
          <w:sz w:val="24"/>
          <w:szCs w:val="24"/>
          <w:highlight w:val="none"/>
          <w14:textFill>
            <w14:solidFill>
              <w14:schemeClr w14:val="tx1"/>
            </w14:solidFill>
          </w14:textFill>
        </w:rPr>
      </w:pPr>
      <w:r>
        <w:rPr>
          <w:rFonts w:eastAsia="Times New Roman"/>
          <w:color w:val="000000" w:themeColor="text1"/>
          <w:spacing w:val="1"/>
          <w:sz w:val="24"/>
          <w:szCs w:val="24"/>
          <w:highlight w:val="none"/>
          <w14:textFill>
            <w14:solidFill>
              <w14:schemeClr w14:val="tx1"/>
            </w14:solidFill>
          </w14:textFill>
        </w:rPr>
        <w:t xml:space="preserve">1.1.2.8  </w:t>
      </w:r>
      <w:r>
        <w:rPr>
          <w:rFonts w:ascii="宋体" w:hAnsi="宋体" w:cs="宋体"/>
          <w:color w:val="000000" w:themeColor="text1"/>
          <w:spacing w:val="1"/>
          <w:sz w:val="24"/>
          <w:szCs w:val="24"/>
          <w:highlight w:val="none"/>
          <w14:textFill>
            <w14:solidFill>
              <w14:schemeClr w14:val="tx1"/>
            </w14:solidFill>
          </w14:textFill>
        </w:rPr>
        <w:t>咨询总负责人（总监理工程师</w:t>
      </w:r>
      <w:r>
        <w:rPr>
          <w:rFonts w:ascii="宋体" w:hAnsi="宋体" w:cs="宋体"/>
          <w:color w:val="000000" w:themeColor="text1"/>
          <w:spacing w:val="-47"/>
          <w:sz w:val="24"/>
          <w:szCs w:val="24"/>
          <w:highlight w:val="none"/>
          <w14:textFill>
            <w14:solidFill>
              <w14:schemeClr w14:val="tx1"/>
            </w14:solidFill>
          </w14:textFill>
        </w:rPr>
        <w:t>）：</w:t>
      </w:r>
      <w:r>
        <w:rPr>
          <w:rFonts w:ascii="宋体" w:hAnsi="宋体" w:cs="宋体"/>
          <w:color w:val="000000" w:themeColor="text1"/>
          <w:spacing w:val="1"/>
          <w:sz w:val="24"/>
          <w:szCs w:val="24"/>
          <w:highlight w:val="none"/>
          <w14:textFill>
            <w14:solidFill>
              <w14:schemeClr w14:val="tx1"/>
            </w14:solidFill>
          </w14:textFill>
        </w:rPr>
        <w:t>指由咨询人（监理人）委派的负责对</w:t>
      </w:r>
      <w:r>
        <w:rPr>
          <w:rFonts w:ascii="宋体" w:hAnsi="宋体" w:cs="宋体"/>
          <w:color w:val="000000" w:themeColor="text1"/>
          <w:spacing w:val="-1"/>
          <w:sz w:val="24"/>
          <w:szCs w:val="24"/>
          <w:highlight w:val="none"/>
          <w14:textFill>
            <w14:solidFill>
              <w14:schemeClr w14:val="tx1"/>
            </w14:solidFill>
          </w14:textFill>
        </w:rPr>
        <w:t>合同履行实施管理的全权负责人。</w:t>
      </w:r>
    </w:p>
    <w:p w14:paraId="0F487D1E">
      <w:pPr>
        <w:spacing w:before="116" w:line="219" w:lineRule="auto"/>
        <w:ind w:left="499"/>
        <w:rPr>
          <w:rFonts w:ascii="宋体" w:hAnsi="宋体" w:cs="宋体"/>
          <w:color w:val="000000" w:themeColor="text1"/>
          <w:sz w:val="24"/>
          <w:szCs w:val="24"/>
          <w:highlight w:val="none"/>
          <w14:textFill>
            <w14:solidFill>
              <w14:schemeClr w14:val="tx1"/>
            </w14:solidFill>
          </w14:textFill>
        </w:rPr>
      </w:pPr>
      <w:r>
        <w:rPr>
          <w:rFonts w:eastAsia="Times New Roman"/>
          <w:color w:val="000000" w:themeColor="text1"/>
          <w:spacing w:val="-2"/>
          <w:sz w:val="24"/>
          <w:szCs w:val="24"/>
          <w:highlight w:val="none"/>
          <w14:textFill>
            <w14:solidFill>
              <w14:schemeClr w14:val="tx1"/>
            </w14:solidFill>
          </w14:textFill>
        </w:rPr>
        <w:t xml:space="preserve">1.1.3  </w:t>
      </w:r>
      <w:r>
        <w:rPr>
          <w:rFonts w:ascii="宋体" w:hAnsi="宋体" w:cs="宋体"/>
          <w:color w:val="000000" w:themeColor="text1"/>
          <w:spacing w:val="-2"/>
          <w:sz w:val="24"/>
          <w:szCs w:val="24"/>
          <w:highlight w:val="none"/>
          <w14:textFill>
            <w14:solidFill>
              <w14:schemeClr w14:val="tx1"/>
            </w14:solidFill>
          </w14:textFill>
        </w:rPr>
        <w:t>养护项目、养护工程和设备</w:t>
      </w:r>
    </w:p>
    <w:p w14:paraId="26948AA0">
      <w:pPr>
        <w:spacing w:before="112" w:line="279" w:lineRule="auto"/>
        <w:ind w:left="3" w:firstLine="495"/>
        <w:rPr>
          <w:rFonts w:ascii="宋体" w:hAnsi="宋体" w:cs="宋体"/>
          <w:color w:val="000000" w:themeColor="text1"/>
          <w:sz w:val="24"/>
          <w:szCs w:val="24"/>
          <w:highlight w:val="none"/>
          <w14:textFill>
            <w14:solidFill>
              <w14:schemeClr w14:val="tx1"/>
            </w14:solidFill>
          </w14:textFill>
        </w:rPr>
      </w:pPr>
      <w:r>
        <w:rPr>
          <w:rFonts w:eastAsia="Times New Roman"/>
          <w:color w:val="000000" w:themeColor="text1"/>
          <w:sz w:val="24"/>
          <w:szCs w:val="24"/>
          <w:highlight w:val="none"/>
          <w14:textFill>
            <w14:solidFill>
              <w14:schemeClr w14:val="tx1"/>
            </w14:solidFill>
          </w14:textFill>
        </w:rPr>
        <w:t xml:space="preserve">1.1.3.1  </w:t>
      </w:r>
      <w:r>
        <w:rPr>
          <w:rFonts w:ascii="宋体" w:hAnsi="宋体" w:cs="宋体"/>
          <w:color w:val="000000" w:themeColor="text1"/>
          <w:sz w:val="24"/>
          <w:szCs w:val="24"/>
          <w:highlight w:val="none"/>
          <w14:textFill>
            <w14:solidFill>
              <w14:schemeClr w14:val="tx1"/>
            </w14:solidFill>
          </w14:textFill>
        </w:rPr>
        <w:t>养护项目：指单独或组合发包的日常养护、养护工程项目等养护作业，</w:t>
      </w:r>
      <w:r>
        <w:rPr>
          <w:rFonts w:ascii="宋体" w:hAnsi="宋体" w:cs="宋体"/>
          <w:color w:val="000000" w:themeColor="text1"/>
          <w:spacing w:val="-3"/>
          <w:sz w:val="24"/>
          <w:szCs w:val="24"/>
          <w:highlight w:val="none"/>
          <w14:textFill>
            <w14:solidFill>
              <w14:schemeClr w14:val="tx1"/>
            </w14:solidFill>
          </w14:textFill>
        </w:rPr>
        <w:t>或采用长年限方式实施的检测评定、设计、</w:t>
      </w:r>
      <w:r>
        <w:rPr>
          <w:rFonts w:ascii="宋体" w:hAnsi="宋体" w:cs="宋体"/>
          <w:color w:val="000000" w:themeColor="text1"/>
          <w:spacing w:val="-63"/>
          <w:sz w:val="24"/>
          <w:szCs w:val="24"/>
          <w:highlight w:val="none"/>
          <w14:textFill>
            <w14:solidFill>
              <w14:schemeClr w14:val="tx1"/>
            </w14:solidFill>
          </w14:textFill>
        </w:rPr>
        <w:t xml:space="preserve"> </w:t>
      </w:r>
      <w:r>
        <w:rPr>
          <w:rFonts w:ascii="宋体" w:hAnsi="宋体" w:cs="宋体"/>
          <w:color w:val="000000" w:themeColor="text1"/>
          <w:spacing w:val="-3"/>
          <w:sz w:val="24"/>
          <w:szCs w:val="24"/>
          <w:highlight w:val="none"/>
          <w14:textFill>
            <w14:solidFill>
              <w14:schemeClr w14:val="tx1"/>
            </w14:solidFill>
          </w14:textFill>
        </w:rPr>
        <w:t>日常养护和养护工程等组合发包的项目。</w:t>
      </w:r>
      <w:r>
        <w:rPr>
          <w:rFonts w:ascii="宋体" w:hAnsi="宋体" w:cs="宋体"/>
          <w:color w:val="000000" w:themeColor="text1"/>
          <w:spacing w:val="-1"/>
          <w:sz w:val="24"/>
          <w:szCs w:val="24"/>
          <w:highlight w:val="none"/>
          <w14:textFill>
            <w14:solidFill>
              <w14:schemeClr w14:val="tx1"/>
            </w14:solidFill>
          </w14:textFill>
        </w:rPr>
        <w:t>具体工作内容在专用合同条款中约定。</w:t>
      </w:r>
    </w:p>
    <w:p w14:paraId="1AAA07CC">
      <w:pPr>
        <w:spacing w:before="113" w:line="264" w:lineRule="auto"/>
        <w:ind w:left="1" w:right="164" w:firstLine="497"/>
        <w:rPr>
          <w:rFonts w:ascii="宋体" w:hAnsi="宋体" w:cs="宋体"/>
          <w:color w:val="000000" w:themeColor="text1"/>
          <w:sz w:val="24"/>
          <w:szCs w:val="24"/>
          <w:highlight w:val="none"/>
          <w14:textFill>
            <w14:solidFill>
              <w14:schemeClr w14:val="tx1"/>
            </w14:solidFill>
          </w14:textFill>
        </w:rPr>
      </w:pPr>
      <w:r>
        <w:rPr>
          <w:rFonts w:eastAsia="Times New Roman"/>
          <w:color w:val="000000" w:themeColor="text1"/>
          <w:spacing w:val="5"/>
          <w:sz w:val="24"/>
          <w:szCs w:val="24"/>
          <w:highlight w:val="none"/>
          <w14:textFill>
            <w14:solidFill>
              <w14:schemeClr w14:val="tx1"/>
            </w14:solidFill>
          </w14:textFill>
        </w:rPr>
        <w:t xml:space="preserve">1.1.3.2  </w:t>
      </w:r>
      <w:r>
        <w:rPr>
          <w:rFonts w:ascii="宋体" w:hAnsi="宋体" w:cs="宋体"/>
          <w:color w:val="000000" w:themeColor="text1"/>
          <w:spacing w:val="5"/>
          <w:sz w:val="24"/>
          <w:szCs w:val="24"/>
          <w:highlight w:val="none"/>
          <w14:textFill>
            <w14:solidFill>
              <w14:schemeClr w14:val="tx1"/>
            </w14:solidFill>
          </w14:textFill>
        </w:rPr>
        <w:t>养护工程：指按合同约定施工并验收的预防养护</w:t>
      </w:r>
      <w:r>
        <w:rPr>
          <w:rFonts w:ascii="宋体" w:hAnsi="宋体" w:cs="宋体"/>
          <w:color w:val="000000" w:themeColor="text1"/>
          <w:spacing w:val="4"/>
          <w:sz w:val="24"/>
          <w:szCs w:val="24"/>
          <w:highlight w:val="none"/>
          <w14:textFill>
            <w14:solidFill>
              <w14:schemeClr w14:val="tx1"/>
            </w14:solidFill>
          </w14:textFill>
        </w:rPr>
        <w:t>、修复养护、专项养</w:t>
      </w:r>
      <w:r>
        <w:rPr>
          <w:rFonts w:ascii="宋体" w:hAnsi="宋体" w:cs="宋体"/>
          <w:color w:val="000000" w:themeColor="text1"/>
          <w:sz w:val="24"/>
          <w:szCs w:val="24"/>
          <w:highlight w:val="none"/>
          <w14:textFill>
            <w14:solidFill>
              <w14:schemeClr w14:val="tx1"/>
            </w14:solidFill>
          </w14:textFill>
        </w:rPr>
        <w:t>护、应急养护工程，包括工程设备。具体工作内</w:t>
      </w:r>
      <w:r>
        <w:rPr>
          <w:rFonts w:ascii="宋体" w:hAnsi="宋体" w:cs="宋体"/>
          <w:color w:val="000000" w:themeColor="text1"/>
          <w:spacing w:val="-1"/>
          <w:sz w:val="24"/>
          <w:szCs w:val="24"/>
          <w:highlight w:val="none"/>
          <w14:textFill>
            <w14:solidFill>
              <w14:schemeClr w14:val="tx1"/>
            </w14:solidFill>
          </w14:textFill>
        </w:rPr>
        <w:t>容在专用合同条款中约定。</w:t>
      </w:r>
    </w:p>
    <w:p w14:paraId="7322D6D2">
      <w:pPr>
        <w:spacing w:before="115" w:line="263" w:lineRule="auto"/>
        <w:ind w:left="5" w:right="204" w:firstLine="493"/>
        <w:rPr>
          <w:rFonts w:ascii="宋体" w:hAnsi="宋体" w:cs="宋体"/>
          <w:color w:val="000000" w:themeColor="text1"/>
          <w:sz w:val="24"/>
          <w:szCs w:val="24"/>
          <w:highlight w:val="none"/>
          <w14:textFill>
            <w14:solidFill>
              <w14:schemeClr w14:val="tx1"/>
            </w14:solidFill>
          </w14:textFill>
        </w:rPr>
      </w:pPr>
      <w:r>
        <w:rPr>
          <w:rFonts w:eastAsia="Times New Roman"/>
          <w:color w:val="000000" w:themeColor="text1"/>
          <w:spacing w:val="2"/>
          <w:sz w:val="24"/>
          <w:szCs w:val="24"/>
          <w:highlight w:val="none"/>
          <w14:textFill>
            <w14:solidFill>
              <w14:schemeClr w14:val="tx1"/>
            </w14:solidFill>
          </w14:textFill>
        </w:rPr>
        <w:t>1.1.3.3</w:t>
      </w:r>
      <w:r>
        <w:rPr>
          <w:rFonts w:eastAsia="Times New Roman"/>
          <w:color w:val="000000" w:themeColor="text1"/>
          <w:spacing w:val="36"/>
          <w:sz w:val="24"/>
          <w:szCs w:val="24"/>
          <w:highlight w:val="none"/>
          <w14:textFill>
            <w14:solidFill>
              <w14:schemeClr w14:val="tx1"/>
            </w14:solidFill>
          </w14:textFill>
        </w:rPr>
        <w:t xml:space="preserve">  </w:t>
      </w:r>
      <w:r>
        <w:rPr>
          <w:rFonts w:ascii="宋体" w:hAnsi="宋体" w:cs="宋体"/>
          <w:color w:val="000000" w:themeColor="text1"/>
          <w:spacing w:val="2"/>
          <w:sz w:val="24"/>
          <w:szCs w:val="24"/>
          <w:highlight w:val="none"/>
          <w14:textFill>
            <w14:solidFill>
              <w14:schemeClr w14:val="tx1"/>
            </w14:solidFill>
          </w14:textFill>
        </w:rPr>
        <w:t>日常养护：指养护工程以外的养护作业，包括日常保养和日常维修。</w:t>
      </w:r>
      <w:r>
        <w:rPr>
          <w:rFonts w:ascii="宋体" w:hAnsi="宋体" w:cs="宋体"/>
          <w:color w:val="000000" w:themeColor="text1"/>
          <w:spacing w:val="-1"/>
          <w:sz w:val="24"/>
          <w:szCs w:val="24"/>
          <w:highlight w:val="none"/>
          <w14:textFill>
            <w14:solidFill>
              <w14:schemeClr w14:val="tx1"/>
            </w14:solidFill>
          </w14:textFill>
        </w:rPr>
        <w:t>具体工作内容在专用合同条款中约定。</w:t>
      </w:r>
    </w:p>
    <w:p w14:paraId="254105E8">
      <w:pPr>
        <w:spacing w:before="115" w:line="264" w:lineRule="auto"/>
        <w:ind w:left="4" w:right="223" w:firstLine="494"/>
        <w:rPr>
          <w:rFonts w:ascii="宋体" w:hAnsi="宋体" w:cs="宋体"/>
          <w:color w:val="000000" w:themeColor="text1"/>
          <w:sz w:val="24"/>
          <w:szCs w:val="24"/>
          <w:highlight w:val="none"/>
          <w14:textFill>
            <w14:solidFill>
              <w14:schemeClr w14:val="tx1"/>
            </w14:solidFill>
          </w14:textFill>
        </w:rPr>
      </w:pPr>
      <w:r>
        <w:rPr>
          <w:rFonts w:eastAsia="Times New Roman"/>
          <w:color w:val="000000" w:themeColor="text1"/>
          <w:spacing w:val="3"/>
          <w:sz w:val="24"/>
          <w:szCs w:val="24"/>
          <w:highlight w:val="none"/>
          <w14:textFill>
            <w14:solidFill>
              <w14:schemeClr w14:val="tx1"/>
            </w14:solidFill>
          </w14:textFill>
        </w:rPr>
        <w:t xml:space="preserve">1.1.3.4  </w:t>
      </w:r>
      <w:r>
        <w:rPr>
          <w:rFonts w:ascii="宋体" w:hAnsi="宋体" w:cs="宋体"/>
          <w:color w:val="000000" w:themeColor="text1"/>
          <w:spacing w:val="3"/>
          <w:sz w:val="24"/>
          <w:szCs w:val="24"/>
          <w:highlight w:val="none"/>
          <w14:textFill>
            <w14:solidFill>
              <w14:schemeClr w14:val="tx1"/>
            </w14:solidFill>
          </w14:textFill>
        </w:rPr>
        <w:t>临时工程：指为完成指定实施的养护工程所修建的各类临时性工程，</w:t>
      </w:r>
      <w:r>
        <w:rPr>
          <w:rFonts w:ascii="宋体" w:hAnsi="宋体" w:cs="宋体"/>
          <w:color w:val="000000" w:themeColor="text1"/>
          <w:spacing w:val="-2"/>
          <w:sz w:val="24"/>
          <w:szCs w:val="24"/>
          <w:highlight w:val="none"/>
          <w14:textFill>
            <w14:solidFill>
              <w14:schemeClr w14:val="tx1"/>
            </w14:solidFill>
          </w14:textFill>
        </w:rPr>
        <w:t>不包括养护作业设备。</w:t>
      </w:r>
    </w:p>
    <w:p w14:paraId="595EE352">
      <w:pPr>
        <w:spacing w:before="114" w:line="219" w:lineRule="auto"/>
        <w:ind w:left="499"/>
        <w:rPr>
          <w:rFonts w:ascii="宋体" w:hAnsi="宋体" w:cs="宋体"/>
          <w:color w:val="000000" w:themeColor="text1"/>
          <w:sz w:val="24"/>
          <w:szCs w:val="24"/>
          <w:highlight w:val="none"/>
          <w14:textFill>
            <w14:solidFill>
              <w14:schemeClr w14:val="tx1"/>
            </w14:solidFill>
          </w14:textFill>
        </w:rPr>
      </w:pPr>
      <w:r>
        <w:rPr>
          <w:rFonts w:eastAsia="Times New Roman"/>
          <w:color w:val="000000" w:themeColor="text1"/>
          <w:spacing w:val="-1"/>
          <w:sz w:val="24"/>
          <w:szCs w:val="24"/>
          <w:highlight w:val="none"/>
          <w14:textFill>
            <w14:solidFill>
              <w14:schemeClr w14:val="tx1"/>
            </w14:solidFill>
          </w14:textFill>
        </w:rPr>
        <w:t xml:space="preserve">1.1.3.5  </w:t>
      </w:r>
      <w:r>
        <w:rPr>
          <w:rFonts w:ascii="宋体" w:hAnsi="宋体" w:cs="宋体"/>
          <w:color w:val="000000" w:themeColor="text1"/>
          <w:spacing w:val="-1"/>
          <w:sz w:val="24"/>
          <w:szCs w:val="24"/>
          <w:highlight w:val="none"/>
          <w14:textFill>
            <w14:solidFill>
              <w14:schemeClr w14:val="tx1"/>
            </w14:solidFill>
          </w14:textFill>
        </w:rPr>
        <w:t>单位养护工程：指具备独立结构功能和施工组织条件的养护工程。</w:t>
      </w:r>
    </w:p>
    <w:p w14:paraId="6272FC41">
      <w:pPr>
        <w:spacing w:before="117" w:line="263" w:lineRule="auto"/>
        <w:ind w:right="164" w:firstLine="499"/>
        <w:rPr>
          <w:rFonts w:ascii="宋体" w:hAnsi="宋体" w:cs="宋体"/>
          <w:color w:val="000000" w:themeColor="text1"/>
          <w:sz w:val="24"/>
          <w:szCs w:val="24"/>
          <w:highlight w:val="none"/>
          <w14:textFill>
            <w14:solidFill>
              <w14:schemeClr w14:val="tx1"/>
            </w14:solidFill>
          </w14:textFill>
        </w:rPr>
      </w:pPr>
      <w:r>
        <w:rPr>
          <w:rFonts w:eastAsia="Times New Roman"/>
          <w:color w:val="000000" w:themeColor="text1"/>
          <w:spacing w:val="5"/>
          <w:sz w:val="24"/>
          <w:szCs w:val="24"/>
          <w:highlight w:val="none"/>
          <w14:textFill>
            <w14:solidFill>
              <w14:schemeClr w14:val="tx1"/>
            </w14:solidFill>
          </w14:textFill>
        </w:rPr>
        <w:t xml:space="preserve">1.1.3.6  </w:t>
      </w:r>
      <w:r>
        <w:rPr>
          <w:rFonts w:ascii="宋体" w:hAnsi="宋体" w:cs="宋体"/>
          <w:color w:val="000000" w:themeColor="text1"/>
          <w:spacing w:val="5"/>
          <w:sz w:val="24"/>
          <w:szCs w:val="24"/>
          <w:highlight w:val="none"/>
          <w14:textFill>
            <w14:solidFill>
              <w14:schemeClr w14:val="tx1"/>
            </w14:solidFill>
          </w14:textFill>
        </w:rPr>
        <w:t>养护单元：指根据养护工程性质和设施特点，结</w:t>
      </w:r>
      <w:r>
        <w:rPr>
          <w:rFonts w:ascii="宋体" w:hAnsi="宋体" w:cs="宋体"/>
          <w:color w:val="000000" w:themeColor="text1"/>
          <w:spacing w:val="4"/>
          <w:sz w:val="24"/>
          <w:szCs w:val="24"/>
          <w:highlight w:val="none"/>
          <w14:textFill>
            <w14:solidFill>
              <w14:schemeClr w14:val="tx1"/>
            </w14:solidFill>
          </w14:textFill>
        </w:rPr>
        <w:t>合养护施工方法、工</w:t>
      </w:r>
      <w:r>
        <w:rPr>
          <w:rFonts w:ascii="宋体" w:hAnsi="宋体" w:cs="宋体"/>
          <w:color w:val="000000" w:themeColor="text1"/>
          <w:spacing w:val="-1"/>
          <w:sz w:val="24"/>
          <w:szCs w:val="24"/>
          <w:highlight w:val="none"/>
          <w14:textFill>
            <w14:solidFill>
              <w14:schemeClr w14:val="tx1"/>
            </w14:solidFill>
          </w14:textFill>
        </w:rPr>
        <w:t>序及规模等划分的养护工程基本评定单位。</w:t>
      </w:r>
    </w:p>
    <w:p w14:paraId="62C06754">
      <w:pPr>
        <w:spacing w:before="114" w:line="264" w:lineRule="auto"/>
        <w:ind w:left="4" w:right="164" w:firstLine="494"/>
        <w:rPr>
          <w:rFonts w:ascii="宋体" w:hAnsi="宋体" w:cs="宋体"/>
          <w:color w:val="000000" w:themeColor="text1"/>
          <w:sz w:val="24"/>
          <w:szCs w:val="24"/>
          <w:highlight w:val="none"/>
          <w14:textFill>
            <w14:solidFill>
              <w14:schemeClr w14:val="tx1"/>
            </w14:solidFill>
          </w14:textFill>
        </w:rPr>
      </w:pPr>
      <w:r>
        <w:rPr>
          <w:rFonts w:eastAsia="Times New Roman"/>
          <w:color w:val="000000" w:themeColor="text1"/>
          <w:spacing w:val="5"/>
          <w:sz w:val="24"/>
          <w:szCs w:val="24"/>
          <w:highlight w:val="none"/>
          <w14:textFill>
            <w14:solidFill>
              <w14:schemeClr w14:val="tx1"/>
            </w14:solidFill>
          </w14:textFill>
        </w:rPr>
        <w:t xml:space="preserve">1.1.3.7  </w:t>
      </w:r>
      <w:r>
        <w:rPr>
          <w:rFonts w:ascii="宋体" w:hAnsi="宋体" w:cs="宋体"/>
          <w:color w:val="000000" w:themeColor="text1"/>
          <w:spacing w:val="5"/>
          <w:sz w:val="24"/>
          <w:szCs w:val="24"/>
          <w:highlight w:val="none"/>
          <w14:textFill>
            <w14:solidFill>
              <w14:schemeClr w14:val="tx1"/>
            </w14:solidFill>
          </w14:textFill>
        </w:rPr>
        <w:t>工程设备：指构成或计划构成养护工程一部分的</w:t>
      </w:r>
      <w:r>
        <w:rPr>
          <w:rFonts w:ascii="宋体" w:hAnsi="宋体" w:cs="宋体"/>
          <w:color w:val="000000" w:themeColor="text1"/>
          <w:spacing w:val="4"/>
          <w:sz w:val="24"/>
          <w:szCs w:val="24"/>
          <w:highlight w:val="none"/>
          <w14:textFill>
            <w14:solidFill>
              <w14:schemeClr w14:val="tx1"/>
            </w14:solidFill>
          </w14:textFill>
        </w:rPr>
        <w:t>机电设备、金属结构</w:t>
      </w:r>
      <w:r>
        <w:rPr>
          <w:rFonts w:ascii="宋体" w:hAnsi="宋体" w:cs="宋体"/>
          <w:color w:val="000000" w:themeColor="text1"/>
          <w:spacing w:val="-1"/>
          <w:sz w:val="24"/>
          <w:szCs w:val="24"/>
          <w:highlight w:val="none"/>
          <w14:textFill>
            <w14:solidFill>
              <w14:schemeClr w14:val="tx1"/>
            </w14:solidFill>
          </w14:textFill>
        </w:rPr>
        <w:t>设备、仪器装置及其他类似的设备和装置。</w:t>
      </w:r>
    </w:p>
    <w:p w14:paraId="62A1285F">
      <w:pPr>
        <w:spacing w:before="114" w:line="263" w:lineRule="auto"/>
        <w:ind w:right="164" w:firstLine="498"/>
        <w:rPr>
          <w:rFonts w:ascii="宋体" w:hAnsi="宋体" w:cs="宋体"/>
          <w:color w:val="000000" w:themeColor="text1"/>
          <w:sz w:val="24"/>
          <w:szCs w:val="24"/>
          <w:highlight w:val="none"/>
          <w14:textFill>
            <w14:solidFill>
              <w14:schemeClr w14:val="tx1"/>
            </w14:solidFill>
          </w14:textFill>
        </w:rPr>
      </w:pPr>
      <w:r>
        <w:rPr>
          <w:rFonts w:eastAsia="Times New Roman"/>
          <w:color w:val="000000" w:themeColor="text1"/>
          <w:spacing w:val="5"/>
          <w:sz w:val="24"/>
          <w:szCs w:val="24"/>
          <w:highlight w:val="none"/>
          <w14:textFill>
            <w14:solidFill>
              <w14:schemeClr w14:val="tx1"/>
            </w14:solidFill>
          </w14:textFill>
        </w:rPr>
        <w:t xml:space="preserve">1.1.3.8  </w:t>
      </w:r>
      <w:r>
        <w:rPr>
          <w:rFonts w:ascii="宋体" w:hAnsi="宋体" w:cs="宋体"/>
          <w:color w:val="000000" w:themeColor="text1"/>
          <w:spacing w:val="5"/>
          <w:sz w:val="24"/>
          <w:szCs w:val="24"/>
          <w:highlight w:val="none"/>
          <w14:textFill>
            <w14:solidFill>
              <w14:schemeClr w14:val="tx1"/>
            </w14:solidFill>
          </w14:textFill>
        </w:rPr>
        <w:t>养护作业设备：指为完成合同约定的各项工作所</w:t>
      </w:r>
      <w:r>
        <w:rPr>
          <w:rFonts w:ascii="宋体" w:hAnsi="宋体" w:cs="宋体"/>
          <w:color w:val="000000" w:themeColor="text1"/>
          <w:spacing w:val="4"/>
          <w:sz w:val="24"/>
          <w:szCs w:val="24"/>
          <w:highlight w:val="none"/>
          <w14:textFill>
            <w14:solidFill>
              <w14:schemeClr w14:val="tx1"/>
            </w14:solidFill>
          </w14:textFill>
        </w:rPr>
        <w:t>需的设备、器具和其</w:t>
      </w:r>
      <w:r>
        <w:rPr>
          <w:rFonts w:ascii="宋体" w:hAnsi="宋体" w:cs="宋体"/>
          <w:color w:val="000000" w:themeColor="text1"/>
          <w:spacing w:val="-1"/>
          <w:sz w:val="24"/>
          <w:szCs w:val="24"/>
          <w:highlight w:val="none"/>
          <w14:textFill>
            <w14:solidFill>
              <w14:schemeClr w14:val="tx1"/>
            </w14:solidFill>
          </w14:textFill>
        </w:rPr>
        <w:t>他物品，不包括临时工程和材料。</w:t>
      </w:r>
    </w:p>
    <w:p w14:paraId="1C531DE6">
      <w:pPr>
        <w:spacing w:before="117" w:line="219" w:lineRule="auto"/>
        <w:ind w:left="499"/>
        <w:rPr>
          <w:rFonts w:ascii="宋体" w:hAnsi="宋体" w:cs="宋体"/>
          <w:color w:val="000000" w:themeColor="text1"/>
          <w:spacing w:val="4"/>
          <w:sz w:val="24"/>
          <w:szCs w:val="24"/>
          <w:highlight w:val="none"/>
          <w14:textFill>
            <w14:solidFill>
              <w14:schemeClr w14:val="tx1"/>
            </w14:solidFill>
          </w14:textFill>
        </w:rPr>
      </w:pPr>
      <w:r>
        <w:rPr>
          <w:rFonts w:eastAsia="Times New Roman"/>
          <w:color w:val="000000" w:themeColor="text1"/>
          <w:spacing w:val="5"/>
          <w:sz w:val="24"/>
          <w:szCs w:val="24"/>
          <w:highlight w:val="none"/>
          <w14:textFill>
            <w14:solidFill>
              <w14:schemeClr w14:val="tx1"/>
            </w14:solidFill>
          </w14:textFill>
        </w:rPr>
        <w:t xml:space="preserve">1.1.3.9  </w:t>
      </w:r>
      <w:r>
        <w:rPr>
          <w:rFonts w:ascii="宋体" w:hAnsi="宋体" w:cs="宋体"/>
          <w:color w:val="000000" w:themeColor="text1"/>
          <w:spacing w:val="5"/>
          <w:sz w:val="24"/>
          <w:szCs w:val="24"/>
          <w:highlight w:val="none"/>
          <w14:textFill>
            <w14:solidFill>
              <w14:schemeClr w14:val="tx1"/>
            </w14:solidFill>
          </w14:textFill>
        </w:rPr>
        <w:t>临时设施：指为完成合同约定的各项工作所服务</w:t>
      </w:r>
      <w:r>
        <w:rPr>
          <w:rFonts w:ascii="宋体" w:hAnsi="宋体" w:cs="宋体"/>
          <w:color w:val="000000" w:themeColor="text1"/>
          <w:spacing w:val="4"/>
          <w:sz w:val="24"/>
          <w:szCs w:val="24"/>
          <w:highlight w:val="none"/>
          <w14:textFill>
            <w14:solidFill>
              <w14:schemeClr w14:val="tx1"/>
            </w14:solidFill>
          </w14:textFill>
        </w:rPr>
        <w:t>的临时性生产和生</w:t>
      </w:r>
    </w:p>
    <w:p w14:paraId="22D7B823">
      <w:pPr>
        <w:spacing w:before="117" w:line="219" w:lineRule="auto"/>
        <w:rPr>
          <w:rFonts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pacing w:val="4"/>
          <w:sz w:val="24"/>
          <w:szCs w:val="24"/>
          <w:highlight w:val="none"/>
          <w14:textFill>
            <w14:solidFill>
              <w14:schemeClr w14:val="tx1"/>
            </w14:solidFill>
          </w14:textFill>
        </w:rPr>
        <w:t>活</w:t>
      </w:r>
      <w:r>
        <w:rPr>
          <w:rFonts w:ascii="宋体" w:hAnsi="宋体" w:cs="宋体"/>
          <w:color w:val="000000" w:themeColor="text1"/>
          <w:spacing w:val="-5"/>
          <w:sz w:val="24"/>
          <w:szCs w:val="24"/>
          <w:highlight w:val="none"/>
          <w14:textFill>
            <w14:solidFill>
              <w14:schemeClr w14:val="tx1"/>
            </w14:solidFill>
          </w14:textFill>
        </w:rPr>
        <w:t>设施。</w:t>
      </w:r>
    </w:p>
    <w:p w14:paraId="7AB50068">
      <w:pPr>
        <w:spacing w:before="114" w:line="219" w:lineRule="auto"/>
        <w:ind w:left="499"/>
        <w:rPr>
          <w:rFonts w:ascii="宋体" w:hAnsi="宋体" w:cs="宋体"/>
          <w:color w:val="000000" w:themeColor="text1"/>
          <w:sz w:val="24"/>
          <w:szCs w:val="24"/>
          <w:highlight w:val="none"/>
          <w14:textFill>
            <w14:solidFill>
              <w14:schemeClr w14:val="tx1"/>
            </w14:solidFill>
          </w14:textFill>
        </w:rPr>
      </w:pPr>
      <w:r>
        <w:rPr>
          <w:rFonts w:eastAsia="Times New Roman"/>
          <w:color w:val="000000" w:themeColor="text1"/>
          <w:spacing w:val="-1"/>
          <w:sz w:val="24"/>
          <w:szCs w:val="24"/>
          <w:highlight w:val="none"/>
          <w14:textFill>
            <w14:solidFill>
              <w14:schemeClr w14:val="tx1"/>
            </w14:solidFill>
          </w14:textFill>
        </w:rPr>
        <w:t xml:space="preserve">1.1.3.10  </w:t>
      </w:r>
      <w:r>
        <w:rPr>
          <w:rFonts w:ascii="宋体" w:hAnsi="宋体" w:cs="宋体"/>
          <w:color w:val="000000" w:themeColor="text1"/>
          <w:spacing w:val="-1"/>
          <w:sz w:val="24"/>
          <w:szCs w:val="24"/>
          <w:highlight w:val="none"/>
          <w14:textFill>
            <w14:solidFill>
              <w14:schemeClr w14:val="tx1"/>
            </w14:solidFill>
          </w14:textFill>
        </w:rPr>
        <w:t>承包人设备：指承包人自带的养护作业设备。</w:t>
      </w:r>
    </w:p>
    <w:p w14:paraId="4EB9D047">
      <w:pPr>
        <w:spacing w:before="112" w:line="264" w:lineRule="auto"/>
        <w:ind w:firstLine="499"/>
        <w:rPr>
          <w:rFonts w:ascii="宋体" w:hAnsi="宋体" w:cs="宋体"/>
          <w:color w:val="000000" w:themeColor="text1"/>
          <w:sz w:val="24"/>
          <w:szCs w:val="24"/>
          <w:highlight w:val="none"/>
          <w14:textFill>
            <w14:solidFill>
              <w14:schemeClr w14:val="tx1"/>
            </w14:solidFill>
          </w14:textFill>
        </w:rPr>
      </w:pPr>
      <w:r>
        <w:rPr>
          <w:rFonts w:eastAsia="Times New Roman"/>
          <w:color w:val="000000" w:themeColor="text1"/>
          <w:spacing w:val="4"/>
          <w:sz w:val="24"/>
          <w:szCs w:val="24"/>
          <w:highlight w:val="none"/>
          <w14:textFill>
            <w14:solidFill>
              <w14:schemeClr w14:val="tx1"/>
            </w14:solidFill>
          </w14:textFill>
        </w:rPr>
        <w:t xml:space="preserve">1.1.3.11  </w:t>
      </w:r>
      <w:r>
        <w:rPr>
          <w:rFonts w:ascii="宋体" w:hAnsi="宋体" w:cs="宋体"/>
          <w:color w:val="000000" w:themeColor="text1"/>
          <w:spacing w:val="4"/>
          <w:sz w:val="24"/>
          <w:szCs w:val="24"/>
          <w:highlight w:val="none"/>
          <w14:textFill>
            <w14:solidFill>
              <w14:schemeClr w14:val="tx1"/>
            </w14:solidFill>
          </w14:textFill>
        </w:rPr>
        <w:t>养护作业场地（或称工地、现场</w:t>
      </w:r>
      <w:r>
        <w:rPr>
          <w:rFonts w:ascii="宋体" w:hAnsi="宋体" w:cs="宋体"/>
          <w:color w:val="000000" w:themeColor="text1"/>
          <w:spacing w:val="-42"/>
          <w:sz w:val="24"/>
          <w:szCs w:val="24"/>
          <w:highlight w:val="none"/>
          <w14:textFill>
            <w14:solidFill>
              <w14:schemeClr w14:val="tx1"/>
            </w14:solidFill>
          </w14:textFill>
        </w:rPr>
        <w:t>）：</w:t>
      </w:r>
      <w:r>
        <w:rPr>
          <w:rFonts w:ascii="宋体" w:hAnsi="宋体" w:cs="宋体"/>
          <w:color w:val="000000" w:themeColor="text1"/>
          <w:spacing w:val="4"/>
          <w:sz w:val="24"/>
          <w:szCs w:val="24"/>
          <w:highlight w:val="none"/>
          <w14:textFill>
            <w14:solidFill>
              <w14:schemeClr w14:val="tx1"/>
            </w14:solidFill>
          </w14:textFill>
        </w:rPr>
        <w:t>指用于实施养护作业的场所</w:t>
      </w:r>
      <w:r>
        <w:rPr>
          <w:rFonts w:ascii="宋体" w:hAnsi="宋体" w:cs="宋体"/>
          <w:color w:val="000000" w:themeColor="text1"/>
          <w:spacing w:val="3"/>
          <w:sz w:val="24"/>
          <w:szCs w:val="24"/>
          <w:highlight w:val="none"/>
          <w14:textFill>
            <w14:solidFill>
              <w14:schemeClr w14:val="tx1"/>
            </w14:solidFill>
          </w14:textFill>
        </w:rPr>
        <w:t>，以</w:t>
      </w:r>
      <w:r>
        <w:rPr>
          <w:rFonts w:ascii="宋体" w:hAnsi="宋体" w:cs="宋体"/>
          <w:color w:val="000000" w:themeColor="text1"/>
          <w:sz w:val="24"/>
          <w:szCs w:val="24"/>
          <w:highlight w:val="none"/>
          <w14:textFill>
            <w14:solidFill>
              <w14:schemeClr w14:val="tx1"/>
            </w14:solidFill>
          </w14:textFill>
        </w:rPr>
        <w:t>及在合同中指定作为养护作业场地组成部分的其他</w:t>
      </w:r>
      <w:r>
        <w:rPr>
          <w:rFonts w:ascii="宋体" w:hAnsi="宋体" w:cs="宋体"/>
          <w:color w:val="000000" w:themeColor="text1"/>
          <w:spacing w:val="-1"/>
          <w:sz w:val="24"/>
          <w:szCs w:val="24"/>
          <w:highlight w:val="none"/>
          <w14:textFill>
            <w14:solidFill>
              <w14:schemeClr w14:val="tx1"/>
            </w14:solidFill>
          </w14:textFill>
        </w:rPr>
        <w:t>场所，包括临时占地。</w:t>
      </w:r>
    </w:p>
    <w:p w14:paraId="47E9190C">
      <w:pPr>
        <w:spacing w:before="115" w:line="278" w:lineRule="auto"/>
        <w:ind w:left="1" w:right="2" w:firstLine="497"/>
        <w:rPr>
          <w:rFonts w:ascii="宋体" w:hAnsi="宋体" w:cs="宋体"/>
          <w:color w:val="000000" w:themeColor="text1"/>
          <w:sz w:val="24"/>
          <w:szCs w:val="24"/>
          <w:highlight w:val="none"/>
          <w14:textFill>
            <w14:solidFill>
              <w14:schemeClr w14:val="tx1"/>
            </w14:solidFill>
          </w14:textFill>
        </w:rPr>
      </w:pPr>
      <w:r>
        <w:rPr>
          <w:rFonts w:eastAsia="Times New Roman"/>
          <w:color w:val="000000" w:themeColor="text1"/>
          <w:spacing w:val="2"/>
          <w:sz w:val="24"/>
          <w:szCs w:val="24"/>
          <w:highlight w:val="none"/>
          <w14:textFill>
            <w14:solidFill>
              <w14:schemeClr w14:val="tx1"/>
            </w14:solidFill>
          </w14:textFill>
        </w:rPr>
        <w:t xml:space="preserve">1.1.3.12  </w:t>
      </w:r>
      <w:r>
        <w:rPr>
          <w:rFonts w:ascii="宋体" w:hAnsi="宋体" w:cs="宋体"/>
          <w:color w:val="000000" w:themeColor="text1"/>
          <w:spacing w:val="2"/>
          <w:sz w:val="24"/>
          <w:szCs w:val="24"/>
          <w:highlight w:val="none"/>
          <w14:textFill>
            <w14:solidFill>
              <w14:schemeClr w14:val="tx1"/>
            </w14:solidFill>
          </w14:textFill>
        </w:rPr>
        <w:t>临时占地：指为实施养护作业而</w:t>
      </w:r>
      <w:r>
        <w:rPr>
          <w:rFonts w:ascii="宋体" w:hAnsi="宋体" w:cs="宋体"/>
          <w:color w:val="000000" w:themeColor="text1"/>
          <w:spacing w:val="1"/>
          <w:sz w:val="24"/>
          <w:szCs w:val="24"/>
          <w:highlight w:val="none"/>
          <w14:textFill>
            <w14:solidFill>
              <w14:schemeClr w14:val="tx1"/>
            </w14:solidFill>
          </w14:textFill>
        </w:rPr>
        <w:t>需要的一切临时占用的土地，包括养护作业所用的临时支线、便道、便桥和现场的临时</w:t>
      </w:r>
      <w:r>
        <w:rPr>
          <w:rFonts w:ascii="宋体" w:hAnsi="宋体" w:cs="宋体"/>
          <w:color w:val="000000" w:themeColor="text1"/>
          <w:sz w:val="24"/>
          <w:szCs w:val="24"/>
          <w:highlight w:val="none"/>
          <w14:textFill>
            <w14:solidFill>
              <w14:schemeClr w14:val="tx1"/>
            </w14:solidFill>
          </w14:textFill>
        </w:rPr>
        <w:t>出入通道，以及生产（办公）、</w:t>
      </w:r>
      <w:r>
        <w:rPr>
          <w:rFonts w:ascii="宋体" w:hAnsi="宋体" w:cs="宋体"/>
          <w:color w:val="000000" w:themeColor="text1"/>
          <w:spacing w:val="-1"/>
          <w:sz w:val="24"/>
          <w:szCs w:val="24"/>
          <w:highlight w:val="none"/>
          <w14:textFill>
            <w14:solidFill>
              <w14:schemeClr w14:val="tx1"/>
            </w14:solidFill>
          </w14:textFill>
        </w:rPr>
        <w:t>生活等临时设施用地等。</w:t>
      </w:r>
    </w:p>
    <w:p w14:paraId="511D5D49">
      <w:pPr>
        <w:spacing w:before="116" w:line="220" w:lineRule="auto"/>
        <w:ind w:left="499"/>
        <w:rPr>
          <w:rFonts w:ascii="宋体" w:hAnsi="宋体" w:cs="宋体"/>
          <w:color w:val="000000" w:themeColor="text1"/>
          <w:sz w:val="24"/>
          <w:szCs w:val="24"/>
          <w:highlight w:val="none"/>
          <w14:textFill>
            <w14:solidFill>
              <w14:schemeClr w14:val="tx1"/>
            </w14:solidFill>
          </w14:textFill>
        </w:rPr>
      </w:pPr>
      <w:r>
        <w:rPr>
          <w:rFonts w:eastAsia="Times New Roman"/>
          <w:color w:val="000000" w:themeColor="text1"/>
          <w:spacing w:val="-9"/>
          <w:sz w:val="24"/>
          <w:szCs w:val="24"/>
          <w:highlight w:val="none"/>
          <w14:textFill>
            <w14:solidFill>
              <w14:schemeClr w14:val="tx1"/>
            </w14:solidFill>
          </w14:textFill>
        </w:rPr>
        <w:t xml:space="preserve">1.1.4   </w:t>
      </w:r>
      <w:r>
        <w:rPr>
          <w:rFonts w:ascii="宋体" w:hAnsi="宋体" w:cs="宋体"/>
          <w:color w:val="000000" w:themeColor="text1"/>
          <w:spacing w:val="-9"/>
          <w:sz w:val="24"/>
          <w:szCs w:val="24"/>
          <w:highlight w:val="none"/>
          <w14:textFill>
            <w14:solidFill>
              <w14:schemeClr w14:val="tx1"/>
            </w14:solidFill>
          </w14:textFill>
        </w:rPr>
        <w:t>日期</w:t>
      </w:r>
    </w:p>
    <w:p w14:paraId="5602B00E">
      <w:pPr>
        <w:spacing w:before="112" w:line="219" w:lineRule="auto"/>
        <w:ind w:left="499"/>
        <w:rPr>
          <w:rFonts w:ascii="宋体" w:hAnsi="宋体" w:cs="宋体"/>
          <w:color w:val="000000" w:themeColor="text1"/>
          <w:sz w:val="24"/>
          <w:szCs w:val="24"/>
          <w:highlight w:val="none"/>
          <w14:textFill>
            <w14:solidFill>
              <w14:schemeClr w14:val="tx1"/>
            </w14:solidFill>
          </w14:textFill>
        </w:rPr>
      </w:pPr>
      <w:r>
        <w:rPr>
          <w:rFonts w:eastAsia="Times New Roman"/>
          <w:color w:val="000000" w:themeColor="text1"/>
          <w:spacing w:val="-2"/>
          <w:sz w:val="24"/>
          <w:szCs w:val="24"/>
          <w:highlight w:val="none"/>
          <w14:textFill>
            <w14:solidFill>
              <w14:schemeClr w14:val="tx1"/>
            </w14:solidFill>
          </w14:textFill>
        </w:rPr>
        <w:t xml:space="preserve">1.1.4.1  </w:t>
      </w:r>
      <w:r>
        <w:rPr>
          <w:rFonts w:ascii="宋体" w:hAnsi="宋体" w:cs="宋体"/>
          <w:color w:val="000000" w:themeColor="text1"/>
          <w:spacing w:val="-2"/>
          <w:sz w:val="24"/>
          <w:szCs w:val="24"/>
          <w:highlight w:val="none"/>
          <w14:textFill>
            <w14:solidFill>
              <w14:schemeClr w14:val="tx1"/>
            </w14:solidFill>
          </w14:textFill>
        </w:rPr>
        <w:t>开工通知：指咨询人按第</w:t>
      </w:r>
      <w:r>
        <w:rPr>
          <w:rFonts w:ascii="宋体" w:hAnsi="宋体" w:cs="宋体"/>
          <w:color w:val="000000" w:themeColor="text1"/>
          <w:spacing w:val="-25"/>
          <w:sz w:val="24"/>
          <w:szCs w:val="24"/>
          <w:highlight w:val="none"/>
          <w14:textFill>
            <w14:solidFill>
              <w14:schemeClr w14:val="tx1"/>
            </w14:solidFill>
          </w14:textFill>
        </w:rPr>
        <w:t xml:space="preserve"> </w:t>
      </w:r>
      <w:r>
        <w:rPr>
          <w:rFonts w:eastAsia="Times New Roman"/>
          <w:color w:val="000000" w:themeColor="text1"/>
          <w:spacing w:val="-2"/>
          <w:sz w:val="24"/>
          <w:szCs w:val="24"/>
          <w:highlight w:val="none"/>
          <w14:textFill>
            <w14:solidFill>
              <w14:schemeClr w14:val="tx1"/>
            </w14:solidFill>
          </w14:textFill>
        </w:rPr>
        <w:t xml:space="preserve">11.1 </w:t>
      </w:r>
      <w:r>
        <w:rPr>
          <w:rFonts w:ascii="宋体" w:hAnsi="宋体" w:cs="宋体"/>
          <w:color w:val="000000" w:themeColor="text1"/>
          <w:spacing w:val="-2"/>
          <w:sz w:val="24"/>
          <w:szCs w:val="24"/>
          <w:highlight w:val="none"/>
          <w14:textFill>
            <w14:solidFill>
              <w14:schemeClr w14:val="tx1"/>
            </w14:solidFill>
          </w14:textFill>
        </w:rPr>
        <w:t>款通知承包人开工的函件。</w:t>
      </w:r>
    </w:p>
    <w:p w14:paraId="30762F91">
      <w:pPr>
        <w:spacing w:before="117" w:line="219" w:lineRule="auto"/>
        <w:ind w:left="499"/>
        <w:rPr>
          <w:rFonts w:ascii="宋体" w:hAnsi="宋体" w:cs="宋体"/>
          <w:color w:val="000000" w:themeColor="text1"/>
          <w:sz w:val="24"/>
          <w:szCs w:val="24"/>
          <w:highlight w:val="none"/>
          <w14:textFill>
            <w14:solidFill>
              <w14:schemeClr w14:val="tx1"/>
            </w14:solidFill>
          </w14:textFill>
        </w:rPr>
      </w:pPr>
      <w:r>
        <w:rPr>
          <w:rFonts w:eastAsia="Times New Roman"/>
          <w:color w:val="000000" w:themeColor="text1"/>
          <w:spacing w:val="-2"/>
          <w:sz w:val="24"/>
          <w:szCs w:val="24"/>
          <w:highlight w:val="none"/>
          <w14:textFill>
            <w14:solidFill>
              <w14:schemeClr w14:val="tx1"/>
            </w14:solidFill>
          </w14:textFill>
        </w:rPr>
        <w:t xml:space="preserve">1.1.4.2  </w:t>
      </w:r>
      <w:r>
        <w:rPr>
          <w:rFonts w:ascii="宋体" w:hAnsi="宋体" w:cs="宋体"/>
          <w:color w:val="000000" w:themeColor="text1"/>
          <w:spacing w:val="-2"/>
          <w:sz w:val="24"/>
          <w:szCs w:val="24"/>
          <w:highlight w:val="none"/>
          <w14:textFill>
            <w14:solidFill>
              <w14:schemeClr w14:val="tx1"/>
            </w14:solidFill>
          </w14:textFill>
        </w:rPr>
        <w:t>开工日期：指咨询人按第</w:t>
      </w:r>
      <w:r>
        <w:rPr>
          <w:rFonts w:ascii="宋体" w:hAnsi="宋体" w:cs="宋体"/>
          <w:color w:val="000000" w:themeColor="text1"/>
          <w:spacing w:val="-15"/>
          <w:sz w:val="24"/>
          <w:szCs w:val="24"/>
          <w:highlight w:val="none"/>
          <w14:textFill>
            <w14:solidFill>
              <w14:schemeClr w14:val="tx1"/>
            </w14:solidFill>
          </w14:textFill>
        </w:rPr>
        <w:t xml:space="preserve"> </w:t>
      </w:r>
      <w:r>
        <w:rPr>
          <w:rFonts w:eastAsia="Times New Roman"/>
          <w:color w:val="000000" w:themeColor="text1"/>
          <w:spacing w:val="-2"/>
          <w:sz w:val="24"/>
          <w:szCs w:val="24"/>
          <w:highlight w:val="none"/>
          <w14:textFill>
            <w14:solidFill>
              <w14:schemeClr w14:val="tx1"/>
            </w14:solidFill>
          </w14:textFill>
        </w:rPr>
        <w:t xml:space="preserve">11.1 </w:t>
      </w:r>
      <w:r>
        <w:rPr>
          <w:rFonts w:ascii="宋体" w:hAnsi="宋体" w:cs="宋体"/>
          <w:color w:val="000000" w:themeColor="text1"/>
          <w:spacing w:val="-2"/>
          <w:sz w:val="24"/>
          <w:szCs w:val="24"/>
          <w:highlight w:val="none"/>
          <w14:textFill>
            <w14:solidFill>
              <w14:schemeClr w14:val="tx1"/>
            </w14:solidFill>
          </w14:textFill>
        </w:rPr>
        <w:t>款发出的开工通知中写明的开工日期。</w:t>
      </w:r>
    </w:p>
    <w:p w14:paraId="5F874D29">
      <w:pPr>
        <w:spacing w:before="115" w:line="263" w:lineRule="auto"/>
        <w:ind w:left="19" w:right="2" w:firstLine="480"/>
        <w:rPr>
          <w:rFonts w:ascii="宋体" w:hAnsi="宋体" w:cs="宋体"/>
          <w:color w:val="000000" w:themeColor="text1"/>
          <w:sz w:val="24"/>
          <w:szCs w:val="24"/>
          <w:highlight w:val="none"/>
          <w14:textFill>
            <w14:solidFill>
              <w14:schemeClr w14:val="tx1"/>
            </w14:solidFill>
          </w14:textFill>
        </w:rPr>
      </w:pPr>
      <w:r>
        <w:rPr>
          <w:rFonts w:eastAsia="Times New Roman"/>
          <w:color w:val="000000" w:themeColor="text1"/>
          <w:spacing w:val="9"/>
          <w:sz w:val="24"/>
          <w:szCs w:val="24"/>
          <w:highlight w:val="none"/>
          <w14:textFill>
            <w14:solidFill>
              <w14:schemeClr w14:val="tx1"/>
            </w14:solidFill>
          </w14:textFill>
        </w:rPr>
        <w:t xml:space="preserve">1.1.4.3  </w:t>
      </w:r>
      <w:r>
        <w:rPr>
          <w:rFonts w:ascii="宋体" w:hAnsi="宋体" w:cs="宋体"/>
          <w:color w:val="000000" w:themeColor="text1"/>
          <w:spacing w:val="9"/>
          <w:sz w:val="24"/>
          <w:szCs w:val="24"/>
          <w:highlight w:val="none"/>
          <w14:textFill>
            <w14:solidFill>
              <w14:schemeClr w14:val="tx1"/>
            </w14:solidFill>
          </w14:textFill>
        </w:rPr>
        <w:t>工期：指承包人按照合同约定完成养护项</w:t>
      </w:r>
      <w:r>
        <w:rPr>
          <w:rFonts w:ascii="宋体" w:hAnsi="宋体" w:cs="宋体"/>
          <w:color w:val="000000" w:themeColor="text1"/>
          <w:spacing w:val="-38"/>
          <w:sz w:val="24"/>
          <w:szCs w:val="24"/>
          <w:highlight w:val="none"/>
          <w14:textFill>
            <w14:solidFill>
              <w14:schemeClr w14:val="tx1"/>
            </w14:solidFill>
          </w14:textFill>
        </w:rPr>
        <w:t xml:space="preserve"> </w:t>
      </w:r>
      <w:r>
        <w:rPr>
          <w:rFonts w:ascii="宋体" w:hAnsi="宋体" w:cs="宋体"/>
          <w:color w:val="000000" w:themeColor="text1"/>
          <w:spacing w:val="9"/>
          <w:sz w:val="24"/>
          <w:szCs w:val="24"/>
          <w:highlight w:val="none"/>
          <w14:textFill>
            <w14:solidFill>
              <w14:schemeClr w14:val="tx1"/>
            </w14:solidFill>
          </w14:textFill>
        </w:rPr>
        <w:t>目所需的期限，包括按第</w:t>
      </w:r>
      <w:r>
        <w:rPr>
          <w:rFonts w:eastAsia="Times New Roman"/>
          <w:color w:val="000000" w:themeColor="text1"/>
          <w:spacing w:val="-2"/>
          <w:sz w:val="24"/>
          <w:szCs w:val="24"/>
          <w:highlight w:val="none"/>
          <w14:textFill>
            <w14:solidFill>
              <w14:schemeClr w14:val="tx1"/>
            </w14:solidFill>
          </w14:textFill>
        </w:rPr>
        <w:t xml:space="preserve">11.3 </w:t>
      </w:r>
      <w:r>
        <w:rPr>
          <w:rFonts w:ascii="宋体" w:hAnsi="宋体" w:cs="宋体"/>
          <w:color w:val="000000" w:themeColor="text1"/>
          <w:spacing w:val="-2"/>
          <w:sz w:val="24"/>
          <w:szCs w:val="24"/>
          <w:highlight w:val="none"/>
          <w14:textFill>
            <w14:solidFill>
              <w14:schemeClr w14:val="tx1"/>
            </w14:solidFill>
          </w14:textFill>
        </w:rPr>
        <w:t>款和第</w:t>
      </w:r>
      <w:r>
        <w:rPr>
          <w:rFonts w:ascii="宋体" w:hAnsi="宋体" w:cs="宋体"/>
          <w:color w:val="000000" w:themeColor="text1"/>
          <w:spacing w:val="-32"/>
          <w:sz w:val="24"/>
          <w:szCs w:val="24"/>
          <w:highlight w:val="none"/>
          <w14:textFill>
            <w14:solidFill>
              <w14:schemeClr w14:val="tx1"/>
            </w14:solidFill>
          </w14:textFill>
        </w:rPr>
        <w:t xml:space="preserve"> </w:t>
      </w:r>
      <w:r>
        <w:rPr>
          <w:rFonts w:eastAsia="Times New Roman"/>
          <w:color w:val="000000" w:themeColor="text1"/>
          <w:spacing w:val="-2"/>
          <w:sz w:val="24"/>
          <w:szCs w:val="24"/>
          <w:highlight w:val="none"/>
          <w14:textFill>
            <w14:solidFill>
              <w14:schemeClr w14:val="tx1"/>
            </w14:solidFill>
          </w14:textFill>
        </w:rPr>
        <w:t xml:space="preserve">11.4 </w:t>
      </w:r>
      <w:r>
        <w:rPr>
          <w:rFonts w:ascii="宋体" w:hAnsi="宋体" w:cs="宋体"/>
          <w:color w:val="000000" w:themeColor="text1"/>
          <w:spacing w:val="-2"/>
          <w:sz w:val="24"/>
          <w:szCs w:val="24"/>
          <w:highlight w:val="none"/>
          <w14:textFill>
            <w14:solidFill>
              <w14:schemeClr w14:val="tx1"/>
            </w14:solidFill>
          </w14:textFill>
        </w:rPr>
        <w:t>款约定所作的变更。具体内容在专用合同条款中</w:t>
      </w:r>
      <w:r>
        <w:rPr>
          <w:rFonts w:ascii="宋体" w:hAnsi="宋体" w:cs="宋体"/>
          <w:color w:val="000000" w:themeColor="text1"/>
          <w:spacing w:val="-3"/>
          <w:sz w:val="24"/>
          <w:szCs w:val="24"/>
          <w:highlight w:val="none"/>
          <w14:textFill>
            <w14:solidFill>
              <w14:schemeClr w14:val="tx1"/>
            </w14:solidFill>
          </w14:textFill>
        </w:rPr>
        <w:t>约定。</w:t>
      </w:r>
    </w:p>
    <w:p w14:paraId="550580B3">
      <w:pPr>
        <w:spacing w:before="117" w:line="263" w:lineRule="auto"/>
        <w:ind w:left="3" w:right="2" w:firstLine="495"/>
        <w:rPr>
          <w:rFonts w:ascii="宋体" w:hAnsi="宋体" w:cs="宋体"/>
          <w:color w:val="000000" w:themeColor="text1"/>
          <w:sz w:val="24"/>
          <w:szCs w:val="24"/>
          <w:highlight w:val="none"/>
          <w14:textFill>
            <w14:solidFill>
              <w14:schemeClr w14:val="tx1"/>
            </w14:solidFill>
          </w14:textFill>
        </w:rPr>
      </w:pPr>
      <w:r>
        <w:rPr>
          <w:rFonts w:eastAsia="Times New Roman"/>
          <w:color w:val="000000" w:themeColor="text1"/>
          <w:spacing w:val="1"/>
          <w:sz w:val="24"/>
          <w:szCs w:val="24"/>
          <w:highlight w:val="none"/>
          <w14:textFill>
            <w14:solidFill>
              <w14:schemeClr w14:val="tx1"/>
            </w14:solidFill>
          </w14:textFill>
        </w:rPr>
        <w:t xml:space="preserve">1.1.4.4  </w:t>
      </w:r>
      <w:r>
        <w:rPr>
          <w:rFonts w:ascii="宋体" w:hAnsi="宋体" w:cs="宋体"/>
          <w:color w:val="000000" w:themeColor="text1"/>
          <w:spacing w:val="1"/>
          <w:sz w:val="24"/>
          <w:szCs w:val="24"/>
          <w:highlight w:val="none"/>
          <w14:textFill>
            <w14:solidFill>
              <w14:schemeClr w14:val="tx1"/>
            </w14:solidFill>
          </w14:textFill>
        </w:rPr>
        <w:t>交工日期：指第</w:t>
      </w:r>
      <w:r>
        <w:rPr>
          <w:rFonts w:ascii="宋体" w:hAnsi="宋体" w:cs="宋体"/>
          <w:color w:val="000000" w:themeColor="text1"/>
          <w:spacing w:val="-27"/>
          <w:sz w:val="24"/>
          <w:szCs w:val="24"/>
          <w:highlight w:val="none"/>
          <w14:textFill>
            <w14:solidFill>
              <w14:schemeClr w14:val="tx1"/>
            </w14:solidFill>
          </w14:textFill>
        </w:rPr>
        <w:t xml:space="preserve"> </w:t>
      </w:r>
      <w:r>
        <w:rPr>
          <w:rFonts w:eastAsia="Times New Roman"/>
          <w:color w:val="000000" w:themeColor="text1"/>
          <w:spacing w:val="1"/>
          <w:sz w:val="24"/>
          <w:szCs w:val="24"/>
          <w:highlight w:val="none"/>
          <w14:textFill>
            <w14:solidFill>
              <w14:schemeClr w14:val="tx1"/>
            </w14:solidFill>
          </w14:textFill>
        </w:rPr>
        <w:t xml:space="preserve">1.1.4.3  </w:t>
      </w:r>
      <w:r>
        <w:rPr>
          <w:rFonts w:ascii="宋体" w:hAnsi="宋体" w:cs="宋体"/>
          <w:color w:val="000000" w:themeColor="text1"/>
          <w:spacing w:val="1"/>
          <w:sz w:val="24"/>
          <w:szCs w:val="24"/>
          <w:highlight w:val="none"/>
          <w14:textFill>
            <w14:solidFill>
              <w14:schemeClr w14:val="tx1"/>
            </w14:solidFill>
          </w14:textFill>
        </w:rPr>
        <w:t>目约定工期届</w:t>
      </w:r>
      <w:r>
        <w:rPr>
          <w:rFonts w:ascii="宋体" w:hAnsi="宋体" w:cs="宋体"/>
          <w:color w:val="000000" w:themeColor="text1"/>
          <w:sz w:val="24"/>
          <w:szCs w:val="24"/>
          <w:highlight w:val="none"/>
          <w14:textFill>
            <w14:solidFill>
              <w14:schemeClr w14:val="tx1"/>
            </w14:solidFill>
          </w14:textFill>
        </w:rPr>
        <w:t>满时的日期。实际交工日期以交</w:t>
      </w:r>
      <w:r>
        <w:rPr>
          <w:rFonts w:ascii="宋体" w:hAnsi="宋体" w:cs="宋体"/>
          <w:color w:val="000000" w:themeColor="text1"/>
          <w:spacing w:val="-1"/>
          <w:sz w:val="24"/>
          <w:szCs w:val="24"/>
          <w:highlight w:val="none"/>
          <w14:textFill>
            <w14:solidFill>
              <w14:schemeClr w14:val="tx1"/>
            </w14:solidFill>
          </w14:textFill>
        </w:rPr>
        <w:t>工验收证书中写明的日期为准。</w:t>
      </w:r>
    </w:p>
    <w:p w14:paraId="3D96D09A">
      <w:pPr>
        <w:spacing w:before="114" w:line="264" w:lineRule="auto"/>
        <w:ind w:left="1" w:right="2" w:firstLine="497"/>
        <w:rPr>
          <w:rFonts w:ascii="宋体" w:hAnsi="宋体" w:cs="宋体"/>
          <w:color w:val="000000" w:themeColor="text1"/>
          <w:sz w:val="24"/>
          <w:szCs w:val="24"/>
          <w:highlight w:val="none"/>
          <w14:textFill>
            <w14:solidFill>
              <w14:schemeClr w14:val="tx1"/>
            </w14:solidFill>
          </w14:textFill>
        </w:rPr>
      </w:pPr>
      <w:r>
        <w:rPr>
          <w:rFonts w:eastAsia="Times New Roman"/>
          <w:color w:val="000000" w:themeColor="text1"/>
          <w:spacing w:val="3"/>
          <w:sz w:val="24"/>
          <w:szCs w:val="24"/>
          <w:highlight w:val="none"/>
          <w14:textFill>
            <w14:solidFill>
              <w14:schemeClr w14:val="tx1"/>
            </w14:solidFill>
          </w14:textFill>
        </w:rPr>
        <w:t xml:space="preserve">1.1.4.5  </w:t>
      </w:r>
      <w:r>
        <w:rPr>
          <w:rFonts w:ascii="宋体" w:hAnsi="宋体" w:cs="宋体"/>
          <w:color w:val="000000" w:themeColor="text1"/>
          <w:spacing w:val="3"/>
          <w:sz w:val="24"/>
          <w:szCs w:val="24"/>
          <w:highlight w:val="none"/>
          <w14:textFill>
            <w14:solidFill>
              <w14:schemeClr w14:val="tx1"/>
            </w14:solidFill>
          </w14:textFill>
        </w:rPr>
        <w:t>缺陷责任期：指履行第</w:t>
      </w:r>
      <w:r>
        <w:rPr>
          <w:rFonts w:ascii="宋体" w:hAnsi="宋体" w:cs="宋体"/>
          <w:color w:val="000000" w:themeColor="text1"/>
          <w:spacing w:val="-23"/>
          <w:sz w:val="24"/>
          <w:szCs w:val="24"/>
          <w:highlight w:val="none"/>
          <w14:textFill>
            <w14:solidFill>
              <w14:schemeClr w14:val="tx1"/>
            </w14:solidFill>
          </w14:textFill>
        </w:rPr>
        <w:t xml:space="preserve"> </w:t>
      </w:r>
      <w:r>
        <w:rPr>
          <w:rFonts w:eastAsia="Times New Roman"/>
          <w:color w:val="000000" w:themeColor="text1"/>
          <w:spacing w:val="3"/>
          <w:sz w:val="24"/>
          <w:szCs w:val="24"/>
          <w:highlight w:val="none"/>
          <w14:textFill>
            <w14:solidFill>
              <w14:schemeClr w14:val="tx1"/>
            </w14:solidFill>
          </w14:textFill>
        </w:rPr>
        <w:t>19.1.2</w:t>
      </w:r>
      <w:r>
        <w:rPr>
          <w:rFonts w:eastAsia="Times New Roman"/>
          <w:color w:val="000000" w:themeColor="text1"/>
          <w:spacing w:val="21"/>
          <w:sz w:val="24"/>
          <w:szCs w:val="24"/>
          <w:highlight w:val="none"/>
          <w14:textFill>
            <w14:solidFill>
              <w14:schemeClr w14:val="tx1"/>
            </w14:solidFill>
          </w14:textFill>
        </w:rPr>
        <w:t xml:space="preserve"> </w:t>
      </w:r>
      <w:r>
        <w:rPr>
          <w:rFonts w:ascii="宋体" w:hAnsi="宋体" w:cs="宋体"/>
          <w:color w:val="000000" w:themeColor="text1"/>
          <w:spacing w:val="3"/>
          <w:sz w:val="24"/>
          <w:szCs w:val="24"/>
          <w:highlight w:val="none"/>
          <w14:textFill>
            <w14:solidFill>
              <w14:schemeClr w14:val="tx1"/>
            </w14:solidFill>
          </w14:textFill>
        </w:rPr>
        <w:t>项约定的缺陷责任的期限，具体期限由</w:t>
      </w:r>
      <w:r>
        <w:rPr>
          <w:rFonts w:ascii="宋体" w:hAnsi="宋体" w:cs="宋体"/>
          <w:color w:val="000000" w:themeColor="text1"/>
          <w:spacing w:val="-2"/>
          <w:sz w:val="24"/>
          <w:szCs w:val="24"/>
          <w:highlight w:val="none"/>
          <w14:textFill>
            <w14:solidFill>
              <w14:schemeClr w14:val="tx1"/>
            </w14:solidFill>
          </w14:textFill>
        </w:rPr>
        <w:t>专用合同条款约定，包括根据第</w:t>
      </w:r>
      <w:r>
        <w:rPr>
          <w:rFonts w:ascii="宋体" w:hAnsi="宋体" w:cs="宋体"/>
          <w:color w:val="000000" w:themeColor="text1"/>
          <w:spacing w:val="-16"/>
          <w:sz w:val="24"/>
          <w:szCs w:val="24"/>
          <w:highlight w:val="none"/>
          <w14:textFill>
            <w14:solidFill>
              <w14:schemeClr w14:val="tx1"/>
            </w14:solidFill>
          </w14:textFill>
        </w:rPr>
        <w:t xml:space="preserve"> </w:t>
      </w:r>
      <w:r>
        <w:rPr>
          <w:rFonts w:eastAsia="Times New Roman"/>
          <w:color w:val="000000" w:themeColor="text1"/>
          <w:spacing w:val="-2"/>
          <w:sz w:val="24"/>
          <w:szCs w:val="24"/>
          <w:highlight w:val="none"/>
          <w14:textFill>
            <w14:solidFill>
              <w14:schemeClr w14:val="tx1"/>
            </w14:solidFill>
          </w14:textFill>
        </w:rPr>
        <w:t xml:space="preserve">19.3 </w:t>
      </w:r>
      <w:r>
        <w:rPr>
          <w:rFonts w:ascii="宋体" w:hAnsi="宋体" w:cs="宋体"/>
          <w:color w:val="000000" w:themeColor="text1"/>
          <w:spacing w:val="-2"/>
          <w:sz w:val="24"/>
          <w:szCs w:val="24"/>
          <w:highlight w:val="none"/>
          <w14:textFill>
            <w14:solidFill>
              <w14:schemeClr w14:val="tx1"/>
            </w14:solidFill>
          </w14:textFill>
        </w:rPr>
        <w:t>款约定所作的延长。</w:t>
      </w:r>
    </w:p>
    <w:p w14:paraId="34D8B1B3">
      <w:pPr>
        <w:spacing w:before="115" w:line="278" w:lineRule="auto"/>
        <w:ind w:left="1" w:firstLine="497"/>
        <w:rPr>
          <w:rFonts w:ascii="宋体" w:hAnsi="宋体" w:cs="宋体"/>
          <w:color w:val="000000" w:themeColor="text1"/>
          <w:sz w:val="24"/>
          <w:szCs w:val="24"/>
          <w:highlight w:val="none"/>
          <w14:textFill>
            <w14:solidFill>
              <w14:schemeClr w14:val="tx1"/>
            </w14:solidFill>
          </w14:textFill>
        </w:rPr>
      </w:pPr>
      <w:r>
        <w:rPr>
          <w:rFonts w:eastAsia="Times New Roman"/>
          <w:color w:val="000000" w:themeColor="text1"/>
          <w:spacing w:val="1"/>
          <w:sz w:val="24"/>
          <w:szCs w:val="24"/>
          <w:highlight w:val="none"/>
          <w14:textFill>
            <w14:solidFill>
              <w14:schemeClr w14:val="tx1"/>
            </w14:solidFill>
          </w14:textFill>
        </w:rPr>
        <w:t xml:space="preserve">1.1.4.6  </w:t>
      </w:r>
      <w:r>
        <w:rPr>
          <w:rFonts w:ascii="宋体" w:hAnsi="宋体" w:cs="宋体"/>
          <w:color w:val="000000" w:themeColor="text1"/>
          <w:spacing w:val="1"/>
          <w:sz w:val="24"/>
          <w:szCs w:val="24"/>
          <w:highlight w:val="none"/>
          <w14:textFill>
            <w14:solidFill>
              <w14:schemeClr w14:val="tx1"/>
            </w14:solidFill>
          </w14:textFill>
        </w:rPr>
        <w:t>基准日期：指合同协议书签订日前</w:t>
      </w:r>
      <w:r>
        <w:rPr>
          <w:rFonts w:ascii="宋体" w:hAnsi="宋体" w:cs="宋体"/>
          <w:color w:val="000000" w:themeColor="text1"/>
          <w:spacing w:val="-50"/>
          <w:sz w:val="24"/>
          <w:szCs w:val="24"/>
          <w:highlight w:val="none"/>
          <w14:textFill>
            <w14:solidFill>
              <w14:schemeClr w14:val="tx1"/>
            </w14:solidFill>
          </w14:textFill>
        </w:rPr>
        <w:t xml:space="preserve"> </w:t>
      </w:r>
      <w:r>
        <w:rPr>
          <w:rFonts w:eastAsia="Times New Roman"/>
          <w:color w:val="000000" w:themeColor="text1"/>
          <w:spacing w:val="1"/>
          <w:sz w:val="24"/>
          <w:szCs w:val="24"/>
          <w:highlight w:val="none"/>
          <w14:textFill>
            <w14:solidFill>
              <w14:schemeClr w14:val="tx1"/>
            </w14:solidFill>
          </w14:textFill>
        </w:rPr>
        <w:t>28</w:t>
      </w:r>
      <w:r>
        <w:rPr>
          <w:rFonts w:eastAsia="Times New Roman"/>
          <w:color w:val="000000" w:themeColor="text1"/>
          <w:spacing w:val="17"/>
          <w:sz w:val="24"/>
          <w:szCs w:val="24"/>
          <w:highlight w:val="none"/>
          <w14:textFill>
            <w14:solidFill>
              <w14:schemeClr w14:val="tx1"/>
            </w14:solidFill>
          </w14:textFill>
        </w:rPr>
        <w:t xml:space="preserve"> </w:t>
      </w:r>
      <w:r>
        <w:rPr>
          <w:rFonts w:ascii="宋体" w:hAnsi="宋体" w:cs="宋体"/>
          <w:color w:val="000000" w:themeColor="text1"/>
          <w:spacing w:val="1"/>
          <w:sz w:val="24"/>
          <w:szCs w:val="24"/>
          <w:highlight w:val="none"/>
          <w14:textFill>
            <w14:solidFill>
              <w14:schemeClr w14:val="tx1"/>
            </w14:solidFill>
          </w14:textFill>
        </w:rPr>
        <w:t>天的日期（适用于直接发</w:t>
      </w:r>
      <w:r>
        <w:rPr>
          <w:rFonts w:ascii="宋体" w:hAnsi="宋体" w:cs="宋体"/>
          <w:color w:val="000000" w:themeColor="text1"/>
          <w:sz w:val="24"/>
          <w:szCs w:val="24"/>
          <w:highlight w:val="none"/>
          <w14:textFill>
            <w14:solidFill>
              <w14:schemeClr w14:val="tx1"/>
            </w14:solidFill>
          </w14:textFill>
        </w:rPr>
        <w:t>包或通过其他竞争性方式发包的养护项目</w:t>
      </w:r>
      <w:r>
        <w:rPr>
          <w:rFonts w:ascii="宋体" w:hAnsi="宋体" w:cs="宋体"/>
          <w:color w:val="000000" w:themeColor="text1"/>
          <w:spacing w:val="-53"/>
          <w:sz w:val="24"/>
          <w:szCs w:val="24"/>
          <w:highlight w:val="none"/>
          <w14:textFill>
            <w14:solidFill>
              <w14:schemeClr w14:val="tx1"/>
            </w14:solidFill>
          </w14:textFill>
        </w:rPr>
        <w:t>），</w:t>
      </w:r>
      <w:r>
        <w:rPr>
          <w:rFonts w:ascii="宋体" w:hAnsi="宋体" w:cs="宋体"/>
          <w:color w:val="000000" w:themeColor="text1"/>
          <w:sz w:val="24"/>
          <w:szCs w:val="24"/>
          <w:highlight w:val="none"/>
          <w14:textFill>
            <w14:solidFill>
              <w14:schemeClr w14:val="tx1"/>
            </w14:solidFill>
          </w14:textFill>
        </w:rPr>
        <w:t>或投标截止时间前</w:t>
      </w:r>
      <w:r>
        <w:rPr>
          <w:rFonts w:ascii="宋体" w:hAnsi="宋体" w:cs="宋体"/>
          <w:color w:val="000000" w:themeColor="text1"/>
          <w:spacing w:val="-54"/>
          <w:sz w:val="24"/>
          <w:szCs w:val="24"/>
          <w:highlight w:val="none"/>
          <w14:textFill>
            <w14:solidFill>
              <w14:schemeClr w14:val="tx1"/>
            </w14:solidFill>
          </w14:textFill>
        </w:rPr>
        <w:t xml:space="preserve"> </w:t>
      </w:r>
      <w:r>
        <w:rPr>
          <w:rFonts w:eastAsia="Times New Roman"/>
          <w:color w:val="000000" w:themeColor="text1"/>
          <w:spacing w:val="-1"/>
          <w:sz w:val="24"/>
          <w:szCs w:val="24"/>
          <w:highlight w:val="none"/>
          <w14:textFill>
            <w14:solidFill>
              <w14:schemeClr w14:val="tx1"/>
            </w14:solidFill>
          </w14:textFill>
        </w:rPr>
        <w:t>28</w:t>
      </w:r>
      <w:r>
        <w:rPr>
          <w:rFonts w:eastAsia="Times New Roman"/>
          <w:color w:val="000000" w:themeColor="text1"/>
          <w:spacing w:val="16"/>
          <w:w w:val="101"/>
          <w:sz w:val="24"/>
          <w:szCs w:val="24"/>
          <w:highlight w:val="none"/>
          <w14:textFill>
            <w14:solidFill>
              <w14:schemeClr w14:val="tx1"/>
            </w14:solidFill>
          </w14:textFill>
        </w:rPr>
        <w:t xml:space="preserve"> </w:t>
      </w:r>
      <w:r>
        <w:rPr>
          <w:rFonts w:ascii="宋体" w:hAnsi="宋体" w:cs="宋体"/>
          <w:color w:val="000000" w:themeColor="text1"/>
          <w:spacing w:val="-1"/>
          <w:sz w:val="24"/>
          <w:szCs w:val="24"/>
          <w:highlight w:val="none"/>
          <w14:textFill>
            <w14:solidFill>
              <w14:schemeClr w14:val="tx1"/>
            </w14:solidFill>
          </w14:textFill>
        </w:rPr>
        <w:t>天的日期（适用于招标</w:t>
      </w:r>
      <w:r>
        <w:rPr>
          <w:rFonts w:ascii="宋体" w:hAnsi="宋体" w:cs="宋体"/>
          <w:color w:val="000000" w:themeColor="text1"/>
          <w:spacing w:val="-11"/>
          <w:sz w:val="24"/>
          <w:szCs w:val="24"/>
          <w:highlight w:val="none"/>
          <w14:textFill>
            <w14:solidFill>
              <w14:schemeClr w14:val="tx1"/>
            </w14:solidFill>
          </w14:textFill>
        </w:rPr>
        <w:t>发包的养护项目）。</w:t>
      </w:r>
    </w:p>
    <w:p w14:paraId="59FBBE97">
      <w:pPr>
        <w:spacing w:before="116" w:line="263" w:lineRule="auto"/>
        <w:ind w:firstLine="498"/>
        <w:rPr>
          <w:rFonts w:ascii="宋体" w:hAnsi="宋体" w:cs="宋体"/>
          <w:color w:val="000000" w:themeColor="text1"/>
          <w:sz w:val="24"/>
          <w:szCs w:val="24"/>
          <w:highlight w:val="none"/>
          <w14:textFill>
            <w14:solidFill>
              <w14:schemeClr w14:val="tx1"/>
            </w14:solidFill>
          </w14:textFill>
        </w:rPr>
      </w:pPr>
      <w:r>
        <w:rPr>
          <w:rFonts w:eastAsia="Times New Roman"/>
          <w:color w:val="000000" w:themeColor="text1"/>
          <w:spacing w:val="5"/>
          <w:sz w:val="24"/>
          <w:szCs w:val="24"/>
          <w:highlight w:val="none"/>
          <w14:textFill>
            <w14:solidFill>
              <w14:schemeClr w14:val="tx1"/>
            </w14:solidFill>
          </w14:textFill>
        </w:rPr>
        <w:t xml:space="preserve">1.1.4.7  </w:t>
      </w:r>
      <w:r>
        <w:rPr>
          <w:rFonts w:ascii="宋体" w:hAnsi="宋体" w:cs="宋体"/>
          <w:color w:val="000000" w:themeColor="text1"/>
          <w:spacing w:val="5"/>
          <w:sz w:val="24"/>
          <w:szCs w:val="24"/>
          <w:highlight w:val="none"/>
          <w14:textFill>
            <w14:solidFill>
              <w14:schemeClr w14:val="tx1"/>
            </w14:solidFill>
          </w14:textFill>
        </w:rPr>
        <w:t>天：除特别指明外，指日历天。合同中按天计算</w:t>
      </w:r>
      <w:r>
        <w:rPr>
          <w:rFonts w:ascii="宋体" w:hAnsi="宋体" w:cs="宋体"/>
          <w:color w:val="000000" w:themeColor="text1"/>
          <w:spacing w:val="4"/>
          <w:sz w:val="24"/>
          <w:szCs w:val="24"/>
          <w:highlight w:val="none"/>
          <w14:textFill>
            <w14:solidFill>
              <w14:schemeClr w14:val="tx1"/>
            </w14:solidFill>
          </w14:textFill>
        </w:rPr>
        <w:t>时间的，开始当天不</w:t>
      </w:r>
      <w:r>
        <w:rPr>
          <w:rFonts w:ascii="宋体" w:hAnsi="宋体" w:cs="宋体"/>
          <w:color w:val="000000" w:themeColor="text1"/>
          <w:sz w:val="24"/>
          <w:szCs w:val="24"/>
          <w:highlight w:val="none"/>
          <w14:textFill>
            <w14:solidFill>
              <w14:schemeClr w14:val="tx1"/>
            </w14:solidFill>
          </w14:textFill>
        </w:rPr>
        <w:t>计入，从次日开始计算。期限最后一天的截</w:t>
      </w:r>
      <w:r>
        <w:rPr>
          <w:rFonts w:ascii="宋体" w:hAnsi="宋体" w:cs="宋体"/>
          <w:color w:val="000000" w:themeColor="text1"/>
          <w:spacing w:val="-1"/>
          <w:sz w:val="24"/>
          <w:szCs w:val="24"/>
          <w:highlight w:val="none"/>
          <w14:textFill>
            <w14:solidFill>
              <w14:schemeClr w14:val="tx1"/>
            </w14:solidFill>
          </w14:textFill>
        </w:rPr>
        <w:t>止时间为当天二十四时。</w:t>
      </w:r>
    </w:p>
    <w:p w14:paraId="1EAC1FC3">
      <w:pPr>
        <w:spacing w:before="115" w:line="218" w:lineRule="auto"/>
        <w:ind w:left="499"/>
        <w:rPr>
          <w:rFonts w:ascii="宋体" w:hAnsi="宋体" w:cs="宋体"/>
          <w:color w:val="000000" w:themeColor="text1"/>
          <w:sz w:val="24"/>
          <w:szCs w:val="24"/>
          <w:highlight w:val="none"/>
          <w14:textFill>
            <w14:solidFill>
              <w14:schemeClr w14:val="tx1"/>
            </w14:solidFill>
          </w14:textFill>
        </w:rPr>
      </w:pPr>
      <w:r>
        <w:rPr>
          <w:rFonts w:eastAsia="Times New Roman"/>
          <w:color w:val="000000" w:themeColor="text1"/>
          <w:spacing w:val="-3"/>
          <w:sz w:val="24"/>
          <w:szCs w:val="24"/>
          <w:highlight w:val="none"/>
          <w14:textFill>
            <w14:solidFill>
              <w14:schemeClr w14:val="tx1"/>
            </w14:solidFill>
          </w14:textFill>
        </w:rPr>
        <w:t xml:space="preserve">1.1.5  </w:t>
      </w:r>
      <w:r>
        <w:rPr>
          <w:rFonts w:ascii="宋体" w:hAnsi="宋体" w:cs="宋体"/>
          <w:color w:val="000000" w:themeColor="text1"/>
          <w:spacing w:val="-3"/>
          <w:sz w:val="24"/>
          <w:szCs w:val="24"/>
          <w:highlight w:val="none"/>
          <w14:textFill>
            <w14:solidFill>
              <w14:schemeClr w14:val="tx1"/>
            </w14:solidFill>
          </w14:textFill>
        </w:rPr>
        <w:t>合同价格和费用</w:t>
      </w:r>
    </w:p>
    <w:p w14:paraId="601144EC">
      <w:pPr>
        <w:spacing w:before="118" w:line="262" w:lineRule="auto"/>
        <w:ind w:left="8" w:right="40" w:firstLine="491"/>
        <w:rPr>
          <w:rFonts w:ascii="宋体" w:hAnsi="宋体" w:cs="宋体"/>
          <w:color w:val="000000" w:themeColor="text1"/>
          <w:sz w:val="24"/>
          <w:szCs w:val="24"/>
          <w:highlight w:val="none"/>
          <w14:textFill>
            <w14:solidFill>
              <w14:schemeClr w14:val="tx1"/>
            </w14:solidFill>
          </w14:textFill>
        </w:rPr>
      </w:pPr>
      <w:r>
        <w:rPr>
          <w:rFonts w:eastAsia="Times New Roman"/>
          <w:color w:val="000000" w:themeColor="text1"/>
          <w:spacing w:val="4"/>
          <w:sz w:val="24"/>
          <w:szCs w:val="24"/>
          <w:highlight w:val="none"/>
          <w14:textFill>
            <w14:solidFill>
              <w14:schemeClr w14:val="tx1"/>
            </w14:solidFill>
          </w14:textFill>
        </w:rPr>
        <w:t xml:space="preserve">1.1.5.1  </w:t>
      </w:r>
      <w:r>
        <w:rPr>
          <w:rFonts w:ascii="宋体" w:hAnsi="宋体" w:cs="宋体"/>
          <w:color w:val="000000" w:themeColor="text1"/>
          <w:spacing w:val="4"/>
          <w:sz w:val="24"/>
          <w:szCs w:val="24"/>
          <w:highlight w:val="none"/>
          <w14:textFill>
            <w14:solidFill>
              <w14:schemeClr w14:val="tx1"/>
            </w14:solidFill>
          </w14:textFill>
        </w:rPr>
        <w:t>签约合同价：指签订合同时合同协议书中写明</w:t>
      </w:r>
      <w:r>
        <w:rPr>
          <w:rFonts w:ascii="宋体" w:hAnsi="宋体" w:cs="宋体"/>
          <w:color w:val="000000" w:themeColor="text1"/>
          <w:spacing w:val="3"/>
          <w:sz w:val="24"/>
          <w:szCs w:val="24"/>
          <w:highlight w:val="none"/>
          <w14:textFill>
            <w14:solidFill>
              <w14:schemeClr w14:val="tx1"/>
            </w14:solidFill>
          </w14:textFill>
        </w:rPr>
        <w:t>的，包括了暂列金额、</w:t>
      </w:r>
      <w:r>
        <w:rPr>
          <w:rFonts w:ascii="宋体" w:hAnsi="宋体" w:cs="宋体"/>
          <w:color w:val="000000" w:themeColor="text1"/>
          <w:spacing w:val="-2"/>
          <w:sz w:val="24"/>
          <w:szCs w:val="24"/>
          <w:highlight w:val="none"/>
          <w14:textFill>
            <w14:solidFill>
              <w14:schemeClr w14:val="tx1"/>
            </w14:solidFill>
          </w14:textFill>
        </w:rPr>
        <w:t>暂估价的合同总金额。</w:t>
      </w:r>
    </w:p>
    <w:p w14:paraId="6ADB8F27">
      <w:pPr>
        <w:spacing w:before="116" w:line="279" w:lineRule="auto"/>
        <w:ind w:left="3" w:firstLine="495"/>
        <w:rPr>
          <w:rFonts w:ascii="宋体" w:hAnsi="宋体" w:cs="宋体"/>
          <w:color w:val="000000" w:themeColor="text1"/>
          <w:sz w:val="24"/>
          <w:szCs w:val="24"/>
          <w:highlight w:val="none"/>
          <w14:textFill>
            <w14:solidFill>
              <w14:schemeClr w14:val="tx1"/>
            </w14:solidFill>
          </w14:textFill>
        </w:rPr>
      </w:pPr>
      <w:r>
        <w:rPr>
          <w:rFonts w:eastAsia="Times New Roman"/>
          <w:color w:val="000000" w:themeColor="text1"/>
          <w:spacing w:val="5"/>
          <w:sz w:val="24"/>
          <w:szCs w:val="24"/>
          <w:highlight w:val="none"/>
          <w14:textFill>
            <w14:solidFill>
              <w14:schemeClr w14:val="tx1"/>
            </w14:solidFill>
          </w14:textFill>
        </w:rPr>
        <w:t xml:space="preserve">1.1.5.2  </w:t>
      </w:r>
      <w:r>
        <w:rPr>
          <w:rFonts w:ascii="宋体" w:hAnsi="宋体" w:cs="宋体"/>
          <w:color w:val="000000" w:themeColor="text1"/>
          <w:spacing w:val="5"/>
          <w:sz w:val="24"/>
          <w:szCs w:val="24"/>
          <w:highlight w:val="none"/>
          <w14:textFill>
            <w14:solidFill>
              <w14:schemeClr w14:val="tx1"/>
            </w14:solidFill>
          </w14:textFill>
        </w:rPr>
        <w:t>合同价格：指承包人按合同约定完成了包括缺陷</w:t>
      </w:r>
      <w:r>
        <w:rPr>
          <w:rFonts w:ascii="宋体" w:hAnsi="宋体" w:cs="宋体"/>
          <w:color w:val="000000" w:themeColor="text1"/>
          <w:spacing w:val="4"/>
          <w:sz w:val="24"/>
          <w:szCs w:val="24"/>
          <w:highlight w:val="none"/>
          <w14:textFill>
            <w14:solidFill>
              <w14:schemeClr w14:val="tx1"/>
            </w14:solidFill>
          </w14:textFill>
        </w:rPr>
        <w:t>责任期内的全部承包</w:t>
      </w:r>
      <w:r>
        <w:rPr>
          <w:rFonts w:ascii="宋体" w:hAnsi="宋体" w:cs="宋体"/>
          <w:color w:val="000000" w:themeColor="text1"/>
          <w:spacing w:val="1"/>
          <w:sz w:val="24"/>
          <w:szCs w:val="24"/>
          <w:highlight w:val="none"/>
          <w14:textFill>
            <w14:solidFill>
              <w14:schemeClr w14:val="tx1"/>
            </w14:solidFill>
          </w14:textFill>
        </w:rPr>
        <w:t>工作后，发包人应付给承包人的金额，包括在履行</w:t>
      </w:r>
      <w:r>
        <w:rPr>
          <w:rFonts w:ascii="宋体" w:hAnsi="宋体" w:cs="宋体"/>
          <w:color w:val="000000" w:themeColor="text1"/>
          <w:sz w:val="24"/>
          <w:szCs w:val="24"/>
          <w:highlight w:val="none"/>
          <w14:textFill>
            <w14:solidFill>
              <w14:schemeClr w14:val="tx1"/>
            </w14:solidFill>
          </w14:textFill>
        </w:rPr>
        <w:t>合同过程中按合同约定进行的变</w:t>
      </w:r>
      <w:r>
        <w:rPr>
          <w:rFonts w:ascii="宋体" w:hAnsi="宋体" w:cs="宋体"/>
          <w:color w:val="000000" w:themeColor="text1"/>
          <w:spacing w:val="-3"/>
          <w:sz w:val="24"/>
          <w:szCs w:val="24"/>
          <w:highlight w:val="none"/>
          <w14:textFill>
            <w14:solidFill>
              <w14:schemeClr w14:val="tx1"/>
            </w14:solidFill>
          </w14:textFill>
        </w:rPr>
        <w:t>更和调整。</w:t>
      </w:r>
    </w:p>
    <w:p w14:paraId="0487E04B">
      <w:pPr>
        <w:spacing w:before="113" w:line="264" w:lineRule="auto"/>
        <w:ind w:left="14" w:firstLine="485"/>
        <w:rPr>
          <w:rFonts w:ascii="宋体" w:hAnsi="宋体" w:cs="宋体"/>
          <w:color w:val="000000" w:themeColor="text1"/>
          <w:sz w:val="24"/>
          <w:szCs w:val="24"/>
          <w:highlight w:val="none"/>
          <w14:textFill>
            <w14:solidFill>
              <w14:schemeClr w14:val="tx1"/>
            </w14:solidFill>
          </w14:textFill>
        </w:rPr>
      </w:pPr>
      <w:r>
        <w:rPr>
          <w:rFonts w:eastAsia="Times New Roman"/>
          <w:color w:val="000000" w:themeColor="text1"/>
          <w:spacing w:val="5"/>
          <w:sz w:val="24"/>
          <w:szCs w:val="24"/>
          <w:highlight w:val="none"/>
          <w14:textFill>
            <w14:solidFill>
              <w14:schemeClr w14:val="tx1"/>
            </w14:solidFill>
          </w14:textFill>
        </w:rPr>
        <w:t xml:space="preserve">1.1.5.3  </w:t>
      </w:r>
      <w:r>
        <w:rPr>
          <w:rFonts w:ascii="宋体" w:hAnsi="宋体" w:cs="宋体"/>
          <w:color w:val="000000" w:themeColor="text1"/>
          <w:spacing w:val="5"/>
          <w:sz w:val="24"/>
          <w:szCs w:val="24"/>
          <w:highlight w:val="none"/>
          <w14:textFill>
            <w14:solidFill>
              <w14:schemeClr w14:val="tx1"/>
            </w14:solidFill>
          </w14:textFill>
        </w:rPr>
        <w:t>费用：指为履行合同所发生的或将要发生的所有</w:t>
      </w:r>
      <w:r>
        <w:rPr>
          <w:rFonts w:ascii="宋体" w:hAnsi="宋体" w:cs="宋体"/>
          <w:color w:val="000000" w:themeColor="text1"/>
          <w:spacing w:val="4"/>
          <w:sz w:val="24"/>
          <w:szCs w:val="24"/>
          <w:highlight w:val="none"/>
          <w14:textFill>
            <w14:solidFill>
              <w14:schemeClr w14:val="tx1"/>
            </w14:solidFill>
          </w14:textFill>
        </w:rPr>
        <w:t>合理开支，包括管理</w:t>
      </w:r>
      <w:r>
        <w:rPr>
          <w:rFonts w:ascii="宋体" w:hAnsi="宋体" w:cs="宋体"/>
          <w:color w:val="000000" w:themeColor="text1"/>
          <w:spacing w:val="-2"/>
          <w:sz w:val="24"/>
          <w:szCs w:val="24"/>
          <w:highlight w:val="none"/>
          <w14:textFill>
            <w14:solidFill>
              <w14:schemeClr w14:val="tx1"/>
            </w14:solidFill>
          </w14:textFill>
        </w:rPr>
        <w:t>费和应分摊的其他费用，但不包括利润。</w:t>
      </w:r>
    </w:p>
    <w:p w14:paraId="740D7861">
      <w:pPr>
        <w:spacing w:before="112" w:line="279" w:lineRule="auto"/>
        <w:ind w:firstLine="498"/>
        <w:rPr>
          <w:rFonts w:ascii="宋体" w:hAnsi="宋体" w:cs="宋体"/>
          <w:color w:val="000000" w:themeColor="text1"/>
          <w:sz w:val="24"/>
          <w:szCs w:val="24"/>
          <w:highlight w:val="none"/>
          <w14:textFill>
            <w14:solidFill>
              <w14:schemeClr w14:val="tx1"/>
            </w14:solidFill>
          </w14:textFill>
        </w:rPr>
      </w:pPr>
      <w:r>
        <w:rPr>
          <w:rFonts w:eastAsia="Times New Roman"/>
          <w:color w:val="000000" w:themeColor="text1"/>
          <w:spacing w:val="5"/>
          <w:sz w:val="24"/>
          <w:szCs w:val="24"/>
          <w:highlight w:val="none"/>
          <w14:textFill>
            <w14:solidFill>
              <w14:schemeClr w14:val="tx1"/>
            </w14:solidFill>
          </w14:textFill>
        </w:rPr>
        <w:t xml:space="preserve">1.1.5.4  </w:t>
      </w:r>
      <w:r>
        <w:rPr>
          <w:rFonts w:ascii="宋体" w:hAnsi="宋体" w:cs="宋体"/>
          <w:color w:val="000000" w:themeColor="text1"/>
          <w:spacing w:val="5"/>
          <w:sz w:val="24"/>
          <w:szCs w:val="24"/>
          <w:highlight w:val="none"/>
          <w14:textFill>
            <w14:solidFill>
              <w14:schemeClr w14:val="tx1"/>
            </w14:solidFill>
          </w14:textFill>
        </w:rPr>
        <w:t>暂列金额：指已标价工程量清单中所列的暂列金</w:t>
      </w:r>
      <w:r>
        <w:rPr>
          <w:rFonts w:ascii="宋体" w:hAnsi="宋体" w:cs="宋体"/>
          <w:color w:val="000000" w:themeColor="text1"/>
          <w:spacing w:val="4"/>
          <w:sz w:val="24"/>
          <w:szCs w:val="24"/>
          <w:highlight w:val="none"/>
          <w14:textFill>
            <w14:solidFill>
              <w14:schemeClr w14:val="tx1"/>
            </w14:solidFill>
          </w14:textFill>
        </w:rPr>
        <w:t>额，用于支付在签订</w:t>
      </w:r>
      <w:r>
        <w:rPr>
          <w:rFonts w:ascii="宋体" w:hAnsi="宋体" w:cs="宋体"/>
          <w:color w:val="000000" w:themeColor="text1"/>
          <w:spacing w:val="1"/>
          <w:sz w:val="24"/>
          <w:szCs w:val="24"/>
          <w:highlight w:val="none"/>
          <w14:textFill>
            <w14:solidFill>
              <w14:schemeClr w14:val="tx1"/>
            </w14:solidFill>
          </w14:textFill>
        </w:rPr>
        <w:t>协议书时尚未确定或不可预见变更的工程、材料、工程设</w:t>
      </w:r>
      <w:r>
        <w:rPr>
          <w:rFonts w:ascii="宋体" w:hAnsi="宋体" w:cs="宋体"/>
          <w:color w:val="000000" w:themeColor="text1"/>
          <w:sz w:val="24"/>
          <w:szCs w:val="24"/>
          <w:highlight w:val="none"/>
          <w14:textFill>
            <w14:solidFill>
              <w14:schemeClr w14:val="tx1"/>
            </w14:solidFill>
          </w14:textFill>
        </w:rPr>
        <w:t>备、服务的金额，包括以</w:t>
      </w:r>
      <w:r>
        <w:rPr>
          <w:rFonts w:ascii="宋体" w:hAnsi="宋体" w:cs="宋体"/>
          <w:color w:val="000000" w:themeColor="text1"/>
          <w:spacing w:val="-1"/>
          <w:sz w:val="24"/>
          <w:szCs w:val="24"/>
          <w:highlight w:val="none"/>
          <w14:textFill>
            <w14:solidFill>
              <w14:schemeClr w14:val="tx1"/>
            </w14:solidFill>
          </w14:textFill>
        </w:rPr>
        <w:t>计日工方式支付的金额。</w:t>
      </w:r>
    </w:p>
    <w:p w14:paraId="0D8DC963">
      <w:pPr>
        <w:spacing w:before="114" w:line="263" w:lineRule="auto"/>
        <w:ind w:right="2" w:firstLine="498"/>
        <w:rPr>
          <w:rFonts w:ascii="宋体" w:hAnsi="宋体" w:cs="宋体"/>
          <w:color w:val="000000" w:themeColor="text1"/>
          <w:sz w:val="24"/>
          <w:szCs w:val="24"/>
          <w:highlight w:val="none"/>
          <w14:textFill>
            <w14:solidFill>
              <w14:schemeClr w14:val="tx1"/>
            </w14:solidFill>
          </w14:textFill>
        </w:rPr>
      </w:pPr>
      <w:r>
        <w:rPr>
          <w:rFonts w:eastAsia="Times New Roman"/>
          <w:color w:val="000000" w:themeColor="text1"/>
          <w:sz w:val="24"/>
          <w:szCs w:val="24"/>
          <w:highlight w:val="none"/>
          <w14:textFill>
            <w14:solidFill>
              <w14:schemeClr w14:val="tx1"/>
            </w14:solidFill>
          </w14:textFill>
        </w:rPr>
        <w:t>1.1.5.5</w:t>
      </w:r>
      <w:r>
        <w:rPr>
          <w:rFonts w:eastAsia="Times New Roman"/>
          <w:color w:val="000000" w:themeColor="text1"/>
          <w:spacing w:val="17"/>
          <w:sz w:val="24"/>
          <w:szCs w:val="24"/>
          <w:highlight w:val="none"/>
          <w14:textFill>
            <w14:solidFill>
              <w14:schemeClr w14:val="tx1"/>
            </w14:solidFill>
          </w14:textFill>
        </w:rPr>
        <w:t xml:space="preserve"> </w:t>
      </w:r>
      <w:r>
        <w:rPr>
          <w:rFonts w:ascii="宋体" w:hAnsi="宋体" w:cs="宋体"/>
          <w:color w:val="000000" w:themeColor="text1"/>
          <w:sz w:val="24"/>
          <w:szCs w:val="24"/>
          <w:highlight w:val="none"/>
          <w14:textFill>
            <w14:solidFill>
              <w14:schemeClr w14:val="tx1"/>
            </w14:solidFill>
          </w14:textFill>
        </w:rPr>
        <w:t>暂估价：指发包人在工程量清单中给定的</w:t>
      </w:r>
      <w:r>
        <w:rPr>
          <w:rFonts w:ascii="宋体" w:hAnsi="宋体" w:cs="宋体"/>
          <w:color w:val="000000" w:themeColor="text1"/>
          <w:spacing w:val="-1"/>
          <w:sz w:val="24"/>
          <w:szCs w:val="24"/>
          <w:highlight w:val="none"/>
          <w14:textFill>
            <w14:solidFill>
              <w14:schemeClr w14:val="tx1"/>
            </w14:solidFill>
          </w14:textFill>
        </w:rPr>
        <w:t>用于支付必然发生但暂时不能确定价格的工程、材料、工程设备、服务的金额。</w:t>
      </w:r>
    </w:p>
    <w:p w14:paraId="0A57B895">
      <w:pPr>
        <w:spacing w:before="78" w:line="263" w:lineRule="auto"/>
        <w:ind w:right="164" w:firstLine="499"/>
        <w:rPr>
          <w:rFonts w:ascii="宋体" w:hAnsi="宋体" w:cs="宋体"/>
          <w:color w:val="000000" w:themeColor="text1"/>
          <w:sz w:val="24"/>
          <w:szCs w:val="24"/>
          <w:highlight w:val="none"/>
          <w14:textFill>
            <w14:solidFill>
              <w14:schemeClr w14:val="tx1"/>
            </w14:solidFill>
          </w14:textFill>
        </w:rPr>
      </w:pPr>
      <w:r>
        <w:rPr>
          <w:rFonts w:eastAsia="Times New Roman"/>
          <w:color w:val="000000" w:themeColor="text1"/>
          <w:spacing w:val="5"/>
          <w:sz w:val="24"/>
          <w:szCs w:val="24"/>
          <w:highlight w:val="none"/>
          <w14:textFill>
            <w14:solidFill>
              <w14:schemeClr w14:val="tx1"/>
            </w14:solidFill>
          </w14:textFill>
        </w:rPr>
        <w:t xml:space="preserve">1.1.5.6  </w:t>
      </w:r>
      <w:r>
        <w:rPr>
          <w:rFonts w:ascii="宋体" w:hAnsi="宋体" w:cs="宋体"/>
          <w:color w:val="000000" w:themeColor="text1"/>
          <w:spacing w:val="5"/>
          <w:sz w:val="24"/>
          <w:szCs w:val="24"/>
          <w:highlight w:val="none"/>
          <w14:textFill>
            <w14:solidFill>
              <w14:schemeClr w14:val="tx1"/>
            </w14:solidFill>
          </w14:textFill>
        </w:rPr>
        <w:t>计日工：指对零星工作采取的一种计价方式，按</w:t>
      </w:r>
      <w:r>
        <w:rPr>
          <w:rFonts w:ascii="宋体" w:hAnsi="宋体" w:cs="宋体"/>
          <w:color w:val="000000" w:themeColor="text1"/>
          <w:spacing w:val="4"/>
          <w:sz w:val="24"/>
          <w:szCs w:val="24"/>
          <w:highlight w:val="none"/>
          <w14:textFill>
            <w14:solidFill>
              <w14:schemeClr w14:val="tx1"/>
            </w14:solidFill>
          </w14:textFill>
        </w:rPr>
        <w:t>合同中的计日工子目</w:t>
      </w:r>
      <w:r>
        <w:rPr>
          <w:rFonts w:ascii="宋体" w:hAnsi="宋体" w:cs="宋体"/>
          <w:color w:val="000000" w:themeColor="text1"/>
          <w:spacing w:val="-1"/>
          <w:sz w:val="24"/>
          <w:szCs w:val="24"/>
          <w:highlight w:val="none"/>
          <w14:textFill>
            <w14:solidFill>
              <w14:schemeClr w14:val="tx1"/>
            </w14:solidFill>
          </w14:textFill>
        </w:rPr>
        <w:t>及其单价计价付款。</w:t>
      </w:r>
    </w:p>
    <w:p w14:paraId="776FD03E">
      <w:pPr>
        <w:spacing w:before="114" w:line="264" w:lineRule="auto"/>
        <w:ind w:left="1" w:right="166" w:firstLine="498"/>
        <w:rPr>
          <w:rFonts w:ascii="宋体" w:hAnsi="宋体" w:cs="宋体"/>
          <w:color w:val="000000" w:themeColor="text1"/>
          <w:sz w:val="24"/>
          <w:szCs w:val="24"/>
          <w:highlight w:val="none"/>
          <w14:textFill>
            <w14:solidFill>
              <w14:schemeClr w14:val="tx1"/>
            </w14:solidFill>
          </w14:textFill>
        </w:rPr>
      </w:pPr>
      <w:r>
        <w:rPr>
          <w:rFonts w:eastAsia="Times New Roman"/>
          <w:color w:val="000000" w:themeColor="text1"/>
          <w:spacing w:val="3"/>
          <w:sz w:val="24"/>
          <w:szCs w:val="24"/>
          <w:highlight w:val="none"/>
          <w14:textFill>
            <w14:solidFill>
              <w14:schemeClr w14:val="tx1"/>
            </w14:solidFill>
          </w14:textFill>
        </w:rPr>
        <w:t xml:space="preserve">1.1.5.7  </w:t>
      </w:r>
      <w:r>
        <w:rPr>
          <w:rFonts w:ascii="宋体" w:hAnsi="宋体" w:cs="宋体"/>
          <w:color w:val="000000" w:themeColor="text1"/>
          <w:spacing w:val="3"/>
          <w:sz w:val="24"/>
          <w:szCs w:val="24"/>
          <w:highlight w:val="none"/>
          <w14:textFill>
            <w14:solidFill>
              <w14:schemeClr w14:val="tx1"/>
            </w14:solidFill>
          </w14:textFill>
        </w:rPr>
        <w:t>质量保证金：指按第</w:t>
      </w:r>
      <w:r>
        <w:rPr>
          <w:rFonts w:ascii="宋体" w:hAnsi="宋体" w:cs="宋体"/>
          <w:color w:val="000000" w:themeColor="text1"/>
          <w:spacing w:val="-23"/>
          <w:sz w:val="24"/>
          <w:szCs w:val="24"/>
          <w:highlight w:val="none"/>
          <w14:textFill>
            <w14:solidFill>
              <w14:schemeClr w14:val="tx1"/>
            </w14:solidFill>
          </w14:textFill>
        </w:rPr>
        <w:t xml:space="preserve"> </w:t>
      </w:r>
      <w:r>
        <w:rPr>
          <w:rFonts w:eastAsia="Times New Roman"/>
          <w:color w:val="000000" w:themeColor="text1"/>
          <w:spacing w:val="3"/>
          <w:sz w:val="24"/>
          <w:szCs w:val="24"/>
          <w:highlight w:val="none"/>
          <w14:textFill>
            <w14:solidFill>
              <w14:schemeClr w14:val="tx1"/>
            </w14:solidFill>
          </w14:textFill>
        </w:rPr>
        <w:t>17.4.1</w:t>
      </w:r>
      <w:r>
        <w:rPr>
          <w:rFonts w:eastAsia="Times New Roman"/>
          <w:color w:val="000000" w:themeColor="text1"/>
          <w:spacing w:val="21"/>
          <w:sz w:val="24"/>
          <w:szCs w:val="24"/>
          <w:highlight w:val="none"/>
          <w14:textFill>
            <w14:solidFill>
              <w14:schemeClr w14:val="tx1"/>
            </w14:solidFill>
          </w14:textFill>
        </w:rPr>
        <w:t xml:space="preserve"> </w:t>
      </w:r>
      <w:r>
        <w:rPr>
          <w:rFonts w:ascii="宋体" w:hAnsi="宋体" w:cs="宋体"/>
          <w:color w:val="000000" w:themeColor="text1"/>
          <w:spacing w:val="3"/>
          <w:sz w:val="24"/>
          <w:szCs w:val="24"/>
          <w:highlight w:val="none"/>
          <w14:textFill>
            <w14:solidFill>
              <w14:schemeClr w14:val="tx1"/>
            </w14:solidFill>
          </w14:textFill>
        </w:rPr>
        <w:t>项约定用于保证在缺陷责任期内履行缺陷</w:t>
      </w:r>
      <w:r>
        <w:rPr>
          <w:rFonts w:ascii="宋体" w:hAnsi="宋体" w:cs="宋体"/>
          <w:color w:val="000000" w:themeColor="text1"/>
          <w:spacing w:val="-2"/>
          <w:sz w:val="24"/>
          <w:szCs w:val="24"/>
          <w:highlight w:val="none"/>
          <w14:textFill>
            <w14:solidFill>
              <w14:schemeClr w14:val="tx1"/>
            </w14:solidFill>
          </w14:textFill>
        </w:rPr>
        <w:t>修复义务的金额。</w:t>
      </w:r>
    </w:p>
    <w:p w14:paraId="1498CC48">
      <w:pPr>
        <w:spacing w:before="115" w:line="220" w:lineRule="auto"/>
        <w:ind w:left="500"/>
        <w:rPr>
          <w:rFonts w:ascii="宋体" w:hAnsi="宋体" w:cs="宋体"/>
          <w:color w:val="000000" w:themeColor="text1"/>
          <w:sz w:val="24"/>
          <w:szCs w:val="24"/>
          <w:highlight w:val="none"/>
          <w14:textFill>
            <w14:solidFill>
              <w14:schemeClr w14:val="tx1"/>
            </w14:solidFill>
          </w14:textFill>
        </w:rPr>
      </w:pPr>
      <w:r>
        <w:rPr>
          <w:rFonts w:eastAsia="Times New Roman"/>
          <w:color w:val="000000" w:themeColor="text1"/>
          <w:spacing w:val="-6"/>
          <w:sz w:val="24"/>
          <w:szCs w:val="24"/>
          <w:highlight w:val="none"/>
          <w14:textFill>
            <w14:solidFill>
              <w14:schemeClr w14:val="tx1"/>
            </w14:solidFill>
          </w14:textFill>
        </w:rPr>
        <w:t>1.1.6</w:t>
      </w:r>
      <w:r>
        <w:rPr>
          <w:rFonts w:eastAsia="Times New Roman"/>
          <w:color w:val="000000" w:themeColor="text1"/>
          <w:spacing w:val="6"/>
          <w:sz w:val="24"/>
          <w:szCs w:val="24"/>
          <w:highlight w:val="none"/>
          <w14:textFill>
            <w14:solidFill>
              <w14:schemeClr w14:val="tx1"/>
            </w14:solidFill>
          </w14:textFill>
        </w:rPr>
        <w:t xml:space="preserve">  </w:t>
      </w:r>
      <w:r>
        <w:rPr>
          <w:rFonts w:ascii="宋体" w:hAnsi="宋体" w:cs="宋体"/>
          <w:color w:val="000000" w:themeColor="text1"/>
          <w:spacing w:val="-6"/>
          <w:sz w:val="24"/>
          <w:szCs w:val="24"/>
          <w:highlight w:val="none"/>
          <w14:textFill>
            <w14:solidFill>
              <w14:schemeClr w14:val="tx1"/>
            </w14:solidFill>
          </w14:textFill>
        </w:rPr>
        <w:t>其他</w:t>
      </w:r>
    </w:p>
    <w:p w14:paraId="5DAB32D8">
      <w:pPr>
        <w:spacing w:before="113" w:line="278" w:lineRule="auto"/>
        <w:ind w:left="1" w:right="164" w:firstLine="498"/>
        <w:rPr>
          <w:rFonts w:ascii="宋体" w:hAnsi="宋体" w:cs="宋体"/>
          <w:color w:val="000000" w:themeColor="text1"/>
          <w:sz w:val="24"/>
          <w:szCs w:val="24"/>
          <w:highlight w:val="none"/>
          <w14:textFill>
            <w14:solidFill>
              <w14:schemeClr w14:val="tx1"/>
            </w14:solidFill>
          </w14:textFill>
        </w:rPr>
      </w:pPr>
      <w:r>
        <w:rPr>
          <w:rFonts w:eastAsia="Times New Roman"/>
          <w:color w:val="000000" w:themeColor="text1"/>
          <w:spacing w:val="5"/>
          <w:sz w:val="24"/>
          <w:szCs w:val="24"/>
          <w:highlight w:val="none"/>
          <w14:textFill>
            <w14:solidFill>
              <w14:schemeClr w14:val="tx1"/>
            </w14:solidFill>
          </w14:textFill>
        </w:rPr>
        <w:t xml:space="preserve">1.1.6.1  </w:t>
      </w:r>
      <w:r>
        <w:rPr>
          <w:rFonts w:ascii="宋体" w:hAnsi="宋体" w:cs="宋体"/>
          <w:color w:val="000000" w:themeColor="text1"/>
          <w:spacing w:val="5"/>
          <w:sz w:val="24"/>
          <w:szCs w:val="24"/>
          <w:highlight w:val="none"/>
          <w14:textFill>
            <w14:solidFill>
              <w14:schemeClr w14:val="tx1"/>
            </w14:solidFill>
          </w14:textFill>
        </w:rPr>
        <w:t>书面形式：指合同文件、信件、电报、电传、传</w:t>
      </w:r>
      <w:r>
        <w:rPr>
          <w:rFonts w:ascii="宋体" w:hAnsi="宋体" w:cs="宋体"/>
          <w:color w:val="000000" w:themeColor="text1"/>
          <w:spacing w:val="4"/>
          <w:sz w:val="24"/>
          <w:szCs w:val="24"/>
          <w:highlight w:val="none"/>
          <w14:textFill>
            <w14:solidFill>
              <w14:schemeClr w14:val="tx1"/>
            </w14:solidFill>
          </w14:textFill>
        </w:rPr>
        <w:t>真等可以有形地表现</w:t>
      </w:r>
      <w:r>
        <w:rPr>
          <w:rFonts w:ascii="宋体" w:hAnsi="宋体" w:cs="宋体"/>
          <w:color w:val="000000" w:themeColor="text1"/>
          <w:spacing w:val="1"/>
          <w:sz w:val="24"/>
          <w:szCs w:val="24"/>
          <w:highlight w:val="none"/>
          <w14:textFill>
            <w14:solidFill>
              <w14:schemeClr w14:val="tx1"/>
            </w14:solidFill>
          </w14:textFill>
        </w:rPr>
        <w:t>所载内容的形式。以电子数据交换、电子邮件等方式能够</w:t>
      </w:r>
      <w:r>
        <w:rPr>
          <w:rFonts w:ascii="宋体" w:hAnsi="宋体" w:cs="宋体"/>
          <w:color w:val="000000" w:themeColor="text1"/>
          <w:sz w:val="24"/>
          <w:szCs w:val="24"/>
          <w:highlight w:val="none"/>
          <w14:textFill>
            <w14:solidFill>
              <w14:schemeClr w14:val="tx1"/>
            </w14:solidFill>
          </w14:textFill>
        </w:rPr>
        <w:t>有形地表现所载内容，并</w:t>
      </w:r>
      <w:r>
        <w:rPr>
          <w:rFonts w:ascii="宋体" w:hAnsi="宋体" w:cs="宋体"/>
          <w:color w:val="000000" w:themeColor="text1"/>
          <w:spacing w:val="-1"/>
          <w:sz w:val="24"/>
          <w:szCs w:val="24"/>
          <w:highlight w:val="none"/>
          <w14:textFill>
            <w14:solidFill>
              <w14:schemeClr w14:val="tx1"/>
            </w14:solidFill>
          </w14:textFill>
        </w:rPr>
        <w:t>可以随时调取查用的数据电文，视为书面形式。</w:t>
      </w:r>
    </w:p>
    <w:p w14:paraId="57584D9D">
      <w:pPr>
        <w:spacing w:before="115" w:line="219" w:lineRule="auto"/>
        <w:ind w:left="500"/>
        <w:rPr>
          <w:rFonts w:ascii="宋体" w:hAnsi="宋体" w:cs="宋体"/>
          <w:color w:val="000000" w:themeColor="text1"/>
          <w:sz w:val="24"/>
          <w:szCs w:val="24"/>
          <w:highlight w:val="none"/>
          <w14:textFill>
            <w14:solidFill>
              <w14:schemeClr w14:val="tx1"/>
            </w14:solidFill>
          </w14:textFill>
        </w:rPr>
      </w:pPr>
      <w:r>
        <w:rPr>
          <w:rFonts w:eastAsia="Times New Roman"/>
          <w:color w:val="000000" w:themeColor="text1"/>
          <w:spacing w:val="-1"/>
          <w:sz w:val="24"/>
          <w:szCs w:val="24"/>
          <w:highlight w:val="none"/>
          <w14:textFill>
            <w14:solidFill>
              <w14:schemeClr w14:val="tx1"/>
            </w14:solidFill>
          </w14:textFill>
        </w:rPr>
        <w:t xml:space="preserve">1.1.6.2  </w:t>
      </w:r>
      <w:r>
        <w:rPr>
          <w:rFonts w:ascii="宋体" w:hAnsi="宋体" w:cs="宋体"/>
          <w:color w:val="000000" w:themeColor="text1"/>
          <w:spacing w:val="-1"/>
          <w:sz w:val="24"/>
          <w:szCs w:val="24"/>
          <w:highlight w:val="none"/>
          <w14:textFill>
            <w14:solidFill>
              <w14:schemeClr w14:val="tx1"/>
            </w14:solidFill>
          </w14:textFill>
        </w:rPr>
        <w:t>工程验收：指养护工程的交工验收或竣工验收。</w:t>
      </w:r>
    </w:p>
    <w:p w14:paraId="2A8DC9FE">
      <w:pPr>
        <w:spacing w:before="116" w:line="219" w:lineRule="auto"/>
        <w:ind w:left="500"/>
        <w:rPr>
          <w:rFonts w:ascii="宋体" w:hAnsi="宋体" w:cs="宋体"/>
          <w:color w:val="000000" w:themeColor="text1"/>
          <w:sz w:val="24"/>
          <w:szCs w:val="24"/>
          <w:highlight w:val="none"/>
          <w14:textFill>
            <w14:solidFill>
              <w14:schemeClr w14:val="tx1"/>
            </w14:solidFill>
          </w14:textFill>
        </w:rPr>
      </w:pPr>
      <w:r>
        <w:rPr>
          <w:rFonts w:eastAsia="Times New Roman"/>
          <w:color w:val="000000" w:themeColor="text1"/>
          <w:spacing w:val="-1"/>
          <w:sz w:val="24"/>
          <w:szCs w:val="24"/>
          <w:highlight w:val="none"/>
          <w14:textFill>
            <w14:solidFill>
              <w14:schemeClr w14:val="tx1"/>
            </w14:solidFill>
          </w14:textFill>
        </w:rPr>
        <w:t xml:space="preserve">1.1.6.3  </w:t>
      </w:r>
      <w:r>
        <w:rPr>
          <w:rFonts w:ascii="宋体" w:hAnsi="宋体" w:cs="宋体"/>
          <w:color w:val="000000" w:themeColor="text1"/>
          <w:spacing w:val="-1"/>
          <w:sz w:val="24"/>
          <w:szCs w:val="24"/>
          <w:highlight w:val="none"/>
          <w14:textFill>
            <w14:solidFill>
              <w14:schemeClr w14:val="tx1"/>
            </w14:solidFill>
          </w14:textFill>
        </w:rPr>
        <w:t>交工验收：指养护工程完工后组织进行的验收。</w:t>
      </w:r>
    </w:p>
    <w:p w14:paraId="31B57F17">
      <w:pPr>
        <w:spacing w:before="116" w:line="219" w:lineRule="auto"/>
        <w:ind w:left="500"/>
        <w:rPr>
          <w:rFonts w:ascii="宋体" w:hAnsi="宋体" w:cs="宋体"/>
          <w:color w:val="000000" w:themeColor="text1"/>
          <w:sz w:val="24"/>
          <w:szCs w:val="24"/>
          <w:highlight w:val="none"/>
          <w14:textFill>
            <w14:solidFill>
              <w14:schemeClr w14:val="tx1"/>
            </w14:solidFill>
          </w14:textFill>
        </w:rPr>
      </w:pPr>
      <w:r>
        <w:rPr>
          <w:rFonts w:eastAsia="Times New Roman"/>
          <w:color w:val="000000" w:themeColor="text1"/>
          <w:spacing w:val="-1"/>
          <w:sz w:val="24"/>
          <w:szCs w:val="24"/>
          <w:highlight w:val="none"/>
          <w14:textFill>
            <w14:solidFill>
              <w14:schemeClr w14:val="tx1"/>
            </w14:solidFill>
          </w14:textFill>
        </w:rPr>
        <w:t xml:space="preserve">1.1.6.4  </w:t>
      </w:r>
      <w:r>
        <w:rPr>
          <w:rFonts w:ascii="宋体" w:hAnsi="宋体" w:cs="宋体"/>
          <w:color w:val="000000" w:themeColor="text1"/>
          <w:spacing w:val="-1"/>
          <w:sz w:val="24"/>
          <w:szCs w:val="24"/>
          <w:highlight w:val="none"/>
          <w14:textFill>
            <w14:solidFill>
              <w14:schemeClr w14:val="tx1"/>
            </w14:solidFill>
          </w14:textFill>
        </w:rPr>
        <w:t>竣工验收：指养护工程缺陷责任期满后组织进行的验收。</w:t>
      </w:r>
    </w:p>
    <w:p w14:paraId="40078771">
      <w:pPr>
        <w:spacing w:before="113" w:line="219" w:lineRule="auto"/>
        <w:ind w:left="500"/>
        <w:rPr>
          <w:rFonts w:ascii="宋体" w:hAnsi="宋体" w:cs="宋体"/>
          <w:color w:val="000000" w:themeColor="text1"/>
          <w:sz w:val="24"/>
          <w:szCs w:val="24"/>
          <w:highlight w:val="none"/>
          <w14:textFill>
            <w14:solidFill>
              <w14:schemeClr w14:val="tx1"/>
            </w14:solidFill>
          </w14:textFill>
        </w:rPr>
      </w:pPr>
      <w:r>
        <w:rPr>
          <w:rFonts w:eastAsia="Times New Roman"/>
          <w:color w:val="000000" w:themeColor="text1"/>
          <w:spacing w:val="-1"/>
          <w:sz w:val="24"/>
          <w:szCs w:val="24"/>
          <w:highlight w:val="none"/>
          <w14:textFill>
            <w14:solidFill>
              <w14:schemeClr w14:val="tx1"/>
            </w14:solidFill>
          </w14:textFill>
        </w:rPr>
        <w:t xml:space="preserve">1.1.6.5  </w:t>
      </w:r>
      <w:r>
        <w:rPr>
          <w:rFonts w:ascii="宋体" w:hAnsi="宋体" w:cs="宋体"/>
          <w:color w:val="000000" w:themeColor="text1"/>
          <w:spacing w:val="-1"/>
          <w:sz w:val="24"/>
          <w:szCs w:val="24"/>
          <w:highlight w:val="none"/>
          <w14:textFill>
            <w14:solidFill>
              <w14:schemeClr w14:val="tx1"/>
            </w14:solidFill>
          </w14:textFill>
        </w:rPr>
        <w:t>交工验收证书：指养护工程交工验收合格后签发的验收证书。</w:t>
      </w:r>
    </w:p>
    <w:p w14:paraId="65AE99B5">
      <w:pPr>
        <w:spacing w:before="116" w:line="264" w:lineRule="auto"/>
        <w:ind w:left="47" w:right="164" w:firstLine="452"/>
        <w:rPr>
          <w:rFonts w:ascii="宋体" w:hAnsi="宋体" w:cs="宋体"/>
          <w:color w:val="000000" w:themeColor="text1"/>
          <w:sz w:val="24"/>
          <w:szCs w:val="24"/>
          <w:highlight w:val="none"/>
          <w14:textFill>
            <w14:solidFill>
              <w14:schemeClr w14:val="tx1"/>
            </w14:solidFill>
          </w14:textFill>
        </w:rPr>
      </w:pPr>
      <w:r>
        <w:rPr>
          <w:rFonts w:eastAsia="Times New Roman"/>
          <w:color w:val="000000" w:themeColor="text1"/>
          <w:spacing w:val="5"/>
          <w:sz w:val="24"/>
          <w:szCs w:val="24"/>
          <w:highlight w:val="none"/>
          <w14:textFill>
            <w14:solidFill>
              <w14:schemeClr w14:val="tx1"/>
            </w14:solidFill>
          </w14:textFill>
        </w:rPr>
        <w:t xml:space="preserve">1.1.6.6  </w:t>
      </w:r>
      <w:r>
        <w:rPr>
          <w:rFonts w:ascii="宋体" w:hAnsi="宋体" w:cs="宋体"/>
          <w:color w:val="000000" w:themeColor="text1"/>
          <w:spacing w:val="5"/>
          <w:sz w:val="24"/>
          <w:szCs w:val="24"/>
          <w:highlight w:val="none"/>
          <w14:textFill>
            <w14:solidFill>
              <w14:schemeClr w14:val="tx1"/>
            </w14:solidFill>
          </w14:textFill>
        </w:rPr>
        <w:t>转包：指承包人违反法律和不履行合同约定的责</w:t>
      </w:r>
      <w:r>
        <w:rPr>
          <w:rFonts w:ascii="宋体" w:hAnsi="宋体" w:cs="宋体"/>
          <w:color w:val="000000" w:themeColor="text1"/>
          <w:spacing w:val="4"/>
          <w:sz w:val="24"/>
          <w:szCs w:val="24"/>
          <w:highlight w:val="none"/>
          <w14:textFill>
            <w14:solidFill>
              <w14:schemeClr w14:val="tx1"/>
            </w14:solidFill>
          </w14:textFill>
        </w:rPr>
        <w:t>任和义务，将养护项</w:t>
      </w:r>
      <w:r>
        <w:rPr>
          <w:rFonts w:ascii="宋体" w:hAnsi="宋体" w:cs="宋体"/>
          <w:color w:val="000000" w:themeColor="text1"/>
          <w:spacing w:val="-2"/>
          <w:sz w:val="24"/>
          <w:szCs w:val="24"/>
          <w:highlight w:val="none"/>
          <w14:textFill>
            <w14:solidFill>
              <w14:schemeClr w14:val="tx1"/>
            </w14:solidFill>
          </w14:textFill>
        </w:rPr>
        <w:t>目全部委托或以分包的名义将养护项目支解后全部委托给其他企业的行为。</w:t>
      </w:r>
    </w:p>
    <w:p w14:paraId="733F9D1E">
      <w:pPr>
        <w:spacing w:before="112" w:line="279" w:lineRule="auto"/>
        <w:ind w:left="1" w:right="166" w:firstLine="498"/>
        <w:rPr>
          <w:rFonts w:ascii="宋体" w:hAnsi="宋体" w:cs="宋体"/>
          <w:color w:val="000000" w:themeColor="text1"/>
          <w:sz w:val="24"/>
          <w:szCs w:val="24"/>
          <w:highlight w:val="none"/>
          <w14:textFill>
            <w14:solidFill>
              <w14:schemeClr w14:val="tx1"/>
            </w14:solidFill>
          </w14:textFill>
        </w:rPr>
      </w:pPr>
      <w:r>
        <w:rPr>
          <w:rFonts w:eastAsia="Times New Roman"/>
          <w:color w:val="000000" w:themeColor="text1"/>
          <w:sz w:val="24"/>
          <w:szCs w:val="24"/>
          <w:highlight w:val="none"/>
          <w14:textFill>
            <w14:solidFill>
              <w14:schemeClr w14:val="tx1"/>
            </w14:solidFill>
          </w14:textFill>
        </w:rPr>
        <w:t xml:space="preserve">1.1.6.7 </w:t>
      </w:r>
      <w:r>
        <w:rPr>
          <w:rFonts w:ascii="宋体" w:hAnsi="宋体" w:cs="宋体"/>
          <w:color w:val="000000" w:themeColor="text1"/>
          <w:sz w:val="24"/>
          <w:szCs w:val="24"/>
          <w:highlight w:val="none"/>
          <w14:textFill>
            <w14:solidFill>
              <w14:schemeClr w14:val="tx1"/>
            </w14:solidFill>
          </w14:textFill>
        </w:rPr>
        <w:t>分包：指承包人将其所承包养护项目中的部分工作发包给其他企业（分</w:t>
      </w:r>
      <w:r>
        <w:rPr>
          <w:rFonts w:ascii="宋体" w:hAnsi="宋体" w:cs="宋体"/>
          <w:color w:val="000000" w:themeColor="text1"/>
          <w:spacing w:val="3"/>
          <w:sz w:val="24"/>
          <w:szCs w:val="24"/>
          <w:highlight w:val="none"/>
          <w14:textFill>
            <w14:solidFill>
              <w14:schemeClr w14:val="tx1"/>
            </w14:solidFill>
          </w14:textFill>
        </w:rPr>
        <w:t>包人</w:t>
      </w:r>
      <w:r>
        <w:rPr>
          <w:rFonts w:ascii="宋体" w:hAnsi="宋体" w:cs="宋体"/>
          <w:color w:val="000000" w:themeColor="text1"/>
          <w:spacing w:val="-35"/>
          <w:sz w:val="24"/>
          <w:szCs w:val="24"/>
          <w:highlight w:val="none"/>
          <w14:textFill>
            <w14:solidFill>
              <w14:schemeClr w14:val="tx1"/>
            </w14:solidFill>
          </w14:textFill>
        </w:rPr>
        <w:t>），</w:t>
      </w:r>
      <w:r>
        <w:rPr>
          <w:rFonts w:ascii="宋体" w:hAnsi="宋体" w:cs="宋体"/>
          <w:color w:val="000000" w:themeColor="text1"/>
          <w:spacing w:val="3"/>
          <w:sz w:val="24"/>
          <w:szCs w:val="24"/>
          <w:highlight w:val="none"/>
          <w14:textFill>
            <w14:solidFill>
              <w14:schemeClr w14:val="tx1"/>
            </w14:solidFill>
          </w14:textFill>
        </w:rPr>
        <w:t>由分包人自行组织完成分包工作并能独立控制工作</w:t>
      </w:r>
      <w:r>
        <w:rPr>
          <w:rFonts w:ascii="宋体" w:hAnsi="宋体" w:cs="宋体"/>
          <w:color w:val="000000" w:themeColor="text1"/>
          <w:spacing w:val="2"/>
          <w:sz w:val="24"/>
          <w:szCs w:val="24"/>
          <w:highlight w:val="none"/>
          <w14:textFill>
            <w14:solidFill>
              <w14:schemeClr w14:val="tx1"/>
            </w14:solidFill>
          </w14:textFill>
        </w:rPr>
        <w:t>质量、进度、生产安全</w:t>
      </w:r>
      <w:r>
        <w:rPr>
          <w:rFonts w:ascii="宋体" w:hAnsi="宋体" w:cs="宋体"/>
          <w:color w:val="000000" w:themeColor="text1"/>
          <w:spacing w:val="-2"/>
          <w:sz w:val="24"/>
          <w:szCs w:val="24"/>
          <w:highlight w:val="none"/>
          <w14:textFill>
            <w14:solidFill>
              <w14:schemeClr w14:val="tx1"/>
            </w14:solidFill>
          </w14:textFill>
        </w:rPr>
        <w:t>等的活动。</w:t>
      </w:r>
    </w:p>
    <w:p w14:paraId="5B1B8675">
      <w:pPr>
        <w:spacing w:before="104" w:line="219" w:lineRule="auto"/>
        <w:ind w:left="488"/>
        <w:outlineLvl w:val="3"/>
        <w:rPr>
          <w:rFonts w:ascii="宋体" w:hAnsi="宋体" w:cs="宋体"/>
          <w:color w:val="000000" w:themeColor="text1"/>
          <w:sz w:val="24"/>
          <w:szCs w:val="24"/>
          <w:highlight w:val="none"/>
          <w14:textFill>
            <w14:solidFill>
              <w14:schemeClr w14:val="tx1"/>
            </w14:solidFill>
          </w14:textFill>
        </w:rPr>
      </w:pPr>
      <w:r>
        <w:rPr>
          <w:rFonts w:eastAsia="Times New Roman"/>
          <w:b/>
          <w:bCs/>
          <w:color w:val="000000" w:themeColor="text1"/>
          <w:spacing w:val="-3"/>
          <w:sz w:val="24"/>
          <w:szCs w:val="24"/>
          <w:highlight w:val="none"/>
          <w14:textFill>
            <w14:solidFill>
              <w14:schemeClr w14:val="tx1"/>
            </w14:solidFill>
          </w14:textFill>
        </w:rPr>
        <w:t xml:space="preserve">1.2  </w:t>
      </w:r>
      <w:r>
        <w:rPr>
          <w:rFonts w:ascii="宋体" w:hAnsi="宋体" w:cs="宋体"/>
          <w:b/>
          <w:bCs/>
          <w:color w:val="000000" w:themeColor="text1"/>
          <w:spacing w:val="-3"/>
          <w:sz w:val="24"/>
          <w:szCs w:val="24"/>
          <w:highlight w:val="none"/>
          <w14:textFill>
            <w14:solidFill>
              <w14:schemeClr w14:val="tx1"/>
            </w14:solidFill>
          </w14:textFill>
        </w:rPr>
        <w:t>语言文字</w:t>
      </w:r>
    </w:p>
    <w:p w14:paraId="338E6BED">
      <w:pPr>
        <w:spacing w:before="124" w:line="219" w:lineRule="auto"/>
        <w:jc w:val="center"/>
        <w:rPr>
          <w:rFonts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pacing w:val="-2"/>
          <w:sz w:val="24"/>
          <w:szCs w:val="24"/>
          <w:highlight w:val="none"/>
          <w14:textFill>
            <w14:solidFill>
              <w14:schemeClr w14:val="tx1"/>
            </w14:solidFill>
          </w14:textFill>
        </w:rPr>
        <w:t>除专用术语外，合同使用的语言文字为中文。必要时专用术语应附有中文注释。</w:t>
      </w:r>
    </w:p>
    <w:p w14:paraId="3761DA2B">
      <w:pPr>
        <w:spacing w:before="108" w:line="219" w:lineRule="auto"/>
        <w:ind w:left="488"/>
        <w:outlineLvl w:val="3"/>
        <w:rPr>
          <w:rFonts w:ascii="宋体" w:hAnsi="宋体" w:cs="宋体"/>
          <w:color w:val="000000" w:themeColor="text1"/>
          <w:sz w:val="24"/>
          <w:szCs w:val="24"/>
          <w:highlight w:val="none"/>
          <w14:textFill>
            <w14:solidFill>
              <w14:schemeClr w14:val="tx1"/>
            </w14:solidFill>
          </w14:textFill>
        </w:rPr>
      </w:pPr>
      <w:r>
        <w:rPr>
          <w:rFonts w:eastAsia="Times New Roman"/>
          <w:b/>
          <w:bCs/>
          <w:color w:val="000000" w:themeColor="text1"/>
          <w:spacing w:val="-7"/>
          <w:sz w:val="24"/>
          <w:szCs w:val="24"/>
          <w:highlight w:val="none"/>
          <w14:textFill>
            <w14:solidFill>
              <w14:schemeClr w14:val="tx1"/>
            </w14:solidFill>
          </w14:textFill>
        </w:rPr>
        <w:t>1.3</w:t>
      </w:r>
      <w:r>
        <w:rPr>
          <w:rFonts w:eastAsia="Times New Roman"/>
          <w:b/>
          <w:bCs/>
          <w:color w:val="000000" w:themeColor="text1"/>
          <w:spacing w:val="6"/>
          <w:sz w:val="24"/>
          <w:szCs w:val="24"/>
          <w:highlight w:val="none"/>
          <w14:textFill>
            <w14:solidFill>
              <w14:schemeClr w14:val="tx1"/>
            </w14:solidFill>
          </w14:textFill>
        </w:rPr>
        <w:t xml:space="preserve">  </w:t>
      </w:r>
      <w:r>
        <w:rPr>
          <w:rFonts w:ascii="宋体" w:hAnsi="宋体" w:cs="宋体"/>
          <w:b/>
          <w:bCs/>
          <w:color w:val="000000" w:themeColor="text1"/>
          <w:spacing w:val="-7"/>
          <w:sz w:val="24"/>
          <w:szCs w:val="24"/>
          <w:highlight w:val="none"/>
          <w14:textFill>
            <w14:solidFill>
              <w14:schemeClr w14:val="tx1"/>
            </w14:solidFill>
          </w14:textFill>
        </w:rPr>
        <w:t>法律</w:t>
      </w:r>
    </w:p>
    <w:p w14:paraId="7C197339">
      <w:pPr>
        <w:spacing w:before="122" w:line="305" w:lineRule="auto"/>
        <w:ind w:left="5" w:right="164" w:firstLine="476"/>
        <w:rPr>
          <w:rFonts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pacing w:val="1"/>
          <w:sz w:val="24"/>
          <w:szCs w:val="24"/>
          <w:highlight w:val="none"/>
          <w14:textFill>
            <w14:solidFill>
              <w14:schemeClr w14:val="tx1"/>
            </w14:solidFill>
          </w14:textFill>
        </w:rPr>
        <w:t>适用于合同的法律包括中华人民共和国法律、行政法规、</w:t>
      </w:r>
      <w:r>
        <w:rPr>
          <w:rFonts w:ascii="宋体" w:hAnsi="宋体" w:cs="宋体"/>
          <w:color w:val="000000" w:themeColor="text1"/>
          <w:sz w:val="24"/>
          <w:szCs w:val="24"/>
          <w:highlight w:val="none"/>
          <w14:textFill>
            <w14:solidFill>
              <w14:schemeClr w14:val="tx1"/>
            </w14:solidFill>
          </w14:textFill>
        </w:rPr>
        <w:t>部门规章，以及养护</w:t>
      </w:r>
      <w:r>
        <w:rPr>
          <w:rFonts w:ascii="宋体" w:hAnsi="宋体" w:cs="宋体"/>
          <w:color w:val="000000" w:themeColor="text1"/>
          <w:spacing w:val="-2"/>
          <w:sz w:val="24"/>
          <w:szCs w:val="24"/>
          <w:highlight w:val="none"/>
          <w14:textFill>
            <w14:solidFill>
              <w14:schemeClr w14:val="tx1"/>
            </w14:solidFill>
          </w14:textFill>
        </w:rPr>
        <w:t>项目所在地的地方性法规、</w:t>
      </w:r>
      <w:r>
        <w:rPr>
          <w:rFonts w:ascii="宋体" w:hAnsi="宋体" w:cs="宋体"/>
          <w:color w:val="000000" w:themeColor="text1"/>
          <w:spacing w:val="-71"/>
          <w:sz w:val="24"/>
          <w:szCs w:val="24"/>
          <w:highlight w:val="none"/>
          <w14:textFill>
            <w14:solidFill>
              <w14:schemeClr w14:val="tx1"/>
            </w14:solidFill>
          </w14:textFill>
        </w:rPr>
        <w:t xml:space="preserve"> </w:t>
      </w:r>
      <w:r>
        <w:rPr>
          <w:rFonts w:ascii="宋体" w:hAnsi="宋体" w:cs="宋体"/>
          <w:color w:val="000000" w:themeColor="text1"/>
          <w:spacing w:val="-2"/>
          <w:sz w:val="24"/>
          <w:szCs w:val="24"/>
          <w:highlight w:val="none"/>
          <w14:textFill>
            <w14:solidFill>
              <w14:schemeClr w14:val="tx1"/>
            </w14:solidFill>
          </w14:textFill>
        </w:rPr>
        <w:t>自治条例、单行条例和地</w:t>
      </w:r>
      <w:r>
        <w:rPr>
          <w:rFonts w:ascii="宋体" w:hAnsi="宋体" w:cs="宋体"/>
          <w:color w:val="000000" w:themeColor="text1"/>
          <w:spacing w:val="-3"/>
          <w:sz w:val="24"/>
          <w:szCs w:val="24"/>
          <w:highlight w:val="none"/>
          <w14:textFill>
            <w14:solidFill>
              <w14:schemeClr w14:val="tx1"/>
            </w14:solidFill>
          </w14:textFill>
        </w:rPr>
        <w:t>方政府规章。</w:t>
      </w:r>
    </w:p>
    <w:p w14:paraId="696C9EDA">
      <w:pPr>
        <w:spacing w:line="220" w:lineRule="auto"/>
        <w:ind w:left="488"/>
        <w:outlineLvl w:val="3"/>
        <w:rPr>
          <w:rFonts w:ascii="宋体" w:hAnsi="宋体" w:cs="宋体"/>
          <w:color w:val="000000" w:themeColor="text1"/>
          <w:sz w:val="24"/>
          <w:szCs w:val="24"/>
          <w:highlight w:val="none"/>
          <w14:textFill>
            <w14:solidFill>
              <w14:schemeClr w14:val="tx1"/>
            </w14:solidFill>
          </w14:textFill>
        </w:rPr>
      </w:pPr>
      <w:r>
        <w:rPr>
          <w:rFonts w:eastAsia="Times New Roman"/>
          <w:b/>
          <w:bCs/>
          <w:color w:val="000000" w:themeColor="text1"/>
          <w:spacing w:val="-3"/>
          <w:sz w:val="24"/>
          <w:szCs w:val="24"/>
          <w:highlight w:val="none"/>
          <w14:textFill>
            <w14:solidFill>
              <w14:schemeClr w14:val="tx1"/>
            </w14:solidFill>
          </w14:textFill>
        </w:rPr>
        <w:t xml:space="preserve">1.4  </w:t>
      </w:r>
      <w:r>
        <w:rPr>
          <w:rFonts w:ascii="宋体" w:hAnsi="宋体" w:cs="宋体"/>
          <w:b/>
          <w:bCs/>
          <w:color w:val="000000" w:themeColor="text1"/>
          <w:spacing w:val="-3"/>
          <w:sz w:val="24"/>
          <w:szCs w:val="24"/>
          <w:highlight w:val="none"/>
          <w14:textFill>
            <w14:solidFill>
              <w14:schemeClr w14:val="tx1"/>
            </w14:solidFill>
          </w14:textFill>
        </w:rPr>
        <w:t>标准的变化</w:t>
      </w:r>
    </w:p>
    <w:p w14:paraId="3C598FD2">
      <w:pPr>
        <w:spacing w:before="123" w:line="305" w:lineRule="auto"/>
        <w:ind w:left="2" w:right="164" w:firstLine="478"/>
        <w:rPr>
          <w:rFonts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pacing w:val="1"/>
          <w:sz w:val="24"/>
          <w:szCs w:val="24"/>
          <w:highlight w:val="none"/>
          <w14:textFill>
            <w14:solidFill>
              <w14:schemeClr w14:val="tx1"/>
            </w14:solidFill>
          </w14:textFill>
        </w:rPr>
        <w:t>在养护项目实施过程中，技术规范中所引用的标准版本发生</w:t>
      </w:r>
      <w:r>
        <w:rPr>
          <w:rFonts w:ascii="宋体" w:hAnsi="宋体" w:cs="宋体"/>
          <w:color w:val="000000" w:themeColor="text1"/>
          <w:sz w:val="24"/>
          <w:szCs w:val="24"/>
          <w:highlight w:val="none"/>
          <w14:textFill>
            <w14:solidFill>
              <w14:schemeClr w14:val="tx1"/>
            </w14:solidFill>
          </w14:textFill>
        </w:rPr>
        <w:t>重大变化，或者有</w:t>
      </w:r>
      <w:r>
        <w:rPr>
          <w:rFonts w:ascii="宋体" w:hAnsi="宋体" w:cs="宋体"/>
          <w:color w:val="000000" w:themeColor="text1"/>
          <w:spacing w:val="1"/>
          <w:sz w:val="24"/>
          <w:szCs w:val="24"/>
          <w:highlight w:val="none"/>
          <w14:textFill>
            <w14:solidFill>
              <w14:schemeClr w14:val="tx1"/>
            </w14:solidFill>
          </w14:textFill>
        </w:rPr>
        <w:t>新的国家、行业或地方标准实施，经发包人同意执行新</w:t>
      </w:r>
      <w:r>
        <w:rPr>
          <w:rFonts w:ascii="宋体" w:hAnsi="宋体" w:cs="宋体"/>
          <w:color w:val="000000" w:themeColor="text1"/>
          <w:sz w:val="24"/>
          <w:szCs w:val="24"/>
          <w:highlight w:val="none"/>
          <w14:textFill>
            <w14:solidFill>
              <w14:schemeClr w14:val="tx1"/>
            </w14:solidFill>
          </w14:textFill>
        </w:rPr>
        <w:t>标准的，由此导致费用增加</w:t>
      </w:r>
      <w:r>
        <w:rPr>
          <w:rFonts w:ascii="宋体" w:hAnsi="宋体" w:cs="宋体"/>
          <w:color w:val="000000" w:themeColor="text1"/>
          <w:spacing w:val="-1"/>
          <w:sz w:val="24"/>
          <w:szCs w:val="24"/>
          <w:highlight w:val="none"/>
          <w14:textFill>
            <w14:solidFill>
              <w14:schemeClr w14:val="tx1"/>
            </w14:solidFill>
          </w14:textFill>
        </w:rPr>
        <w:t>和（或）工期延误由发包人承担。</w:t>
      </w:r>
    </w:p>
    <w:p w14:paraId="4698A5EF">
      <w:pPr>
        <w:spacing w:line="219" w:lineRule="auto"/>
        <w:ind w:left="488"/>
        <w:outlineLvl w:val="3"/>
        <w:rPr>
          <w:rFonts w:ascii="宋体" w:hAnsi="宋体" w:cs="宋体"/>
          <w:color w:val="000000" w:themeColor="text1"/>
          <w:sz w:val="24"/>
          <w:szCs w:val="24"/>
          <w:highlight w:val="none"/>
          <w14:textFill>
            <w14:solidFill>
              <w14:schemeClr w14:val="tx1"/>
            </w14:solidFill>
          </w14:textFill>
        </w:rPr>
      </w:pPr>
      <w:r>
        <w:rPr>
          <w:rFonts w:eastAsia="Times New Roman"/>
          <w:b/>
          <w:bCs/>
          <w:color w:val="000000" w:themeColor="text1"/>
          <w:spacing w:val="-6"/>
          <w:sz w:val="24"/>
          <w:szCs w:val="24"/>
          <w:highlight w:val="none"/>
          <w14:textFill>
            <w14:solidFill>
              <w14:schemeClr w14:val="tx1"/>
            </w14:solidFill>
          </w14:textFill>
        </w:rPr>
        <w:t>1.5</w:t>
      </w:r>
      <w:r>
        <w:rPr>
          <w:rFonts w:eastAsia="Times New Roman"/>
          <w:b/>
          <w:bCs/>
          <w:color w:val="000000" w:themeColor="text1"/>
          <w:spacing w:val="18"/>
          <w:sz w:val="24"/>
          <w:szCs w:val="24"/>
          <w:highlight w:val="none"/>
          <w14:textFill>
            <w14:solidFill>
              <w14:schemeClr w14:val="tx1"/>
            </w14:solidFill>
          </w14:textFill>
        </w:rPr>
        <w:t xml:space="preserve">  </w:t>
      </w:r>
      <w:r>
        <w:rPr>
          <w:rFonts w:ascii="宋体" w:hAnsi="宋体" w:cs="宋体"/>
          <w:b/>
          <w:bCs/>
          <w:color w:val="000000" w:themeColor="text1"/>
          <w:spacing w:val="-6"/>
          <w:sz w:val="24"/>
          <w:szCs w:val="24"/>
          <w:highlight w:val="none"/>
          <w14:textFill>
            <w14:solidFill>
              <w14:schemeClr w14:val="tx1"/>
            </w14:solidFill>
          </w14:textFill>
        </w:rPr>
        <w:t>图纸和承包人文件</w:t>
      </w:r>
    </w:p>
    <w:p w14:paraId="4F7BCF7E">
      <w:pPr>
        <w:spacing w:before="125" w:line="219" w:lineRule="auto"/>
        <w:ind w:left="500"/>
        <w:rPr>
          <w:rFonts w:ascii="宋体" w:hAnsi="宋体" w:cs="宋体"/>
          <w:color w:val="000000" w:themeColor="text1"/>
          <w:sz w:val="24"/>
          <w:szCs w:val="24"/>
          <w:highlight w:val="none"/>
          <w14:textFill>
            <w14:solidFill>
              <w14:schemeClr w14:val="tx1"/>
            </w14:solidFill>
          </w14:textFill>
        </w:rPr>
      </w:pPr>
      <w:r>
        <w:rPr>
          <w:rFonts w:eastAsia="Times New Roman"/>
          <w:color w:val="000000" w:themeColor="text1"/>
          <w:spacing w:val="-7"/>
          <w:sz w:val="24"/>
          <w:szCs w:val="24"/>
          <w:highlight w:val="none"/>
          <w14:textFill>
            <w14:solidFill>
              <w14:schemeClr w14:val="tx1"/>
            </w14:solidFill>
          </w14:textFill>
        </w:rPr>
        <w:t>1.5.1</w:t>
      </w:r>
      <w:r>
        <w:rPr>
          <w:rFonts w:eastAsia="Times New Roman"/>
          <w:color w:val="000000" w:themeColor="text1"/>
          <w:spacing w:val="20"/>
          <w:sz w:val="24"/>
          <w:szCs w:val="24"/>
          <w:highlight w:val="none"/>
          <w14:textFill>
            <w14:solidFill>
              <w14:schemeClr w14:val="tx1"/>
            </w14:solidFill>
          </w14:textFill>
        </w:rPr>
        <w:t xml:space="preserve">  </w:t>
      </w:r>
      <w:r>
        <w:rPr>
          <w:rFonts w:ascii="宋体" w:hAnsi="宋体" w:cs="宋体"/>
          <w:color w:val="000000" w:themeColor="text1"/>
          <w:spacing w:val="-7"/>
          <w:sz w:val="24"/>
          <w:szCs w:val="24"/>
          <w:highlight w:val="none"/>
          <w14:textFill>
            <w14:solidFill>
              <w14:schemeClr w14:val="tx1"/>
            </w14:solidFill>
          </w14:textFill>
        </w:rPr>
        <w:t>图纸的提供</w:t>
      </w:r>
    </w:p>
    <w:p w14:paraId="3BF58008">
      <w:pPr>
        <w:spacing w:before="118" w:line="307" w:lineRule="auto"/>
        <w:ind w:right="164" w:firstLine="480"/>
        <w:rPr>
          <w:rFonts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pacing w:val="1"/>
          <w:sz w:val="24"/>
          <w:szCs w:val="24"/>
          <w:highlight w:val="none"/>
          <w14:textFill>
            <w14:solidFill>
              <w14:schemeClr w14:val="tx1"/>
            </w14:solidFill>
          </w14:textFill>
        </w:rPr>
        <w:t>在专用合同条款约定的期限内，咨询人应向承包人免费提供</w:t>
      </w:r>
      <w:r>
        <w:rPr>
          <w:rFonts w:ascii="宋体" w:hAnsi="宋体" w:cs="宋体"/>
          <w:color w:val="000000" w:themeColor="text1"/>
          <w:sz w:val="24"/>
          <w:szCs w:val="24"/>
          <w:highlight w:val="none"/>
          <w14:textFill>
            <w14:solidFill>
              <w14:schemeClr w14:val="tx1"/>
            </w14:solidFill>
          </w14:textFill>
        </w:rPr>
        <w:t>由发包人或其委托</w:t>
      </w:r>
      <w:r>
        <w:rPr>
          <w:rFonts w:ascii="宋体" w:hAnsi="宋体" w:cs="宋体"/>
          <w:color w:val="000000" w:themeColor="text1"/>
          <w:spacing w:val="2"/>
          <w:sz w:val="24"/>
          <w:szCs w:val="24"/>
          <w:highlight w:val="none"/>
          <w14:textFill>
            <w14:solidFill>
              <w14:schemeClr w14:val="tx1"/>
            </w14:solidFill>
          </w14:textFill>
        </w:rPr>
        <w:t>的设计单位设计的施工图纸、技术规范和其他技术资料（如有）</w:t>
      </w:r>
      <w:r>
        <w:rPr>
          <w:rFonts w:eastAsia="Times New Roman"/>
          <w:color w:val="000000" w:themeColor="text1"/>
          <w:spacing w:val="2"/>
          <w:sz w:val="24"/>
          <w:szCs w:val="24"/>
          <w:highlight w:val="none"/>
          <w14:textFill>
            <w14:solidFill>
              <w14:schemeClr w14:val="tx1"/>
            </w14:solidFill>
          </w14:textFill>
        </w:rPr>
        <w:t xml:space="preserve">2 </w:t>
      </w:r>
      <w:r>
        <w:rPr>
          <w:rFonts w:ascii="宋体" w:hAnsi="宋体" w:cs="宋体"/>
          <w:color w:val="000000" w:themeColor="text1"/>
          <w:spacing w:val="2"/>
          <w:sz w:val="24"/>
          <w:szCs w:val="24"/>
          <w:highlight w:val="none"/>
          <w14:textFill>
            <w14:solidFill>
              <w14:schemeClr w14:val="tx1"/>
            </w14:solidFill>
          </w14:textFill>
        </w:rPr>
        <w:t>份，并向承包人</w:t>
      </w:r>
      <w:r>
        <w:rPr>
          <w:rFonts w:ascii="宋体" w:hAnsi="宋体" w:cs="宋体"/>
          <w:color w:val="000000" w:themeColor="text1"/>
          <w:spacing w:val="4"/>
          <w:sz w:val="24"/>
          <w:szCs w:val="24"/>
          <w:highlight w:val="none"/>
          <w14:textFill>
            <w14:solidFill>
              <w14:schemeClr w14:val="tx1"/>
            </w14:solidFill>
          </w14:textFill>
        </w:rPr>
        <w:t>进行技术交底。由于发包人未按时提供图纸造成工期延误的，按第</w:t>
      </w:r>
      <w:r>
        <w:rPr>
          <w:rFonts w:ascii="宋体" w:hAnsi="宋体" w:cs="宋体"/>
          <w:color w:val="000000" w:themeColor="text1"/>
          <w:spacing w:val="-21"/>
          <w:sz w:val="24"/>
          <w:szCs w:val="24"/>
          <w:highlight w:val="none"/>
          <w14:textFill>
            <w14:solidFill>
              <w14:schemeClr w14:val="tx1"/>
            </w14:solidFill>
          </w14:textFill>
        </w:rPr>
        <w:t xml:space="preserve"> </w:t>
      </w:r>
      <w:r>
        <w:rPr>
          <w:rFonts w:eastAsia="Times New Roman"/>
          <w:color w:val="000000" w:themeColor="text1"/>
          <w:spacing w:val="4"/>
          <w:sz w:val="24"/>
          <w:szCs w:val="24"/>
          <w:highlight w:val="none"/>
          <w14:textFill>
            <w14:solidFill>
              <w14:schemeClr w14:val="tx1"/>
            </w14:solidFill>
          </w14:textFill>
        </w:rPr>
        <w:t>11.3</w:t>
      </w:r>
      <w:r>
        <w:rPr>
          <w:rFonts w:eastAsia="Times New Roman"/>
          <w:color w:val="000000" w:themeColor="text1"/>
          <w:spacing w:val="18"/>
          <w:sz w:val="24"/>
          <w:szCs w:val="24"/>
          <w:highlight w:val="none"/>
          <w14:textFill>
            <w14:solidFill>
              <w14:schemeClr w14:val="tx1"/>
            </w14:solidFill>
          </w14:textFill>
        </w:rPr>
        <w:t xml:space="preserve"> </w:t>
      </w:r>
      <w:r>
        <w:rPr>
          <w:rFonts w:ascii="宋体" w:hAnsi="宋体" w:cs="宋体"/>
          <w:color w:val="000000" w:themeColor="text1"/>
          <w:spacing w:val="4"/>
          <w:sz w:val="24"/>
          <w:szCs w:val="24"/>
          <w:highlight w:val="none"/>
          <w14:textFill>
            <w14:solidFill>
              <w14:schemeClr w14:val="tx1"/>
            </w14:solidFill>
          </w14:textFill>
        </w:rPr>
        <w:t>款的约定</w:t>
      </w:r>
      <w:r>
        <w:rPr>
          <w:rFonts w:ascii="宋体" w:hAnsi="宋体" w:cs="宋体"/>
          <w:color w:val="000000" w:themeColor="text1"/>
          <w:spacing w:val="-3"/>
          <w:sz w:val="24"/>
          <w:szCs w:val="24"/>
          <w:highlight w:val="none"/>
          <w14:textFill>
            <w14:solidFill>
              <w14:schemeClr w14:val="tx1"/>
            </w14:solidFill>
          </w14:textFill>
        </w:rPr>
        <w:t>办理。</w:t>
      </w:r>
    </w:p>
    <w:p w14:paraId="15AE2DC0">
      <w:pPr>
        <w:spacing w:before="1" w:line="218" w:lineRule="auto"/>
        <w:ind w:left="500"/>
        <w:rPr>
          <w:rFonts w:ascii="宋体" w:hAnsi="宋体" w:cs="宋体"/>
          <w:color w:val="000000" w:themeColor="text1"/>
          <w:sz w:val="24"/>
          <w:szCs w:val="24"/>
          <w:highlight w:val="none"/>
          <w14:textFill>
            <w14:solidFill>
              <w14:schemeClr w14:val="tx1"/>
            </w14:solidFill>
          </w14:textFill>
        </w:rPr>
      </w:pPr>
      <w:r>
        <w:rPr>
          <w:rFonts w:eastAsia="Times New Roman"/>
          <w:color w:val="000000" w:themeColor="text1"/>
          <w:spacing w:val="-2"/>
          <w:sz w:val="24"/>
          <w:szCs w:val="24"/>
          <w:highlight w:val="none"/>
          <w14:textFill>
            <w14:solidFill>
              <w14:schemeClr w14:val="tx1"/>
            </w14:solidFill>
          </w14:textFill>
        </w:rPr>
        <w:t xml:space="preserve">1.5.2  </w:t>
      </w:r>
      <w:r>
        <w:rPr>
          <w:rFonts w:ascii="宋体" w:hAnsi="宋体" w:cs="宋体"/>
          <w:color w:val="000000" w:themeColor="text1"/>
          <w:spacing w:val="-2"/>
          <w:sz w:val="24"/>
          <w:szCs w:val="24"/>
          <w:highlight w:val="none"/>
          <w14:textFill>
            <w14:solidFill>
              <w14:schemeClr w14:val="tx1"/>
            </w14:solidFill>
          </w14:textFill>
        </w:rPr>
        <w:t>承包人提供的文件</w:t>
      </w:r>
    </w:p>
    <w:p w14:paraId="7BE0FBED">
      <w:pPr>
        <w:spacing w:before="117" w:line="219" w:lineRule="auto"/>
        <w:ind w:left="481"/>
        <w:rPr>
          <w:rFonts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pacing w:val="1"/>
          <w:sz w:val="24"/>
          <w:szCs w:val="24"/>
          <w:highlight w:val="none"/>
          <w14:textFill>
            <w14:solidFill>
              <w14:schemeClr w14:val="tx1"/>
            </w14:solidFill>
          </w14:textFill>
        </w:rPr>
        <w:t>根据合同要求与养护作业需要，承包人应免费向咨询人提</w:t>
      </w:r>
      <w:r>
        <w:rPr>
          <w:rFonts w:ascii="宋体" w:hAnsi="宋体" w:cs="宋体"/>
          <w:color w:val="000000" w:themeColor="text1"/>
          <w:sz w:val="24"/>
          <w:szCs w:val="24"/>
          <w:highlight w:val="none"/>
          <w14:textFill>
            <w14:solidFill>
              <w14:schemeClr w14:val="tx1"/>
            </w14:solidFill>
          </w14:textFill>
        </w:rPr>
        <w:t>交相关部分养护项目</w:t>
      </w:r>
    </w:p>
    <w:p w14:paraId="69947E76">
      <w:pPr>
        <w:spacing w:before="78" w:line="307" w:lineRule="auto"/>
        <w:ind w:right="164" w:firstLine="19"/>
        <w:rPr>
          <w:rFonts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的图纸</w:t>
      </w:r>
      <w:r>
        <w:rPr>
          <w:rFonts w:ascii="宋体" w:hAnsi="宋体" w:cs="宋体"/>
          <w:color w:val="000000" w:themeColor="text1"/>
          <w:spacing w:val="-50"/>
          <w:sz w:val="24"/>
          <w:szCs w:val="24"/>
          <w:highlight w:val="none"/>
          <w14:textFill>
            <w14:solidFill>
              <w14:schemeClr w14:val="tx1"/>
            </w14:solidFill>
          </w14:textFill>
        </w:rPr>
        <w:t xml:space="preserve"> </w:t>
      </w:r>
      <w:r>
        <w:rPr>
          <w:rFonts w:eastAsia="Times New Roman"/>
          <w:color w:val="000000" w:themeColor="text1"/>
          <w:sz w:val="24"/>
          <w:szCs w:val="24"/>
          <w:highlight w:val="none"/>
          <w14:textFill>
            <w14:solidFill>
              <w14:schemeClr w14:val="tx1"/>
            </w14:solidFill>
          </w14:textFill>
        </w:rPr>
        <w:t xml:space="preserve">3 </w:t>
      </w:r>
      <w:r>
        <w:rPr>
          <w:rFonts w:ascii="宋体" w:hAnsi="宋体" w:cs="宋体"/>
          <w:color w:val="000000" w:themeColor="text1"/>
          <w:sz w:val="24"/>
          <w:szCs w:val="24"/>
          <w:highlight w:val="none"/>
          <w14:textFill>
            <w14:solidFill>
              <w14:schemeClr w14:val="tx1"/>
            </w14:solidFill>
          </w14:textFill>
        </w:rPr>
        <w:t>份，并附必要的图纸说明和资料供咨询人批准。咨询人有修改</w:t>
      </w:r>
      <w:r>
        <w:rPr>
          <w:rFonts w:ascii="宋体" w:hAnsi="宋体" w:cs="宋体"/>
          <w:color w:val="000000" w:themeColor="text1"/>
          <w:spacing w:val="-1"/>
          <w:sz w:val="24"/>
          <w:szCs w:val="24"/>
          <w:highlight w:val="none"/>
          <w14:textFill>
            <w14:solidFill>
              <w14:schemeClr w14:val="tx1"/>
            </w14:solidFill>
          </w14:textFill>
        </w:rPr>
        <w:t>意见的，承包人应作出修改后重新提交。</w:t>
      </w:r>
    </w:p>
    <w:p w14:paraId="2BC32CE7">
      <w:pPr>
        <w:spacing w:line="219" w:lineRule="auto"/>
        <w:ind w:left="498"/>
        <w:rPr>
          <w:rFonts w:ascii="宋体" w:hAnsi="宋体" w:cs="宋体"/>
          <w:color w:val="000000" w:themeColor="text1"/>
          <w:sz w:val="24"/>
          <w:szCs w:val="24"/>
          <w:highlight w:val="none"/>
          <w14:textFill>
            <w14:solidFill>
              <w14:schemeClr w14:val="tx1"/>
            </w14:solidFill>
          </w14:textFill>
        </w:rPr>
      </w:pPr>
      <w:r>
        <w:rPr>
          <w:rFonts w:eastAsia="Times New Roman"/>
          <w:color w:val="000000" w:themeColor="text1"/>
          <w:spacing w:val="-7"/>
          <w:sz w:val="24"/>
          <w:szCs w:val="24"/>
          <w:highlight w:val="none"/>
          <w14:textFill>
            <w14:solidFill>
              <w14:schemeClr w14:val="tx1"/>
            </w14:solidFill>
          </w14:textFill>
        </w:rPr>
        <w:t>1.5.3</w:t>
      </w:r>
      <w:r>
        <w:rPr>
          <w:rFonts w:eastAsia="Times New Roman"/>
          <w:color w:val="000000" w:themeColor="text1"/>
          <w:spacing w:val="20"/>
          <w:sz w:val="24"/>
          <w:szCs w:val="24"/>
          <w:highlight w:val="none"/>
          <w14:textFill>
            <w14:solidFill>
              <w14:schemeClr w14:val="tx1"/>
            </w14:solidFill>
          </w14:textFill>
        </w:rPr>
        <w:t xml:space="preserve">  </w:t>
      </w:r>
      <w:r>
        <w:rPr>
          <w:rFonts w:ascii="宋体" w:hAnsi="宋体" w:cs="宋体"/>
          <w:color w:val="000000" w:themeColor="text1"/>
          <w:spacing w:val="-7"/>
          <w:sz w:val="24"/>
          <w:szCs w:val="24"/>
          <w:highlight w:val="none"/>
          <w14:textFill>
            <w14:solidFill>
              <w14:schemeClr w14:val="tx1"/>
            </w14:solidFill>
          </w14:textFill>
        </w:rPr>
        <w:t>图纸的修改</w:t>
      </w:r>
    </w:p>
    <w:p w14:paraId="6C9FAA28">
      <w:pPr>
        <w:spacing w:before="114" w:line="308" w:lineRule="auto"/>
        <w:ind w:right="164" w:firstLine="502"/>
        <w:rPr>
          <w:rFonts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图纸需要修改和补充的，应由咨询人取得发包人同意后，在该养护工程或养护</w:t>
      </w:r>
      <w:r>
        <w:rPr>
          <w:rFonts w:ascii="宋体" w:hAnsi="宋体" w:cs="宋体"/>
          <w:color w:val="000000" w:themeColor="text1"/>
          <w:spacing w:val="1"/>
          <w:sz w:val="24"/>
          <w:szCs w:val="24"/>
          <w:highlight w:val="none"/>
          <w14:textFill>
            <w14:solidFill>
              <w14:schemeClr w14:val="tx1"/>
            </w14:solidFill>
          </w14:textFill>
        </w:rPr>
        <w:t>工程相应部位施工前的合理期限内签发图纸修改图给承</w:t>
      </w:r>
      <w:r>
        <w:rPr>
          <w:rFonts w:ascii="宋体" w:hAnsi="宋体" w:cs="宋体"/>
          <w:color w:val="000000" w:themeColor="text1"/>
          <w:sz w:val="24"/>
          <w:szCs w:val="24"/>
          <w:highlight w:val="none"/>
          <w14:textFill>
            <w14:solidFill>
              <w14:schemeClr w14:val="tx1"/>
            </w14:solidFill>
          </w14:textFill>
        </w:rPr>
        <w:t>包人，具体签发期限在专用</w:t>
      </w:r>
      <w:r>
        <w:rPr>
          <w:rFonts w:ascii="宋体" w:hAnsi="宋体" w:cs="宋体"/>
          <w:color w:val="000000" w:themeColor="text1"/>
          <w:spacing w:val="-1"/>
          <w:sz w:val="24"/>
          <w:szCs w:val="24"/>
          <w:highlight w:val="none"/>
          <w14:textFill>
            <w14:solidFill>
              <w14:schemeClr w14:val="tx1"/>
            </w14:solidFill>
          </w14:textFill>
        </w:rPr>
        <w:t>合同条款中约定。承包人应按修改后的图纸实施作业。</w:t>
      </w:r>
    </w:p>
    <w:p w14:paraId="397E368D">
      <w:pPr>
        <w:spacing w:before="1" w:line="220" w:lineRule="auto"/>
        <w:ind w:left="498"/>
        <w:rPr>
          <w:rFonts w:ascii="宋体" w:hAnsi="宋体" w:cs="宋体"/>
          <w:color w:val="000000" w:themeColor="text1"/>
          <w:sz w:val="24"/>
          <w:szCs w:val="24"/>
          <w:highlight w:val="none"/>
          <w14:textFill>
            <w14:solidFill>
              <w14:schemeClr w14:val="tx1"/>
            </w14:solidFill>
          </w14:textFill>
        </w:rPr>
      </w:pPr>
      <w:r>
        <w:rPr>
          <w:rFonts w:eastAsia="Times New Roman"/>
          <w:color w:val="000000" w:themeColor="text1"/>
          <w:spacing w:val="-7"/>
          <w:sz w:val="24"/>
          <w:szCs w:val="24"/>
          <w:highlight w:val="none"/>
          <w14:textFill>
            <w14:solidFill>
              <w14:schemeClr w14:val="tx1"/>
            </w14:solidFill>
          </w14:textFill>
        </w:rPr>
        <w:t>1.5.4</w:t>
      </w:r>
      <w:r>
        <w:rPr>
          <w:rFonts w:eastAsia="Times New Roman"/>
          <w:color w:val="000000" w:themeColor="text1"/>
          <w:spacing w:val="20"/>
          <w:sz w:val="24"/>
          <w:szCs w:val="24"/>
          <w:highlight w:val="none"/>
          <w14:textFill>
            <w14:solidFill>
              <w14:schemeClr w14:val="tx1"/>
            </w14:solidFill>
          </w14:textFill>
        </w:rPr>
        <w:t xml:space="preserve">  </w:t>
      </w:r>
      <w:r>
        <w:rPr>
          <w:rFonts w:ascii="宋体" w:hAnsi="宋体" w:cs="宋体"/>
          <w:color w:val="000000" w:themeColor="text1"/>
          <w:spacing w:val="-7"/>
          <w:sz w:val="24"/>
          <w:szCs w:val="24"/>
          <w:highlight w:val="none"/>
          <w14:textFill>
            <w14:solidFill>
              <w14:schemeClr w14:val="tx1"/>
            </w14:solidFill>
          </w14:textFill>
        </w:rPr>
        <w:t>图纸的错误</w:t>
      </w:r>
    </w:p>
    <w:p w14:paraId="1076342D">
      <w:pPr>
        <w:spacing w:before="112" w:line="308" w:lineRule="auto"/>
        <w:ind w:left="5" w:right="164" w:firstLine="489"/>
        <w:rPr>
          <w:rFonts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当承包人在查阅合同文件或在养护项目实施过程中，发现有关的设计、技术规</w:t>
      </w:r>
      <w:r>
        <w:rPr>
          <w:rFonts w:ascii="宋体" w:hAnsi="宋体" w:cs="宋体"/>
          <w:color w:val="000000" w:themeColor="text1"/>
          <w:spacing w:val="1"/>
          <w:sz w:val="24"/>
          <w:szCs w:val="24"/>
          <w:highlight w:val="none"/>
          <w14:textFill>
            <w14:solidFill>
              <w14:schemeClr w14:val="tx1"/>
            </w14:solidFill>
          </w14:textFill>
        </w:rPr>
        <w:t>范、图纸或其他资料中的任何差错、遗漏或</w:t>
      </w:r>
      <w:r>
        <w:rPr>
          <w:rFonts w:ascii="宋体" w:hAnsi="宋体" w:cs="宋体"/>
          <w:color w:val="000000" w:themeColor="text1"/>
          <w:sz w:val="24"/>
          <w:szCs w:val="24"/>
          <w:highlight w:val="none"/>
          <w14:textFill>
            <w14:solidFill>
              <w14:schemeClr w14:val="tx1"/>
            </w14:solidFill>
          </w14:textFill>
        </w:rPr>
        <w:t>缺陷后，应及时通知咨询人。咨询人接</w:t>
      </w:r>
      <w:r>
        <w:rPr>
          <w:rFonts w:ascii="宋体" w:hAnsi="宋体" w:cs="宋体"/>
          <w:color w:val="000000" w:themeColor="text1"/>
          <w:spacing w:val="-1"/>
          <w:sz w:val="24"/>
          <w:szCs w:val="24"/>
          <w:highlight w:val="none"/>
          <w14:textFill>
            <w14:solidFill>
              <w14:schemeClr w14:val="tx1"/>
            </w14:solidFill>
          </w14:textFill>
        </w:rPr>
        <w:t>到该通知后，应立即就此作出决定，并通知承包人和发包人。</w:t>
      </w:r>
    </w:p>
    <w:p w14:paraId="2E2D8E33">
      <w:pPr>
        <w:spacing w:line="219" w:lineRule="auto"/>
        <w:ind w:left="498"/>
        <w:rPr>
          <w:rFonts w:ascii="宋体" w:hAnsi="宋体" w:cs="宋体"/>
          <w:color w:val="000000" w:themeColor="text1"/>
          <w:sz w:val="24"/>
          <w:szCs w:val="24"/>
          <w:highlight w:val="none"/>
          <w14:textFill>
            <w14:solidFill>
              <w14:schemeClr w14:val="tx1"/>
            </w14:solidFill>
          </w14:textFill>
        </w:rPr>
      </w:pPr>
      <w:r>
        <w:rPr>
          <w:rFonts w:eastAsia="Times New Roman"/>
          <w:color w:val="000000" w:themeColor="text1"/>
          <w:spacing w:val="-4"/>
          <w:sz w:val="24"/>
          <w:szCs w:val="24"/>
          <w:highlight w:val="none"/>
          <w14:textFill>
            <w14:solidFill>
              <w14:schemeClr w14:val="tx1"/>
            </w14:solidFill>
          </w14:textFill>
        </w:rPr>
        <w:t>1.5.5</w:t>
      </w:r>
      <w:r>
        <w:rPr>
          <w:rFonts w:eastAsia="Times New Roman"/>
          <w:color w:val="000000" w:themeColor="text1"/>
          <w:spacing w:val="17"/>
          <w:sz w:val="24"/>
          <w:szCs w:val="24"/>
          <w:highlight w:val="none"/>
          <w14:textFill>
            <w14:solidFill>
              <w14:schemeClr w14:val="tx1"/>
            </w14:solidFill>
          </w14:textFill>
        </w:rPr>
        <w:t xml:space="preserve">  </w:t>
      </w:r>
      <w:r>
        <w:rPr>
          <w:rFonts w:ascii="宋体" w:hAnsi="宋体" w:cs="宋体"/>
          <w:color w:val="000000" w:themeColor="text1"/>
          <w:spacing w:val="-4"/>
          <w:sz w:val="24"/>
          <w:szCs w:val="24"/>
          <w:highlight w:val="none"/>
          <w14:textFill>
            <w14:solidFill>
              <w14:schemeClr w14:val="tx1"/>
            </w14:solidFill>
          </w14:textFill>
        </w:rPr>
        <w:t>图纸和承包人文件的保管</w:t>
      </w:r>
    </w:p>
    <w:p w14:paraId="40100B07">
      <w:pPr>
        <w:spacing w:before="113" w:line="305" w:lineRule="auto"/>
        <w:ind w:left="18" w:right="164" w:firstLine="470"/>
        <w:rPr>
          <w:rFonts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pacing w:val="9"/>
          <w:sz w:val="24"/>
          <w:szCs w:val="24"/>
          <w:highlight w:val="none"/>
          <w14:textFill>
            <w14:solidFill>
              <w14:schemeClr w14:val="tx1"/>
            </w14:solidFill>
          </w14:textFill>
        </w:rPr>
        <w:t>咨询人和承包人均应在养护作业场地各保存一套完整的包含第</w:t>
      </w:r>
      <w:r>
        <w:rPr>
          <w:rFonts w:ascii="宋体" w:hAnsi="宋体" w:cs="宋体"/>
          <w:color w:val="000000" w:themeColor="text1"/>
          <w:spacing w:val="-19"/>
          <w:sz w:val="24"/>
          <w:szCs w:val="24"/>
          <w:highlight w:val="none"/>
          <w14:textFill>
            <w14:solidFill>
              <w14:schemeClr w14:val="tx1"/>
            </w14:solidFill>
          </w14:textFill>
        </w:rPr>
        <w:t xml:space="preserve"> </w:t>
      </w:r>
      <w:r>
        <w:rPr>
          <w:rFonts w:eastAsia="Times New Roman"/>
          <w:color w:val="000000" w:themeColor="text1"/>
          <w:spacing w:val="9"/>
          <w:sz w:val="24"/>
          <w:szCs w:val="24"/>
          <w:highlight w:val="none"/>
          <w14:textFill>
            <w14:solidFill>
              <w14:schemeClr w14:val="tx1"/>
            </w14:solidFill>
          </w14:textFill>
        </w:rPr>
        <w:t>1.5</w:t>
      </w:r>
      <w:r>
        <w:rPr>
          <w:rFonts w:eastAsia="Times New Roman"/>
          <w:color w:val="000000" w:themeColor="text1"/>
          <w:spacing w:val="8"/>
          <w:sz w:val="24"/>
          <w:szCs w:val="24"/>
          <w:highlight w:val="none"/>
          <w14:textFill>
            <w14:solidFill>
              <w14:schemeClr w14:val="tx1"/>
            </w14:solidFill>
          </w14:textFill>
        </w:rPr>
        <w:t>.1</w:t>
      </w:r>
      <w:r>
        <w:rPr>
          <w:rFonts w:ascii="宋体" w:hAnsi="宋体" w:cs="宋体"/>
          <w:color w:val="000000" w:themeColor="text1"/>
          <w:spacing w:val="8"/>
          <w:sz w:val="24"/>
          <w:szCs w:val="24"/>
          <w:highlight w:val="none"/>
          <w14:textFill>
            <w14:solidFill>
              <w14:schemeClr w14:val="tx1"/>
            </w14:solidFill>
          </w14:textFill>
        </w:rPr>
        <w:t>项、第</w:t>
      </w:r>
      <w:r>
        <w:rPr>
          <w:rFonts w:eastAsia="Times New Roman"/>
          <w:color w:val="000000" w:themeColor="text1"/>
          <w:spacing w:val="-2"/>
          <w:sz w:val="24"/>
          <w:szCs w:val="24"/>
          <w:highlight w:val="none"/>
          <w14:textFill>
            <w14:solidFill>
              <w14:schemeClr w14:val="tx1"/>
            </w14:solidFill>
          </w14:textFill>
        </w:rPr>
        <w:t xml:space="preserve">1.5.2 </w:t>
      </w:r>
      <w:r>
        <w:rPr>
          <w:rFonts w:ascii="宋体" w:hAnsi="宋体" w:cs="宋体"/>
          <w:color w:val="000000" w:themeColor="text1"/>
          <w:spacing w:val="-2"/>
          <w:sz w:val="24"/>
          <w:szCs w:val="24"/>
          <w:highlight w:val="none"/>
          <w14:textFill>
            <w14:solidFill>
              <w14:schemeClr w14:val="tx1"/>
            </w14:solidFill>
          </w14:textFill>
        </w:rPr>
        <w:t>项、第</w:t>
      </w:r>
      <w:r>
        <w:rPr>
          <w:rFonts w:ascii="宋体" w:hAnsi="宋体" w:cs="宋体"/>
          <w:color w:val="000000" w:themeColor="text1"/>
          <w:spacing w:val="-30"/>
          <w:sz w:val="24"/>
          <w:szCs w:val="24"/>
          <w:highlight w:val="none"/>
          <w14:textFill>
            <w14:solidFill>
              <w14:schemeClr w14:val="tx1"/>
            </w14:solidFill>
          </w14:textFill>
        </w:rPr>
        <w:t xml:space="preserve"> </w:t>
      </w:r>
      <w:r>
        <w:rPr>
          <w:rFonts w:eastAsia="Times New Roman"/>
          <w:color w:val="000000" w:themeColor="text1"/>
          <w:spacing w:val="-2"/>
          <w:sz w:val="24"/>
          <w:szCs w:val="24"/>
          <w:highlight w:val="none"/>
          <w14:textFill>
            <w14:solidFill>
              <w14:schemeClr w14:val="tx1"/>
            </w14:solidFill>
          </w14:textFill>
        </w:rPr>
        <w:t xml:space="preserve">1.5.3 </w:t>
      </w:r>
      <w:r>
        <w:rPr>
          <w:rFonts w:ascii="宋体" w:hAnsi="宋体" w:cs="宋体"/>
          <w:color w:val="000000" w:themeColor="text1"/>
          <w:spacing w:val="-2"/>
          <w:sz w:val="24"/>
          <w:szCs w:val="24"/>
          <w:highlight w:val="none"/>
          <w14:textFill>
            <w14:solidFill>
              <w14:schemeClr w14:val="tx1"/>
            </w14:solidFill>
          </w14:textFill>
        </w:rPr>
        <w:t>项约定内容的图纸和承包人文件。</w:t>
      </w:r>
    </w:p>
    <w:p w14:paraId="021E0D56">
      <w:pPr>
        <w:spacing w:line="221" w:lineRule="auto"/>
        <w:ind w:left="486"/>
        <w:outlineLvl w:val="3"/>
        <w:rPr>
          <w:rFonts w:ascii="宋体" w:hAnsi="宋体" w:cs="宋体"/>
          <w:color w:val="000000" w:themeColor="text1"/>
          <w:sz w:val="24"/>
          <w:szCs w:val="24"/>
          <w:highlight w:val="none"/>
          <w14:textFill>
            <w14:solidFill>
              <w14:schemeClr w14:val="tx1"/>
            </w14:solidFill>
          </w14:textFill>
        </w:rPr>
      </w:pPr>
      <w:r>
        <w:rPr>
          <w:rFonts w:eastAsia="Times New Roman"/>
          <w:b/>
          <w:bCs/>
          <w:color w:val="000000" w:themeColor="text1"/>
          <w:spacing w:val="-7"/>
          <w:sz w:val="24"/>
          <w:szCs w:val="24"/>
          <w:highlight w:val="none"/>
          <w14:textFill>
            <w14:solidFill>
              <w14:schemeClr w14:val="tx1"/>
            </w14:solidFill>
          </w14:textFill>
        </w:rPr>
        <w:t>1.6</w:t>
      </w:r>
      <w:r>
        <w:rPr>
          <w:rFonts w:eastAsia="Times New Roman"/>
          <w:b/>
          <w:bCs/>
          <w:color w:val="000000" w:themeColor="text1"/>
          <w:spacing w:val="6"/>
          <w:sz w:val="24"/>
          <w:szCs w:val="24"/>
          <w:highlight w:val="none"/>
          <w14:textFill>
            <w14:solidFill>
              <w14:schemeClr w14:val="tx1"/>
            </w14:solidFill>
          </w14:textFill>
        </w:rPr>
        <w:t xml:space="preserve">  </w:t>
      </w:r>
      <w:r>
        <w:rPr>
          <w:rFonts w:ascii="宋体" w:hAnsi="宋体" w:cs="宋体"/>
          <w:b/>
          <w:bCs/>
          <w:color w:val="000000" w:themeColor="text1"/>
          <w:spacing w:val="-7"/>
          <w:sz w:val="24"/>
          <w:szCs w:val="24"/>
          <w:highlight w:val="none"/>
          <w14:textFill>
            <w14:solidFill>
              <w14:schemeClr w14:val="tx1"/>
            </w14:solidFill>
          </w14:textFill>
        </w:rPr>
        <w:t>联络</w:t>
      </w:r>
    </w:p>
    <w:p w14:paraId="50CF1052">
      <w:pPr>
        <w:spacing w:before="121" w:line="263" w:lineRule="auto"/>
        <w:ind w:left="3" w:right="166" w:firstLine="494"/>
        <w:rPr>
          <w:rFonts w:ascii="宋体" w:hAnsi="宋体" w:cs="宋体"/>
          <w:color w:val="000000" w:themeColor="text1"/>
          <w:sz w:val="24"/>
          <w:szCs w:val="24"/>
          <w:highlight w:val="none"/>
          <w14:textFill>
            <w14:solidFill>
              <w14:schemeClr w14:val="tx1"/>
            </w14:solidFill>
          </w14:textFill>
        </w:rPr>
      </w:pPr>
      <w:r>
        <w:rPr>
          <w:rFonts w:eastAsia="Times New Roman"/>
          <w:color w:val="000000" w:themeColor="text1"/>
          <w:spacing w:val="3"/>
          <w:sz w:val="24"/>
          <w:szCs w:val="24"/>
          <w:highlight w:val="none"/>
          <w14:textFill>
            <w14:solidFill>
              <w14:schemeClr w14:val="tx1"/>
            </w14:solidFill>
          </w14:textFill>
        </w:rPr>
        <w:t xml:space="preserve">1.6.1  </w:t>
      </w:r>
      <w:r>
        <w:rPr>
          <w:rFonts w:ascii="宋体" w:hAnsi="宋体" w:cs="宋体"/>
          <w:color w:val="000000" w:themeColor="text1"/>
          <w:spacing w:val="3"/>
          <w:sz w:val="24"/>
          <w:szCs w:val="24"/>
          <w:highlight w:val="none"/>
          <w14:textFill>
            <w14:solidFill>
              <w14:schemeClr w14:val="tx1"/>
            </w14:solidFill>
          </w14:textFill>
        </w:rPr>
        <w:t>与合同有关的通知、批准、证明、证书、指示、要求、请求、同意、意</w:t>
      </w:r>
      <w:r>
        <w:rPr>
          <w:rFonts w:ascii="宋体" w:hAnsi="宋体" w:cs="宋体"/>
          <w:color w:val="000000" w:themeColor="text1"/>
          <w:spacing w:val="-1"/>
          <w:sz w:val="24"/>
          <w:szCs w:val="24"/>
          <w:highlight w:val="none"/>
          <w14:textFill>
            <w14:solidFill>
              <w14:schemeClr w14:val="tx1"/>
            </w14:solidFill>
          </w14:textFill>
        </w:rPr>
        <w:t>见、确定和决定等，均应采用书面形式。</w:t>
      </w:r>
    </w:p>
    <w:p w14:paraId="160EEC7E">
      <w:pPr>
        <w:spacing w:before="117" w:line="278" w:lineRule="auto"/>
        <w:ind w:left="3" w:right="164" w:firstLine="494"/>
        <w:rPr>
          <w:rFonts w:ascii="宋体" w:hAnsi="宋体" w:cs="宋体"/>
          <w:color w:val="000000" w:themeColor="text1"/>
          <w:sz w:val="24"/>
          <w:szCs w:val="24"/>
          <w:highlight w:val="none"/>
          <w14:textFill>
            <w14:solidFill>
              <w14:schemeClr w14:val="tx1"/>
            </w14:solidFill>
          </w14:textFill>
        </w:rPr>
      </w:pPr>
      <w:r>
        <w:rPr>
          <w:rFonts w:eastAsia="Times New Roman"/>
          <w:color w:val="000000" w:themeColor="text1"/>
          <w:spacing w:val="-1"/>
          <w:sz w:val="24"/>
          <w:szCs w:val="24"/>
          <w:highlight w:val="none"/>
          <w14:textFill>
            <w14:solidFill>
              <w14:schemeClr w14:val="tx1"/>
            </w14:solidFill>
          </w14:textFill>
        </w:rPr>
        <w:t xml:space="preserve">1.6.2  </w:t>
      </w:r>
      <w:r>
        <w:rPr>
          <w:rFonts w:ascii="宋体" w:hAnsi="宋体" w:cs="宋体"/>
          <w:color w:val="000000" w:themeColor="text1"/>
          <w:spacing w:val="-1"/>
          <w:sz w:val="24"/>
          <w:szCs w:val="24"/>
          <w:highlight w:val="none"/>
          <w14:textFill>
            <w14:solidFill>
              <w14:schemeClr w14:val="tx1"/>
            </w14:solidFill>
          </w14:textFill>
        </w:rPr>
        <w:t>第</w:t>
      </w:r>
      <w:r>
        <w:rPr>
          <w:rFonts w:ascii="宋体" w:hAnsi="宋体" w:cs="宋体"/>
          <w:color w:val="000000" w:themeColor="text1"/>
          <w:spacing w:val="-14"/>
          <w:sz w:val="24"/>
          <w:szCs w:val="24"/>
          <w:highlight w:val="none"/>
          <w14:textFill>
            <w14:solidFill>
              <w14:schemeClr w14:val="tx1"/>
            </w14:solidFill>
          </w14:textFill>
        </w:rPr>
        <w:t xml:space="preserve"> </w:t>
      </w:r>
      <w:r>
        <w:rPr>
          <w:rFonts w:eastAsia="Times New Roman"/>
          <w:color w:val="000000" w:themeColor="text1"/>
          <w:spacing w:val="-1"/>
          <w:sz w:val="24"/>
          <w:szCs w:val="24"/>
          <w:highlight w:val="none"/>
          <w14:textFill>
            <w14:solidFill>
              <w14:schemeClr w14:val="tx1"/>
            </w14:solidFill>
          </w14:textFill>
        </w:rPr>
        <w:t xml:space="preserve">1.6.1 </w:t>
      </w:r>
      <w:r>
        <w:rPr>
          <w:rFonts w:ascii="宋体" w:hAnsi="宋体" w:cs="宋体"/>
          <w:color w:val="000000" w:themeColor="text1"/>
          <w:spacing w:val="-1"/>
          <w:sz w:val="24"/>
          <w:szCs w:val="24"/>
          <w:highlight w:val="none"/>
          <w14:textFill>
            <w14:solidFill>
              <w14:schemeClr w14:val="tx1"/>
            </w14:solidFill>
          </w14:textFill>
        </w:rPr>
        <w:t>项中的通知、批准、证明、证书、指示、要求、请求、同意、意</w:t>
      </w:r>
      <w:r>
        <w:rPr>
          <w:rFonts w:ascii="宋体" w:hAnsi="宋体" w:cs="宋体"/>
          <w:color w:val="000000" w:themeColor="text1"/>
          <w:spacing w:val="1"/>
          <w:sz w:val="24"/>
          <w:szCs w:val="24"/>
          <w:highlight w:val="none"/>
          <w14:textFill>
            <w14:solidFill>
              <w14:schemeClr w14:val="tx1"/>
            </w14:solidFill>
          </w14:textFill>
        </w:rPr>
        <w:t>见、确定和决定等来往函件，均应在合同约定的</w:t>
      </w:r>
      <w:r>
        <w:rPr>
          <w:rFonts w:ascii="宋体" w:hAnsi="宋体" w:cs="宋体"/>
          <w:color w:val="000000" w:themeColor="text1"/>
          <w:sz w:val="24"/>
          <w:szCs w:val="24"/>
          <w:highlight w:val="none"/>
          <w14:textFill>
            <w14:solidFill>
              <w14:schemeClr w14:val="tx1"/>
            </w14:solidFill>
          </w14:textFill>
        </w:rPr>
        <w:t>期限内送达指定地点和接收人，并</w:t>
      </w:r>
      <w:r>
        <w:rPr>
          <w:rFonts w:ascii="宋体" w:hAnsi="宋体" w:cs="宋体"/>
          <w:color w:val="000000" w:themeColor="text1"/>
          <w:spacing w:val="-2"/>
          <w:sz w:val="24"/>
          <w:szCs w:val="24"/>
          <w:highlight w:val="none"/>
          <w14:textFill>
            <w14:solidFill>
              <w14:schemeClr w14:val="tx1"/>
            </w14:solidFill>
          </w14:textFill>
        </w:rPr>
        <w:t>办理签收手续。</w:t>
      </w:r>
    </w:p>
    <w:p w14:paraId="6AE40D65">
      <w:pPr>
        <w:spacing w:before="106" w:line="220" w:lineRule="auto"/>
        <w:ind w:left="486"/>
        <w:outlineLvl w:val="3"/>
        <w:rPr>
          <w:rFonts w:ascii="宋体" w:hAnsi="宋体" w:cs="宋体"/>
          <w:color w:val="000000" w:themeColor="text1"/>
          <w:sz w:val="24"/>
          <w:szCs w:val="24"/>
          <w:highlight w:val="none"/>
          <w14:textFill>
            <w14:solidFill>
              <w14:schemeClr w14:val="tx1"/>
            </w14:solidFill>
          </w14:textFill>
        </w:rPr>
      </w:pPr>
      <w:r>
        <w:rPr>
          <w:rFonts w:eastAsia="Times New Roman"/>
          <w:b/>
          <w:bCs/>
          <w:color w:val="000000" w:themeColor="text1"/>
          <w:spacing w:val="-7"/>
          <w:sz w:val="24"/>
          <w:szCs w:val="24"/>
          <w:highlight w:val="none"/>
          <w14:textFill>
            <w14:solidFill>
              <w14:schemeClr w14:val="tx1"/>
            </w14:solidFill>
          </w14:textFill>
        </w:rPr>
        <w:t>1.7</w:t>
      </w:r>
      <w:r>
        <w:rPr>
          <w:rFonts w:eastAsia="Times New Roman"/>
          <w:b/>
          <w:bCs/>
          <w:color w:val="000000" w:themeColor="text1"/>
          <w:spacing w:val="6"/>
          <w:sz w:val="24"/>
          <w:szCs w:val="24"/>
          <w:highlight w:val="none"/>
          <w14:textFill>
            <w14:solidFill>
              <w14:schemeClr w14:val="tx1"/>
            </w14:solidFill>
          </w14:textFill>
        </w:rPr>
        <w:t xml:space="preserve">  </w:t>
      </w:r>
      <w:r>
        <w:rPr>
          <w:rFonts w:ascii="宋体" w:hAnsi="宋体" w:cs="宋体"/>
          <w:b/>
          <w:bCs/>
          <w:color w:val="000000" w:themeColor="text1"/>
          <w:spacing w:val="-7"/>
          <w:sz w:val="24"/>
          <w:szCs w:val="24"/>
          <w:highlight w:val="none"/>
          <w14:textFill>
            <w14:solidFill>
              <w14:schemeClr w14:val="tx1"/>
            </w14:solidFill>
          </w14:textFill>
        </w:rPr>
        <w:t>转让</w:t>
      </w:r>
    </w:p>
    <w:p w14:paraId="1CFE7F43">
      <w:pPr>
        <w:spacing w:before="121" w:line="305" w:lineRule="auto"/>
        <w:ind w:left="2" w:right="164" w:firstLine="491"/>
        <w:rPr>
          <w:rFonts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除合同另有约定外，未经对方当事人同意，一方当事人不得将合同权利全部或</w:t>
      </w:r>
      <w:r>
        <w:rPr>
          <w:rFonts w:ascii="宋体" w:hAnsi="宋体" w:cs="宋体"/>
          <w:color w:val="000000" w:themeColor="text1"/>
          <w:spacing w:val="-1"/>
          <w:sz w:val="24"/>
          <w:szCs w:val="24"/>
          <w:highlight w:val="none"/>
          <w14:textFill>
            <w14:solidFill>
              <w14:schemeClr w14:val="tx1"/>
            </w14:solidFill>
          </w14:textFill>
        </w:rPr>
        <w:t>部分转让给第三人，也不得全部或部分转移合同义务。</w:t>
      </w:r>
    </w:p>
    <w:p w14:paraId="5B66459F">
      <w:pPr>
        <w:spacing w:before="1" w:line="219" w:lineRule="auto"/>
        <w:ind w:left="486"/>
        <w:outlineLvl w:val="3"/>
        <w:rPr>
          <w:rFonts w:ascii="宋体" w:hAnsi="宋体" w:cs="宋体"/>
          <w:color w:val="000000" w:themeColor="text1"/>
          <w:sz w:val="24"/>
          <w:szCs w:val="24"/>
          <w:highlight w:val="none"/>
          <w14:textFill>
            <w14:solidFill>
              <w14:schemeClr w14:val="tx1"/>
            </w14:solidFill>
          </w14:textFill>
        </w:rPr>
      </w:pPr>
      <w:r>
        <w:rPr>
          <w:rFonts w:eastAsia="Times New Roman"/>
          <w:b/>
          <w:bCs/>
          <w:color w:val="000000" w:themeColor="text1"/>
          <w:spacing w:val="-5"/>
          <w:sz w:val="24"/>
          <w:szCs w:val="24"/>
          <w:highlight w:val="none"/>
          <w14:textFill>
            <w14:solidFill>
              <w14:schemeClr w14:val="tx1"/>
            </w14:solidFill>
          </w14:textFill>
        </w:rPr>
        <w:t>1.8</w:t>
      </w:r>
      <w:r>
        <w:rPr>
          <w:rFonts w:eastAsia="Times New Roman"/>
          <w:b/>
          <w:bCs/>
          <w:color w:val="000000" w:themeColor="text1"/>
          <w:spacing w:val="5"/>
          <w:sz w:val="24"/>
          <w:szCs w:val="24"/>
          <w:highlight w:val="none"/>
          <w14:textFill>
            <w14:solidFill>
              <w14:schemeClr w14:val="tx1"/>
            </w14:solidFill>
          </w14:textFill>
        </w:rPr>
        <w:t xml:space="preserve">  </w:t>
      </w:r>
      <w:r>
        <w:rPr>
          <w:rFonts w:ascii="宋体" w:hAnsi="宋体" w:cs="宋体"/>
          <w:b/>
          <w:bCs/>
          <w:color w:val="000000" w:themeColor="text1"/>
          <w:spacing w:val="-5"/>
          <w:sz w:val="24"/>
          <w:szCs w:val="24"/>
          <w:highlight w:val="none"/>
          <w14:textFill>
            <w14:solidFill>
              <w14:schemeClr w14:val="tx1"/>
            </w14:solidFill>
          </w14:textFill>
        </w:rPr>
        <w:t>严禁贿赂</w:t>
      </w:r>
    </w:p>
    <w:p w14:paraId="57A64FC2">
      <w:pPr>
        <w:spacing w:before="123" w:line="308" w:lineRule="auto"/>
        <w:ind w:left="18" w:firstLine="462"/>
        <w:rPr>
          <w:rFonts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pacing w:val="-2"/>
          <w:sz w:val="24"/>
          <w:szCs w:val="24"/>
          <w:highlight w:val="none"/>
          <w14:textFill>
            <w14:solidFill>
              <w14:schemeClr w14:val="tx1"/>
            </w14:solidFill>
          </w14:textFill>
        </w:rPr>
        <w:t>合同双方当事人不得以贿赂或变相贿赂的方式，谋取不当利益或损害对方权益。</w:t>
      </w:r>
      <w:r>
        <w:rPr>
          <w:rFonts w:ascii="宋体" w:hAnsi="宋体" w:cs="宋体"/>
          <w:color w:val="000000" w:themeColor="text1"/>
          <w:spacing w:val="-1"/>
          <w:sz w:val="24"/>
          <w:szCs w:val="24"/>
          <w:highlight w:val="none"/>
          <w14:textFill>
            <w14:solidFill>
              <w14:schemeClr w14:val="tx1"/>
            </w14:solidFill>
          </w14:textFill>
        </w:rPr>
        <w:t>因贿赂造成对方损失的，行为人应赔偿损失，并承担相应的法律责任。</w:t>
      </w:r>
    </w:p>
    <w:p w14:paraId="26A34524">
      <w:pPr>
        <w:spacing w:before="2" w:line="303" w:lineRule="auto"/>
        <w:ind w:left="3" w:right="164" w:firstLine="475"/>
        <w:rPr>
          <w:rFonts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pacing w:val="1"/>
          <w:sz w:val="24"/>
          <w:szCs w:val="24"/>
          <w:highlight w:val="none"/>
          <w14:textFill>
            <w14:solidFill>
              <w14:schemeClr w14:val="tx1"/>
            </w14:solidFill>
          </w14:textFill>
        </w:rPr>
        <w:t>在合同执行过程中，发包人和承包人应严格履行廉政合同约</w:t>
      </w:r>
      <w:r>
        <w:rPr>
          <w:rFonts w:ascii="宋体" w:hAnsi="宋体" w:cs="宋体"/>
          <w:color w:val="000000" w:themeColor="text1"/>
          <w:sz w:val="24"/>
          <w:szCs w:val="24"/>
          <w:highlight w:val="none"/>
          <w14:textFill>
            <w14:solidFill>
              <w14:schemeClr w14:val="tx1"/>
            </w14:solidFill>
          </w14:textFill>
        </w:rPr>
        <w:t>定的双方在廉政建</w:t>
      </w:r>
      <w:r>
        <w:rPr>
          <w:rFonts w:ascii="宋体" w:hAnsi="宋体" w:cs="宋体"/>
          <w:color w:val="000000" w:themeColor="text1"/>
          <w:spacing w:val="-1"/>
          <w:sz w:val="24"/>
          <w:szCs w:val="24"/>
          <w:highlight w:val="none"/>
          <w14:textFill>
            <w14:solidFill>
              <w14:schemeClr w14:val="tx1"/>
            </w14:solidFill>
          </w14:textFill>
        </w:rPr>
        <w:t>设方面的权利和义务以及应承担的违约责任。</w:t>
      </w:r>
    </w:p>
    <w:p w14:paraId="20F82CC9">
      <w:pPr>
        <w:spacing w:before="1" w:line="219" w:lineRule="auto"/>
        <w:ind w:left="486"/>
        <w:outlineLvl w:val="3"/>
        <w:rPr>
          <w:rFonts w:ascii="宋体" w:hAnsi="宋体" w:cs="宋体"/>
          <w:color w:val="000000" w:themeColor="text1"/>
          <w:sz w:val="24"/>
          <w:szCs w:val="24"/>
          <w:highlight w:val="none"/>
          <w14:textFill>
            <w14:solidFill>
              <w14:schemeClr w14:val="tx1"/>
            </w14:solidFill>
          </w14:textFill>
        </w:rPr>
      </w:pPr>
      <w:r>
        <w:rPr>
          <w:rFonts w:eastAsia="Times New Roman"/>
          <w:b/>
          <w:bCs/>
          <w:color w:val="000000" w:themeColor="text1"/>
          <w:spacing w:val="-6"/>
          <w:sz w:val="24"/>
          <w:szCs w:val="24"/>
          <w:highlight w:val="none"/>
          <w14:textFill>
            <w14:solidFill>
              <w14:schemeClr w14:val="tx1"/>
            </w14:solidFill>
          </w14:textFill>
        </w:rPr>
        <w:t>1.9</w:t>
      </w:r>
      <w:r>
        <w:rPr>
          <w:rFonts w:eastAsia="Times New Roman"/>
          <w:b/>
          <w:bCs/>
          <w:color w:val="000000" w:themeColor="text1"/>
          <w:spacing w:val="8"/>
          <w:sz w:val="24"/>
          <w:szCs w:val="24"/>
          <w:highlight w:val="none"/>
          <w14:textFill>
            <w14:solidFill>
              <w14:schemeClr w14:val="tx1"/>
            </w14:solidFill>
          </w14:textFill>
        </w:rPr>
        <w:t xml:space="preserve">  </w:t>
      </w:r>
      <w:r>
        <w:rPr>
          <w:rFonts w:ascii="宋体" w:hAnsi="宋体" w:cs="宋体"/>
          <w:b/>
          <w:bCs/>
          <w:color w:val="000000" w:themeColor="text1"/>
          <w:spacing w:val="-6"/>
          <w:sz w:val="24"/>
          <w:szCs w:val="24"/>
          <w:highlight w:val="none"/>
          <w14:textFill>
            <w14:solidFill>
              <w14:schemeClr w14:val="tx1"/>
            </w14:solidFill>
          </w14:textFill>
        </w:rPr>
        <w:t>知识产权</w:t>
      </w:r>
    </w:p>
    <w:p w14:paraId="06D9F7B6">
      <w:pPr>
        <w:spacing w:before="125" w:line="278" w:lineRule="auto"/>
        <w:ind w:left="1" w:right="164" w:firstLine="496"/>
        <w:rPr>
          <w:rFonts w:ascii="宋体" w:hAnsi="宋体" w:cs="宋体"/>
          <w:color w:val="000000" w:themeColor="text1"/>
          <w:sz w:val="24"/>
          <w:szCs w:val="24"/>
          <w:highlight w:val="none"/>
          <w14:textFill>
            <w14:solidFill>
              <w14:schemeClr w14:val="tx1"/>
            </w14:solidFill>
          </w14:textFill>
        </w:rPr>
      </w:pPr>
      <w:r>
        <w:rPr>
          <w:rFonts w:eastAsia="Times New Roman"/>
          <w:color w:val="000000" w:themeColor="text1"/>
          <w:spacing w:val="3"/>
          <w:sz w:val="24"/>
          <w:szCs w:val="24"/>
          <w:highlight w:val="none"/>
          <w14:textFill>
            <w14:solidFill>
              <w14:schemeClr w14:val="tx1"/>
            </w14:solidFill>
          </w14:textFill>
        </w:rPr>
        <w:t xml:space="preserve">1.9.1  </w:t>
      </w:r>
      <w:r>
        <w:rPr>
          <w:rFonts w:ascii="宋体" w:hAnsi="宋体" w:cs="宋体"/>
          <w:color w:val="000000" w:themeColor="text1"/>
          <w:spacing w:val="3"/>
          <w:sz w:val="24"/>
          <w:szCs w:val="24"/>
          <w:highlight w:val="none"/>
          <w14:textFill>
            <w14:solidFill>
              <w14:schemeClr w14:val="tx1"/>
            </w14:solidFill>
          </w14:textFill>
        </w:rPr>
        <w:t>承包人在使用任何材料、承包人设备、工程设备或采用施工工艺时，因</w:t>
      </w:r>
      <w:r>
        <w:rPr>
          <w:rFonts w:ascii="宋体" w:hAnsi="宋体" w:cs="宋体"/>
          <w:color w:val="000000" w:themeColor="text1"/>
          <w:spacing w:val="1"/>
          <w:sz w:val="24"/>
          <w:szCs w:val="24"/>
          <w:highlight w:val="none"/>
          <w14:textFill>
            <w14:solidFill>
              <w14:schemeClr w14:val="tx1"/>
            </w14:solidFill>
          </w14:textFill>
        </w:rPr>
        <w:t>侵犯专利权或其他知识产权所引起的责任，由承包人</w:t>
      </w:r>
      <w:r>
        <w:rPr>
          <w:rFonts w:ascii="宋体" w:hAnsi="宋体" w:cs="宋体"/>
          <w:color w:val="000000" w:themeColor="text1"/>
          <w:sz w:val="24"/>
          <w:szCs w:val="24"/>
          <w:highlight w:val="none"/>
          <w14:textFill>
            <w14:solidFill>
              <w14:schemeClr w14:val="tx1"/>
            </w14:solidFill>
          </w14:textFill>
        </w:rPr>
        <w:t>承担，但由于遵照发包人提供</w:t>
      </w:r>
      <w:r>
        <w:rPr>
          <w:rFonts w:ascii="宋体" w:hAnsi="宋体" w:cs="宋体"/>
          <w:color w:val="000000" w:themeColor="text1"/>
          <w:spacing w:val="-1"/>
          <w:sz w:val="24"/>
          <w:szCs w:val="24"/>
          <w:highlight w:val="none"/>
          <w14:textFill>
            <w14:solidFill>
              <w14:schemeClr w14:val="tx1"/>
            </w14:solidFill>
          </w14:textFill>
        </w:rPr>
        <w:t>的设计或技术规范引起的除外。</w:t>
      </w:r>
    </w:p>
    <w:p w14:paraId="4E2E2C2F">
      <w:pPr>
        <w:spacing w:before="116" w:line="262" w:lineRule="auto"/>
        <w:ind w:right="166" w:firstLine="498"/>
        <w:rPr>
          <w:rFonts w:ascii="宋体" w:hAnsi="宋体" w:cs="宋体"/>
          <w:color w:val="000000" w:themeColor="text1"/>
          <w:sz w:val="24"/>
          <w:szCs w:val="24"/>
          <w:highlight w:val="none"/>
          <w14:textFill>
            <w14:solidFill>
              <w14:schemeClr w14:val="tx1"/>
            </w14:solidFill>
          </w14:textFill>
        </w:rPr>
      </w:pPr>
      <w:r>
        <w:rPr>
          <w:rFonts w:eastAsia="Times New Roman"/>
          <w:color w:val="000000" w:themeColor="text1"/>
          <w:spacing w:val="3"/>
          <w:sz w:val="24"/>
          <w:szCs w:val="24"/>
          <w:highlight w:val="none"/>
          <w14:textFill>
            <w14:solidFill>
              <w14:schemeClr w14:val="tx1"/>
            </w14:solidFill>
          </w14:textFill>
        </w:rPr>
        <w:t xml:space="preserve">1.9.2  </w:t>
      </w:r>
      <w:r>
        <w:rPr>
          <w:rFonts w:ascii="宋体" w:hAnsi="宋体" w:cs="宋体"/>
          <w:color w:val="000000" w:themeColor="text1"/>
          <w:spacing w:val="3"/>
          <w:sz w:val="24"/>
          <w:szCs w:val="24"/>
          <w:highlight w:val="none"/>
          <w14:textFill>
            <w14:solidFill>
              <w14:schemeClr w14:val="tx1"/>
            </w14:solidFill>
          </w14:textFill>
        </w:rPr>
        <w:t>承包人在实施养护项目中采用专利技术的，专利技术的使用费已包含在</w:t>
      </w:r>
      <w:r>
        <w:rPr>
          <w:rFonts w:ascii="宋体" w:hAnsi="宋体" w:cs="宋体"/>
          <w:color w:val="000000" w:themeColor="text1"/>
          <w:spacing w:val="-2"/>
          <w:sz w:val="24"/>
          <w:szCs w:val="24"/>
          <w:highlight w:val="none"/>
          <w14:textFill>
            <w14:solidFill>
              <w14:schemeClr w14:val="tx1"/>
            </w14:solidFill>
          </w14:textFill>
        </w:rPr>
        <w:t>签约合同价内。</w:t>
      </w:r>
    </w:p>
    <w:p w14:paraId="200EDA0A">
      <w:pPr>
        <w:spacing w:before="118" w:line="219" w:lineRule="auto"/>
        <w:ind w:left="498"/>
        <w:rPr>
          <w:rFonts w:ascii="宋体" w:hAnsi="宋体" w:cs="宋体"/>
          <w:color w:val="000000" w:themeColor="text1"/>
          <w:spacing w:val="3"/>
          <w:sz w:val="24"/>
          <w:szCs w:val="24"/>
          <w:highlight w:val="none"/>
          <w14:textFill>
            <w14:solidFill>
              <w14:schemeClr w14:val="tx1"/>
            </w14:solidFill>
          </w14:textFill>
        </w:rPr>
      </w:pPr>
      <w:r>
        <w:rPr>
          <w:rFonts w:eastAsia="Times New Roman"/>
          <w:color w:val="000000" w:themeColor="text1"/>
          <w:spacing w:val="3"/>
          <w:sz w:val="24"/>
          <w:szCs w:val="24"/>
          <w:highlight w:val="none"/>
          <w14:textFill>
            <w14:solidFill>
              <w14:schemeClr w14:val="tx1"/>
            </w14:solidFill>
          </w14:textFill>
        </w:rPr>
        <w:t xml:space="preserve">1.9.3  </w:t>
      </w:r>
      <w:r>
        <w:rPr>
          <w:rFonts w:ascii="宋体" w:hAnsi="宋体" w:cs="宋体"/>
          <w:color w:val="000000" w:themeColor="text1"/>
          <w:spacing w:val="3"/>
          <w:sz w:val="24"/>
          <w:szCs w:val="24"/>
          <w:highlight w:val="none"/>
          <w14:textFill>
            <w14:solidFill>
              <w14:schemeClr w14:val="tx1"/>
            </w14:solidFill>
          </w14:textFill>
        </w:rPr>
        <w:t>承包人的技术秘密和声明需要保密的资料和信息，发包人和咨询人不</w:t>
      </w:r>
    </w:p>
    <w:p w14:paraId="492ED1DB">
      <w:pPr>
        <w:spacing w:before="118" w:line="219" w:lineRule="auto"/>
        <w:rPr>
          <w:rFonts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pacing w:val="3"/>
          <w:sz w:val="24"/>
          <w:szCs w:val="24"/>
          <w:highlight w:val="none"/>
          <w14:textFill>
            <w14:solidFill>
              <w14:schemeClr w14:val="tx1"/>
            </w14:solidFill>
          </w14:textFill>
        </w:rPr>
        <w:t>得</w:t>
      </w:r>
      <w:r>
        <w:rPr>
          <w:rFonts w:ascii="宋体" w:hAnsi="宋体" w:cs="宋体"/>
          <w:color w:val="000000" w:themeColor="text1"/>
          <w:spacing w:val="-1"/>
          <w:sz w:val="24"/>
          <w:szCs w:val="24"/>
          <w:highlight w:val="none"/>
          <w14:textFill>
            <w14:solidFill>
              <w14:schemeClr w14:val="tx1"/>
            </w14:solidFill>
          </w14:textFill>
        </w:rPr>
        <w:t>为合同以外的目的泄露给他人。</w:t>
      </w:r>
    </w:p>
    <w:p w14:paraId="772E64DA">
      <w:pPr>
        <w:spacing w:before="105" w:line="219" w:lineRule="auto"/>
        <w:ind w:left="488"/>
        <w:outlineLvl w:val="3"/>
        <w:rPr>
          <w:rFonts w:ascii="宋体" w:hAnsi="宋体" w:cs="宋体"/>
          <w:color w:val="000000" w:themeColor="text1"/>
          <w:sz w:val="24"/>
          <w:szCs w:val="24"/>
          <w:highlight w:val="none"/>
          <w14:textFill>
            <w14:solidFill>
              <w14:schemeClr w14:val="tx1"/>
            </w14:solidFill>
          </w14:textFill>
        </w:rPr>
      </w:pPr>
      <w:bookmarkStart w:id="102" w:name="bookmark213"/>
      <w:bookmarkEnd w:id="102"/>
      <w:r>
        <w:rPr>
          <w:rFonts w:eastAsia="Times New Roman"/>
          <w:b/>
          <w:bCs/>
          <w:color w:val="000000" w:themeColor="text1"/>
          <w:spacing w:val="-6"/>
          <w:sz w:val="24"/>
          <w:szCs w:val="24"/>
          <w:highlight w:val="none"/>
          <w14:textFill>
            <w14:solidFill>
              <w14:schemeClr w14:val="tx1"/>
            </w14:solidFill>
          </w14:textFill>
        </w:rPr>
        <w:t>1.10</w:t>
      </w:r>
      <w:r>
        <w:rPr>
          <w:rFonts w:eastAsia="Times New Roman"/>
          <w:b/>
          <w:bCs/>
          <w:color w:val="000000" w:themeColor="text1"/>
          <w:spacing w:val="21"/>
          <w:sz w:val="24"/>
          <w:szCs w:val="24"/>
          <w:highlight w:val="none"/>
          <w14:textFill>
            <w14:solidFill>
              <w14:schemeClr w14:val="tx1"/>
            </w14:solidFill>
          </w14:textFill>
        </w:rPr>
        <w:t xml:space="preserve">  </w:t>
      </w:r>
      <w:r>
        <w:rPr>
          <w:rFonts w:ascii="宋体" w:hAnsi="宋体" w:cs="宋体"/>
          <w:b/>
          <w:bCs/>
          <w:color w:val="000000" w:themeColor="text1"/>
          <w:spacing w:val="-6"/>
          <w:sz w:val="24"/>
          <w:szCs w:val="24"/>
          <w:highlight w:val="none"/>
          <w14:textFill>
            <w14:solidFill>
              <w14:schemeClr w14:val="tx1"/>
            </w14:solidFill>
          </w14:textFill>
        </w:rPr>
        <w:t>图纸和文件的保密</w:t>
      </w:r>
    </w:p>
    <w:p w14:paraId="0ECBDA77">
      <w:pPr>
        <w:spacing w:before="123" w:line="264" w:lineRule="auto"/>
        <w:ind w:left="47" w:right="2" w:firstLine="452"/>
        <w:rPr>
          <w:rFonts w:ascii="宋体" w:hAnsi="宋体" w:cs="宋体"/>
          <w:color w:val="000000" w:themeColor="text1"/>
          <w:sz w:val="24"/>
          <w:szCs w:val="24"/>
          <w:highlight w:val="none"/>
          <w14:textFill>
            <w14:solidFill>
              <w14:schemeClr w14:val="tx1"/>
            </w14:solidFill>
          </w14:textFill>
        </w:rPr>
      </w:pPr>
      <w:r>
        <w:rPr>
          <w:rFonts w:eastAsia="Times New Roman"/>
          <w:color w:val="000000" w:themeColor="text1"/>
          <w:sz w:val="24"/>
          <w:szCs w:val="24"/>
          <w:highlight w:val="none"/>
          <w14:textFill>
            <w14:solidFill>
              <w14:schemeClr w14:val="tx1"/>
            </w14:solidFill>
          </w14:textFill>
        </w:rPr>
        <w:t xml:space="preserve">1.10.1  </w:t>
      </w:r>
      <w:r>
        <w:rPr>
          <w:rFonts w:ascii="宋体" w:hAnsi="宋体" w:cs="宋体"/>
          <w:color w:val="000000" w:themeColor="text1"/>
          <w:sz w:val="24"/>
          <w:szCs w:val="24"/>
          <w:highlight w:val="none"/>
          <w14:textFill>
            <w14:solidFill>
              <w14:schemeClr w14:val="tx1"/>
            </w14:solidFill>
          </w14:textFill>
        </w:rPr>
        <w:t>发包人提供的图纸和文件，未经发包人同意，承包人不得为合同以外的</w:t>
      </w:r>
      <w:r>
        <w:rPr>
          <w:rFonts w:ascii="宋体" w:hAnsi="宋体" w:cs="宋体"/>
          <w:color w:val="000000" w:themeColor="text1"/>
          <w:spacing w:val="-4"/>
          <w:sz w:val="24"/>
          <w:szCs w:val="24"/>
          <w:highlight w:val="none"/>
          <w14:textFill>
            <w14:solidFill>
              <w14:schemeClr w14:val="tx1"/>
            </w14:solidFill>
          </w14:textFill>
        </w:rPr>
        <w:t>目的泄露给他人或公开发表与引用。</w:t>
      </w:r>
    </w:p>
    <w:p w14:paraId="49F865E7">
      <w:pPr>
        <w:spacing w:before="115" w:line="263" w:lineRule="auto"/>
        <w:ind w:left="21" w:right="2" w:firstLine="479"/>
        <w:rPr>
          <w:rFonts w:ascii="宋体" w:hAnsi="宋体" w:cs="宋体"/>
          <w:color w:val="000000" w:themeColor="text1"/>
          <w:sz w:val="24"/>
          <w:szCs w:val="24"/>
          <w:highlight w:val="none"/>
          <w14:textFill>
            <w14:solidFill>
              <w14:schemeClr w14:val="tx1"/>
            </w14:solidFill>
          </w14:textFill>
        </w:rPr>
      </w:pPr>
      <w:r>
        <w:rPr>
          <w:rFonts w:eastAsia="Times New Roman"/>
          <w:color w:val="000000" w:themeColor="text1"/>
          <w:sz w:val="24"/>
          <w:szCs w:val="24"/>
          <w:highlight w:val="none"/>
          <w14:textFill>
            <w14:solidFill>
              <w14:schemeClr w14:val="tx1"/>
            </w14:solidFill>
          </w14:textFill>
        </w:rPr>
        <w:t xml:space="preserve">1.10.2  </w:t>
      </w:r>
      <w:r>
        <w:rPr>
          <w:rFonts w:ascii="宋体" w:hAnsi="宋体" w:cs="宋体"/>
          <w:color w:val="000000" w:themeColor="text1"/>
          <w:sz w:val="24"/>
          <w:szCs w:val="24"/>
          <w:highlight w:val="none"/>
          <w14:textFill>
            <w14:solidFill>
              <w14:schemeClr w14:val="tx1"/>
            </w14:solidFill>
          </w14:textFill>
        </w:rPr>
        <w:t>承包人提供的文件，未经承包人同意，发包人和咨询人不得为合同以外</w:t>
      </w:r>
      <w:r>
        <w:rPr>
          <w:rFonts w:ascii="宋体" w:hAnsi="宋体" w:cs="宋体"/>
          <w:color w:val="000000" w:themeColor="text1"/>
          <w:spacing w:val="-2"/>
          <w:sz w:val="24"/>
          <w:szCs w:val="24"/>
          <w:highlight w:val="none"/>
          <w14:textFill>
            <w14:solidFill>
              <w14:schemeClr w14:val="tx1"/>
            </w14:solidFill>
          </w14:textFill>
        </w:rPr>
        <w:t>的目的泄露给他人或公开发表与引用。</w:t>
      </w:r>
    </w:p>
    <w:p w14:paraId="37F3593B">
      <w:pPr>
        <w:spacing w:before="105" w:line="219" w:lineRule="auto"/>
        <w:ind w:left="488"/>
        <w:outlineLvl w:val="3"/>
        <w:rPr>
          <w:rFonts w:ascii="宋体" w:hAnsi="宋体" w:cs="宋体"/>
          <w:color w:val="000000" w:themeColor="text1"/>
          <w:sz w:val="24"/>
          <w:szCs w:val="24"/>
          <w:highlight w:val="none"/>
          <w14:textFill>
            <w14:solidFill>
              <w14:schemeClr w14:val="tx1"/>
            </w14:solidFill>
          </w14:textFill>
        </w:rPr>
      </w:pPr>
      <w:r>
        <w:rPr>
          <w:rFonts w:eastAsia="Times New Roman"/>
          <w:b/>
          <w:bCs/>
          <w:color w:val="000000" w:themeColor="text1"/>
          <w:spacing w:val="-3"/>
          <w:sz w:val="24"/>
          <w:szCs w:val="24"/>
          <w:highlight w:val="none"/>
          <w14:textFill>
            <w14:solidFill>
              <w14:schemeClr w14:val="tx1"/>
            </w14:solidFill>
          </w14:textFill>
        </w:rPr>
        <w:t xml:space="preserve">1.11  </w:t>
      </w:r>
      <w:r>
        <w:rPr>
          <w:rFonts w:ascii="宋体" w:hAnsi="宋体" w:cs="宋体"/>
          <w:b/>
          <w:bCs/>
          <w:color w:val="000000" w:themeColor="text1"/>
          <w:spacing w:val="-3"/>
          <w:sz w:val="24"/>
          <w:szCs w:val="24"/>
          <w:highlight w:val="none"/>
          <w14:textFill>
            <w14:solidFill>
              <w14:schemeClr w14:val="tx1"/>
            </w14:solidFill>
          </w14:textFill>
        </w:rPr>
        <w:t>养护管理信息系统</w:t>
      </w:r>
    </w:p>
    <w:p w14:paraId="3411259C">
      <w:pPr>
        <w:spacing w:before="125" w:line="304" w:lineRule="auto"/>
        <w:ind w:left="21" w:firstLine="464"/>
        <w:rPr>
          <w:rFonts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pacing w:val="1"/>
          <w:sz w:val="24"/>
          <w:szCs w:val="24"/>
          <w:highlight w:val="none"/>
          <w14:textFill>
            <w14:solidFill>
              <w14:schemeClr w14:val="tx1"/>
            </w14:solidFill>
          </w14:textFill>
        </w:rPr>
        <w:t>发包人使用养护管理信息系统进行项目管理的，</w:t>
      </w:r>
      <w:r>
        <w:rPr>
          <w:rFonts w:ascii="宋体" w:hAnsi="宋体" w:cs="宋体"/>
          <w:color w:val="000000" w:themeColor="text1"/>
          <w:sz w:val="24"/>
          <w:szCs w:val="24"/>
          <w:highlight w:val="none"/>
          <w14:textFill>
            <w14:solidFill>
              <w14:schemeClr w14:val="tx1"/>
            </w14:solidFill>
          </w14:textFill>
        </w:rPr>
        <w:t>养护相关技术文件和养护数据</w:t>
      </w:r>
      <w:r>
        <w:rPr>
          <w:rFonts w:ascii="宋体" w:hAnsi="宋体" w:cs="宋体"/>
          <w:color w:val="000000" w:themeColor="text1"/>
          <w:spacing w:val="-1"/>
          <w:sz w:val="24"/>
          <w:szCs w:val="24"/>
          <w:highlight w:val="none"/>
          <w14:textFill>
            <w14:solidFill>
              <w14:schemeClr w14:val="tx1"/>
            </w14:solidFill>
          </w14:textFill>
        </w:rPr>
        <w:t>的收集、加工、录入、存储、归档、费用列支等要求在专用合同条款中约定。</w:t>
      </w:r>
    </w:p>
    <w:p w14:paraId="4B8F6651">
      <w:pPr>
        <w:spacing w:line="219" w:lineRule="auto"/>
        <w:ind w:left="488"/>
        <w:outlineLvl w:val="3"/>
        <w:rPr>
          <w:rFonts w:ascii="宋体" w:hAnsi="宋体" w:cs="宋体"/>
          <w:color w:val="000000" w:themeColor="text1"/>
          <w:sz w:val="24"/>
          <w:szCs w:val="24"/>
          <w:highlight w:val="none"/>
          <w14:textFill>
            <w14:solidFill>
              <w14:schemeClr w14:val="tx1"/>
            </w14:solidFill>
          </w14:textFill>
        </w:rPr>
      </w:pPr>
      <w:r>
        <w:rPr>
          <w:rFonts w:eastAsia="Times New Roman"/>
          <w:b/>
          <w:bCs/>
          <w:color w:val="000000" w:themeColor="text1"/>
          <w:spacing w:val="-3"/>
          <w:sz w:val="24"/>
          <w:szCs w:val="24"/>
          <w:highlight w:val="none"/>
          <w14:textFill>
            <w14:solidFill>
              <w14:schemeClr w14:val="tx1"/>
            </w14:solidFill>
          </w14:textFill>
        </w:rPr>
        <w:t xml:space="preserve">1.12  </w:t>
      </w:r>
      <w:r>
        <w:rPr>
          <w:rFonts w:ascii="宋体" w:hAnsi="宋体" w:cs="宋体"/>
          <w:b/>
          <w:bCs/>
          <w:color w:val="000000" w:themeColor="text1"/>
          <w:spacing w:val="-3"/>
          <w:sz w:val="24"/>
          <w:szCs w:val="24"/>
          <w:highlight w:val="none"/>
          <w14:textFill>
            <w14:solidFill>
              <w14:schemeClr w14:val="tx1"/>
            </w14:solidFill>
          </w14:textFill>
        </w:rPr>
        <w:t>施工产生资源的利用</w:t>
      </w:r>
    </w:p>
    <w:p w14:paraId="4F846313">
      <w:pPr>
        <w:spacing w:before="128" w:line="308" w:lineRule="auto"/>
        <w:ind w:firstLine="480"/>
        <w:rPr>
          <w:rFonts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pacing w:val="1"/>
          <w:sz w:val="24"/>
          <w:szCs w:val="24"/>
          <w:highlight w:val="none"/>
          <w14:textFill>
            <w14:solidFill>
              <w14:schemeClr w14:val="tx1"/>
            </w14:solidFill>
          </w14:textFill>
        </w:rPr>
        <w:t>在合同工程范围内，承包人在施工过程中产生的可循环再生</w:t>
      </w:r>
      <w:r>
        <w:rPr>
          <w:rFonts w:ascii="宋体" w:hAnsi="宋体" w:cs="宋体"/>
          <w:color w:val="000000" w:themeColor="text1"/>
          <w:sz w:val="24"/>
          <w:szCs w:val="24"/>
          <w:highlight w:val="none"/>
          <w14:textFill>
            <w14:solidFill>
              <w14:schemeClr w14:val="tx1"/>
            </w14:solidFill>
          </w14:textFill>
        </w:rPr>
        <w:t>利用资源应按要求</w:t>
      </w:r>
      <w:r>
        <w:rPr>
          <w:rFonts w:ascii="宋体" w:hAnsi="宋体" w:cs="宋体"/>
          <w:color w:val="000000" w:themeColor="text1"/>
          <w:spacing w:val="1"/>
          <w:sz w:val="24"/>
          <w:szCs w:val="24"/>
          <w:highlight w:val="none"/>
          <w14:textFill>
            <w14:solidFill>
              <w14:schemeClr w14:val="tx1"/>
            </w14:solidFill>
          </w14:textFill>
        </w:rPr>
        <w:t>进行分类收集，及时回收运至发包人指定地点进行分类储存与</w:t>
      </w:r>
      <w:r>
        <w:rPr>
          <w:rFonts w:ascii="宋体" w:hAnsi="宋体" w:cs="宋体"/>
          <w:color w:val="000000" w:themeColor="text1"/>
          <w:sz w:val="24"/>
          <w:szCs w:val="24"/>
          <w:highlight w:val="none"/>
          <w14:textFill>
            <w14:solidFill>
              <w14:schemeClr w14:val="tx1"/>
            </w14:solidFill>
          </w14:textFill>
        </w:rPr>
        <w:t>再生利用，可循环再</w:t>
      </w:r>
      <w:r>
        <w:rPr>
          <w:rFonts w:ascii="宋体" w:hAnsi="宋体" w:cs="宋体"/>
          <w:color w:val="000000" w:themeColor="text1"/>
          <w:spacing w:val="1"/>
          <w:sz w:val="24"/>
          <w:szCs w:val="24"/>
          <w:highlight w:val="none"/>
          <w14:textFill>
            <w14:solidFill>
              <w14:schemeClr w14:val="tx1"/>
            </w14:solidFill>
          </w14:textFill>
        </w:rPr>
        <w:t>生利用资源的范围、处置方式、费用承担及利益分享等事宜，</w:t>
      </w:r>
      <w:r>
        <w:rPr>
          <w:rFonts w:ascii="宋体" w:hAnsi="宋体" w:cs="宋体"/>
          <w:color w:val="000000" w:themeColor="text1"/>
          <w:sz w:val="24"/>
          <w:szCs w:val="24"/>
          <w:highlight w:val="none"/>
          <w14:textFill>
            <w14:solidFill>
              <w14:schemeClr w14:val="tx1"/>
            </w14:solidFill>
          </w14:textFill>
        </w:rPr>
        <w:t>由发包人和承包人依</w:t>
      </w:r>
      <w:r>
        <w:rPr>
          <w:rFonts w:ascii="宋体" w:hAnsi="宋体" w:cs="宋体"/>
          <w:color w:val="000000" w:themeColor="text1"/>
          <w:spacing w:val="1"/>
          <w:sz w:val="24"/>
          <w:szCs w:val="24"/>
          <w:highlight w:val="none"/>
          <w14:textFill>
            <w14:solidFill>
              <w14:schemeClr w14:val="tx1"/>
            </w14:solidFill>
          </w14:textFill>
        </w:rPr>
        <w:t>据国家相关法律在专用合同条款中约定。无法循环再生利用的</w:t>
      </w:r>
      <w:r>
        <w:rPr>
          <w:rFonts w:ascii="宋体" w:hAnsi="宋体" w:cs="宋体"/>
          <w:color w:val="000000" w:themeColor="text1"/>
          <w:sz w:val="24"/>
          <w:szCs w:val="24"/>
          <w:highlight w:val="none"/>
          <w14:textFill>
            <w14:solidFill>
              <w14:schemeClr w14:val="tx1"/>
            </w14:solidFill>
          </w14:textFill>
        </w:rPr>
        <w:t>废料应集中弃运至路</w:t>
      </w:r>
      <w:r>
        <w:rPr>
          <w:rFonts w:ascii="宋体" w:hAnsi="宋体" w:cs="宋体"/>
          <w:color w:val="000000" w:themeColor="text1"/>
          <w:spacing w:val="-1"/>
          <w:sz w:val="24"/>
          <w:szCs w:val="24"/>
          <w:highlight w:val="none"/>
          <w14:textFill>
            <w14:solidFill>
              <w14:schemeClr w14:val="tx1"/>
            </w14:solidFill>
          </w14:textFill>
        </w:rPr>
        <w:t>线外的垃圾场妥善处理。</w:t>
      </w:r>
    </w:p>
    <w:p w14:paraId="676C047D">
      <w:pPr>
        <w:spacing w:before="307" w:line="219" w:lineRule="auto"/>
        <w:ind w:left="478"/>
        <w:outlineLvl w:val="2"/>
        <w:rPr>
          <w:rFonts w:ascii="宋体" w:hAnsi="宋体" w:cs="宋体"/>
          <w:color w:val="000000" w:themeColor="text1"/>
          <w:sz w:val="24"/>
          <w:szCs w:val="24"/>
          <w:highlight w:val="none"/>
          <w14:textFill>
            <w14:solidFill>
              <w14:schemeClr w14:val="tx1"/>
            </w14:solidFill>
          </w14:textFill>
        </w:rPr>
      </w:pPr>
      <w:bookmarkStart w:id="103" w:name="bookmark10"/>
      <w:bookmarkEnd w:id="103"/>
      <w:bookmarkStart w:id="104" w:name="bookmark9"/>
      <w:bookmarkEnd w:id="104"/>
      <w:bookmarkStart w:id="105" w:name="_Toc20108"/>
      <w:r>
        <w:rPr>
          <w:rFonts w:eastAsia="Times New Roman"/>
          <w:b/>
          <w:bCs/>
          <w:color w:val="000000" w:themeColor="text1"/>
          <w:spacing w:val="-4"/>
          <w:sz w:val="24"/>
          <w:szCs w:val="24"/>
          <w:highlight w:val="none"/>
          <w14:textFill>
            <w14:solidFill>
              <w14:schemeClr w14:val="tx1"/>
            </w14:solidFill>
          </w14:textFill>
        </w:rPr>
        <w:t>2.</w:t>
      </w:r>
      <w:r>
        <w:rPr>
          <w:rFonts w:eastAsia="Times New Roman"/>
          <w:b/>
          <w:bCs/>
          <w:color w:val="000000" w:themeColor="text1"/>
          <w:spacing w:val="6"/>
          <w:sz w:val="24"/>
          <w:szCs w:val="24"/>
          <w:highlight w:val="none"/>
          <w14:textFill>
            <w14:solidFill>
              <w14:schemeClr w14:val="tx1"/>
            </w14:solidFill>
          </w14:textFill>
        </w:rPr>
        <w:t xml:space="preserve">  </w:t>
      </w:r>
      <w:r>
        <w:rPr>
          <w:rFonts w:ascii="宋体" w:hAnsi="宋体" w:cs="宋体"/>
          <w:b/>
          <w:bCs/>
          <w:color w:val="000000" w:themeColor="text1"/>
          <w:spacing w:val="-4"/>
          <w:sz w:val="24"/>
          <w:szCs w:val="24"/>
          <w:highlight w:val="none"/>
          <w14:textFill>
            <w14:solidFill>
              <w14:schemeClr w14:val="tx1"/>
            </w14:solidFill>
          </w14:textFill>
        </w:rPr>
        <w:t>发包人义务</w:t>
      </w:r>
      <w:bookmarkEnd w:id="105"/>
    </w:p>
    <w:p w14:paraId="5506DFC1">
      <w:pPr>
        <w:spacing w:before="260" w:line="219" w:lineRule="auto"/>
        <w:ind w:left="478"/>
        <w:outlineLvl w:val="3"/>
        <w:rPr>
          <w:rFonts w:ascii="宋体" w:hAnsi="宋体" w:cs="宋体"/>
          <w:color w:val="000000" w:themeColor="text1"/>
          <w:sz w:val="24"/>
          <w:szCs w:val="24"/>
          <w:highlight w:val="none"/>
          <w14:textFill>
            <w14:solidFill>
              <w14:schemeClr w14:val="tx1"/>
            </w14:solidFill>
          </w14:textFill>
        </w:rPr>
      </w:pPr>
      <w:r>
        <w:rPr>
          <w:rFonts w:eastAsia="Times New Roman"/>
          <w:b/>
          <w:bCs/>
          <w:color w:val="000000" w:themeColor="text1"/>
          <w:spacing w:val="-2"/>
          <w:sz w:val="24"/>
          <w:szCs w:val="24"/>
          <w:highlight w:val="none"/>
          <w14:textFill>
            <w14:solidFill>
              <w14:schemeClr w14:val="tx1"/>
            </w14:solidFill>
          </w14:textFill>
        </w:rPr>
        <w:t xml:space="preserve">2.1  </w:t>
      </w:r>
      <w:r>
        <w:rPr>
          <w:rFonts w:ascii="宋体" w:hAnsi="宋体" w:cs="宋体"/>
          <w:b/>
          <w:bCs/>
          <w:color w:val="000000" w:themeColor="text1"/>
          <w:spacing w:val="-2"/>
          <w:sz w:val="24"/>
          <w:szCs w:val="24"/>
          <w:highlight w:val="none"/>
          <w14:textFill>
            <w14:solidFill>
              <w14:schemeClr w14:val="tx1"/>
            </w14:solidFill>
          </w14:textFill>
        </w:rPr>
        <w:t>遵守法律</w:t>
      </w:r>
    </w:p>
    <w:p w14:paraId="663586F0">
      <w:pPr>
        <w:spacing w:before="125" w:line="304" w:lineRule="auto"/>
        <w:ind w:left="1" w:firstLine="483"/>
        <w:rPr>
          <w:rFonts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pacing w:val="1"/>
          <w:sz w:val="24"/>
          <w:szCs w:val="24"/>
          <w:highlight w:val="none"/>
          <w14:textFill>
            <w14:solidFill>
              <w14:schemeClr w14:val="tx1"/>
            </w14:solidFill>
          </w14:textFill>
        </w:rPr>
        <w:t>发包人在履行合同过程中应遵守法律，并保证承</w:t>
      </w:r>
      <w:r>
        <w:rPr>
          <w:rFonts w:ascii="宋体" w:hAnsi="宋体" w:cs="宋体"/>
          <w:color w:val="000000" w:themeColor="text1"/>
          <w:sz w:val="24"/>
          <w:szCs w:val="24"/>
          <w:highlight w:val="none"/>
          <w14:textFill>
            <w14:solidFill>
              <w14:schemeClr w14:val="tx1"/>
            </w14:solidFill>
          </w14:textFill>
        </w:rPr>
        <w:t>包人免于承担因发包人违反法</w:t>
      </w:r>
      <w:r>
        <w:rPr>
          <w:rFonts w:ascii="宋体" w:hAnsi="宋体" w:cs="宋体"/>
          <w:color w:val="000000" w:themeColor="text1"/>
          <w:spacing w:val="-1"/>
          <w:sz w:val="24"/>
          <w:szCs w:val="24"/>
          <w:highlight w:val="none"/>
          <w14:textFill>
            <w14:solidFill>
              <w14:schemeClr w14:val="tx1"/>
            </w14:solidFill>
          </w14:textFill>
        </w:rPr>
        <w:t>律而引起的任何责任。</w:t>
      </w:r>
    </w:p>
    <w:p w14:paraId="16BAE880">
      <w:pPr>
        <w:spacing w:line="220" w:lineRule="auto"/>
        <w:ind w:left="478"/>
        <w:outlineLvl w:val="3"/>
        <w:rPr>
          <w:rFonts w:ascii="宋体" w:hAnsi="宋体" w:cs="宋体"/>
          <w:color w:val="000000" w:themeColor="text1"/>
          <w:sz w:val="24"/>
          <w:szCs w:val="24"/>
          <w:highlight w:val="none"/>
          <w14:textFill>
            <w14:solidFill>
              <w14:schemeClr w14:val="tx1"/>
            </w14:solidFill>
          </w14:textFill>
        </w:rPr>
      </w:pPr>
      <w:r>
        <w:rPr>
          <w:rFonts w:eastAsia="Times New Roman"/>
          <w:b/>
          <w:bCs/>
          <w:color w:val="000000" w:themeColor="text1"/>
          <w:spacing w:val="-2"/>
          <w:sz w:val="24"/>
          <w:szCs w:val="24"/>
          <w:highlight w:val="none"/>
          <w14:textFill>
            <w14:solidFill>
              <w14:schemeClr w14:val="tx1"/>
            </w14:solidFill>
          </w14:textFill>
        </w:rPr>
        <w:t xml:space="preserve">2.2  </w:t>
      </w:r>
      <w:r>
        <w:rPr>
          <w:rFonts w:ascii="宋体" w:hAnsi="宋体" w:cs="宋体"/>
          <w:b/>
          <w:bCs/>
          <w:color w:val="000000" w:themeColor="text1"/>
          <w:spacing w:val="-2"/>
          <w:sz w:val="24"/>
          <w:szCs w:val="24"/>
          <w:highlight w:val="none"/>
          <w14:textFill>
            <w14:solidFill>
              <w14:schemeClr w14:val="tx1"/>
            </w14:solidFill>
          </w14:textFill>
        </w:rPr>
        <w:t>发出开工通知</w:t>
      </w:r>
    </w:p>
    <w:p w14:paraId="0EC52958">
      <w:pPr>
        <w:spacing w:before="125" w:line="219" w:lineRule="auto"/>
        <w:ind w:left="485"/>
        <w:rPr>
          <w:rFonts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pacing w:val="-2"/>
          <w:sz w:val="24"/>
          <w:szCs w:val="24"/>
          <w:highlight w:val="none"/>
          <w14:textFill>
            <w14:solidFill>
              <w14:schemeClr w14:val="tx1"/>
            </w14:solidFill>
          </w14:textFill>
        </w:rPr>
        <w:t>发包人应委托咨询人按第</w:t>
      </w:r>
      <w:r>
        <w:rPr>
          <w:rFonts w:ascii="宋体" w:hAnsi="宋体" w:cs="宋体"/>
          <w:color w:val="000000" w:themeColor="text1"/>
          <w:spacing w:val="-22"/>
          <w:sz w:val="24"/>
          <w:szCs w:val="24"/>
          <w:highlight w:val="none"/>
          <w14:textFill>
            <w14:solidFill>
              <w14:schemeClr w14:val="tx1"/>
            </w14:solidFill>
          </w14:textFill>
        </w:rPr>
        <w:t xml:space="preserve"> </w:t>
      </w:r>
      <w:r>
        <w:rPr>
          <w:rFonts w:eastAsia="Times New Roman"/>
          <w:color w:val="000000" w:themeColor="text1"/>
          <w:spacing w:val="-2"/>
          <w:sz w:val="24"/>
          <w:szCs w:val="24"/>
          <w:highlight w:val="none"/>
          <w14:textFill>
            <w14:solidFill>
              <w14:schemeClr w14:val="tx1"/>
            </w14:solidFill>
          </w14:textFill>
        </w:rPr>
        <w:t xml:space="preserve">11.1 </w:t>
      </w:r>
      <w:r>
        <w:rPr>
          <w:rFonts w:ascii="宋体" w:hAnsi="宋体" w:cs="宋体"/>
          <w:color w:val="000000" w:themeColor="text1"/>
          <w:spacing w:val="-2"/>
          <w:sz w:val="24"/>
          <w:szCs w:val="24"/>
          <w:highlight w:val="none"/>
          <w14:textFill>
            <w14:solidFill>
              <w14:schemeClr w14:val="tx1"/>
            </w14:solidFill>
          </w14:textFill>
        </w:rPr>
        <w:t>款的约定向承包人发出开工通知。</w:t>
      </w:r>
    </w:p>
    <w:p w14:paraId="567739C7">
      <w:pPr>
        <w:spacing w:before="103" w:line="219" w:lineRule="auto"/>
        <w:ind w:left="478"/>
        <w:outlineLvl w:val="3"/>
        <w:rPr>
          <w:rFonts w:ascii="宋体" w:hAnsi="宋体" w:cs="宋体"/>
          <w:color w:val="000000" w:themeColor="text1"/>
          <w:sz w:val="24"/>
          <w:szCs w:val="24"/>
          <w:highlight w:val="none"/>
          <w14:textFill>
            <w14:solidFill>
              <w14:schemeClr w14:val="tx1"/>
            </w14:solidFill>
          </w14:textFill>
        </w:rPr>
      </w:pPr>
      <w:r>
        <w:rPr>
          <w:rFonts w:eastAsia="Times New Roman"/>
          <w:b/>
          <w:bCs/>
          <w:color w:val="000000" w:themeColor="text1"/>
          <w:spacing w:val="-2"/>
          <w:sz w:val="24"/>
          <w:szCs w:val="24"/>
          <w:highlight w:val="none"/>
          <w14:textFill>
            <w14:solidFill>
              <w14:schemeClr w14:val="tx1"/>
            </w14:solidFill>
          </w14:textFill>
        </w:rPr>
        <w:t xml:space="preserve">2.3  </w:t>
      </w:r>
      <w:r>
        <w:rPr>
          <w:rFonts w:ascii="宋体" w:hAnsi="宋体" w:cs="宋体"/>
          <w:b/>
          <w:bCs/>
          <w:color w:val="000000" w:themeColor="text1"/>
          <w:spacing w:val="-2"/>
          <w:sz w:val="24"/>
          <w:szCs w:val="24"/>
          <w:highlight w:val="none"/>
          <w14:textFill>
            <w14:solidFill>
              <w14:schemeClr w14:val="tx1"/>
            </w14:solidFill>
          </w14:textFill>
        </w:rPr>
        <w:t>提供养护作业场地</w:t>
      </w:r>
    </w:p>
    <w:p w14:paraId="2A46B73E">
      <w:pPr>
        <w:spacing w:before="125" w:line="304" w:lineRule="auto"/>
        <w:ind w:firstLine="495"/>
        <w:rPr>
          <w:rFonts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除专用合同条款另有约定外，发包人应按已通过审查或批复的施工组织设计文</w:t>
      </w:r>
      <w:r>
        <w:rPr>
          <w:rFonts w:ascii="宋体" w:hAnsi="宋体" w:cs="宋体"/>
          <w:color w:val="000000" w:themeColor="text1"/>
          <w:spacing w:val="-1"/>
          <w:sz w:val="24"/>
          <w:szCs w:val="24"/>
          <w:highlight w:val="none"/>
          <w14:textFill>
            <w14:solidFill>
              <w14:schemeClr w14:val="tx1"/>
            </w14:solidFill>
          </w14:textFill>
        </w:rPr>
        <w:t>件，向承包人提供在公路两侧路权范围内的养护作业场地。</w:t>
      </w:r>
    </w:p>
    <w:p w14:paraId="2B787A30">
      <w:pPr>
        <w:spacing w:before="1" w:line="219" w:lineRule="auto"/>
        <w:ind w:left="478"/>
        <w:outlineLvl w:val="3"/>
        <w:rPr>
          <w:rFonts w:ascii="宋体" w:hAnsi="宋体" w:cs="宋体"/>
          <w:color w:val="000000" w:themeColor="text1"/>
          <w:sz w:val="24"/>
          <w:szCs w:val="24"/>
          <w:highlight w:val="none"/>
          <w14:textFill>
            <w14:solidFill>
              <w14:schemeClr w14:val="tx1"/>
            </w14:solidFill>
          </w14:textFill>
        </w:rPr>
      </w:pPr>
      <w:r>
        <w:rPr>
          <w:rFonts w:eastAsia="Times New Roman"/>
          <w:b/>
          <w:bCs/>
          <w:color w:val="000000" w:themeColor="text1"/>
          <w:spacing w:val="-2"/>
          <w:sz w:val="24"/>
          <w:szCs w:val="24"/>
          <w:highlight w:val="none"/>
          <w14:textFill>
            <w14:solidFill>
              <w14:schemeClr w14:val="tx1"/>
            </w14:solidFill>
          </w14:textFill>
        </w:rPr>
        <w:t xml:space="preserve">2.4  </w:t>
      </w:r>
      <w:r>
        <w:rPr>
          <w:rFonts w:ascii="宋体" w:hAnsi="宋体" w:cs="宋体"/>
          <w:b/>
          <w:bCs/>
          <w:color w:val="000000" w:themeColor="text1"/>
          <w:spacing w:val="-2"/>
          <w:sz w:val="24"/>
          <w:szCs w:val="24"/>
          <w:highlight w:val="none"/>
          <w14:textFill>
            <w14:solidFill>
              <w14:schemeClr w14:val="tx1"/>
            </w14:solidFill>
          </w14:textFill>
        </w:rPr>
        <w:t>协助承包人办理证件和批件</w:t>
      </w:r>
    </w:p>
    <w:p w14:paraId="69CD66B0">
      <w:pPr>
        <w:spacing w:before="125" w:line="219" w:lineRule="auto"/>
        <w:ind w:left="485"/>
        <w:rPr>
          <w:rFonts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pacing w:val="-1"/>
          <w:sz w:val="24"/>
          <w:szCs w:val="24"/>
          <w:highlight w:val="none"/>
          <w14:textFill>
            <w14:solidFill>
              <w14:schemeClr w14:val="tx1"/>
            </w14:solidFill>
          </w14:textFill>
        </w:rPr>
        <w:t>发包人应协助承包人办理法律规定的有关施工证件和批件。</w:t>
      </w:r>
    </w:p>
    <w:p w14:paraId="1900542F">
      <w:pPr>
        <w:spacing w:before="104" w:line="221" w:lineRule="auto"/>
        <w:ind w:left="478"/>
        <w:outlineLvl w:val="3"/>
        <w:rPr>
          <w:rFonts w:ascii="宋体" w:hAnsi="宋体" w:cs="宋体"/>
          <w:color w:val="000000" w:themeColor="text1"/>
          <w:sz w:val="24"/>
          <w:szCs w:val="24"/>
          <w:highlight w:val="none"/>
          <w14:textFill>
            <w14:solidFill>
              <w14:schemeClr w14:val="tx1"/>
            </w14:solidFill>
          </w14:textFill>
        </w:rPr>
      </w:pPr>
      <w:r>
        <w:rPr>
          <w:rFonts w:eastAsia="Times New Roman"/>
          <w:b/>
          <w:bCs/>
          <w:color w:val="000000" w:themeColor="text1"/>
          <w:spacing w:val="-2"/>
          <w:sz w:val="24"/>
          <w:szCs w:val="24"/>
          <w:highlight w:val="none"/>
          <w14:textFill>
            <w14:solidFill>
              <w14:schemeClr w14:val="tx1"/>
            </w14:solidFill>
          </w14:textFill>
        </w:rPr>
        <w:t xml:space="preserve">2.5  </w:t>
      </w:r>
      <w:r>
        <w:rPr>
          <w:rFonts w:ascii="宋体" w:hAnsi="宋体" w:cs="宋体"/>
          <w:b/>
          <w:bCs/>
          <w:color w:val="000000" w:themeColor="text1"/>
          <w:spacing w:val="-2"/>
          <w:sz w:val="24"/>
          <w:szCs w:val="24"/>
          <w:highlight w:val="none"/>
          <w14:textFill>
            <w14:solidFill>
              <w14:schemeClr w14:val="tx1"/>
            </w14:solidFill>
          </w14:textFill>
        </w:rPr>
        <w:t>组织设计交底</w:t>
      </w:r>
    </w:p>
    <w:p w14:paraId="0BB2C576">
      <w:pPr>
        <w:spacing w:before="123" w:line="219" w:lineRule="auto"/>
        <w:ind w:left="485"/>
        <w:rPr>
          <w:rFonts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pacing w:val="-1"/>
          <w:sz w:val="24"/>
          <w:szCs w:val="24"/>
          <w:highlight w:val="none"/>
          <w14:textFill>
            <w14:solidFill>
              <w14:schemeClr w14:val="tx1"/>
            </w14:solidFill>
          </w14:textFill>
        </w:rPr>
        <w:t>发包人应根据合同进度计划，组织设计单位向承包人进行设计交底。</w:t>
      </w:r>
    </w:p>
    <w:p w14:paraId="364108F9">
      <w:pPr>
        <w:spacing w:before="106" w:line="218" w:lineRule="auto"/>
        <w:ind w:left="478"/>
        <w:outlineLvl w:val="3"/>
        <w:rPr>
          <w:rFonts w:ascii="宋体" w:hAnsi="宋体" w:cs="宋体"/>
          <w:color w:val="000000" w:themeColor="text1"/>
          <w:sz w:val="24"/>
          <w:szCs w:val="24"/>
          <w:highlight w:val="none"/>
          <w14:textFill>
            <w14:solidFill>
              <w14:schemeClr w14:val="tx1"/>
            </w14:solidFill>
          </w14:textFill>
        </w:rPr>
      </w:pPr>
      <w:r>
        <w:rPr>
          <w:rFonts w:eastAsia="Times New Roman"/>
          <w:b/>
          <w:bCs/>
          <w:color w:val="000000" w:themeColor="text1"/>
          <w:spacing w:val="-2"/>
          <w:sz w:val="24"/>
          <w:szCs w:val="24"/>
          <w:highlight w:val="none"/>
          <w14:textFill>
            <w14:solidFill>
              <w14:schemeClr w14:val="tx1"/>
            </w14:solidFill>
          </w14:textFill>
        </w:rPr>
        <w:t xml:space="preserve">2.6  </w:t>
      </w:r>
      <w:r>
        <w:rPr>
          <w:rFonts w:ascii="宋体" w:hAnsi="宋体" w:cs="宋体"/>
          <w:b/>
          <w:bCs/>
          <w:color w:val="000000" w:themeColor="text1"/>
          <w:spacing w:val="-2"/>
          <w:sz w:val="24"/>
          <w:szCs w:val="24"/>
          <w:highlight w:val="none"/>
          <w14:textFill>
            <w14:solidFill>
              <w14:schemeClr w14:val="tx1"/>
            </w14:solidFill>
          </w14:textFill>
        </w:rPr>
        <w:t>支付合同价款</w:t>
      </w:r>
    </w:p>
    <w:p w14:paraId="79B9CD87">
      <w:pPr>
        <w:spacing w:before="127" w:line="218" w:lineRule="auto"/>
        <w:ind w:left="485"/>
        <w:rPr>
          <w:rFonts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pacing w:val="-1"/>
          <w:sz w:val="24"/>
          <w:szCs w:val="24"/>
          <w:highlight w:val="none"/>
          <w14:textFill>
            <w14:solidFill>
              <w14:schemeClr w14:val="tx1"/>
            </w14:solidFill>
          </w14:textFill>
        </w:rPr>
        <w:t>发包人应按合同约定向承包人及时支付合同价款。</w:t>
      </w:r>
    </w:p>
    <w:p w14:paraId="13765205">
      <w:pPr>
        <w:spacing w:before="106" w:line="219" w:lineRule="auto"/>
        <w:ind w:left="478"/>
        <w:outlineLvl w:val="3"/>
        <w:rPr>
          <w:rFonts w:ascii="宋体" w:hAnsi="宋体" w:cs="宋体"/>
          <w:color w:val="000000" w:themeColor="text1"/>
          <w:sz w:val="24"/>
          <w:szCs w:val="24"/>
          <w:highlight w:val="none"/>
          <w14:textFill>
            <w14:solidFill>
              <w14:schemeClr w14:val="tx1"/>
            </w14:solidFill>
          </w14:textFill>
        </w:rPr>
      </w:pPr>
      <w:r>
        <w:rPr>
          <w:rFonts w:eastAsia="Times New Roman"/>
          <w:b/>
          <w:bCs/>
          <w:color w:val="000000" w:themeColor="text1"/>
          <w:spacing w:val="-2"/>
          <w:sz w:val="24"/>
          <w:szCs w:val="24"/>
          <w:highlight w:val="none"/>
          <w14:textFill>
            <w14:solidFill>
              <w14:schemeClr w14:val="tx1"/>
            </w14:solidFill>
          </w14:textFill>
        </w:rPr>
        <w:t xml:space="preserve">2.7  </w:t>
      </w:r>
      <w:r>
        <w:rPr>
          <w:rFonts w:ascii="宋体" w:hAnsi="宋体" w:cs="宋体"/>
          <w:b/>
          <w:bCs/>
          <w:color w:val="000000" w:themeColor="text1"/>
          <w:spacing w:val="-2"/>
          <w:sz w:val="24"/>
          <w:szCs w:val="24"/>
          <w:highlight w:val="none"/>
          <w14:textFill>
            <w14:solidFill>
              <w14:schemeClr w14:val="tx1"/>
            </w14:solidFill>
          </w14:textFill>
        </w:rPr>
        <w:t>组织工程验收</w:t>
      </w:r>
    </w:p>
    <w:p w14:paraId="54FE2430">
      <w:pPr>
        <w:spacing w:before="126" w:line="219" w:lineRule="auto"/>
        <w:ind w:left="485"/>
        <w:rPr>
          <w:rFonts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pacing w:val="-1"/>
          <w:sz w:val="24"/>
          <w:szCs w:val="24"/>
          <w:highlight w:val="none"/>
          <w14:textFill>
            <w14:solidFill>
              <w14:schemeClr w14:val="tx1"/>
            </w14:solidFill>
          </w14:textFill>
        </w:rPr>
        <w:t>发包人应按合同约定及时组织工程验收。</w:t>
      </w:r>
    </w:p>
    <w:p w14:paraId="05528DFE">
      <w:pPr>
        <w:spacing w:before="78" w:line="219" w:lineRule="auto"/>
        <w:ind w:left="477"/>
        <w:outlineLvl w:val="3"/>
        <w:rPr>
          <w:rFonts w:ascii="宋体" w:hAnsi="宋体" w:cs="宋体"/>
          <w:color w:val="000000" w:themeColor="text1"/>
          <w:sz w:val="24"/>
          <w:szCs w:val="24"/>
          <w:highlight w:val="none"/>
          <w14:textFill>
            <w14:solidFill>
              <w14:schemeClr w14:val="tx1"/>
            </w14:solidFill>
          </w14:textFill>
        </w:rPr>
      </w:pPr>
      <w:bookmarkStart w:id="106" w:name="bookmark214"/>
      <w:bookmarkEnd w:id="106"/>
      <w:r>
        <w:rPr>
          <w:rFonts w:eastAsia="Times New Roman"/>
          <w:b/>
          <w:bCs/>
          <w:color w:val="000000" w:themeColor="text1"/>
          <w:spacing w:val="-2"/>
          <w:sz w:val="24"/>
          <w:szCs w:val="24"/>
          <w:highlight w:val="none"/>
          <w14:textFill>
            <w14:solidFill>
              <w14:schemeClr w14:val="tx1"/>
            </w14:solidFill>
          </w14:textFill>
        </w:rPr>
        <w:t xml:space="preserve">2.8  </w:t>
      </w:r>
      <w:r>
        <w:rPr>
          <w:rFonts w:ascii="宋体" w:hAnsi="宋体" w:cs="宋体"/>
          <w:b/>
          <w:bCs/>
          <w:color w:val="000000" w:themeColor="text1"/>
          <w:spacing w:val="-2"/>
          <w:sz w:val="24"/>
          <w:szCs w:val="24"/>
          <w:highlight w:val="none"/>
          <w14:textFill>
            <w14:solidFill>
              <w14:schemeClr w14:val="tx1"/>
            </w14:solidFill>
          </w14:textFill>
        </w:rPr>
        <w:t>其他义务</w:t>
      </w:r>
    </w:p>
    <w:p w14:paraId="0FA2A09D">
      <w:pPr>
        <w:spacing w:before="125" w:line="219" w:lineRule="auto"/>
        <w:ind w:left="484"/>
        <w:rPr>
          <w:rFonts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pacing w:val="-1"/>
          <w:sz w:val="24"/>
          <w:szCs w:val="24"/>
          <w:highlight w:val="none"/>
          <w14:textFill>
            <w14:solidFill>
              <w14:schemeClr w14:val="tx1"/>
            </w14:solidFill>
          </w14:textFill>
        </w:rPr>
        <w:t>发包人应履行合同约定的其他义务。</w:t>
      </w:r>
    </w:p>
    <w:p w14:paraId="0DCB6AFC">
      <w:pPr>
        <w:spacing w:before="78" w:line="221" w:lineRule="auto"/>
        <w:ind w:left="475"/>
        <w:outlineLvl w:val="2"/>
        <w:rPr>
          <w:rFonts w:ascii="宋体" w:hAnsi="宋体" w:cs="宋体"/>
          <w:color w:val="000000" w:themeColor="text1"/>
          <w:sz w:val="24"/>
          <w:szCs w:val="24"/>
          <w:highlight w:val="none"/>
          <w14:textFill>
            <w14:solidFill>
              <w14:schemeClr w14:val="tx1"/>
            </w14:solidFill>
          </w14:textFill>
        </w:rPr>
      </w:pPr>
      <w:bookmarkStart w:id="107" w:name="bookmark12"/>
      <w:bookmarkEnd w:id="107"/>
      <w:bookmarkStart w:id="108" w:name="bookmark11"/>
      <w:bookmarkEnd w:id="108"/>
      <w:bookmarkStart w:id="109" w:name="_Toc12110"/>
      <w:r>
        <w:rPr>
          <w:rFonts w:eastAsia="Times New Roman"/>
          <w:b/>
          <w:bCs/>
          <w:color w:val="000000" w:themeColor="text1"/>
          <w:spacing w:val="-2"/>
          <w:sz w:val="24"/>
          <w:szCs w:val="24"/>
          <w:highlight w:val="none"/>
          <w14:textFill>
            <w14:solidFill>
              <w14:schemeClr w14:val="tx1"/>
            </w14:solidFill>
          </w14:textFill>
        </w:rPr>
        <w:t xml:space="preserve">3.  </w:t>
      </w:r>
      <w:r>
        <w:rPr>
          <w:rFonts w:ascii="宋体" w:hAnsi="宋体" w:cs="宋体"/>
          <w:b/>
          <w:bCs/>
          <w:color w:val="000000" w:themeColor="text1"/>
          <w:spacing w:val="-2"/>
          <w:sz w:val="24"/>
          <w:szCs w:val="24"/>
          <w:highlight w:val="none"/>
          <w14:textFill>
            <w14:solidFill>
              <w14:schemeClr w14:val="tx1"/>
            </w14:solidFill>
          </w14:textFill>
        </w:rPr>
        <w:t>咨询人（监理人）</w:t>
      </w:r>
      <w:bookmarkEnd w:id="109"/>
    </w:p>
    <w:p w14:paraId="749FCFB3">
      <w:pPr>
        <w:spacing w:before="258" w:line="219" w:lineRule="auto"/>
        <w:ind w:left="475"/>
        <w:outlineLvl w:val="3"/>
        <w:rPr>
          <w:rFonts w:ascii="宋体" w:hAnsi="宋体" w:cs="宋体"/>
          <w:color w:val="000000" w:themeColor="text1"/>
          <w:sz w:val="24"/>
          <w:szCs w:val="24"/>
          <w:highlight w:val="none"/>
          <w14:textFill>
            <w14:solidFill>
              <w14:schemeClr w14:val="tx1"/>
            </w14:solidFill>
          </w14:textFill>
        </w:rPr>
      </w:pPr>
      <w:r>
        <w:rPr>
          <w:rFonts w:eastAsia="Times New Roman"/>
          <w:b/>
          <w:bCs/>
          <w:color w:val="000000" w:themeColor="text1"/>
          <w:spacing w:val="-2"/>
          <w:sz w:val="24"/>
          <w:szCs w:val="24"/>
          <w:highlight w:val="none"/>
          <w14:textFill>
            <w14:solidFill>
              <w14:schemeClr w14:val="tx1"/>
            </w14:solidFill>
          </w14:textFill>
        </w:rPr>
        <w:t xml:space="preserve">3.1  </w:t>
      </w:r>
      <w:r>
        <w:rPr>
          <w:rFonts w:ascii="宋体" w:hAnsi="宋体" w:cs="宋体"/>
          <w:b/>
          <w:bCs/>
          <w:color w:val="000000" w:themeColor="text1"/>
          <w:spacing w:val="-2"/>
          <w:sz w:val="24"/>
          <w:szCs w:val="24"/>
          <w:highlight w:val="none"/>
          <w14:textFill>
            <w14:solidFill>
              <w14:schemeClr w14:val="tx1"/>
            </w14:solidFill>
          </w14:textFill>
        </w:rPr>
        <w:t>咨询人的职责和权力</w:t>
      </w:r>
    </w:p>
    <w:p w14:paraId="01C80E54">
      <w:pPr>
        <w:spacing w:before="126" w:line="307" w:lineRule="auto"/>
        <w:ind w:left="14" w:right="2" w:firstLine="467"/>
        <w:rPr>
          <w:rFonts w:ascii="宋体" w:hAnsi="宋体" w:cs="宋体"/>
          <w:color w:val="000000" w:themeColor="text1"/>
          <w:sz w:val="24"/>
          <w:szCs w:val="24"/>
          <w:highlight w:val="none"/>
          <w14:textFill>
            <w14:solidFill>
              <w14:schemeClr w14:val="tx1"/>
            </w14:solidFill>
          </w14:textFill>
        </w:rPr>
      </w:pPr>
      <w:r>
        <w:rPr>
          <w:rFonts w:eastAsia="Times New Roman"/>
          <w:color w:val="000000" w:themeColor="text1"/>
          <w:spacing w:val="4"/>
          <w:sz w:val="24"/>
          <w:szCs w:val="24"/>
          <w:highlight w:val="none"/>
          <w14:textFill>
            <w14:solidFill>
              <w14:schemeClr w14:val="tx1"/>
            </w14:solidFill>
          </w14:textFill>
        </w:rPr>
        <w:t xml:space="preserve">3.1.1  </w:t>
      </w:r>
      <w:r>
        <w:rPr>
          <w:rFonts w:ascii="宋体" w:hAnsi="宋体" w:cs="宋体"/>
          <w:color w:val="000000" w:themeColor="text1"/>
          <w:spacing w:val="4"/>
          <w:sz w:val="24"/>
          <w:szCs w:val="24"/>
          <w:highlight w:val="none"/>
          <w14:textFill>
            <w14:solidFill>
              <w14:schemeClr w14:val="tx1"/>
            </w14:solidFill>
          </w14:textFill>
        </w:rPr>
        <w:t>咨询人受发包人委托，享有合同约定的权力。咨</w:t>
      </w:r>
      <w:r>
        <w:rPr>
          <w:rFonts w:ascii="宋体" w:hAnsi="宋体" w:cs="宋体"/>
          <w:color w:val="000000" w:themeColor="text1"/>
          <w:spacing w:val="3"/>
          <w:sz w:val="24"/>
          <w:szCs w:val="24"/>
          <w:highlight w:val="none"/>
          <w14:textFill>
            <w14:solidFill>
              <w14:schemeClr w14:val="tx1"/>
            </w14:solidFill>
          </w14:textFill>
        </w:rPr>
        <w:t>询人在行使下列权力前</w:t>
      </w:r>
      <w:r>
        <w:rPr>
          <w:rFonts w:ascii="宋体" w:hAnsi="宋体" w:cs="宋体"/>
          <w:color w:val="000000" w:themeColor="text1"/>
          <w:spacing w:val="-3"/>
          <w:sz w:val="24"/>
          <w:szCs w:val="24"/>
          <w:highlight w:val="none"/>
          <w14:textFill>
            <w14:solidFill>
              <w14:schemeClr w14:val="tx1"/>
            </w14:solidFill>
          </w14:textFill>
        </w:rPr>
        <w:t>需要经发包人事先批准：</w:t>
      </w:r>
    </w:p>
    <w:p w14:paraId="618A1038">
      <w:pPr>
        <w:spacing w:before="1" w:line="219" w:lineRule="auto"/>
        <w:ind w:left="492"/>
        <w:rPr>
          <w:rFonts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pacing w:val="-1"/>
          <w:sz w:val="24"/>
          <w:szCs w:val="24"/>
          <w:highlight w:val="none"/>
          <w14:textFill>
            <w14:solidFill>
              <w14:schemeClr w14:val="tx1"/>
            </w14:solidFill>
          </w14:textFill>
        </w:rPr>
        <w:t>（</w:t>
      </w:r>
      <w:r>
        <w:rPr>
          <w:rFonts w:eastAsia="Times New Roman"/>
          <w:color w:val="000000" w:themeColor="text1"/>
          <w:spacing w:val="-1"/>
          <w:sz w:val="24"/>
          <w:szCs w:val="24"/>
          <w:highlight w:val="none"/>
          <w14:textFill>
            <w14:solidFill>
              <w14:schemeClr w14:val="tx1"/>
            </w14:solidFill>
          </w14:textFill>
        </w:rPr>
        <w:t>1</w:t>
      </w:r>
      <w:r>
        <w:rPr>
          <w:rFonts w:ascii="宋体" w:hAnsi="宋体" w:cs="宋体"/>
          <w:color w:val="000000" w:themeColor="text1"/>
          <w:spacing w:val="-1"/>
          <w:sz w:val="24"/>
          <w:szCs w:val="24"/>
          <w:highlight w:val="none"/>
          <w14:textFill>
            <w14:solidFill>
              <w14:schemeClr w14:val="tx1"/>
            </w14:solidFill>
          </w14:textFill>
        </w:rPr>
        <w:t>）根据第</w:t>
      </w:r>
      <w:r>
        <w:rPr>
          <w:rFonts w:ascii="宋体" w:hAnsi="宋体" w:cs="宋体"/>
          <w:color w:val="000000" w:themeColor="text1"/>
          <w:spacing w:val="-56"/>
          <w:sz w:val="24"/>
          <w:szCs w:val="24"/>
          <w:highlight w:val="none"/>
          <w14:textFill>
            <w14:solidFill>
              <w14:schemeClr w14:val="tx1"/>
            </w14:solidFill>
          </w14:textFill>
        </w:rPr>
        <w:t xml:space="preserve"> </w:t>
      </w:r>
      <w:r>
        <w:rPr>
          <w:rFonts w:eastAsia="Times New Roman"/>
          <w:color w:val="000000" w:themeColor="text1"/>
          <w:spacing w:val="-1"/>
          <w:sz w:val="24"/>
          <w:szCs w:val="24"/>
          <w:highlight w:val="none"/>
          <w14:textFill>
            <w14:solidFill>
              <w14:schemeClr w14:val="tx1"/>
            </w14:solidFill>
          </w14:textFill>
        </w:rPr>
        <w:t xml:space="preserve">4.3 </w:t>
      </w:r>
      <w:r>
        <w:rPr>
          <w:rFonts w:ascii="宋体" w:hAnsi="宋体" w:cs="宋体"/>
          <w:color w:val="000000" w:themeColor="text1"/>
          <w:spacing w:val="-1"/>
          <w:sz w:val="24"/>
          <w:szCs w:val="24"/>
          <w:highlight w:val="none"/>
          <w14:textFill>
            <w14:solidFill>
              <w14:schemeClr w14:val="tx1"/>
            </w14:solidFill>
          </w14:textFill>
        </w:rPr>
        <w:t>款，同意分包部分养护</w:t>
      </w:r>
      <w:r>
        <w:rPr>
          <w:rFonts w:ascii="宋体" w:hAnsi="宋体" w:cs="宋体"/>
          <w:color w:val="000000" w:themeColor="text1"/>
          <w:spacing w:val="-2"/>
          <w:sz w:val="24"/>
          <w:szCs w:val="24"/>
          <w:highlight w:val="none"/>
          <w14:textFill>
            <w14:solidFill>
              <w14:schemeClr w14:val="tx1"/>
            </w14:solidFill>
          </w14:textFill>
        </w:rPr>
        <w:t>项目；</w:t>
      </w:r>
    </w:p>
    <w:p w14:paraId="7252C02B">
      <w:pPr>
        <w:spacing w:before="116" w:line="219" w:lineRule="auto"/>
        <w:ind w:left="492"/>
        <w:rPr>
          <w:rFonts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pacing w:val="-2"/>
          <w:sz w:val="24"/>
          <w:szCs w:val="24"/>
          <w:highlight w:val="none"/>
          <w14:textFill>
            <w14:solidFill>
              <w14:schemeClr w14:val="tx1"/>
            </w14:solidFill>
          </w14:textFill>
        </w:rPr>
        <w:t>（</w:t>
      </w:r>
      <w:r>
        <w:rPr>
          <w:rFonts w:eastAsia="Times New Roman"/>
          <w:color w:val="000000" w:themeColor="text1"/>
          <w:spacing w:val="-2"/>
          <w:sz w:val="24"/>
          <w:szCs w:val="24"/>
          <w:highlight w:val="none"/>
          <w14:textFill>
            <w14:solidFill>
              <w14:schemeClr w14:val="tx1"/>
            </w14:solidFill>
          </w14:textFill>
        </w:rPr>
        <w:t>2</w:t>
      </w:r>
      <w:r>
        <w:rPr>
          <w:rFonts w:ascii="宋体" w:hAnsi="宋体" w:cs="宋体"/>
          <w:color w:val="000000" w:themeColor="text1"/>
          <w:spacing w:val="-2"/>
          <w:sz w:val="24"/>
          <w:szCs w:val="24"/>
          <w:highlight w:val="none"/>
          <w14:textFill>
            <w14:solidFill>
              <w14:schemeClr w14:val="tx1"/>
            </w14:solidFill>
          </w14:textFill>
        </w:rPr>
        <w:t>）确定第</w:t>
      </w:r>
      <w:r>
        <w:rPr>
          <w:rFonts w:ascii="宋体" w:hAnsi="宋体" w:cs="宋体"/>
          <w:color w:val="000000" w:themeColor="text1"/>
          <w:spacing w:val="-38"/>
          <w:sz w:val="24"/>
          <w:szCs w:val="24"/>
          <w:highlight w:val="none"/>
          <w14:textFill>
            <w14:solidFill>
              <w14:schemeClr w14:val="tx1"/>
            </w14:solidFill>
          </w14:textFill>
        </w:rPr>
        <w:t xml:space="preserve"> </w:t>
      </w:r>
      <w:r>
        <w:rPr>
          <w:rFonts w:eastAsia="Times New Roman"/>
          <w:color w:val="000000" w:themeColor="text1"/>
          <w:spacing w:val="-2"/>
          <w:sz w:val="24"/>
          <w:szCs w:val="24"/>
          <w:highlight w:val="none"/>
          <w14:textFill>
            <w14:solidFill>
              <w14:schemeClr w14:val="tx1"/>
            </w14:solidFill>
          </w14:textFill>
        </w:rPr>
        <w:t xml:space="preserve">4.13 </w:t>
      </w:r>
      <w:r>
        <w:rPr>
          <w:rFonts w:ascii="宋体" w:hAnsi="宋体" w:cs="宋体"/>
          <w:color w:val="000000" w:themeColor="text1"/>
          <w:spacing w:val="-2"/>
          <w:sz w:val="24"/>
          <w:szCs w:val="24"/>
          <w:highlight w:val="none"/>
          <w14:textFill>
            <w14:solidFill>
              <w14:schemeClr w14:val="tx1"/>
            </w14:solidFill>
          </w14:textFill>
        </w:rPr>
        <w:t>款下产生的费用增加额；</w:t>
      </w:r>
    </w:p>
    <w:p w14:paraId="6AFA86DF">
      <w:pPr>
        <w:spacing w:before="116" w:line="263" w:lineRule="auto"/>
        <w:ind w:left="1" w:firstLine="490"/>
        <w:rPr>
          <w:rFonts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pacing w:val="1"/>
          <w:sz w:val="24"/>
          <w:szCs w:val="24"/>
          <w:highlight w:val="none"/>
          <w14:textFill>
            <w14:solidFill>
              <w14:schemeClr w14:val="tx1"/>
            </w14:solidFill>
          </w14:textFill>
        </w:rPr>
        <w:t>（</w:t>
      </w:r>
      <w:r>
        <w:rPr>
          <w:rFonts w:eastAsia="Times New Roman"/>
          <w:color w:val="000000" w:themeColor="text1"/>
          <w:spacing w:val="1"/>
          <w:sz w:val="24"/>
          <w:szCs w:val="24"/>
          <w:highlight w:val="none"/>
          <w14:textFill>
            <w14:solidFill>
              <w14:schemeClr w14:val="tx1"/>
            </w14:solidFill>
          </w14:textFill>
        </w:rPr>
        <w:t>3</w:t>
      </w:r>
      <w:r>
        <w:rPr>
          <w:rFonts w:ascii="宋体" w:hAnsi="宋体" w:cs="宋体"/>
          <w:color w:val="000000" w:themeColor="text1"/>
          <w:spacing w:val="1"/>
          <w:sz w:val="24"/>
          <w:szCs w:val="24"/>
          <w:highlight w:val="none"/>
          <w14:textFill>
            <w14:solidFill>
              <w14:schemeClr w14:val="tx1"/>
            </w14:solidFill>
          </w14:textFill>
        </w:rPr>
        <w:t>）根据第</w:t>
      </w:r>
      <w:r>
        <w:rPr>
          <w:rFonts w:ascii="宋体" w:hAnsi="宋体" w:cs="宋体"/>
          <w:color w:val="000000" w:themeColor="text1"/>
          <w:spacing w:val="-25"/>
          <w:sz w:val="24"/>
          <w:szCs w:val="24"/>
          <w:highlight w:val="none"/>
          <w14:textFill>
            <w14:solidFill>
              <w14:schemeClr w14:val="tx1"/>
            </w14:solidFill>
          </w14:textFill>
        </w:rPr>
        <w:t xml:space="preserve"> </w:t>
      </w:r>
      <w:r>
        <w:rPr>
          <w:rFonts w:eastAsia="Times New Roman"/>
          <w:color w:val="000000" w:themeColor="text1"/>
          <w:spacing w:val="1"/>
          <w:sz w:val="24"/>
          <w:szCs w:val="24"/>
          <w:highlight w:val="none"/>
          <w14:textFill>
            <w14:solidFill>
              <w14:schemeClr w14:val="tx1"/>
            </w14:solidFill>
          </w14:textFill>
        </w:rPr>
        <w:t>11.1</w:t>
      </w:r>
      <w:r>
        <w:rPr>
          <w:rFonts w:ascii="宋体" w:hAnsi="宋体" w:cs="宋体"/>
          <w:color w:val="000000" w:themeColor="text1"/>
          <w:spacing w:val="1"/>
          <w:sz w:val="24"/>
          <w:szCs w:val="24"/>
          <w:highlight w:val="none"/>
          <w14:textFill>
            <w14:solidFill>
              <w14:schemeClr w14:val="tx1"/>
            </w14:solidFill>
          </w14:textFill>
        </w:rPr>
        <w:t>款、第</w:t>
      </w:r>
      <w:r>
        <w:rPr>
          <w:rFonts w:ascii="宋体" w:hAnsi="宋体" w:cs="宋体"/>
          <w:color w:val="000000" w:themeColor="text1"/>
          <w:spacing w:val="-25"/>
          <w:sz w:val="24"/>
          <w:szCs w:val="24"/>
          <w:highlight w:val="none"/>
          <w14:textFill>
            <w14:solidFill>
              <w14:schemeClr w14:val="tx1"/>
            </w14:solidFill>
          </w14:textFill>
        </w:rPr>
        <w:t xml:space="preserve"> </w:t>
      </w:r>
      <w:r>
        <w:rPr>
          <w:rFonts w:eastAsia="Times New Roman"/>
          <w:color w:val="000000" w:themeColor="text1"/>
          <w:spacing w:val="1"/>
          <w:sz w:val="24"/>
          <w:szCs w:val="24"/>
          <w:highlight w:val="none"/>
          <w14:textFill>
            <w14:solidFill>
              <w14:schemeClr w14:val="tx1"/>
            </w14:solidFill>
          </w14:textFill>
        </w:rPr>
        <w:t>12.3</w:t>
      </w:r>
      <w:r>
        <w:rPr>
          <w:rFonts w:ascii="宋体" w:hAnsi="宋体" w:cs="宋体"/>
          <w:color w:val="000000" w:themeColor="text1"/>
          <w:spacing w:val="1"/>
          <w:sz w:val="24"/>
          <w:szCs w:val="24"/>
          <w:highlight w:val="none"/>
          <w14:textFill>
            <w14:solidFill>
              <w14:schemeClr w14:val="tx1"/>
            </w14:solidFill>
          </w14:textFill>
        </w:rPr>
        <w:t>款、第</w:t>
      </w:r>
      <w:r>
        <w:rPr>
          <w:rFonts w:ascii="宋体" w:hAnsi="宋体" w:cs="宋体"/>
          <w:color w:val="000000" w:themeColor="text1"/>
          <w:spacing w:val="-25"/>
          <w:sz w:val="24"/>
          <w:szCs w:val="24"/>
          <w:highlight w:val="none"/>
          <w14:textFill>
            <w14:solidFill>
              <w14:schemeClr w14:val="tx1"/>
            </w14:solidFill>
          </w14:textFill>
        </w:rPr>
        <w:t xml:space="preserve"> </w:t>
      </w:r>
      <w:r>
        <w:rPr>
          <w:rFonts w:eastAsia="Times New Roman"/>
          <w:color w:val="000000" w:themeColor="text1"/>
          <w:spacing w:val="1"/>
          <w:sz w:val="24"/>
          <w:szCs w:val="24"/>
          <w:highlight w:val="none"/>
          <w14:textFill>
            <w14:solidFill>
              <w14:schemeClr w14:val="tx1"/>
            </w14:solidFill>
          </w14:textFill>
        </w:rPr>
        <w:t>12.4</w:t>
      </w:r>
      <w:r>
        <w:rPr>
          <w:rFonts w:ascii="宋体" w:hAnsi="宋体" w:cs="宋体"/>
          <w:color w:val="000000" w:themeColor="text1"/>
          <w:spacing w:val="1"/>
          <w:sz w:val="24"/>
          <w:szCs w:val="24"/>
          <w:highlight w:val="none"/>
          <w14:textFill>
            <w14:solidFill>
              <w14:schemeClr w14:val="tx1"/>
            </w14:solidFill>
          </w14:textFill>
        </w:rPr>
        <w:t>款发布开工通知、暂</w:t>
      </w:r>
      <w:r>
        <w:rPr>
          <w:rFonts w:ascii="宋体" w:hAnsi="宋体" w:cs="宋体"/>
          <w:color w:val="000000" w:themeColor="text1"/>
          <w:sz w:val="24"/>
          <w:szCs w:val="24"/>
          <w:highlight w:val="none"/>
          <w14:textFill>
            <w14:solidFill>
              <w14:schemeClr w14:val="tx1"/>
            </w14:solidFill>
          </w14:textFill>
        </w:rPr>
        <w:t>停养护作业指</w:t>
      </w:r>
      <w:r>
        <w:rPr>
          <w:rFonts w:ascii="宋体" w:hAnsi="宋体" w:cs="宋体"/>
          <w:color w:val="000000" w:themeColor="text1"/>
          <w:spacing w:val="-2"/>
          <w:sz w:val="24"/>
          <w:szCs w:val="24"/>
          <w:highlight w:val="none"/>
          <w14:textFill>
            <w14:solidFill>
              <w14:schemeClr w14:val="tx1"/>
            </w14:solidFill>
          </w14:textFill>
        </w:rPr>
        <w:t>示或复工通知；</w:t>
      </w:r>
    </w:p>
    <w:p w14:paraId="775F5826">
      <w:pPr>
        <w:spacing w:before="115" w:line="219" w:lineRule="auto"/>
        <w:ind w:left="492"/>
        <w:rPr>
          <w:rFonts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pacing w:val="-4"/>
          <w:sz w:val="24"/>
          <w:szCs w:val="24"/>
          <w:highlight w:val="none"/>
          <w14:textFill>
            <w14:solidFill>
              <w14:schemeClr w14:val="tx1"/>
            </w14:solidFill>
          </w14:textFill>
        </w:rPr>
        <w:t>（</w:t>
      </w:r>
      <w:r>
        <w:rPr>
          <w:rFonts w:eastAsia="Times New Roman"/>
          <w:color w:val="000000" w:themeColor="text1"/>
          <w:spacing w:val="-4"/>
          <w:sz w:val="24"/>
          <w:szCs w:val="24"/>
          <w:highlight w:val="none"/>
          <w14:textFill>
            <w14:solidFill>
              <w14:schemeClr w14:val="tx1"/>
            </w14:solidFill>
          </w14:textFill>
        </w:rPr>
        <w:t>4</w:t>
      </w:r>
      <w:r>
        <w:rPr>
          <w:rFonts w:ascii="宋体" w:hAnsi="宋体" w:cs="宋体"/>
          <w:color w:val="000000" w:themeColor="text1"/>
          <w:spacing w:val="-4"/>
          <w:sz w:val="24"/>
          <w:szCs w:val="24"/>
          <w:highlight w:val="none"/>
          <w14:textFill>
            <w14:solidFill>
              <w14:schemeClr w14:val="tx1"/>
            </w14:solidFill>
          </w14:textFill>
        </w:rPr>
        <w:t>）决定第</w:t>
      </w:r>
      <w:r>
        <w:rPr>
          <w:rFonts w:ascii="宋体" w:hAnsi="宋体" w:cs="宋体"/>
          <w:color w:val="000000" w:themeColor="text1"/>
          <w:spacing w:val="-22"/>
          <w:sz w:val="24"/>
          <w:szCs w:val="24"/>
          <w:highlight w:val="none"/>
          <w14:textFill>
            <w14:solidFill>
              <w14:schemeClr w14:val="tx1"/>
            </w14:solidFill>
          </w14:textFill>
        </w:rPr>
        <w:t xml:space="preserve"> </w:t>
      </w:r>
      <w:r>
        <w:rPr>
          <w:rFonts w:eastAsia="Times New Roman"/>
          <w:color w:val="000000" w:themeColor="text1"/>
          <w:spacing w:val="-4"/>
          <w:sz w:val="24"/>
          <w:szCs w:val="24"/>
          <w:highlight w:val="none"/>
          <w14:textFill>
            <w14:solidFill>
              <w14:schemeClr w14:val="tx1"/>
            </w14:solidFill>
          </w14:textFill>
        </w:rPr>
        <w:t xml:space="preserve">11.3 </w:t>
      </w:r>
      <w:r>
        <w:rPr>
          <w:rFonts w:ascii="宋体" w:hAnsi="宋体" w:cs="宋体"/>
          <w:color w:val="000000" w:themeColor="text1"/>
          <w:spacing w:val="-4"/>
          <w:sz w:val="24"/>
          <w:szCs w:val="24"/>
          <w:highlight w:val="none"/>
          <w14:textFill>
            <w14:solidFill>
              <w14:schemeClr w14:val="tx1"/>
            </w14:solidFill>
          </w14:textFill>
        </w:rPr>
        <w:t>款、第</w:t>
      </w:r>
      <w:r>
        <w:rPr>
          <w:rFonts w:ascii="宋体" w:hAnsi="宋体" w:cs="宋体"/>
          <w:color w:val="000000" w:themeColor="text1"/>
          <w:spacing w:val="-32"/>
          <w:sz w:val="24"/>
          <w:szCs w:val="24"/>
          <w:highlight w:val="none"/>
          <w14:textFill>
            <w14:solidFill>
              <w14:schemeClr w14:val="tx1"/>
            </w14:solidFill>
          </w14:textFill>
        </w:rPr>
        <w:t xml:space="preserve"> </w:t>
      </w:r>
      <w:r>
        <w:rPr>
          <w:rFonts w:eastAsia="Times New Roman"/>
          <w:color w:val="000000" w:themeColor="text1"/>
          <w:spacing w:val="-4"/>
          <w:sz w:val="24"/>
          <w:szCs w:val="24"/>
          <w:highlight w:val="none"/>
          <w14:textFill>
            <w14:solidFill>
              <w14:schemeClr w14:val="tx1"/>
            </w14:solidFill>
          </w14:textFill>
        </w:rPr>
        <w:t xml:space="preserve">11.4 </w:t>
      </w:r>
      <w:r>
        <w:rPr>
          <w:rFonts w:ascii="宋体" w:hAnsi="宋体" w:cs="宋体"/>
          <w:color w:val="000000" w:themeColor="text1"/>
          <w:spacing w:val="-4"/>
          <w:sz w:val="24"/>
          <w:szCs w:val="24"/>
          <w:highlight w:val="none"/>
          <w14:textFill>
            <w14:solidFill>
              <w14:schemeClr w14:val="tx1"/>
            </w14:solidFill>
          </w14:textFill>
        </w:rPr>
        <w:t>款下的工期延长；</w:t>
      </w:r>
    </w:p>
    <w:p w14:paraId="60992D23">
      <w:pPr>
        <w:spacing w:before="116" w:line="219" w:lineRule="auto"/>
        <w:ind w:left="492"/>
        <w:rPr>
          <w:rFonts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pacing w:val="-2"/>
          <w:sz w:val="24"/>
          <w:szCs w:val="24"/>
          <w:highlight w:val="none"/>
          <w14:textFill>
            <w14:solidFill>
              <w14:schemeClr w14:val="tx1"/>
            </w14:solidFill>
          </w14:textFill>
        </w:rPr>
        <w:t>（</w:t>
      </w:r>
      <w:r>
        <w:rPr>
          <w:rFonts w:eastAsia="Times New Roman"/>
          <w:color w:val="000000" w:themeColor="text1"/>
          <w:spacing w:val="-2"/>
          <w:sz w:val="24"/>
          <w:szCs w:val="24"/>
          <w:highlight w:val="none"/>
          <w14:textFill>
            <w14:solidFill>
              <w14:schemeClr w14:val="tx1"/>
            </w14:solidFill>
          </w14:textFill>
        </w:rPr>
        <w:t>5</w:t>
      </w:r>
      <w:r>
        <w:rPr>
          <w:rFonts w:ascii="宋体" w:hAnsi="宋体" w:cs="宋体"/>
          <w:color w:val="000000" w:themeColor="text1"/>
          <w:spacing w:val="-2"/>
          <w:sz w:val="24"/>
          <w:szCs w:val="24"/>
          <w:highlight w:val="none"/>
          <w14:textFill>
            <w14:solidFill>
              <w14:schemeClr w14:val="tx1"/>
            </w14:solidFill>
          </w14:textFill>
        </w:rPr>
        <w:t>）审查批准技术方案或设计的变更；</w:t>
      </w:r>
    </w:p>
    <w:p w14:paraId="2A94CC43">
      <w:pPr>
        <w:spacing w:before="114" w:line="219" w:lineRule="auto"/>
        <w:ind w:left="492"/>
        <w:rPr>
          <w:rFonts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pacing w:val="-3"/>
          <w:sz w:val="24"/>
          <w:szCs w:val="24"/>
          <w:highlight w:val="none"/>
          <w14:textFill>
            <w14:solidFill>
              <w14:schemeClr w14:val="tx1"/>
            </w14:solidFill>
          </w14:textFill>
        </w:rPr>
        <w:t>（</w:t>
      </w:r>
      <w:r>
        <w:rPr>
          <w:rFonts w:eastAsia="Times New Roman"/>
          <w:color w:val="000000" w:themeColor="text1"/>
          <w:spacing w:val="-3"/>
          <w:sz w:val="24"/>
          <w:szCs w:val="24"/>
          <w:highlight w:val="none"/>
          <w14:textFill>
            <w14:solidFill>
              <w14:schemeClr w14:val="tx1"/>
            </w14:solidFill>
          </w14:textFill>
        </w:rPr>
        <w:t>6</w:t>
      </w:r>
      <w:r>
        <w:rPr>
          <w:rFonts w:ascii="宋体" w:hAnsi="宋体" w:cs="宋体"/>
          <w:color w:val="000000" w:themeColor="text1"/>
          <w:spacing w:val="-3"/>
          <w:sz w:val="24"/>
          <w:szCs w:val="24"/>
          <w:highlight w:val="none"/>
          <w14:textFill>
            <w14:solidFill>
              <w14:schemeClr w14:val="tx1"/>
            </w14:solidFill>
          </w14:textFill>
        </w:rPr>
        <w:t>）根据第</w:t>
      </w:r>
      <w:r>
        <w:rPr>
          <w:rFonts w:ascii="宋体" w:hAnsi="宋体" w:cs="宋体"/>
          <w:color w:val="000000" w:themeColor="text1"/>
          <w:spacing w:val="-25"/>
          <w:sz w:val="24"/>
          <w:szCs w:val="24"/>
          <w:highlight w:val="none"/>
          <w14:textFill>
            <w14:solidFill>
              <w14:schemeClr w14:val="tx1"/>
            </w14:solidFill>
          </w14:textFill>
        </w:rPr>
        <w:t xml:space="preserve"> </w:t>
      </w:r>
      <w:r>
        <w:rPr>
          <w:rFonts w:eastAsia="Times New Roman"/>
          <w:color w:val="000000" w:themeColor="text1"/>
          <w:spacing w:val="-3"/>
          <w:sz w:val="24"/>
          <w:szCs w:val="24"/>
          <w:highlight w:val="none"/>
          <w14:textFill>
            <w14:solidFill>
              <w14:schemeClr w14:val="tx1"/>
            </w14:solidFill>
          </w14:textFill>
        </w:rPr>
        <w:t xml:space="preserve">15.3 </w:t>
      </w:r>
      <w:r>
        <w:rPr>
          <w:rFonts w:ascii="宋体" w:hAnsi="宋体" w:cs="宋体"/>
          <w:color w:val="000000" w:themeColor="text1"/>
          <w:spacing w:val="-3"/>
          <w:sz w:val="24"/>
          <w:szCs w:val="24"/>
          <w:highlight w:val="none"/>
          <w14:textFill>
            <w14:solidFill>
              <w14:schemeClr w14:val="tx1"/>
            </w14:solidFill>
          </w14:textFill>
        </w:rPr>
        <w:t>款发出变更指示；</w:t>
      </w:r>
    </w:p>
    <w:p w14:paraId="484EF441">
      <w:pPr>
        <w:spacing w:before="116" w:line="218" w:lineRule="auto"/>
        <w:ind w:left="492"/>
        <w:rPr>
          <w:rFonts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pacing w:val="-3"/>
          <w:sz w:val="24"/>
          <w:szCs w:val="24"/>
          <w:highlight w:val="none"/>
          <w14:textFill>
            <w14:solidFill>
              <w14:schemeClr w14:val="tx1"/>
            </w14:solidFill>
          </w14:textFill>
        </w:rPr>
        <w:t>（</w:t>
      </w:r>
      <w:r>
        <w:rPr>
          <w:rFonts w:eastAsia="Times New Roman"/>
          <w:color w:val="000000" w:themeColor="text1"/>
          <w:spacing w:val="-3"/>
          <w:sz w:val="24"/>
          <w:szCs w:val="24"/>
          <w:highlight w:val="none"/>
          <w14:textFill>
            <w14:solidFill>
              <w14:schemeClr w14:val="tx1"/>
            </w14:solidFill>
          </w14:textFill>
        </w:rPr>
        <w:t>7</w:t>
      </w:r>
      <w:r>
        <w:rPr>
          <w:rFonts w:ascii="宋体" w:hAnsi="宋体" w:cs="宋体"/>
          <w:color w:val="000000" w:themeColor="text1"/>
          <w:spacing w:val="-3"/>
          <w:sz w:val="24"/>
          <w:szCs w:val="24"/>
          <w:highlight w:val="none"/>
          <w14:textFill>
            <w14:solidFill>
              <w14:schemeClr w14:val="tx1"/>
            </w14:solidFill>
          </w14:textFill>
        </w:rPr>
        <w:t>）确定第</w:t>
      </w:r>
      <w:r>
        <w:rPr>
          <w:rFonts w:ascii="宋体" w:hAnsi="宋体" w:cs="宋体"/>
          <w:color w:val="000000" w:themeColor="text1"/>
          <w:spacing w:val="-19"/>
          <w:sz w:val="24"/>
          <w:szCs w:val="24"/>
          <w:highlight w:val="none"/>
          <w14:textFill>
            <w14:solidFill>
              <w14:schemeClr w14:val="tx1"/>
            </w14:solidFill>
          </w14:textFill>
        </w:rPr>
        <w:t xml:space="preserve"> </w:t>
      </w:r>
      <w:r>
        <w:rPr>
          <w:rFonts w:eastAsia="Times New Roman"/>
          <w:color w:val="000000" w:themeColor="text1"/>
          <w:spacing w:val="-3"/>
          <w:sz w:val="24"/>
          <w:szCs w:val="24"/>
          <w:highlight w:val="none"/>
          <w14:textFill>
            <w14:solidFill>
              <w14:schemeClr w14:val="tx1"/>
            </w14:solidFill>
          </w14:textFill>
        </w:rPr>
        <w:t xml:space="preserve">15.4 </w:t>
      </w:r>
      <w:r>
        <w:rPr>
          <w:rFonts w:ascii="宋体" w:hAnsi="宋体" w:cs="宋体"/>
          <w:color w:val="000000" w:themeColor="text1"/>
          <w:spacing w:val="-3"/>
          <w:sz w:val="24"/>
          <w:szCs w:val="24"/>
          <w:highlight w:val="none"/>
          <w14:textFill>
            <w14:solidFill>
              <w14:schemeClr w14:val="tx1"/>
            </w14:solidFill>
          </w14:textFill>
        </w:rPr>
        <w:t>款下变更工作的单价；</w:t>
      </w:r>
    </w:p>
    <w:p w14:paraId="5022B551">
      <w:pPr>
        <w:spacing w:before="118" w:line="219" w:lineRule="auto"/>
        <w:ind w:left="492"/>
        <w:rPr>
          <w:rFonts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pacing w:val="-2"/>
          <w:sz w:val="24"/>
          <w:szCs w:val="24"/>
          <w:highlight w:val="none"/>
          <w14:textFill>
            <w14:solidFill>
              <w14:schemeClr w14:val="tx1"/>
            </w14:solidFill>
          </w14:textFill>
        </w:rPr>
        <w:t>（</w:t>
      </w:r>
      <w:r>
        <w:rPr>
          <w:rFonts w:eastAsia="Times New Roman"/>
          <w:color w:val="000000" w:themeColor="text1"/>
          <w:spacing w:val="-2"/>
          <w:sz w:val="24"/>
          <w:szCs w:val="24"/>
          <w:highlight w:val="none"/>
          <w14:textFill>
            <w14:solidFill>
              <w14:schemeClr w14:val="tx1"/>
            </w14:solidFill>
          </w14:textFill>
        </w:rPr>
        <w:t>8</w:t>
      </w:r>
      <w:r>
        <w:rPr>
          <w:rFonts w:ascii="宋体" w:hAnsi="宋体" w:cs="宋体"/>
          <w:color w:val="000000" w:themeColor="text1"/>
          <w:spacing w:val="-2"/>
          <w:sz w:val="24"/>
          <w:szCs w:val="24"/>
          <w:highlight w:val="none"/>
          <w14:textFill>
            <w14:solidFill>
              <w14:schemeClr w14:val="tx1"/>
            </w14:solidFill>
          </w14:textFill>
        </w:rPr>
        <w:t>）按照第</w:t>
      </w:r>
      <w:r>
        <w:rPr>
          <w:rFonts w:ascii="宋体" w:hAnsi="宋体" w:cs="宋体"/>
          <w:color w:val="000000" w:themeColor="text1"/>
          <w:spacing w:val="-32"/>
          <w:sz w:val="24"/>
          <w:szCs w:val="24"/>
          <w:highlight w:val="none"/>
          <w14:textFill>
            <w14:solidFill>
              <w14:schemeClr w14:val="tx1"/>
            </w14:solidFill>
          </w14:textFill>
        </w:rPr>
        <w:t xml:space="preserve"> </w:t>
      </w:r>
      <w:r>
        <w:rPr>
          <w:rFonts w:eastAsia="Times New Roman"/>
          <w:color w:val="000000" w:themeColor="text1"/>
          <w:spacing w:val="-2"/>
          <w:sz w:val="24"/>
          <w:szCs w:val="24"/>
          <w:highlight w:val="none"/>
          <w14:textFill>
            <w14:solidFill>
              <w14:schemeClr w14:val="tx1"/>
            </w14:solidFill>
          </w14:textFill>
        </w:rPr>
        <w:t xml:space="preserve">15.6 </w:t>
      </w:r>
      <w:r>
        <w:rPr>
          <w:rFonts w:ascii="宋体" w:hAnsi="宋体" w:cs="宋体"/>
          <w:color w:val="000000" w:themeColor="text1"/>
          <w:spacing w:val="-2"/>
          <w:sz w:val="24"/>
          <w:szCs w:val="24"/>
          <w:highlight w:val="none"/>
          <w14:textFill>
            <w14:solidFill>
              <w14:schemeClr w14:val="tx1"/>
            </w14:solidFill>
          </w14:textFill>
        </w:rPr>
        <w:t>款决定有关暂列金额的使</w:t>
      </w:r>
      <w:r>
        <w:rPr>
          <w:rFonts w:ascii="宋体" w:hAnsi="宋体" w:cs="宋体"/>
          <w:color w:val="000000" w:themeColor="text1"/>
          <w:spacing w:val="-3"/>
          <w:sz w:val="24"/>
          <w:szCs w:val="24"/>
          <w:highlight w:val="none"/>
          <w14:textFill>
            <w14:solidFill>
              <w14:schemeClr w14:val="tx1"/>
            </w14:solidFill>
          </w14:textFill>
        </w:rPr>
        <w:t>用；</w:t>
      </w:r>
    </w:p>
    <w:p w14:paraId="68116FA5">
      <w:pPr>
        <w:spacing w:before="113" w:line="218" w:lineRule="auto"/>
        <w:ind w:left="492"/>
        <w:rPr>
          <w:rFonts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pacing w:val="-3"/>
          <w:sz w:val="24"/>
          <w:szCs w:val="24"/>
          <w:highlight w:val="none"/>
          <w14:textFill>
            <w14:solidFill>
              <w14:schemeClr w14:val="tx1"/>
            </w14:solidFill>
          </w14:textFill>
        </w:rPr>
        <w:t>（</w:t>
      </w:r>
      <w:r>
        <w:rPr>
          <w:rFonts w:eastAsia="Times New Roman"/>
          <w:color w:val="000000" w:themeColor="text1"/>
          <w:spacing w:val="-3"/>
          <w:sz w:val="24"/>
          <w:szCs w:val="24"/>
          <w:highlight w:val="none"/>
          <w14:textFill>
            <w14:solidFill>
              <w14:schemeClr w14:val="tx1"/>
            </w14:solidFill>
          </w14:textFill>
        </w:rPr>
        <w:t>9</w:t>
      </w:r>
      <w:r>
        <w:rPr>
          <w:rFonts w:ascii="宋体" w:hAnsi="宋体" w:cs="宋体"/>
          <w:color w:val="000000" w:themeColor="text1"/>
          <w:spacing w:val="-3"/>
          <w:sz w:val="24"/>
          <w:szCs w:val="24"/>
          <w:highlight w:val="none"/>
          <w14:textFill>
            <w14:solidFill>
              <w14:schemeClr w14:val="tx1"/>
            </w14:solidFill>
          </w14:textFill>
        </w:rPr>
        <w:t>）确定第</w:t>
      </w:r>
      <w:r>
        <w:rPr>
          <w:rFonts w:ascii="宋体" w:hAnsi="宋体" w:cs="宋体"/>
          <w:color w:val="000000" w:themeColor="text1"/>
          <w:spacing w:val="-22"/>
          <w:sz w:val="24"/>
          <w:szCs w:val="24"/>
          <w:highlight w:val="none"/>
          <w14:textFill>
            <w14:solidFill>
              <w14:schemeClr w14:val="tx1"/>
            </w14:solidFill>
          </w14:textFill>
        </w:rPr>
        <w:t xml:space="preserve"> </w:t>
      </w:r>
      <w:r>
        <w:rPr>
          <w:rFonts w:eastAsia="Times New Roman"/>
          <w:color w:val="000000" w:themeColor="text1"/>
          <w:spacing w:val="-3"/>
          <w:sz w:val="24"/>
          <w:szCs w:val="24"/>
          <w:highlight w:val="none"/>
          <w14:textFill>
            <w14:solidFill>
              <w14:schemeClr w14:val="tx1"/>
            </w14:solidFill>
          </w14:textFill>
        </w:rPr>
        <w:t xml:space="preserve">15.8 </w:t>
      </w:r>
      <w:r>
        <w:rPr>
          <w:rFonts w:ascii="宋体" w:hAnsi="宋体" w:cs="宋体"/>
          <w:color w:val="000000" w:themeColor="text1"/>
          <w:spacing w:val="-3"/>
          <w:sz w:val="24"/>
          <w:szCs w:val="24"/>
          <w:highlight w:val="none"/>
          <w14:textFill>
            <w14:solidFill>
              <w14:schemeClr w14:val="tx1"/>
            </w14:solidFill>
          </w14:textFill>
        </w:rPr>
        <w:t>款下的暂估价金额；</w:t>
      </w:r>
    </w:p>
    <w:p w14:paraId="7E251F3D">
      <w:pPr>
        <w:spacing w:before="118" w:line="219" w:lineRule="auto"/>
        <w:ind w:left="492"/>
        <w:rPr>
          <w:rFonts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pacing w:val="-2"/>
          <w:sz w:val="24"/>
          <w:szCs w:val="24"/>
          <w:highlight w:val="none"/>
          <w14:textFill>
            <w14:solidFill>
              <w14:schemeClr w14:val="tx1"/>
            </w14:solidFill>
          </w14:textFill>
        </w:rPr>
        <w:t>（</w:t>
      </w:r>
      <w:r>
        <w:rPr>
          <w:rFonts w:eastAsia="Times New Roman"/>
          <w:color w:val="000000" w:themeColor="text1"/>
          <w:spacing w:val="-2"/>
          <w:sz w:val="24"/>
          <w:szCs w:val="24"/>
          <w:highlight w:val="none"/>
          <w14:textFill>
            <w14:solidFill>
              <w14:schemeClr w14:val="tx1"/>
            </w14:solidFill>
          </w14:textFill>
        </w:rPr>
        <w:t>10</w:t>
      </w:r>
      <w:r>
        <w:rPr>
          <w:rFonts w:ascii="宋体" w:hAnsi="宋体" w:cs="宋体"/>
          <w:color w:val="000000" w:themeColor="text1"/>
          <w:spacing w:val="-2"/>
          <w:sz w:val="24"/>
          <w:szCs w:val="24"/>
          <w:highlight w:val="none"/>
          <w14:textFill>
            <w14:solidFill>
              <w14:schemeClr w14:val="tx1"/>
            </w14:solidFill>
          </w14:textFill>
        </w:rPr>
        <w:t>）确定第</w:t>
      </w:r>
      <w:r>
        <w:rPr>
          <w:rFonts w:ascii="宋体" w:hAnsi="宋体" w:cs="宋体"/>
          <w:color w:val="000000" w:themeColor="text1"/>
          <w:spacing w:val="-44"/>
          <w:sz w:val="24"/>
          <w:szCs w:val="24"/>
          <w:highlight w:val="none"/>
          <w14:textFill>
            <w14:solidFill>
              <w14:schemeClr w14:val="tx1"/>
            </w14:solidFill>
          </w14:textFill>
        </w:rPr>
        <w:t xml:space="preserve"> </w:t>
      </w:r>
      <w:r>
        <w:rPr>
          <w:rFonts w:eastAsia="Times New Roman"/>
          <w:color w:val="000000" w:themeColor="text1"/>
          <w:spacing w:val="-2"/>
          <w:sz w:val="24"/>
          <w:szCs w:val="24"/>
          <w:highlight w:val="none"/>
          <w14:textFill>
            <w14:solidFill>
              <w14:schemeClr w14:val="tx1"/>
            </w14:solidFill>
          </w14:textFill>
        </w:rPr>
        <w:t xml:space="preserve">23.1 </w:t>
      </w:r>
      <w:r>
        <w:rPr>
          <w:rFonts w:ascii="宋体" w:hAnsi="宋体" w:cs="宋体"/>
          <w:color w:val="000000" w:themeColor="text1"/>
          <w:spacing w:val="-2"/>
          <w:sz w:val="24"/>
          <w:szCs w:val="24"/>
          <w:highlight w:val="none"/>
          <w14:textFill>
            <w14:solidFill>
              <w14:schemeClr w14:val="tx1"/>
            </w14:solidFill>
          </w14:textFill>
        </w:rPr>
        <w:t>款下的索赔额。</w:t>
      </w:r>
    </w:p>
    <w:p w14:paraId="68B0F190">
      <w:pPr>
        <w:spacing w:before="117" w:line="307" w:lineRule="auto"/>
        <w:ind w:left="1" w:firstLine="482"/>
        <w:rPr>
          <w:rFonts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pacing w:val="1"/>
          <w:sz w:val="24"/>
          <w:szCs w:val="24"/>
          <w:highlight w:val="none"/>
          <w14:textFill>
            <w14:solidFill>
              <w14:schemeClr w14:val="tx1"/>
            </w14:solidFill>
          </w14:textFill>
        </w:rPr>
        <w:t>如果发生紧急情况，咨询人认为将造成人员伤亡</w:t>
      </w:r>
      <w:r>
        <w:rPr>
          <w:rFonts w:ascii="宋体" w:hAnsi="宋体" w:cs="宋体"/>
          <w:color w:val="000000" w:themeColor="text1"/>
          <w:sz w:val="24"/>
          <w:szCs w:val="24"/>
          <w:highlight w:val="none"/>
          <w14:textFill>
            <w14:solidFill>
              <w14:schemeClr w14:val="tx1"/>
            </w14:solidFill>
          </w14:textFill>
        </w:rPr>
        <w:t>，或危及本养护项目或邻近的</w:t>
      </w:r>
      <w:r>
        <w:rPr>
          <w:rFonts w:ascii="宋体" w:hAnsi="宋体" w:cs="宋体"/>
          <w:color w:val="000000" w:themeColor="text1"/>
          <w:spacing w:val="1"/>
          <w:sz w:val="24"/>
          <w:szCs w:val="24"/>
          <w:highlight w:val="none"/>
          <w14:textFill>
            <w14:solidFill>
              <w14:schemeClr w14:val="tx1"/>
            </w14:solidFill>
          </w14:textFill>
        </w:rPr>
        <w:t>财产安全需立即采取行动，咨询人有权在未征得发包人</w:t>
      </w:r>
      <w:r>
        <w:rPr>
          <w:rFonts w:ascii="宋体" w:hAnsi="宋体" w:cs="宋体"/>
          <w:color w:val="000000" w:themeColor="text1"/>
          <w:sz w:val="24"/>
          <w:szCs w:val="24"/>
          <w:highlight w:val="none"/>
          <w14:textFill>
            <w14:solidFill>
              <w14:schemeClr w14:val="tx1"/>
            </w14:solidFill>
          </w14:textFill>
        </w:rPr>
        <w:t>的批准的情况下发布处理紧</w:t>
      </w:r>
      <w:r>
        <w:rPr>
          <w:rFonts w:ascii="宋体" w:hAnsi="宋体" w:cs="宋体"/>
          <w:color w:val="000000" w:themeColor="text1"/>
          <w:spacing w:val="2"/>
          <w:sz w:val="24"/>
          <w:szCs w:val="24"/>
          <w:highlight w:val="none"/>
          <w14:textFill>
            <w14:solidFill>
              <w14:schemeClr w14:val="tx1"/>
            </w14:solidFill>
          </w14:textFill>
        </w:rPr>
        <w:t>急情况所必需的指令，承包人应予执行，由此造成的费用增加由咨询人</w:t>
      </w:r>
      <w:r>
        <w:rPr>
          <w:rFonts w:ascii="宋体" w:hAnsi="宋体" w:cs="宋体"/>
          <w:color w:val="000000" w:themeColor="text1"/>
          <w:spacing w:val="1"/>
          <w:sz w:val="24"/>
          <w:szCs w:val="24"/>
          <w:highlight w:val="none"/>
          <w14:textFill>
            <w14:solidFill>
              <w14:schemeClr w14:val="tx1"/>
            </w14:solidFill>
          </w14:textFill>
        </w:rPr>
        <w:t>按第</w:t>
      </w:r>
      <w:r>
        <w:rPr>
          <w:rFonts w:ascii="宋体" w:hAnsi="宋体" w:cs="宋体"/>
          <w:color w:val="000000" w:themeColor="text1"/>
          <w:spacing w:val="-47"/>
          <w:sz w:val="24"/>
          <w:szCs w:val="24"/>
          <w:highlight w:val="none"/>
          <w14:textFill>
            <w14:solidFill>
              <w14:schemeClr w14:val="tx1"/>
            </w14:solidFill>
          </w14:textFill>
        </w:rPr>
        <w:t xml:space="preserve"> </w:t>
      </w:r>
      <w:r>
        <w:rPr>
          <w:rFonts w:eastAsia="Times New Roman"/>
          <w:color w:val="000000" w:themeColor="text1"/>
          <w:spacing w:val="1"/>
          <w:sz w:val="24"/>
          <w:szCs w:val="24"/>
          <w:highlight w:val="none"/>
          <w14:textFill>
            <w14:solidFill>
              <w14:schemeClr w14:val="tx1"/>
            </w14:solidFill>
          </w14:textFill>
        </w:rPr>
        <w:t xml:space="preserve">3.5 </w:t>
      </w:r>
      <w:r>
        <w:rPr>
          <w:rFonts w:ascii="宋体" w:hAnsi="宋体" w:cs="宋体"/>
          <w:color w:val="000000" w:themeColor="text1"/>
          <w:spacing w:val="1"/>
          <w:sz w:val="24"/>
          <w:szCs w:val="24"/>
          <w:highlight w:val="none"/>
          <w14:textFill>
            <w14:solidFill>
              <w14:schemeClr w14:val="tx1"/>
            </w14:solidFill>
          </w14:textFill>
        </w:rPr>
        <w:t>款</w:t>
      </w:r>
      <w:r>
        <w:rPr>
          <w:rFonts w:ascii="宋体" w:hAnsi="宋体" w:cs="宋体"/>
          <w:color w:val="000000" w:themeColor="text1"/>
          <w:spacing w:val="-2"/>
          <w:sz w:val="24"/>
          <w:szCs w:val="24"/>
          <w:highlight w:val="none"/>
          <w14:textFill>
            <w14:solidFill>
              <w14:schemeClr w14:val="tx1"/>
            </w14:solidFill>
          </w14:textFill>
        </w:rPr>
        <w:t>商定或确定。</w:t>
      </w:r>
    </w:p>
    <w:p w14:paraId="6028CD9E">
      <w:pPr>
        <w:spacing w:before="3" w:line="263" w:lineRule="auto"/>
        <w:ind w:left="3" w:right="2" w:firstLine="477"/>
        <w:rPr>
          <w:rFonts w:ascii="宋体" w:hAnsi="宋体" w:cs="宋体"/>
          <w:color w:val="000000" w:themeColor="text1"/>
          <w:sz w:val="24"/>
          <w:szCs w:val="24"/>
          <w:highlight w:val="none"/>
          <w14:textFill>
            <w14:solidFill>
              <w14:schemeClr w14:val="tx1"/>
            </w14:solidFill>
          </w14:textFill>
        </w:rPr>
      </w:pPr>
      <w:r>
        <w:rPr>
          <w:rFonts w:eastAsia="Times New Roman"/>
          <w:color w:val="000000" w:themeColor="text1"/>
          <w:spacing w:val="4"/>
          <w:sz w:val="24"/>
          <w:szCs w:val="24"/>
          <w:highlight w:val="none"/>
          <w14:textFill>
            <w14:solidFill>
              <w14:schemeClr w14:val="tx1"/>
            </w14:solidFill>
          </w14:textFill>
        </w:rPr>
        <w:t xml:space="preserve">3.1.2  </w:t>
      </w:r>
      <w:r>
        <w:rPr>
          <w:rFonts w:ascii="宋体" w:hAnsi="宋体" w:cs="宋体"/>
          <w:color w:val="000000" w:themeColor="text1"/>
          <w:spacing w:val="4"/>
          <w:sz w:val="24"/>
          <w:szCs w:val="24"/>
          <w:highlight w:val="none"/>
          <w14:textFill>
            <w14:solidFill>
              <w14:schemeClr w14:val="tx1"/>
            </w14:solidFill>
          </w14:textFill>
        </w:rPr>
        <w:t>咨询人发出的任何指示应视为已得到发包人的批</w:t>
      </w:r>
      <w:r>
        <w:rPr>
          <w:rFonts w:ascii="宋体" w:hAnsi="宋体" w:cs="宋体"/>
          <w:color w:val="000000" w:themeColor="text1"/>
          <w:spacing w:val="3"/>
          <w:sz w:val="24"/>
          <w:szCs w:val="24"/>
          <w:highlight w:val="none"/>
          <w14:textFill>
            <w14:solidFill>
              <w14:schemeClr w14:val="tx1"/>
            </w14:solidFill>
          </w14:textFill>
        </w:rPr>
        <w:t>准，但咨询人无权免除</w:t>
      </w:r>
      <w:r>
        <w:rPr>
          <w:rFonts w:ascii="宋体" w:hAnsi="宋体" w:cs="宋体"/>
          <w:color w:val="000000" w:themeColor="text1"/>
          <w:spacing w:val="-1"/>
          <w:sz w:val="24"/>
          <w:szCs w:val="24"/>
          <w:highlight w:val="none"/>
          <w14:textFill>
            <w14:solidFill>
              <w14:schemeClr w14:val="tx1"/>
            </w14:solidFill>
          </w14:textFill>
        </w:rPr>
        <w:t>或变更合同约定的发包人和承包人的权利、义务和责任。</w:t>
      </w:r>
    </w:p>
    <w:p w14:paraId="5CD49E74">
      <w:pPr>
        <w:spacing w:before="115" w:line="278" w:lineRule="auto"/>
        <w:ind w:left="1" w:firstLine="479"/>
        <w:rPr>
          <w:rFonts w:ascii="宋体" w:hAnsi="宋体" w:cs="宋体"/>
          <w:color w:val="000000" w:themeColor="text1"/>
          <w:sz w:val="24"/>
          <w:szCs w:val="24"/>
          <w:highlight w:val="none"/>
          <w14:textFill>
            <w14:solidFill>
              <w14:schemeClr w14:val="tx1"/>
            </w14:solidFill>
          </w14:textFill>
        </w:rPr>
      </w:pPr>
      <w:r>
        <w:rPr>
          <w:rFonts w:eastAsia="Times New Roman"/>
          <w:color w:val="000000" w:themeColor="text1"/>
          <w:spacing w:val="4"/>
          <w:sz w:val="24"/>
          <w:szCs w:val="24"/>
          <w:highlight w:val="none"/>
          <w14:textFill>
            <w14:solidFill>
              <w14:schemeClr w14:val="tx1"/>
            </w14:solidFill>
          </w14:textFill>
        </w:rPr>
        <w:t xml:space="preserve">3.1.3  </w:t>
      </w:r>
      <w:r>
        <w:rPr>
          <w:rFonts w:ascii="宋体" w:hAnsi="宋体" w:cs="宋体"/>
          <w:color w:val="000000" w:themeColor="text1"/>
          <w:spacing w:val="4"/>
          <w:sz w:val="24"/>
          <w:szCs w:val="24"/>
          <w:highlight w:val="none"/>
          <w14:textFill>
            <w14:solidFill>
              <w14:schemeClr w14:val="tx1"/>
            </w14:solidFill>
          </w14:textFill>
        </w:rPr>
        <w:t>合同约定应由承包人承担的义务和责任，不因咨</w:t>
      </w:r>
      <w:r>
        <w:rPr>
          <w:rFonts w:ascii="宋体" w:hAnsi="宋体" w:cs="宋体"/>
          <w:color w:val="000000" w:themeColor="text1"/>
          <w:spacing w:val="3"/>
          <w:sz w:val="24"/>
          <w:szCs w:val="24"/>
          <w:highlight w:val="none"/>
          <w14:textFill>
            <w14:solidFill>
              <w14:schemeClr w14:val="tx1"/>
            </w14:solidFill>
          </w14:textFill>
        </w:rPr>
        <w:t>询人对承包人提交文件</w:t>
      </w:r>
      <w:r>
        <w:rPr>
          <w:rFonts w:ascii="宋体" w:hAnsi="宋体" w:cs="宋体"/>
          <w:color w:val="000000" w:themeColor="text1"/>
          <w:spacing w:val="1"/>
          <w:sz w:val="24"/>
          <w:szCs w:val="24"/>
          <w:highlight w:val="none"/>
          <w14:textFill>
            <w14:solidFill>
              <w14:schemeClr w14:val="tx1"/>
            </w14:solidFill>
          </w14:textFill>
        </w:rPr>
        <w:t>的审查或批准，对工程、材料、设备的检查和检验，以</w:t>
      </w:r>
      <w:r>
        <w:rPr>
          <w:rFonts w:ascii="宋体" w:hAnsi="宋体" w:cs="宋体"/>
          <w:color w:val="000000" w:themeColor="text1"/>
          <w:sz w:val="24"/>
          <w:szCs w:val="24"/>
          <w:highlight w:val="none"/>
          <w14:textFill>
            <w14:solidFill>
              <w14:schemeClr w14:val="tx1"/>
            </w14:solidFill>
          </w14:textFill>
        </w:rPr>
        <w:t>及为实施监督管理作出的指</w:t>
      </w:r>
      <w:r>
        <w:rPr>
          <w:rFonts w:ascii="宋体" w:hAnsi="宋体" w:cs="宋体"/>
          <w:color w:val="000000" w:themeColor="text1"/>
          <w:spacing w:val="-1"/>
          <w:sz w:val="24"/>
          <w:szCs w:val="24"/>
          <w:highlight w:val="none"/>
          <w14:textFill>
            <w14:solidFill>
              <w14:schemeClr w14:val="tx1"/>
            </w14:solidFill>
          </w14:textFill>
        </w:rPr>
        <w:t>示等职务行为而减轻或解除。</w:t>
      </w:r>
    </w:p>
    <w:p w14:paraId="142B2502">
      <w:pPr>
        <w:spacing w:before="104" w:line="219" w:lineRule="auto"/>
        <w:ind w:left="475"/>
        <w:outlineLvl w:val="3"/>
        <w:rPr>
          <w:rFonts w:ascii="宋体" w:hAnsi="宋体" w:cs="宋体"/>
          <w:color w:val="000000" w:themeColor="text1"/>
          <w:sz w:val="24"/>
          <w:szCs w:val="24"/>
          <w:highlight w:val="none"/>
          <w14:textFill>
            <w14:solidFill>
              <w14:schemeClr w14:val="tx1"/>
            </w14:solidFill>
          </w14:textFill>
        </w:rPr>
      </w:pPr>
      <w:r>
        <w:rPr>
          <w:rFonts w:eastAsia="Times New Roman"/>
          <w:b/>
          <w:bCs/>
          <w:color w:val="000000" w:themeColor="text1"/>
          <w:spacing w:val="-4"/>
          <w:sz w:val="24"/>
          <w:szCs w:val="24"/>
          <w:highlight w:val="none"/>
          <w14:textFill>
            <w14:solidFill>
              <w14:schemeClr w14:val="tx1"/>
            </w14:solidFill>
          </w14:textFill>
        </w:rPr>
        <w:t>3.2</w:t>
      </w:r>
      <w:r>
        <w:rPr>
          <w:rFonts w:eastAsia="Times New Roman"/>
          <w:b/>
          <w:bCs/>
          <w:color w:val="000000" w:themeColor="text1"/>
          <w:spacing w:val="10"/>
          <w:sz w:val="24"/>
          <w:szCs w:val="24"/>
          <w:highlight w:val="none"/>
          <w14:textFill>
            <w14:solidFill>
              <w14:schemeClr w14:val="tx1"/>
            </w14:solidFill>
          </w14:textFill>
        </w:rPr>
        <w:t xml:space="preserve">  </w:t>
      </w:r>
      <w:r>
        <w:rPr>
          <w:rFonts w:ascii="宋体" w:hAnsi="宋体" w:cs="宋体"/>
          <w:b/>
          <w:bCs/>
          <w:color w:val="000000" w:themeColor="text1"/>
          <w:spacing w:val="-4"/>
          <w:sz w:val="24"/>
          <w:szCs w:val="24"/>
          <w:highlight w:val="none"/>
          <w14:textFill>
            <w14:solidFill>
              <w14:schemeClr w14:val="tx1"/>
            </w14:solidFill>
          </w14:textFill>
        </w:rPr>
        <w:t>咨询总负责人</w:t>
      </w:r>
    </w:p>
    <w:p w14:paraId="789AB742">
      <w:pPr>
        <w:spacing w:before="125" w:line="304" w:lineRule="auto"/>
        <w:ind w:left="3" w:firstLine="480"/>
        <w:rPr>
          <w:rFonts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pacing w:val="1"/>
          <w:sz w:val="24"/>
          <w:szCs w:val="24"/>
          <w:highlight w:val="none"/>
          <w14:textFill>
            <w14:solidFill>
              <w14:schemeClr w14:val="tx1"/>
            </w14:solidFill>
          </w14:textFill>
        </w:rPr>
        <w:t>发包人应在发出开工通知前将咨询总负责人的任</w:t>
      </w:r>
      <w:r>
        <w:rPr>
          <w:rFonts w:ascii="宋体" w:hAnsi="宋体" w:cs="宋体"/>
          <w:color w:val="000000" w:themeColor="text1"/>
          <w:sz w:val="24"/>
          <w:szCs w:val="24"/>
          <w:highlight w:val="none"/>
          <w14:textFill>
            <w14:solidFill>
              <w14:schemeClr w14:val="tx1"/>
            </w14:solidFill>
          </w14:textFill>
        </w:rPr>
        <w:t>命通知承包人。咨询总负责人</w:t>
      </w:r>
      <w:r>
        <w:rPr>
          <w:rFonts w:ascii="宋体" w:hAnsi="宋体" w:cs="宋体"/>
          <w:color w:val="000000" w:themeColor="text1"/>
          <w:spacing w:val="-2"/>
          <w:sz w:val="24"/>
          <w:szCs w:val="24"/>
          <w:highlight w:val="none"/>
          <w14:textFill>
            <w14:solidFill>
              <w14:schemeClr w14:val="tx1"/>
            </w14:solidFill>
          </w14:textFill>
        </w:rPr>
        <w:t>更换时，应在调离</w:t>
      </w:r>
      <w:r>
        <w:rPr>
          <w:rFonts w:ascii="宋体" w:hAnsi="宋体" w:cs="宋体"/>
          <w:color w:val="000000" w:themeColor="text1"/>
          <w:spacing w:val="-38"/>
          <w:sz w:val="24"/>
          <w:szCs w:val="24"/>
          <w:highlight w:val="none"/>
          <w14:textFill>
            <w14:solidFill>
              <w14:schemeClr w14:val="tx1"/>
            </w14:solidFill>
          </w14:textFill>
        </w:rPr>
        <w:t xml:space="preserve"> </w:t>
      </w:r>
      <w:r>
        <w:rPr>
          <w:rFonts w:eastAsia="Times New Roman"/>
          <w:color w:val="000000" w:themeColor="text1"/>
          <w:spacing w:val="-2"/>
          <w:sz w:val="24"/>
          <w:szCs w:val="24"/>
          <w:highlight w:val="none"/>
          <w14:textFill>
            <w14:solidFill>
              <w14:schemeClr w14:val="tx1"/>
            </w14:solidFill>
          </w14:textFill>
        </w:rPr>
        <w:t xml:space="preserve">7 </w:t>
      </w:r>
      <w:r>
        <w:rPr>
          <w:rFonts w:ascii="宋体" w:hAnsi="宋体" w:cs="宋体"/>
          <w:color w:val="000000" w:themeColor="text1"/>
          <w:spacing w:val="-2"/>
          <w:sz w:val="24"/>
          <w:szCs w:val="24"/>
          <w:highlight w:val="none"/>
          <w14:textFill>
            <w14:solidFill>
              <w14:schemeClr w14:val="tx1"/>
            </w14:solidFill>
          </w14:textFill>
        </w:rPr>
        <w:t>天前通知承包人。</w:t>
      </w:r>
    </w:p>
    <w:p w14:paraId="464F12C6">
      <w:pPr>
        <w:spacing w:before="1" w:line="220" w:lineRule="auto"/>
        <w:ind w:left="475"/>
        <w:outlineLvl w:val="3"/>
        <w:rPr>
          <w:rFonts w:ascii="宋体" w:hAnsi="宋体" w:cs="宋体"/>
          <w:color w:val="000000" w:themeColor="text1"/>
          <w:sz w:val="24"/>
          <w:szCs w:val="24"/>
          <w:highlight w:val="none"/>
          <w14:textFill>
            <w14:solidFill>
              <w14:schemeClr w14:val="tx1"/>
            </w14:solidFill>
          </w14:textFill>
        </w:rPr>
      </w:pPr>
      <w:r>
        <w:rPr>
          <w:rFonts w:eastAsia="Times New Roman"/>
          <w:b/>
          <w:bCs/>
          <w:color w:val="000000" w:themeColor="text1"/>
          <w:spacing w:val="-5"/>
          <w:sz w:val="24"/>
          <w:szCs w:val="24"/>
          <w:highlight w:val="none"/>
          <w14:textFill>
            <w14:solidFill>
              <w14:schemeClr w14:val="tx1"/>
            </w14:solidFill>
          </w14:textFill>
        </w:rPr>
        <w:t>3.3</w:t>
      </w:r>
      <w:r>
        <w:rPr>
          <w:rFonts w:eastAsia="Times New Roman"/>
          <w:b/>
          <w:bCs/>
          <w:color w:val="000000" w:themeColor="text1"/>
          <w:spacing w:val="11"/>
          <w:sz w:val="24"/>
          <w:szCs w:val="24"/>
          <w:highlight w:val="none"/>
          <w14:textFill>
            <w14:solidFill>
              <w14:schemeClr w14:val="tx1"/>
            </w14:solidFill>
          </w14:textFill>
        </w:rPr>
        <w:t xml:space="preserve">  </w:t>
      </w:r>
      <w:r>
        <w:rPr>
          <w:rFonts w:ascii="宋体" w:hAnsi="宋体" w:cs="宋体"/>
          <w:b/>
          <w:bCs/>
          <w:color w:val="000000" w:themeColor="text1"/>
          <w:spacing w:val="-5"/>
          <w:sz w:val="24"/>
          <w:szCs w:val="24"/>
          <w:highlight w:val="none"/>
          <w14:textFill>
            <w14:solidFill>
              <w14:schemeClr w14:val="tx1"/>
            </w14:solidFill>
          </w14:textFill>
        </w:rPr>
        <w:t>咨询人员</w:t>
      </w:r>
    </w:p>
    <w:p w14:paraId="71CC83B2">
      <w:pPr>
        <w:spacing w:before="122" w:line="310" w:lineRule="auto"/>
        <w:ind w:firstLine="481"/>
        <w:rPr>
          <w:rFonts w:ascii="宋体" w:hAnsi="宋体" w:cs="宋体"/>
          <w:color w:val="000000" w:themeColor="text1"/>
          <w:sz w:val="24"/>
          <w:szCs w:val="24"/>
          <w:highlight w:val="none"/>
          <w14:textFill>
            <w14:solidFill>
              <w14:schemeClr w14:val="tx1"/>
            </w14:solidFill>
          </w14:textFill>
        </w:rPr>
      </w:pPr>
      <w:r>
        <w:rPr>
          <w:rFonts w:eastAsia="Times New Roman"/>
          <w:color w:val="000000" w:themeColor="text1"/>
          <w:spacing w:val="4"/>
          <w:sz w:val="24"/>
          <w:szCs w:val="24"/>
          <w:highlight w:val="none"/>
          <w14:textFill>
            <w14:solidFill>
              <w14:schemeClr w14:val="tx1"/>
            </w14:solidFill>
          </w14:textFill>
        </w:rPr>
        <w:t xml:space="preserve">3.3.1  </w:t>
      </w:r>
      <w:r>
        <w:rPr>
          <w:rFonts w:ascii="宋体" w:hAnsi="宋体" w:cs="宋体"/>
          <w:color w:val="000000" w:themeColor="text1"/>
          <w:spacing w:val="4"/>
          <w:sz w:val="24"/>
          <w:szCs w:val="24"/>
          <w:highlight w:val="none"/>
          <w14:textFill>
            <w14:solidFill>
              <w14:schemeClr w14:val="tx1"/>
            </w14:solidFill>
          </w14:textFill>
        </w:rPr>
        <w:t>咨询总负责人可以授权其他咨询人员负责执行其</w:t>
      </w:r>
      <w:r>
        <w:rPr>
          <w:rFonts w:ascii="宋体" w:hAnsi="宋体" w:cs="宋体"/>
          <w:color w:val="000000" w:themeColor="text1"/>
          <w:spacing w:val="3"/>
          <w:sz w:val="24"/>
          <w:szCs w:val="24"/>
          <w:highlight w:val="none"/>
          <w14:textFill>
            <w14:solidFill>
              <w14:schemeClr w14:val="tx1"/>
            </w14:solidFill>
          </w14:textFill>
        </w:rPr>
        <w:t>指派的一项或多项监督</w:t>
      </w:r>
      <w:r>
        <w:rPr>
          <w:rFonts w:ascii="宋体" w:hAnsi="宋体" w:cs="宋体"/>
          <w:color w:val="000000" w:themeColor="text1"/>
          <w:spacing w:val="1"/>
          <w:sz w:val="24"/>
          <w:szCs w:val="24"/>
          <w:highlight w:val="none"/>
          <w14:textFill>
            <w14:solidFill>
              <w14:schemeClr w14:val="tx1"/>
            </w14:solidFill>
          </w14:textFill>
        </w:rPr>
        <w:t>管理工作。咨询总负责人应将被授权咨询人员的姓名及其授</w:t>
      </w:r>
      <w:r>
        <w:rPr>
          <w:rFonts w:ascii="宋体" w:hAnsi="宋体" w:cs="宋体"/>
          <w:color w:val="000000" w:themeColor="text1"/>
          <w:sz w:val="24"/>
          <w:szCs w:val="24"/>
          <w:highlight w:val="none"/>
          <w14:textFill>
            <w14:solidFill>
              <w14:schemeClr w14:val="tx1"/>
            </w14:solidFill>
          </w14:textFill>
        </w:rPr>
        <w:t>权范围通知承包人。被</w:t>
      </w:r>
      <w:r>
        <w:rPr>
          <w:rFonts w:ascii="宋体" w:hAnsi="宋体" w:cs="宋体"/>
          <w:color w:val="000000" w:themeColor="text1"/>
          <w:spacing w:val="1"/>
          <w:sz w:val="24"/>
          <w:szCs w:val="24"/>
          <w:highlight w:val="none"/>
          <w14:textFill>
            <w14:solidFill>
              <w14:schemeClr w14:val="tx1"/>
            </w14:solidFill>
          </w14:textFill>
        </w:rPr>
        <w:t>授权的咨询人员在授权范围内发出的指示视为已得到咨询总</w:t>
      </w:r>
      <w:r>
        <w:rPr>
          <w:rFonts w:ascii="宋体" w:hAnsi="宋体" w:cs="宋体"/>
          <w:color w:val="000000" w:themeColor="text1"/>
          <w:sz w:val="24"/>
          <w:szCs w:val="24"/>
          <w:highlight w:val="none"/>
          <w14:textFill>
            <w14:solidFill>
              <w14:schemeClr w14:val="tx1"/>
            </w14:solidFill>
          </w14:textFill>
        </w:rPr>
        <w:t>负责人的同意，与咨询</w:t>
      </w:r>
      <w:bookmarkStart w:id="110" w:name="bookmark215"/>
      <w:bookmarkEnd w:id="110"/>
      <w:r>
        <w:rPr>
          <w:rFonts w:ascii="宋体" w:hAnsi="宋体" w:cs="宋体"/>
          <w:color w:val="000000" w:themeColor="text1"/>
          <w:spacing w:val="1"/>
          <w:sz w:val="24"/>
          <w:szCs w:val="24"/>
          <w:highlight w:val="none"/>
          <w14:textFill>
            <w14:solidFill>
              <w14:schemeClr w14:val="tx1"/>
            </w14:solidFill>
          </w14:textFill>
        </w:rPr>
        <w:t>总负责人发出的指示具有同等效力。咨询总</w:t>
      </w:r>
      <w:r>
        <w:rPr>
          <w:rFonts w:ascii="宋体" w:hAnsi="宋体" w:cs="宋体"/>
          <w:color w:val="000000" w:themeColor="text1"/>
          <w:sz w:val="24"/>
          <w:szCs w:val="24"/>
          <w:highlight w:val="none"/>
          <w14:textFill>
            <w14:solidFill>
              <w14:schemeClr w14:val="tx1"/>
            </w14:solidFill>
          </w14:textFill>
        </w:rPr>
        <w:t>负责人撤销某项授权时，应将撤销授权</w:t>
      </w:r>
      <w:r>
        <w:rPr>
          <w:rFonts w:ascii="宋体" w:hAnsi="宋体" w:cs="宋体"/>
          <w:color w:val="000000" w:themeColor="text1"/>
          <w:spacing w:val="-3"/>
          <w:sz w:val="24"/>
          <w:szCs w:val="24"/>
          <w:highlight w:val="none"/>
          <w14:textFill>
            <w14:solidFill>
              <w14:schemeClr w14:val="tx1"/>
            </w14:solidFill>
          </w14:textFill>
        </w:rPr>
        <w:t>的决定及时通知承包人。</w:t>
      </w:r>
    </w:p>
    <w:p w14:paraId="49A470EB">
      <w:pPr>
        <w:spacing w:before="1" w:line="278" w:lineRule="auto"/>
        <w:ind w:left="4" w:firstLine="476"/>
        <w:rPr>
          <w:rFonts w:ascii="宋体" w:hAnsi="宋体" w:cs="宋体"/>
          <w:color w:val="000000" w:themeColor="text1"/>
          <w:sz w:val="24"/>
          <w:szCs w:val="24"/>
          <w:highlight w:val="none"/>
          <w14:textFill>
            <w14:solidFill>
              <w14:schemeClr w14:val="tx1"/>
            </w14:solidFill>
          </w14:textFill>
        </w:rPr>
      </w:pPr>
      <w:r>
        <w:rPr>
          <w:rFonts w:eastAsia="Times New Roman"/>
          <w:color w:val="000000" w:themeColor="text1"/>
          <w:spacing w:val="4"/>
          <w:sz w:val="24"/>
          <w:szCs w:val="24"/>
          <w:highlight w:val="none"/>
          <w14:textFill>
            <w14:solidFill>
              <w14:schemeClr w14:val="tx1"/>
            </w14:solidFill>
          </w14:textFill>
        </w:rPr>
        <w:t xml:space="preserve">3.3.2  </w:t>
      </w:r>
      <w:r>
        <w:rPr>
          <w:rFonts w:ascii="宋体" w:hAnsi="宋体" w:cs="宋体"/>
          <w:color w:val="000000" w:themeColor="text1"/>
          <w:spacing w:val="4"/>
          <w:sz w:val="24"/>
          <w:szCs w:val="24"/>
          <w:highlight w:val="none"/>
          <w14:textFill>
            <w14:solidFill>
              <w14:schemeClr w14:val="tx1"/>
            </w14:solidFill>
          </w14:textFill>
        </w:rPr>
        <w:t>咨询人员对承包人的任何工作、工程或其采用的</w:t>
      </w:r>
      <w:r>
        <w:rPr>
          <w:rFonts w:ascii="宋体" w:hAnsi="宋体" w:cs="宋体"/>
          <w:color w:val="000000" w:themeColor="text1"/>
          <w:spacing w:val="3"/>
          <w:sz w:val="24"/>
          <w:szCs w:val="24"/>
          <w:highlight w:val="none"/>
          <w14:textFill>
            <w14:solidFill>
              <w14:schemeClr w14:val="tx1"/>
            </w14:solidFill>
          </w14:textFill>
        </w:rPr>
        <w:t>材料和工程设备未在约</w:t>
      </w:r>
      <w:r>
        <w:rPr>
          <w:rFonts w:ascii="宋体" w:hAnsi="宋体" w:cs="宋体"/>
          <w:color w:val="000000" w:themeColor="text1"/>
          <w:spacing w:val="1"/>
          <w:sz w:val="24"/>
          <w:szCs w:val="24"/>
          <w:highlight w:val="none"/>
          <w14:textFill>
            <w14:solidFill>
              <w14:schemeClr w14:val="tx1"/>
            </w14:solidFill>
          </w14:textFill>
        </w:rPr>
        <w:t>定的或合理的期限内提出否定意见的，视为已获</w:t>
      </w:r>
      <w:r>
        <w:rPr>
          <w:rFonts w:ascii="宋体" w:hAnsi="宋体" w:cs="宋体"/>
          <w:color w:val="000000" w:themeColor="text1"/>
          <w:sz w:val="24"/>
          <w:szCs w:val="24"/>
          <w:highlight w:val="none"/>
          <w14:textFill>
            <w14:solidFill>
              <w14:schemeClr w14:val="tx1"/>
            </w14:solidFill>
          </w14:textFill>
        </w:rPr>
        <w:t>批准，但不影响咨询人在以后拒绝</w:t>
      </w:r>
      <w:r>
        <w:rPr>
          <w:rFonts w:ascii="宋体" w:hAnsi="宋体" w:cs="宋体"/>
          <w:color w:val="000000" w:themeColor="text1"/>
          <w:spacing w:val="-1"/>
          <w:sz w:val="24"/>
          <w:szCs w:val="24"/>
          <w:highlight w:val="none"/>
          <w14:textFill>
            <w14:solidFill>
              <w14:schemeClr w14:val="tx1"/>
            </w14:solidFill>
          </w14:textFill>
        </w:rPr>
        <w:t>该项工作、工程、材料或工程设备的权利。</w:t>
      </w:r>
    </w:p>
    <w:p w14:paraId="659DD811">
      <w:pPr>
        <w:spacing w:before="113" w:line="279" w:lineRule="auto"/>
        <w:ind w:firstLine="481"/>
        <w:rPr>
          <w:rFonts w:ascii="宋体" w:hAnsi="宋体" w:cs="宋体"/>
          <w:color w:val="000000" w:themeColor="text1"/>
          <w:sz w:val="24"/>
          <w:szCs w:val="24"/>
          <w:highlight w:val="none"/>
          <w14:textFill>
            <w14:solidFill>
              <w14:schemeClr w14:val="tx1"/>
            </w14:solidFill>
          </w14:textFill>
        </w:rPr>
      </w:pPr>
      <w:r>
        <w:rPr>
          <w:rFonts w:eastAsia="Times New Roman"/>
          <w:color w:val="000000" w:themeColor="text1"/>
          <w:spacing w:val="4"/>
          <w:sz w:val="24"/>
          <w:szCs w:val="24"/>
          <w:highlight w:val="none"/>
          <w14:textFill>
            <w14:solidFill>
              <w14:schemeClr w14:val="tx1"/>
            </w14:solidFill>
          </w14:textFill>
        </w:rPr>
        <w:t xml:space="preserve">3.3.3  </w:t>
      </w:r>
      <w:r>
        <w:rPr>
          <w:rFonts w:ascii="宋体" w:hAnsi="宋体" w:cs="宋体"/>
          <w:color w:val="000000" w:themeColor="text1"/>
          <w:spacing w:val="4"/>
          <w:sz w:val="24"/>
          <w:szCs w:val="24"/>
          <w:highlight w:val="none"/>
          <w14:textFill>
            <w14:solidFill>
              <w14:schemeClr w14:val="tx1"/>
            </w14:solidFill>
          </w14:textFill>
        </w:rPr>
        <w:t>承包人对咨询总负责人授权的咨询人员发出的指</w:t>
      </w:r>
      <w:r>
        <w:rPr>
          <w:rFonts w:ascii="宋体" w:hAnsi="宋体" w:cs="宋体"/>
          <w:color w:val="000000" w:themeColor="text1"/>
          <w:spacing w:val="3"/>
          <w:sz w:val="24"/>
          <w:szCs w:val="24"/>
          <w:highlight w:val="none"/>
          <w14:textFill>
            <w14:solidFill>
              <w14:schemeClr w14:val="tx1"/>
            </w14:solidFill>
          </w14:textFill>
        </w:rPr>
        <w:t>示有疑问的，可向咨询总负责人提出书面异议，咨询总负责人应在</w:t>
      </w:r>
      <w:r>
        <w:rPr>
          <w:rFonts w:ascii="宋体" w:hAnsi="宋体" w:cs="宋体"/>
          <w:color w:val="000000" w:themeColor="text1"/>
          <w:spacing w:val="-43"/>
          <w:sz w:val="24"/>
          <w:szCs w:val="24"/>
          <w:highlight w:val="none"/>
          <w14:textFill>
            <w14:solidFill>
              <w14:schemeClr w14:val="tx1"/>
            </w14:solidFill>
          </w14:textFill>
        </w:rPr>
        <w:t xml:space="preserve"> </w:t>
      </w:r>
      <w:r>
        <w:rPr>
          <w:rFonts w:eastAsia="Times New Roman"/>
          <w:color w:val="000000" w:themeColor="text1"/>
          <w:spacing w:val="3"/>
          <w:sz w:val="24"/>
          <w:szCs w:val="24"/>
          <w:highlight w:val="none"/>
          <w14:textFill>
            <w14:solidFill>
              <w14:schemeClr w14:val="tx1"/>
            </w14:solidFill>
          </w14:textFill>
        </w:rPr>
        <w:t>48</w:t>
      </w:r>
      <w:r>
        <w:rPr>
          <w:rFonts w:eastAsia="Times New Roman"/>
          <w:color w:val="000000" w:themeColor="text1"/>
          <w:spacing w:val="21"/>
          <w:sz w:val="24"/>
          <w:szCs w:val="24"/>
          <w:highlight w:val="none"/>
          <w14:textFill>
            <w14:solidFill>
              <w14:schemeClr w14:val="tx1"/>
            </w14:solidFill>
          </w14:textFill>
        </w:rPr>
        <w:t xml:space="preserve"> </w:t>
      </w:r>
      <w:r>
        <w:rPr>
          <w:rFonts w:ascii="宋体" w:hAnsi="宋体" w:cs="宋体"/>
          <w:color w:val="000000" w:themeColor="text1"/>
          <w:spacing w:val="3"/>
          <w:sz w:val="24"/>
          <w:szCs w:val="24"/>
          <w:highlight w:val="none"/>
          <w14:textFill>
            <w14:solidFill>
              <w14:schemeClr w14:val="tx1"/>
            </w14:solidFill>
          </w14:textFill>
        </w:rPr>
        <w:t>小时内对该指示予以确认、更改或</w:t>
      </w:r>
      <w:r>
        <w:rPr>
          <w:rFonts w:ascii="宋体" w:hAnsi="宋体" w:cs="宋体"/>
          <w:color w:val="000000" w:themeColor="text1"/>
          <w:spacing w:val="-3"/>
          <w:sz w:val="24"/>
          <w:szCs w:val="24"/>
          <w:highlight w:val="none"/>
          <w14:textFill>
            <w14:solidFill>
              <w14:schemeClr w14:val="tx1"/>
            </w14:solidFill>
          </w14:textFill>
        </w:rPr>
        <w:t>撤销。</w:t>
      </w:r>
    </w:p>
    <w:p w14:paraId="37EC2019">
      <w:pPr>
        <w:spacing w:before="112" w:line="264" w:lineRule="auto"/>
        <w:ind w:firstLine="480"/>
        <w:rPr>
          <w:rFonts w:ascii="宋体" w:hAnsi="宋体" w:cs="宋体"/>
          <w:color w:val="000000" w:themeColor="text1"/>
          <w:sz w:val="24"/>
          <w:szCs w:val="24"/>
          <w:highlight w:val="none"/>
          <w14:textFill>
            <w14:solidFill>
              <w14:schemeClr w14:val="tx1"/>
            </w14:solidFill>
          </w14:textFill>
        </w:rPr>
      </w:pPr>
      <w:r>
        <w:rPr>
          <w:rFonts w:eastAsia="Times New Roman"/>
          <w:color w:val="000000" w:themeColor="text1"/>
          <w:spacing w:val="4"/>
          <w:sz w:val="24"/>
          <w:szCs w:val="24"/>
          <w:highlight w:val="none"/>
          <w14:textFill>
            <w14:solidFill>
              <w14:schemeClr w14:val="tx1"/>
            </w14:solidFill>
          </w14:textFill>
        </w:rPr>
        <w:t xml:space="preserve">3.3.4  </w:t>
      </w:r>
      <w:r>
        <w:rPr>
          <w:rFonts w:ascii="宋体" w:hAnsi="宋体" w:cs="宋体"/>
          <w:color w:val="000000" w:themeColor="text1"/>
          <w:spacing w:val="4"/>
          <w:sz w:val="24"/>
          <w:szCs w:val="24"/>
          <w:highlight w:val="none"/>
          <w14:textFill>
            <w14:solidFill>
              <w14:schemeClr w14:val="tx1"/>
            </w14:solidFill>
          </w14:textFill>
        </w:rPr>
        <w:t>除专用合同条款另有约定外，咨询总负责人不应将第</w:t>
      </w:r>
      <w:r>
        <w:rPr>
          <w:rFonts w:ascii="宋体" w:hAnsi="宋体" w:cs="宋体"/>
          <w:color w:val="000000" w:themeColor="text1"/>
          <w:spacing w:val="-31"/>
          <w:sz w:val="24"/>
          <w:szCs w:val="24"/>
          <w:highlight w:val="none"/>
          <w14:textFill>
            <w14:solidFill>
              <w14:schemeClr w14:val="tx1"/>
            </w14:solidFill>
          </w14:textFill>
        </w:rPr>
        <w:t xml:space="preserve"> </w:t>
      </w:r>
      <w:r>
        <w:rPr>
          <w:rFonts w:eastAsia="Times New Roman"/>
          <w:color w:val="000000" w:themeColor="text1"/>
          <w:spacing w:val="4"/>
          <w:sz w:val="24"/>
          <w:szCs w:val="24"/>
          <w:highlight w:val="none"/>
          <w14:textFill>
            <w14:solidFill>
              <w14:schemeClr w14:val="tx1"/>
            </w14:solidFill>
          </w14:textFill>
        </w:rPr>
        <w:t>3.5</w:t>
      </w:r>
      <w:r>
        <w:rPr>
          <w:rFonts w:eastAsia="Times New Roman"/>
          <w:color w:val="000000" w:themeColor="text1"/>
          <w:spacing w:val="20"/>
          <w:sz w:val="24"/>
          <w:szCs w:val="24"/>
          <w:highlight w:val="none"/>
          <w14:textFill>
            <w14:solidFill>
              <w14:schemeClr w14:val="tx1"/>
            </w14:solidFill>
          </w14:textFill>
        </w:rPr>
        <w:t xml:space="preserve"> </w:t>
      </w:r>
      <w:r>
        <w:rPr>
          <w:rFonts w:ascii="宋体" w:hAnsi="宋体" w:cs="宋体"/>
          <w:color w:val="000000" w:themeColor="text1"/>
          <w:spacing w:val="4"/>
          <w:sz w:val="24"/>
          <w:szCs w:val="24"/>
          <w:highlight w:val="none"/>
          <w14:textFill>
            <w14:solidFill>
              <w14:schemeClr w14:val="tx1"/>
            </w14:solidFill>
          </w14:textFill>
        </w:rPr>
        <w:t>款约定应由咨</w:t>
      </w:r>
      <w:r>
        <w:rPr>
          <w:rFonts w:ascii="宋体" w:hAnsi="宋体" w:cs="宋体"/>
          <w:color w:val="000000" w:themeColor="text1"/>
          <w:spacing w:val="-1"/>
          <w:sz w:val="24"/>
          <w:szCs w:val="24"/>
          <w:highlight w:val="none"/>
          <w14:textFill>
            <w14:solidFill>
              <w14:schemeClr w14:val="tx1"/>
            </w14:solidFill>
          </w14:textFill>
        </w:rPr>
        <w:t>询总负责人作出确定的权力授权或委托给其他咨询人员。</w:t>
      </w:r>
    </w:p>
    <w:p w14:paraId="1E689ACB">
      <w:pPr>
        <w:spacing w:before="105" w:line="221" w:lineRule="auto"/>
        <w:ind w:left="475"/>
        <w:outlineLvl w:val="3"/>
        <w:rPr>
          <w:rFonts w:ascii="宋体" w:hAnsi="宋体" w:cs="宋体"/>
          <w:color w:val="000000" w:themeColor="text1"/>
          <w:sz w:val="24"/>
          <w:szCs w:val="24"/>
          <w:highlight w:val="none"/>
          <w14:textFill>
            <w14:solidFill>
              <w14:schemeClr w14:val="tx1"/>
            </w14:solidFill>
          </w14:textFill>
        </w:rPr>
      </w:pPr>
      <w:r>
        <w:rPr>
          <w:rFonts w:eastAsia="Times New Roman"/>
          <w:b/>
          <w:bCs/>
          <w:color w:val="000000" w:themeColor="text1"/>
          <w:spacing w:val="-4"/>
          <w:sz w:val="24"/>
          <w:szCs w:val="24"/>
          <w:highlight w:val="none"/>
          <w14:textFill>
            <w14:solidFill>
              <w14:schemeClr w14:val="tx1"/>
            </w14:solidFill>
          </w14:textFill>
        </w:rPr>
        <w:t>3.4</w:t>
      </w:r>
      <w:r>
        <w:rPr>
          <w:rFonts w:eastAsia="Times New Roman"/>
          <w:b/>
          <w:bCs/>
          <w:color w:val="000000" w:themeColor="text1"/>
          <w:spacing w:val="10"/>
          <w:sz w:val="24"/>
          <w:szCs w:val="24"/>
          <w:highlight w:val="none"/>
          <w14:textFill>
            <w14:solidFill>
              <w14:schemeClr w14:val="tx1"/>
            </w14:solidFill>
          </w14:textFill>
        </w:rPr>
        <w:t xml:space="preserve">  </w:t>
      </w:r>
      <w:r>
        <w:rPr>
          <w:rFonts w:ascii="宋体" w:hAnsi="宋体" w:cs="宋体"/>
          <w:b/>
          <w:bCs/>
          <w:color w:val="000000" w:themeColor="text1"/>
          <w:spacing w:val="-4"/>
          <w:sz w:val="24"/>
          <w:szCs w:val="24"/>
          <w:highlight w:val="none"/>
          <w14:textFill>
            <w14:solidFill>
              <w14:schemeClr w14:val="tx1"/>
            </w14:solidFill>
          </w14:textFill>
        </w:rPr>
        <w:t>咨询人的指示</w:t>
      </w:r>
    </w:p>
    <w:p w14:paraId="39945594">
      <w:pPr>
        <w:spacing w:before="120" w:line="279" w:lineRule="auto"/>
        <w:ind w:firstLine="480"/>
        <w:rPr>
          <w:rFonts w:ascii="宋体" w:hAnsi="宋体" w:cs="宋体"/>
          <w:color w:val="000000" w:themeColor="text1"/>
          <w:sz w:val="24"/>
          <w:szCs w:val="24"/>
          <w:highlight w:val="none"/>
          <w14:textFill>
            <w14:solidFill>
              <w14:schemeClr w14:val="tx1"/>
            </w14:solidFill>
          </w14:textFill>
        </w:rPr>
      </w:pPr>
      <w:r>
        <w:rPr>
          <w:rFonts w:eastAsia="Times New Roman"/>
          <w:color w:val="000000" w:themeColor="text1"/>
          <w:spacing w:val="4"/>
          <w:sz w:val="24"/>
          <w:szCs w:val="24"/>
          <w:highlight w:val="none"/>
          <w14:textFill>
            <w14:solidFill>
              <w14:schemeClr w14:val="tx1"/>
            </w14:solidFill>
          </w14:textFill>
        </w:rPr>
        <w:t xml:space="preserve">3.4.1  </w:t>
      </w:r>
      <w:r>
        <w:rPr>
          <w:rFonts w:ascii="宋体" w:hAnsi="宋体" w:cs="宋体"/>
          <w:color w:val="000000" w:themeColor="text1"/>
          <w:spacing w:val="4"/>
          <w:sz w:val="24"/>
          <w:szCs w:val="24"/>
          <w:highlight w:val="none"/>
          <w14:textFill>
            <w14:solidFill>
              <w14:schemeClr w14:val="tx1"/>
            </w14:solidFill>
          </w14:textFill>
        </w:rPr>
        <w:t>咨询人应按第</w:t>
      </w:r>
      <w:r>
        <w:rPr>
          <w:rFonts w:ascii="宋体" w:hAnsi="宋体" w:cs="宋体"/>
          <w:color w:val="000000" w:themeColor="text1"/>
          <w:spacing w:val="-29"/>
          <w:sz w:val="24"/>
          <w:szCs w:val="24"/>
          <w:highlight w:val="none"/>
          <w14:textFill>
            <w14:solidFill>
              <w14:schemeClr w14:val="tx1"/>
            </w14:solidFill>
          </w14:textFill>
        </w:rPr>
        <w:t xml:space="preserve"> </w:t>
      </w:r>
      <w:r>
        <w:rPr>
          <w:rFonts w:eastAsia="Times New Roman"/>
          <w:color w:val="000000" w:themeColor="text1"/>
          <w:spacing w:val="4"/>
          <w:sz w:val="24"/>
          <w:szCs w:val="24"/>
          <w:highlight w:val="none"/>
          <w14:textFill>
            <w14:solidFill>
              <w14:schemeClr w14:val="tx1"/>
            </w14:solidFill>
          </w14:textFill>
        </w:rPr>
        <w:t>3.1</w:t>
      </w:r>
      <w:r>
        <w:rPr>
          <w:rFonts w:ascii="宋体" w:hAnsi="宋体" w:cs="宋体"/>
          <w:color w:val="000000" w:themeColor="text1"/>
          <w:spacing w:val="4"/>
          <w:sz w:val="24"/>
          <w:szCs w:val="24"/>
          <w:highlight w:val="none"/>
          <w14:textFill>
            <w14:solidFill>
              <w14:schemeClr w14:val="tx1"/>
            </w14:solidFill>
          </w14:textFill>
        </w:rPr>
        <w:t>款的约定向承包人发出指示，咨询人的指示应盖有咨</w:t>
      </w:r>
      <w:r>
        <w:rPr>
          <w:rFonts w:ascii="宋体" w:hAnsi="宋体" w:cs="宋体"/>
          <w:color w:val="000000" w:themeColor="text1"/>
          <w:spacing w:val="1"/>
          <w:sz w:val="24"/>
          <w:szCs w:val="24"/>
          <w:highlight w:val="none"/>
          <w14:textFill>
            <w14:solidFill>
              <w14:schemeClr w14:val="tx1"/>
            </w14:solidFill>
          </w14:textFill>
        </w:rPr>
        <w:t>询人单位公章或其授权的项目管理机构章，并由咨询总负</w:t>
      </w:r>
      <w:r>
        <w:rPr>
          <w:rFonts w:ascii="宋体" w:hAnsi="宋体" w:cs="宋体"/>
          <w:color w:val="000000" w:themeColor="text1"/>
          <w:sz w:val="24"/>
          <w:szCs w:val="24"/>
          <w:highlight w:val="none"/>
          <w14:textFill>
            <w14:solidFill>
              <w14:schemeClr w14:val="tx1"/>
            </w14:solidFill>
          </w14:textFill>
        </w:rPr>
        <w:t>责人或咨询总负责人按第</w:t>
      </w:r>
      <w:r>
        <w:rPr>
          <w:rFonts w:eastAsia="Times New Roman"/>
          <w:color w:val="000000" w:themeColor="text1"/>
          <w:spacing w:val="-1"/>
          <w:sz w:val="24"/>
          <w:szCs w:val="24"/>
          <w:highlight w:val="none"/>
          <w14:textFill>
            <w14:solidFill>
              <w14:schemeClr w14:val="tx1"/>
            </w14:solidFill>
          </w14:textFill>
        </w:rPr>
        <w:t xml:space="preserve">3.3.1 </w:t>
      </w:r>
      <w:r>
        <w:rPr>
          <w:rFonts w:ascii="宋体" w:hAnsi="宋体" w:cs="宋体"/>
          <w:color w:val="000000" w:themeColor="text1"/>
          <w:spacing w:val="-1"/>
          <w:sz w:val="24"/>
          <w:szCs w:val="24"/>
          <w:highlight w:val="none"/>
          <w14:textFill>
            <w14:solidFill>
              <w14:schemeClr w14:val="tx1"/>
            </w14:solidFill>
          </w14:textFill>
        </w:rPr>
        <w:t>项约定授权的咨询人员签名。</w:t>
      </w:r>
    </w:p>
    <w:p w14:paraId="640B474A">
      <w:pPr>
        <w:spacing w:before="113" w:line="264" w:lineRule="auto"/>
        <w:ind w:left="20" w:right="2" w:firstLine="460"/>
        <w:rPr>
          <w:rFonts w:ascii="宋体" w:hAnsi="宋体" w:cs="宋体"/>
          <w:color w:val="000000" w:themeColor="text1"/>
          <w:sz w:val="24"/>
          <w:szCs w:val="24"/>
          <w:highlight w:val="none"/>
          <w14:textFill>
            <w14:solidFill>
              <w14:schemeClr w14:val="tx1"/>
            </w14:solidFill>
          </w14:textFill>
        </w:rPr>
      </w:pPr>
      <w:r>
        <w:rPr>
          <w:rFonts w:eastAsia="Times New Roman"/>
          <w:color w:val="000000" w:themeColor="text1"/>
          <w:sz w:val="24"/>
          <w:szCs w:val="24"/>
          <w:highlight w:val="none"/>
          <w14:textFill>
            <w14:solidFill>
              <w14:schemeClr w14:val="tx1"/>
            </w14:solidFill>
          </w14:textFill>
        </w:rPr>
        <w:t xml:space="preserve">3.4.2  </w:t>
      </w:r>
      <w:r>
        <w:rPr>
          <w:rFonts w:ascii="宋体" w:hAnsi="宋体" w:cs="宋体"/>
          <w:color w:val="000000" w:themeColor="text1"/>
          <w:sz w:val="24"/>
          <w:szCs w:val="24"/>
          <w:highlight w:val="none"/>
          <w14:textFill>
            <w14:solidFill>
              <w14:schemeClr w14:val="tx1"/>
            </w14:solidFill>
          </w14:textFill>
        </w:rPr>
        <w:t>承包人收到咨询人按第</w:t>
      </w:r>
      <w:r>
        <w:rPr>
          <w:rFonts w:ascii="宋体" w:hAnsi="宋体" w:cs="宋体"/>
          <w:color w:val="000000" w:themeColor="text1"/>
          <w:spacing w:val="-38"/>
          <w:sz w:val="24"/>
          <w:szCs w:val="24"/>
          <w:highlight w:val="none"/>
          <w14:textFill>
            <w14:solidFill>
              <w14:schemeClr w14:val="tx1"/>
            </w14:solidFill>
          </w14:textFill>
        </w:rPr>
        <w:t xml:space="preserve"> </w:t>
      </w:r>
      <w:r>
        <w:rPr>
          <w:rFonts w:eastAsia="Times New Roman"/>
          <w:color w:val="000000" w:themeColor="text1"/>
          <w:sz w:val="24"/>
          <w:szCs w:val="24"/>
          <w:highlight w:val="none"/>
          <w14:textFill>
            <w14:solidFill>
              <w14:schemeClr w14:val="tx1"/>
            </w14:solidFill>
          </w14:textFill>
        </w:rPr>
        <w:t xml:space="preserve">3.4.1 </w:t>
      </w:r>
      <w:r>
        <w:rPr>
          <w:rFonts w:ascii="宋体" w:hAnsi="宋体" w:cs="宋体"/>
          <w:color w:val="000000" w:themeColor="text1"/>
          <w:sz w:val="24"/>
          <w:szCs w:val="24"/>
          <w:highlight w:val="none"/>
          <w14:textFill>
            <w14:solidFill>
              <w14:schemeClr w14:val="tx1"/>
            </w14:solidFill>
          </w14:textFill>
        </w:rPr>
        <w:t>项作出的指示后应遵照执行。指示构成变更</w:t>
      </w:r>
      <w:r>
        <w:rPr>
          <w:rFonts w:ascii="宋体" w:hAnsi="宋体" w:cs="宋体"/>
          <w:color w:val="000000" w:themeColor="text1"/>
          <w:spacing w:val="-5"/>
          <w:sz w:val="24"/>
          <w:szCs w:val="24"/>
          <w:highlight w:val="none"/>
          <w14:textFill>
            <w14:solidFill>
              <w14:schemeClr w14:val="tx1"/>
            </w14:solidFill>
          </w14:textFill>
        </w:rPr>
        <w:t>的，应按第</w:t>
      </w:r>
      <w:r>
        <w:rPr>
          <w:rFonts w:ascii="宋体" w:hAnsi="宋体" w:cs="宋体"/>
          <w:color w:val="000000" w:themeColor="text1"/>
          <w:spacing w:val="-31"/>
          <w:sz w:val="24"/>
          <w:szCs w:val="24"/>
          <w:highlight w:val="none"/>
          <w14:textFill>
            <w14:solidFill>
              <w14:schemeClr w14:val="tx1"/>
            </w14:solidFill>
          </w14:textFill>
        </w:rPr>
        <w:t xml:space="preserve"> </w:t>
      </w:r>
      <w:r>
        <w:rPr>
          <w:rFonts w:eastAsia="Times New Roman"/>
          <w:color w:val="000000" w:themeColor="text1"/>
          <w:spacing w:val="-5"/>
          <w:sz w:val="24"/>
          <w:szCs w:val="24"/>
          <w:highlight w:val="none"/>
          <w14:textFill>
            <w14:solidFill>
              <w14:schemeClr w14:val="tx1"/>
            </w14:solidFill>
          </w14:textFill>
        </w:rPr>
        <w:t xml:space="preserve">15 </w:t>
      </w:r>
      <w:r>
        <w:rPr>
          <w:rFonts w:ascii="宋体" w:hAnsi="宋体" w:cs="宋体"/>
          <w:color w:val="000000" w:themeColor="text1"/>
          <w:spacing w:val="-5"/>
          <w:sz w:val="24"/>
          <w:szCs w:val="24"/>
          <w:highlight w:val="none"/>
          <w14:textFill>
            <w14:solidFill>
              <w14:schemeClr w14:val="tx1"/>
            </w14:solidFill>
          </w14:textFill>
        </w:rPr>
        <w:t>条处理。</w:t>
      </w:r>
    </w:p>
    <w:p w14:paraId="782C2FE7">
      <w:pPr>
        <w:spacing w:before="113" w:line="286" w:lineRule="auto"/>
        <w:ind w:left="1" w:firstLine="479"/>
        <w:rPr>
          <w:rFonts w:ascii="宋体" w:hAnsi="宋体" w:cs="宋体"/>
          <w:color w:val="000000" w:themeColor="text1"/>
          <w:sz w:val="24"/>
          <w:szCs w:val="24"/>
          <w:highlight w:val="none"/>
          <w14:textFill>
            <w14:solidFill>
              <w14:schemeClr w14:val="tx1"/>
            </w14:solidFill>
          </w14:textFill>
        </w:rPr>
      </w:pPr>
      <w:r>
        <w:rPr>
          <w:rFonts w:eastAsia="Times New Roman"/>
          <w:color w:val="000000" w:themeColor="text1"/>
          <w:spacing w:val="4"/>
          <w:sz w:val="24"/>
          <w:szCs w:val="24"/>
          <w:highlight w:val="none"/>
          <w14:textFill>
            <w14:solidFill>
              <w14:schemeClr w14:val="tx1"/>
            </w14:solidFill>
          </w14:textFill>
        </w:rPr>
        <w:t xml:space="preserve">3.4.3  </w:t>
      </w:r>
      <w:r>
        <w:rPr>
          <w:rFonts w:ascii="宋体" w:hAnsi="宋体" w:cs="宋体"/>
          <w:color w:val="000000" w:themeColor="text1"/>
          <w:spacing w:val="4"/>
          <w:sz w:val="24"/>
          <w:szCs w:val="24"/>
          <w:highlight w:val="none"/>
          <w14:textFill>
            <w14:solidFill>
              <w14:schemeClr w14:val="tx1"/>
            </w14:solidFill>
          </w14:textFill>
        </w:rPr>
        <w:t>在紧急情况下，咨询总负责人或被授权的咨询人</w:t>
      </w:r>
      <w:r>
        <w:rPr>
          <w:rFonts w:ascii="宋体" w:hAnsi="宋体" w:cs="宋体"/>
          <w:color w:val="000000" w:themeColor="text1"/>
          <w:spacing w:val="3"/>
          <w:sz w:val="24"/>
          <w:szCs w:val="24"/>
          <w:highlight w:val="none"/>
          <w14:textFill>
            <w14:solidFill>
              <w14:schemeClr w14:val="tx1"/>
            </w14:solidFill>
          </w14:textFill>
        </w:rPr>
        <w:t>员可以当场签发临时书面指示，承包人应遵照执行。承包人应在收到上述临时书面指示后</w:t>
      </w:r>
      <w:r>
        <w:rPr>
          <w:rFonts w:ascii="宋体" w:hAnsi="宋体" w:cs="宋体"/>
          <w:color w:val="000000" w:themeColor="text1"/>
          <w:spacing w:val="-44"/>
          <w:sz w:val="24"/>
          <w:szCs w:val="24"/>
          <w:highlight w:val="none"/>
          <w14:textFill>
            <w14:solidFill>
              <w14:schemeClr w14:val="tx1"/>
            </w14:solidFill>
          </w14:textFill>
        </w:rPr>
        <w:t xml:space="preserve"> </w:t>
      </w:r>
      <w:r>
        <w:rPr>
          <w:rFonts w:eastAsia="Times New Roman"/>
          <w:color w:val="000000" w:themeColor="text1"/>
          <w:spacing w:val="3"/>
          <w:sz w:val="24"/>
          <w:szCs w:val="24"/>
          <w:highlight w:val="none"/>
          <w14:textFill>
            <w14:solidFill>
              <w14:schemeClr w14:val="tx1"/>
            </w14:solidFill>
          </w14:textFill>
        </w:rPr>
        <w:t>24</w:t>
      </w:r>
      <w:r>
        <w:rPr>
          <w:rFonts w:eastAsia="Times New Roman"/>
          <w:color w:val="000000" w:themeColor="text1"/>
          <w:spacing w:val="20"/>
          <w:w w:val="101"/>
          <w:sz w:val="24"/>
          <w:szCs w:val="24"/>
          <w:highlight w:val="none"/>
          <w14:textFill>
            <w14:solidFill>
              <w14:schemeClr w14:val="tx1"/>
            </w14:solidFill>
          </w14:textFill>
        </w:rPr>
        <w:t xml:space="preserve"> </w:t>
      </w:r>
      <w:r>
        <w:rPr>
          <w:rFonts w:ascii="宋体" w:hAnsi="宋体" w:cs="宋体"/>
          <w:color w:val="000000" w:themeColor="text1"/>
          <w:spacing w:val="3"/>
          <w:sz w:val="24"/>
          <w:szCs w:val="24"/>
          <w:highlight w:val="none"/>
          <w14:textFill>
            <w14:solidFill>
              <w14:schemeClr w14:val="tx1"/>
            </w14:solidFill>
          </w14:textFill>
        </w:rPr>
        <w:t>小时内，向咨询人发出书面确认函。咨询人在收到书面确认函后</w:t>
      </w:r>
      <w:r>
        <w:rPr>
          <w:rFonts w:ascii="宋体" w:hAnsi="宋体" w:cs="宋体"/>
          <w:color w:val="000000" w:themeColor="text1"/>
          <w:spacing w:val="-47"/>
          <w:sz w:val="24"/>
          <w:szCs w:val="24"/>
          <w:highlight w:val="none"/>
          <w14:textFill>
            <w14:solidFill>
              <w14:schemeClr w14:val="tx1"/>
            </w14:solidFill>
          </w14:textFill>
        </w:rPr>
        <w:t xml:space="preserve"> </w:t>
      </w:r>
      <w:r>
        <w:rPr>
          <w:rFonts w:eastAsia="Times New Roman"/>
          <w:color w:val="000000" w:themeColor="text1"/>
          <w:spacing w:val="3"/>
          <w:sz w:val="24"/>
          <w:szCs w:val="24"/>
          <w:highlight w:val="none"/>
          <w14:textFill>
            <w14:solidFill>
              <w14:schemeClr w14:val="tx1"/>
            </w14:solidFill>
          </w14:textFill>
        </w:rPr>
        <w:t>24</w:t>
      </w:r>
      <w:r>
        <w:rPr>
          <w:rFonts w:eastAsia="Times New Roman"/>
          <w:color w:val="000000" w:themeColor="text1"/>
          <w:spacing w:val="21"/>
          <w:sz w:val="24"/>
          <w:szCs w:val="24"/>
          <w:highlight w:val="none"/>
          <w14:textFill>
            <w14:solidFill>
              <w14:schemeClr w14:val="tx1"/>
            </w14:solidFill>
          </w14:textFill>
        </w:rPr>
        <w:t xml:space="preserve"> </w:t>
      </w:r>
      <w:r>
        <w:rPr>
          <w:rFonts w:ascii="宋体" w:hAnsi="宋体" w:cs="宋体"/>
          <w:color w:val="000000" w:themeColor="text1"/>
          <w:spacing w:val="3"/>
          <w:sz w:val="24"/>
          <w:szCs w:val="24"/>
          <w:highlight w:val="none"/>
          <w14:textFill>
            <w14:solidFill>
              <w14:schemeClr w14:val="tx1"/>
            </w14:solidFill>
          </w14:textFill>
        </w:rPr>
        <w:t>小时内未予答复的，该书</w:t>
      </w:r>
      <w:r>
        <w:rPr>
          <w:rFonts w:ascii="宋体" w:hAnsi="宋体" w:cs="宋体"/>
          <w:color w:val="000000" w:themeColor="text1"/>
          <w:spacing w:val="-1"/>
          <w:sz w:val="24"/>
          <w:szCs w:val="24"/>
          <w:highlight w:val="none"/>
          <w14:textFill>
            <w14:solidFill>
              <w14:schemeClr w14:val="tx1"/>
            </w14:solidFill>
          </w14:textFill>
        </w:rPr>
        <w:t>面确认函应被视为咨询人的正式指示。</w:t>
      </w:r>
    </w:p>
    <w:p w14:paraId="4E25B659">
      <w:pPr>
        <w:spacing w:before="113" w:line="264" w:lineRule="auto"/>
        <w:ind w:right="2" w:firstLine="480"/>
        <w:rPr>
          <w:rFonts w:ascii="宋体" w:hAnsi="宋体" w:cs="宋体"/>
          <w:color w:val="000000" w:themeColor="text1"/>
          <w:sz w:val="24"/>
          <w:szCs w:val="24"/>
          <w:highlight w:val="none"/>
          <w14:textFill>
            <w14:solidFill>
              <w14:schemeClr w14:val="tx1"/>
            </w14:solidFill>
          </w14:textFill>
        </w:rPr>
      </w:pPr>
      <w:r>
        <w:rPr>
          <w:rFonts w:eastAsia="Times New Roman"/>
          <w:color w:val="000000" w:themeColor="text1"/>
          <w:sz w:val="24"/>
          <w:szCs w:val="24"/>
          <w:highlight w:val="none"/>
          <w14:textFill>
            <w14:solidFill>
              <w14:schemeClr w14:val="tx1"/>
            </w14:solidFill>
          </w14:textFill>
        </w:rPr>
        <w:t xml:space="preserve">3.4.4  </w:t>
      </w:r>
      <w:r>
        <w:rPr>
          <w:rFonts w:ascii="宋体" w:hAnsi="宋体" w:cs="宋体"/>
          <w:color w:val="000000" w:themeColor="text1"/>
          <w:sz w:val="24"/>
          <w:szCs w:val="24"/>
          <w:highlight w:val="none"/>
          <w14:textFill>
            <w14:solidFill>
              <w14:schemeClr w14:val="tx1"/>
            </w14:solidFill>
          </w14:textFill>
        </w:rPr>
        <w:t>除合同另有约定外，承包人只从咨询总负责人或按第</w:t>
      </w:r>
      <w:r>
        <w:rPr>
          <w:rFonts w:ascii="宋体" w:hAnsi="宋体" w:cs="宋体"/>
          <w:color w:val="000000" w:themeColor="text1"/>
          <w:spacing w:val="-50"/>
          <w:sz w:val="24"/>
          <w:szCs w:val="24"/>
          <w:highlight w:val="none"/>
          <w14:textFill>
            <w14:solidFill>
              <w14:schemeClr w14:val="tx1"/>
            </w14:solidFill>
          </w14:textFill>
        </w:rPr>
        <w:t xml:space="preserve"> </w:t>
      </w:r>
      <w:r>
        <w:rPr>
          <w:rFonts w:eastAsia="Times New Roman"/>
          <w:color w:val="000000" w:themeColor="text1"/>
          <w:sz w:val="24"/>
          <w:szCs w:val="24"/>
          <w:highlight w:val="none"/>
          <w14:textFill>
            <w14:solidFill>
              <w14:schemeClr w14:val="tx1"/>
            </w14:solidFill>
          </w14:textFill>
        </w:rPr>
        <w:t>3.3.1</w:t>
      </w:r>
      <w:r>
        <w:rPr>
          <w:rFonts w:eastAsia="Times New Roman"/>
          <w:color w:val="000000" w:themeColor="text1"/>
          <w:spacing w:val="15"/>
          <w:w w:val="101"/>
          <w:sz w:val="24"/>
          <w:szCs w:val="24"/>
          <w:highlight w:val="none"/>
          <w14:textFill>
            <w14:solidFill>
              <w14:schemeClr w14:val="tx1"/>
            </w14:solidFill>
          </w14:textFill>
        </w:rPr>
        <w:t xml:space="preserve"> </w:t>
      </w:r>
      <w:r>
        <w:rPr>
          <w:rFonts w:ascii="宋体" w:hAnsi="宋体" w:cs="宋体"/>
          <w:color w:val="000000" w:themeColor="text1"/>
          <w:sz w:val="24"/>
          <w:szCs w:val="24"/>
          <w:highlight w:val="none"/>
          <w14:textFill>
            <w14:solidFill>
              <w14:schemeClr w14:val="tx1"/>
            </w14:solidFill>
          </w14:textFill>
        </w:rPr>
        <w:t>项被授</w:t>
      </w:r>
      <w:r>
        <w:rPr>
          <w:rFonts w:ascii="宋体" w:hAnsi="宋体" w:cs="宋体"/>
          <w:color w:val="000000" w:themeColor="text1"/>
          <w:spacing w:val="-1"/>
          <w:sz w:val="24"/>
          <w:szCs w:val="24"/>
          <w:highlight w:val="none"/>
          <w14:textFill>
            <w14:solidFill>
              <w14:schemeClr w14:val="tx1"/>
            </w14:solidFill>
          </w14:textFill>
        </w:rPr>
        <w:t>权的咨</w:t>
      </w:r>
      <w:r>
        <w:rPr>
          <w:rFonts w:ascii="宋体" w:hAnsi="宋体" w:cs="宋体"/>
          <w:color w:val="000000" w:themeColor="text1"/>
          <w:spacing w:val="-2"/>
          <w:sz w:val="24"/>
          <w:szCs w:val="24"/>
          <w:highlight w:val="none"/>
          <w14:textFill>
            <w14:solidFill>
              <w14:schemeClr w14:val="tx1"/>
            </w14:solidFill>
          </w14:textFill>
        </w:rPr>
        <w:t>询人员处取得指示。</w:t>
      </w:r>
    </w:p>
    <w:p w14:paraId="64885D65">
      <w:pPr>
        <w:spacing w:before="116" w:line="263" w:lineRule="auto"/>
        <w:ind w:left="2" w:right="2" w:firstLine="478"/>
        <w:rPr>
          <w:rFonts w:ascii="宋体" w:hAnsi="宋体" w:cs="宋体"/>
          <w:color w:val="000000" w:themeColor="text1"/>
          <w:sz w:val="24"/>
          <w:szCs w:val="24"/>
          <w:highlight w:val="none"/>
          <w14:textFill>
            <w14:solidFill>
              <w14:schemeClr w14:val="tx1"/>
            </w14:solidFill>
          </w14:textFill>
        </w:rPr>
      </w:pPr>
      <w:r>
        <w:rPr>
          <w:rFonts w:eastAsia="Times New Roman"/>
          <w:color w:val="000000" w:themeColor="text1"/>
          <w:spacing w:val="3"/>
          <w:sz w:val="24"/>
          <w:szCs w:val="24"/>
          <w:highlight w:val="none"/>
          <w14:textFill>
            <w14:solidFill>
              <w14:schemeClr w14:val="tx1"/>
            </w14:solidFill>
          </w14:textFill>
        </w:rPr>
        <w:t>3.4.5</w:t>
      </w:r>
      <w:r>
        <w:rPr>
          <w:rFonts w:eastAsia="Times New Roman"/>
          <w:color w:val="000000" w:themeColor="text1"/>
          <w:spacing w:val="21"/>
          <w:w w:val="101"/>
          <w:sz w:val="24"/>
          <w:szCs w:val="24"/>
          <w:highlight w:val="none"/>
          <w14:textFill>
            <w14:solidFill>
              <w14:schemeClr w14:val="tx1"/>
            </w14:solidFill>
          </w14:textFill>
        </w:rPr>
        <w:t xml:space="preserve">  </w:t>
      </w:r>
      <w:r>
        <w:rPr>
          <w:rFonts w:ascii="宋体" w:hAnsi="宋体" w:cs="宋体"/>
          <w:color w:val="000000" w:themeColor="text1"/>
          <w:spacing w:val="3"/>
          <w:sz w:val="24"/>
          <w:szCs w:val="24"/>
          <w:highlight w:val="none"/>
          <w14:textFill>
            <w14:solidFill>
              <w14:schemeClr w14:val="tx1"/>
            </w14:solidFill>
          </w14:textFill>
        </w:rPr>
        <w:t>由于咨询人未能按合同约定发出指示、指示延误或</w:t>
      </w:r>
      <w:r>
        <w:rPr>
          <w:rFonts w:ascii="宋体" w:hAnsi="宋体" w:cs="宋体"/>
          <w:color w:val="000000" w:themeColor="text1"/>
          <w:spacing w:val="2"/>
          <w:sz w:val="24"/>
          <w:szCs w:val="24"/>
          <w:highlight w:val="none"/>
          <w14:textFill>
            <w14:solidFill>
              <w14:schemeClr w14:val="tx1"/>
            </w14:solidFill>
          </w14:textFill>
        </w:rPr>
        <w:t>指示错误而导致承包</w:t>
      </w:r>
      <w:r>
        <w:rPr>
          <w:rFonts w:ascii="宋体" w:hAnsi="宋体" w:cs="宋体"/>
          <w:color w:val="000000" w:themeColor="text1"/>
          <w:spacing w:val="-1"/>
          <w:sz w:val="24"/>
          <w:szCs w:val="24"/>
          <w:highlight w:val="none"/>
          <w14:textFill>
            <w14:solidFill>
              <w14:schemeClr w14:val="tx1"/>
            </w14:solidFill>
          </w14:textFill>
        </w:rPr>
        <w:t>人费用增加和（或）工期延误的，由发包人承担赔偿责任。</w:t>
      </w:r>
    </w:p>
    <w:p w14:paraId="5AB734F2">
      <w:pPr>
        <w:spacing w:before="106" w:line="220" w:lineRule="auto"/>
        <w:ind w:left="475"/>
        <w:outlineLvl w:val="3"/>
        <w:rPr>
          <w:rFonts w:ascii="宋体" w:hAnsi="宋体" w:cs="宋体"/>
          <w:color w:val="000000" w:themeColor="text1"/>
          <w:sz w:val="24"/>
          <w:szCs w:val="24"/>
          <w:highlight w:val="none"/>
          <w14:textFill>
            <w14:solidFill>
              <w14:schemeClr w14:val="tx1"/>
            </w14:solidFill>
          </w14:textFill>
        </w:rPr>
      </w:pPr>
      <w:r>
        <w:rPr>
          <w:rFonts w:eastAsia="Times New Roman"/>
          <w:b/>
          <w:bCs/>
          <w:color w:val="000000" w:themeColor="text1"/>
          <w:spacing w:val="-4"/>
          <w:sz w:val="24"/>
          <w:szCs w:val="24"/>
          <w:highlight w:val="none"/>
          <w14:textFill>
            <w14:solidFill>
              <w14:schemeClr w14:val="tx1"/>
            </w14:solidFill>
          </w14:textFill>
        </w:rPr>
        <w:t>3.5</w:t>
      </w:r>
      <w:r>
        <w:rPr>
          <w:rFonts w:eastAsia="Times New Roman"/>
          <w:b/>
          <w:bCs/>
          <w:color w:val="000000" w:themeColor="text1"/>
          <w:spacing w:val="19"/>
          <w:sz w:val="24"/>
          <w:szCs w:val="24"/>
          <w:highlight w:val="none"/>
          <w14:textFill>
            <w14:solidFill>
              <w14:schemeClr w14:val="tx1"/>
            </w14:solidFill>
          </w14:textFill>
        </w:rPr>
        <w:t xml:space="preserve"> </w:t>
      </w:r>
      <w:r>
        <w:rPr>
          <w:rFonts w:ascii="宋体" w:hAnsi="宋体" w:cs="宋体"/>
          <w:b/>
          <w:bCs/>
          <w:color w:val="000000" w:themeColor="text1"/>
          <w:spacing w:val="-4"/>
          <w:sz w:val="24"/>
          <w:szCs w:val="24"/>
          <w:highlight w:val="none"/>
          <w14:textFill>
            <w14:solidFill>
              <w14:schemeClr w14:val="tx1"/>
            </w14:solidFill>
          </w14:textFill>
        </w:rPr>
        <w:t>商定或确定</w:t>
      </w:r>
    </w:p>
    <w:p w14:paraId="51E976A2">
      <w:pPr>
        <w:spacing w:before="123" w:line="308" w:lineRule="auto"/>
        <w:ind w:firstLine="480"/>
        <w:rPr>
          <w:rFonts w:ascii="宋体" w:hAnsi="宋体" w:cs="宋体"/>
          <w:color w:val="000000" w:themeColor="text1"/>
          <w:sz w:val="24"/>
          <w:szCs w:val="24"/>
          <w:highlight w:val="none"/>
          <w14:textFill>
            <w14:solidFill>
              <w14:schemeClr w14:val="tx1"/>
            </w14:solidFill>
          </w14:textFill>
        </w:rPr>
      </w:pPr>
      <w:r>
        <w:rPr>
          <w:rFonts w:eastAsia="Times New Roman"/>
          <w:color w:val="000000" w:themeColor="text1"/>
          <w:spacing w:val="5"/>
          <w:sz w:val="24"/>
          <w:szCs w:val="24"/>
          <w:highlight w:val="none"/>
          <w14:textFill>
            <w14:solidFill>
              <w14:schemeClr w14:val="tx1"/>
            </w14:solidFill>
          </w14:textFill>
        </w:rPr>
        <w:t xml:space="preserve">3.5.1 </w:t>
      </w:r>
      <w:r>
        <w:rPr>
          <w:rFonts w:ascii="宋体" w:hAnsi="宋体" w:cs="宋体"/>
          <w:color w:val="000000" w:themeColor="text1"/>
          <w:spacing w:val="5"/>
          <w:sz w:val="24"/>
          <w:szCs w:val="24"/>
          <w:highlight w:val="none"/>
          <w14:textFill>
            <w14:solidFill>
              <w14:schemeClr w14:val="tx1"/>
            </w14:solidFill>
          </w14:textFill>
        </w:rPr>
        <w:t>合同约定咨询总负责人应按照本款对任何事项进行商定或确定时，咨询</w:t>
      </w:r>
      <w:r>
        <w:rPr>
          <w:rFonts w:ascii="宋体" w:hAnsi="宋体" w:cs="宋体"/>
          <w:color w:val="000000" w:themeColor="text1"/>
          <w:spacing w:val="1"/>
          <w:sz w:val="24"/>
          <w:szCs w:val="24"/>
          <w:highlight w:val="none"/>
          <w14:textFill>
            <w14:solidFill>
              <w14:schemeClr w14:val="tx1"/>
            </w14:solidFill>
          </w14:textFill>
        </w:rPr>
        <w:t>总负责人应与合同当事人协商，尽量达成一致。不能达成</w:t>
      </w:r>
      <w:r>
        <w:rPr>
          <w:rFonts w:ascii="宋体" w:hAnsi="宋体" w:cs="宋体"/>
          <w:color w:val="000000" w:themeColor="text1"/>
          <w:sz w:val="24"/>
          <w:szCs w:val="24"/>
          <w:highlight w:val="none"/>
          <w14:textFill>
            <w14:solidFill>
              <w14:schemeClr w14:val="tx1"/>
            </w14:solidFill>
          </w14:textFill>
        </w:rPr>
        <w:t>一致的，咨询总负责人应</w:t>
      </w:r>
      <w:r>
        <w:rPr>
          <w:rFonts w:ascii="宋体" w:hAnsi="宋体" w:cs="宋体"/>
          <w:color w:val="000000" w:themeColor="text1"/>
          <w:spacing w:val="-1"/>
          <w:sz w:val="24"/>
          <w:szCs w:val="24"/>
          <w:highlight w:val="none"/>
          <w14:textFill>
            <w14:solidFill>
              <w14:schemeClr w14:val="tx1"/>
            </w14:solidFill>
          </w14:textFill>
        </w:rPr>
        <w:t>认真研究后审慎确定。</w:t>
      </w:r>
    </w:p>
    <w:p w14:paraId="6472EA0F">
      <w:pPr>
        <w:spacing w:before="1" w:line="307" w:lineRule="auto"/>
        <w:ind w:left="20" w:firstLine="464"/>
        <w:rPr>
          <w:rFonts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pacing w:val="1"/>
          <w:sz w:val="24"/>
          <w:szCs w:val="24"/>
          <w:highlight w:val="none"/>
          <w14:textFill>
            <w14:solidFill>
              <w14:schemeClr w14:val="tx1"/>
            </w14:solidFill>
          </w14:textFill>
        </w:rPr>
        <w:t>如果这项商定或确定导致费用增加和（或）工期</w:t>
      </w:r>
      <w:r>
        <w:rPr>
          <w:rFonts w:ascii="宋体" w:hAnsi="宋体" w:cs="宋体"/>
          <w:color w:val="000000" w:themeColor="text1"/>
          <w:sz w:val="24"/>
          <w:szCs w:val="24"/>
          <w:highlight w:val="none"/>
          <w14:textFill>
            <w14:solidFill>
              <w14:schemeClr w14:val="tx1"/>
            </w14:solidFill>
          </w14:textFill>
        </w:rPr>
        <w:t>延长，或者涉及确定变更工程</w:t>
      </w:r>
      <w:r>
        <w:rPr>
          <w:rFonts w:ascii="宋体" w:hAnsi="宋体" w:cs="宋体"/>
          <w:color w:val="000000" w:themeColor="text1"/>
          <w:spacing w:val="-1"/>
          <w:sz w:val="24"/>
          <w:szCs w:val="24"/>
          <w:highlight w:val="none"/>
          <w14:textFill>
            <w14:solidFill>
              <w14:schemeClr w14:val="tx1"/>
            </w14:solidFill>
          </w14:textFill>
        </w:rPr>
        <w:t>的价格，则咨询总负责人在发出通知前，应征得发包人的</w:t>
      </w:r>
      <w:r>
        <w:rPr>
          <w:rFonts w:ascii="宋体" w:hAnsi="宋体" w:cs="宋体"/>
          <w:color w:val="000000" w:themeColor="text1"/>
          <w:spacing w:val="-2"/>
          <w:sz w:val="24"/>
          <w:szCs w:val="24"/>
          <w:highlight w:val="none"/>
          <w14:textFill>
            <w14:solidFill>
              <w14:schemeClr w14:val="tx1"/>
            </w14:solidFill>
          </w14:textFill>
        </w:rPr>
        <w:t>同意。</w:t>
      </w:r>
    </w:p>
    <w:p w14:paraId="0BD3C5EE">
      <w:pPr>
        <w:spacing w:before="4" w:line="308" w:lineRule="auto"/>
        <w:ind w:right="2" w:firstLine="481"/>
        <w:rPr>
          <w:rFonts w:ascii="宋体" w:hAnsi="宋体" w:cs="宋体"/>
          <w:color w:val="000000" w:themeColor="text1"/>
          <w:spacing w:val="-1"/>
          <w:sz w:val="24"/>
          <w:szCs w:val="24"/>
          <w:highlight w:val="none"/>
          <w14:textFill>
            <w14:solidFill>
              <w14:schemeClr w14:val="tx1"/>
            </w14:solidFill>
          </w14:textFill>
        </w:rPr>
      </w:pPr>
      <w:r>
        <w:rPr>
          <w:rFonts w:eastAsia="Times New Roman"/>
          <w:color w:val="000000" w:themeColor="text1"/>
          <w:spacing w:val="4"/>
          <w:sz w:val="24"/>
          <w:szCs w:val="24"/>
          <w:highlight w:val="none"/>
          <w14:textFill>
            <w14:solidFill>
              <w14:schemeClr w14:val="tx1"/>
            </w14:solidFill>
          </w14:textFill>
        </w:rPr>
        <w:t xml:space="preserve">3.5.2  </w:t>
      </w:r>
      <w:r>
        <w:rPr>
          <w:rFonts w:ascii="宋体" w:hAnsi="宋体" w:cs="宋体"/>
          <w:color w:val="000000" w:themeColor="text1"/>
          <w:spacing w:val="4"/>
          <w:sz w:val="24"/>
          <w:szCs w:val="24"/>
          <w:highlight w:val="none"/>
          <w14:textFill>
            <w14:solidFill>
              <w14:schemeClr w14:val="tx1"/>
            </w14:solidFill>
          </w14:textFill>
        </w:rPr>
        <w:t>咨询总负责人应将商定或确定的事项通知合同当</w:t>
      </w:r>
      <w:r>
        <w:rPr>
          <w:rFonts w:ascii="宋体" w:hAnsi="宋体" w:cs="宋体"/>
          <w:color w:val="000000" w:themeColor="text1"/>
          <w:spacing w:val="3"/>
          <w:sz w:val="24"/>
          <w:szCs w:val="24"/>
          <w:highlight w:val="none"/>
          <w14:textFill>
            <w14:solidFill>
              <w14:schemeClr w14:val="tx1"/>
            </w14:solidFill>
          </w14:textFill>
        </w:rPr>
        <w:t>事人，并附详细依据。</w:t>
      </w:r>
      <w:r>
        <w:rPr>
          <w:rFonts w:ascii="宋体" w:hAnsi="宋体" w:cs="宋体"/>
          <w:color w:val="000000" w:themeColor="text1"/>
          <w:spacing w:val="4"/>
          <w:sz w:val="24"/>
          <w:szCs w:val="24"/>
          <w:highlight w:val="none"/>
          <w14:textFill>
            <w14:solidFill>
              <w14:schemeClr w14:val="tx1"/>
            </w14:solidFill>
          </w14:textFill>
        </w:rPr>
        <w:t>对咨询总负责人的确定有异议的，构成争议，按照第</w:t>
      </w:r>
      <w:r>
        <w:rPr>
          <w:rFonts w:ascii="宋体" w:hAnsi="宋体" w:cs="宋体"/>
          <w:color w:val="000000" w:themeColor="text1"/>
          <w:spacing w:val="-52"/>
          <w:sz w:val="24"/>
          <w:szCs w:val="24"/>
          <w:highlight w:val="none"/>
          <w14:textFill>
            <w14:solidFill>
              <w14:schemeClr w14:val="tx1"/>
            </w14:solidFill>
          </w14:textFill>
        </w:rPr>
        <w:t xml:space="preserve"> </w:t>
      </w:r>
      <w:r>
        <w:rPr>
          <w:rFonts w:eastAsia="Times New Roman"/>
          <w:color w:val="000000" w:themeColor="text1"/>
          <w:spacing w:val="4"/>
          <w:sz w:val="24"/>
          <w:szCs w:val="24"/>
          <w:highlight w:val="none"/>
          <w14:textFill>
            <w14:solidFill>
              <w14:schemeClr w14:val="tx1"/>
            </w14:solidFill>
          </w14:textFill>
        </w:rPr>
        <w:t>24</w:t>
      </w:r>
      <w:r>
        <w:rPr>
          <w:rFonts w:eastAsia="Times New Roman"/>
          <w:color w:val="000000" w:themeColor="text1"/>
          <w:spacing w:val="3"/>
          <w:sz w:val="24"/>
          <w:szCs w:val="24"/>
          <w:highlight w:val="none"/>
          <w14:textFill>
            <w14:solidFill>
              <w14:schemeClr w14:val="tx1"/>
            </w14:solidFill>
          </w14:textFill>
        </w:rPr>
        <w:t xml:space="preserve"> </w:t>
      </w:r>
      <w:r>
        <w:rPr>
          <w:rFonts w:ascii="宋体" w:hAnsi="宋体" w:cs="宋体"/>
          <w:color w:val="000000" w:themeColor="text1"/>
          <w:spacing w:val="3"/>
          <w:sz w:val="24"/>
          <w:szCs w:val="24"/>
          <w:highlight w:val="none"/>
          <w14:textFill>
            <w14:solidFill>
              <w14:schemeClr w14:val="tx1"/>
            </w14:solidFill>
          </w14:textFill>
        </w:rPr>
        <w:t>条的约定处理。在争议解</w:t>
      </w:r>
      <w:r>
        <w:rPr>
          <w:rFonts w:ascii="宋体" w:hAnsi="宋体" w:cs="宋体"/>
          <w:color w:val="000000" w:themeColor="text1"/>
          <w:spacing w:val="4"/>
          <w:sz w:val="24"/>
          <w:szCs w:val="24"/>
          <w:highlight w:val="none"/>
          <w14:textFill>
            <w14:solidFill>
              <w14:schemeClr w14:val="tx1"/>
            </w14:solidFill>
          </w14:textFill>
        </w:rPr>
        <w:t>决前，双方应暂按咨询总负责人的确定执行，按照第</w:t>
      </w:r>
      <w:r>
        <w:rPr>
          <w:rFonts w:ascii="宋体" w:hAnsi="宋体" w:cs="宋体"/>
          <w:color w:val="000000" w:themeColor="text1"/>
          <w:spacing w:val="-52"/>
          <w:sz w:val="24"/>
          <w:szCs w:val="24"/>
          <w:highlight w:val="none"/>
          <w14:textFill>
            <w14:solidFill>
              <w14:schemeClr w14:val="tx1"/>
            </w14:solidFill>
          </w14:textFill>
        </w:rPr>
        <w:t xml:space="preserve"> </w:t>
      </w:r>
      <w:r>
        <w:rPr>
          <w:rFonts w:eastAsia="Times New Roman"/>
          <w:color w:val="000000" w:themeColor="text1"/>
          <w:spacing w:val="4"/>
          <w:sz w:val="24"/>
          <w:szCs w:val="24"/>
          <w:highlight w:val="none"/>
          <w14:textFill>
            <w14:solidFill>
              <w14:schemeClr w14:val="tx1"/>
            </w14:solidFill>
          </w14:textFill>
        </w:rPr>
        <w:t>24</w:t>
      </w:r>
      <w:r>
        <w:rPr>
          <w:rFonts w:eastAsia="Times New Roman"/>
          <w:color w:val="000000" w:themeColor="text1"/>
          <w:spacing w:val="3"/>
          <w:sz w:val="24"/>
          <w:szCs w:val="24"/>
          <w:highlight w:val="none"/>
          <w14:textFill>
            <w14:solidFill>
              <w14:schemeClr w14:val="tx1"/>
            </w14:solidFill>
          </w14:textFill>
        </w:rPr>
        <w:t xml:space="preserve"> </w:t>
      </w:r>
      <w:r>
        <w:rPr>
          <w:rFonts w:ascii="宋体" w:hAnsi="宋体" w:cs="宋体"/>
          <w:color w:val="000000" w:themeColor="text1"/>
          <w:spacing w:val="3"/>
          <w:sz w:val="24"/>
          <w:szCs w:val="24"/>
          <w:highlight w:val="none"/>
          <w14:textFill>
            <w14:solidFill>
              <w14:schemeClr w14:val="tx1"/>
            </w14:solidFill>
          </w14:textFill>
        </w:rPr>
        <w:t>条的约定对咨询总负责人</w:t>
      </w:r>
      <w:r>
        <w:rPr>
          <w:rFonts w:ascii="宋体" w:hAnsi="宋体" w:cs="宋体"/>
          <w:color w:val="000000" w:themeColor="text1"/>
          <w:spacing w:val="-1"/>
          <w:sz w:val="24"/>
          <w:szCs w:val="24"/>
          <w:highlight w:val="none"/>
          <w14:textFill>
            <w14:solidFill>
              <w14:schemeClr w14:val="tx1"/>
            </w14:solidFill>
          </w14:textFill>
        </w:rPr>
        <w:t>的确定作出修改的，按修改后的结果执行。</w:t>
      </w:r>
      <w:bookmarkStart w:id="111" w:name="bookmark14"/>
      <w:bookmarkEnd w:id="111"/>
      <w:bookmarkStart w:id="112" w:name="bookmark13"/>
      <w:bookmarkEnd w:id="112"/>
    </w:p>
    <w:p w14:paraId="3D74A522">
      <w:pPr>
        <w:spacing w:before="4" w:line="308" w:lineRule="auto"/>
        <w:ind w:right="2" w:firstLine="481"/>
        <w:rPr>
          <w:rFonts w:ascii="宋体" w:hAnsi="宋体" w:cs="宋体"/>
          <w:color w:val="000000" w:themeColor="text1"/>
          <w:sz w:val="24"/>
          <w:szCs w:val="24"/>
          <w:highlight w:val="none"/>
          <w14:textFill>
            <w14:solidFill>
              <w14:schemeClr w14:val="tx1"/>
            </w14:solidFill>
          </w14:textFill>
        </w:rPr>
      </w:pPr>
      <w:r>
        <w:rPr>
          <w:rFonts w:eastAsia="Times New Roman"/>
          <w:b/>
          <w:bCs/>
          <w:color w:val="000000" w:themeColor="text1"/>
          <w:spacing w:val="-5"/>
          <w:sz w:val="24"/>
          <w:szCs w:val="24"/>
          <w:highlight w:val="none"/>
          <w14:textFill>
            <w14:solidFill>
              <w14:schemeClr w14:val="tx1"/>
            </w14:solidFill>
          </w14:textFill>
        </w:rPr>
        <w:t>4.</w:t>
      </w:r>
      <w:r>
        <w:rPr>
          <w:rFonts w:eastAsia="Times New Roman"/>
          <w:b/>
          <w:bCs/>
          <w:color w:val="000000" w:themeColor="text1"/>
          <w:spacing w:val="6"/>
          <w:sz w:val="24"/>
          <w:szCs w:val="24"/>
          <w:highlight w:val="none"/>
          <w14:textFill>
            <w14:solidFill>
              <w14:schemeClr w14:val="tx1"/>
            </w14:solidFill>
          </w14:textFill>
        </w:rPr>
        <w:t xml:space="preserve">  </w:t>
      </w:r>
      <w:r>
        <w:rPr>
          <w:rFonts w:ascii="宋体" w:hAnsi="宋体" w:cs="宋体"/>
          <w:b/>
          <w:bCs/>
          <w:color w:val="000000" w:themeColor="text1"/>
          <w:spacing w:val="-5"/>
          <w:sz w:val="24"/>
          <w:szCs w:val="24"/>
          <w:highlight w:val="none"/>
          <w14:textFill>
            <w14:solidFill>
              <w14:schemeClr w14:val="tx1"/>
            </w14:solidFill>
          </w14:textFill>
        </w:rPr>
        <w:t>承包人</w:t>
      </w:r>
    </w:p>
    <w:p w14:paraId="4A545345">
      <w:pPr>
        <w:spacing w:before="260" w:line="219" w:lineRule="auto"/>
        <w:ind w:left="477"/>
        <w:outlineLvl w:val="3"/>
        <w:rPr>
          <w:rFonts w:ascii="宋体" w:hAnsi="宋体" w:cs="宋体"/>
          <w:color w:val="000000" w:themeColor="text1"/>
          <w:sz w:val="24"/>
          <w:szCs w:val="24"/>
          <w:highlight w:val="none"/>
          <w14:textFill>
            <w14:solidFill>
              <w14:schemeClr w14:val="tx1"/>
            </w14:solidFill>
          </w14:textFill>
        </w:rPr>
      </w:pPr>
      <w:r>
        <w:rPr>
          <w:rFonts w:eastAsia="Times New Roman"/>
          <w:b/>
          <w:bCs/>
          <w:color w:val="000000" w:themeColor="text1"/>
          <w:spacing w:val="-2"/>
          <w:sz w:val="24"/>
          <w:szCs w:val="24"/>
          <w:highlight w:val="none"/>
          <w14:textFill>
            <w14:solidFill>
              <w14:schemeClr w14:val="tx1"/>
            </w14:solidFill>
          </w14:textFill>
        </w:rPr>
        <w:t xml:space="preserve">4.1  </w:t>
      </w:r>
      <w:r>
        <w:rPr>
          <w:rFonts w:ascii="宋体" w:hAnsi="宋体" w:cs="宋体"/>
          <w:b/>
          <w:bCs/>
          <w:color w:val="000000" w:themeColor="text1"/>
          <w:spacing w:val="-2"/>
          <w:sz w:val="24"/>
          <w:szCs w:val="24"/>
          <w:highlight w:val="none"/>
          <w14:textFill>
            <w14:solidFill>
              <w14:schemeClr w14:val="tx1"/>
            </w14:solidFill>
          </w14:textFill>
        </w:rPr>
        <w:t>承包人的一般义务</w:t>
      </w:r>
    </w:p>
    <w:p w14:paraId="0E670168">
      <w:pPr>
        <w:spacing w:before="125" w:line="219" w:lineRule="auto"/>
        <w:ind w:left="475"/>
        <w:rPr>
          <w:rFonts w:ascii="宋体" w:hAnsi="宋体" w:cs="宋体"/>
          <w:color w:val="000000" w:themeColor="text1"/>
          <w:sz w:val="24"/>
          <w:szCs w:val="24"/>
          <w:highlight w:val="none"/>
          <w14:textFill>
            <w14:solidFill>
              <w14:schemeClr w14:val="tx1"/>
            </w14:solidFill>
          </w14:textFill>
        </w:rPr>
      </w:pPr>
      <w:r>
        <w:rPr>
          <w:rFonts w:eastAsia="Times New Roman"/>
          <w:color w:val="000000" w:themeColor="text1"/>
          <w:spacing w:val="-1"/>
          <w:sz w:val="24"/>
          <w:szCs w:val="24"/>
          <w:highlight w:val="none"/>
          <w14:textFill>
            <w14:solidFill>
              <w14:schemeClr w14:val="tx1"/>
            </w14:solidFill>
          </w14:textFill>
        </w:rPr>
        <w:t xml:space="preserve">4.1.1  </w:t>
      </w:r>
      <w:r>
        <w:rPr>
          <w:rFonts w:ascii="宋体" w:hAnsi="宋体" w:cs="宋体"/>
          <w:color w:val="000000" w:themeColor="text1"/>
          <w:spacing w:val="-1"/>
          <w:sz w:val="24"/>
          <w:szCs w:val="24"/>
          <w:highlight w:val="none"/>
          <w14:textFill>
            <w14:solidFill>
              <w14:schemeClr w14:val="tx1"/>
            </w14:solidFill>
          </w14:textFill>
        </w:rPr>
        <w:t>遵守法律</w:t>
      </w:r>
    </w:p>
    <w:p w14:paraId="2994F7F5">
      <w:pPr>
        <w:spacing w:before="114" w:line="308" w:lineRule="auto"/>
        <w:ind w:right="104" w:firstLine="480"/>
        <w:rPr>
          <w:rFonts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pacing w:val="1"/>
          <w:sz w:val="24"/>
          <w:szCs w:val="24"/>
          <w:highlight w:val="none"/>
          <w14:textFill>
            <w14:solidFill>
              <w14:schemeClr w14:val="tx1"/>
            </w14:solidFill>
          </w14:textFill>
        </w:rPr>
        <w:t>承包人在履行合同过程中应遵守法律，并保证发包人免于</w:t>
      </w:r>
      <w:r>
        <w:rPr>
          <w:rFonts w:ascii="宋体" w:hAnsi="宋体" w:cs="宋体"/>
          <w:color w:val="000000" w:themeColor="text1"/>
          <w:sz w:val="24"/>
          <w:szCs w:val="24"/>
          <w:highlight w:val="none"/>
          <w14:textFill>
            <w14:solidFill>
              <w14:schemeClr w14:val="tx1"/>
            </w14:solidFill>
          </w14:textFill>
        </w:rPr>
        <w:t>承担因承包人违反法</w:t>
      </w:r>
      <w:r>
        <w:rPr>
          <w:rFonts w:ascii="宋体" w:hAnsi="宋体" w:cs="宋体"/>
          <w:color w:val="000000" w:themeColor="text1"/>
          <w:spacing w:val="-1"/>
          <w:sz w:val="24"/>
          <w:szCs w:val="24"/>
          <w:highlight w:val="none"/>
          <w14:textFill>
            <w14:solidFill>
              <w14:schemeClr w14:val="tx1"/>
            </w14:solidFill>
          </w14:textFill>
        </w:rPr>
        <w:t>律而引起的任何责任。</w:t>
      </w:r>
    </w:p>
    <w:p w14:paraId="66F5A85C">
      <w:pPr>
        <w:spacing w:line="218" w:lineRule="auto"/>
        <w:ind w:left="475"/>
        <w:rPr>
          <w:rFonts w:ascii="宋体" w:hAnsi="宋体" w:cs="宋体"/>
          <w:color w:val="000000" w:themeColor="text1"/>
          <w:sz w:val="24"/>
          <w:szCs w:val="24"/>
          <w:highlight w:val="none"/>
          <w14:textFill>
            <w14:solidFill>
              <w14:schemeClr w14:val="tx1"/>
            </w14:solidFill>
          </w14:textFill>
        </w:rPr>
      </w:pPr>
      <w:r>
        <w:rPr>
          <w:rFonts w:eastAsia="Times New Roman"/>
          <w:color w:val="000000" w:themeColor="text1"/>
          <w:spacing w:val="-1"/>
          <w:sz w:val="24"/>
          <w:szCs w:val="24"/>
          <w:highlight w:val="none"/>
          <w14:textFill>
            <w14:solidFill>
              <w14:schemeClr w14:val="tx1"/>
            </w14:solidFill>
          </w14:textFill>
        </w:rPr>
        <w:t xml:space="preserve">4.1.2  </w:t>
      </w:r>
      <w:r>
        <w:rPr>
          <w:rFonts w:ascii="宋体" w:hAnsi="宋体" w:cs="宋体"/>
          <w:color w:val="000000" w:themeColor="text1"/>
          <w:spacing w:val="-1"/>
          <w:sz w:val="24"/>
          <w:szCs w:val="24"/>
          <w:highlight w:val="none"/>
          <w14:textFill>
            <w14:solidFill>
              <w14:schemeClr w14:val="tx1"/>
            </w14:solidFill>
          </w14:textFill>
        </w:rPr>
        <w:t>依法纳税</w:t>
      </w:r>
    </w:p>
    <w:p w14:paraId="2C697116">
      <w:pPr>
        <w:spacing w:before="114" w:line="218" w:lineRule="auto"/>
        <w:ind w:left="480"/>
        <w:rPr>
          <w:rFonts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pacing w:val="-1"/>
          <w:sz w:val="24"/>
          <w:szCs w:val="24"/>
          <w:highlight w:val="none"/>
          <w14:textFill>
            <w14:solidFill>
              <w14:schemeClr w14:val="tx1"/>
            </w14:solidFill>
          </w14:textFill>
        </w:rPr>
        <w:t>承包人应按有关法律规定纳税，应缴纳的税金包括在合同价格内。</w:t>
      </w:r>
    </w:p>
    <w:p w14:paraId="707CFB9A">
      <w:pPr>
        <w:spacing w:before="118" w:line="219" w:lineRule="auto"/>
        <w:ind w:left="475"/>
        <w:rPr>
          <w:rFonts w:ascii="宋体" w:hAnsi="宋体" w:cs="宋体"/>
          <w:color w:val="000000" w:themeColor="text1"/>
          <w:sz w:val="24"/>
          <w:szCs w:val="24"/>
          <w:highlight w:val="none"/>
          <w14:textFill>
            <w14:solidFill>
              <w14:schemeClr w14:val="tx1"/>
            </w14:solidFill>
          </w14:textFill>
        </w:rPr>
      </w:pPr>
      <w:r>
        <w:rPr>
          <w:rFonts w:eastAsia="Times New Roman"/>
          <w:color w:val="000000" w:themeColor="text1"/>
          <w:spacing w:val="-1"/>
          <w:sz w:val="24"/>
          <w:szCs w:val="24"/>
          <w:highlight w:val="none"/>
          <w14:textFill>
            <w14:solidFill>
              <w14:schemeClr w14:val="tx1"/>
            </w14:solidFill>
          </w14:textFill>
        </w:rPr>
        <w:t xml:space="preserve">4.1.3  </w:t>
      </w:r>
      <w:r>
        <w:rPr>
          <w:rFonts w:ascii="宋体" w:hAnsi="宋体" w:cs="宋体"/>
          <w:color w:val="000000" w:themeColor="text1"/>
          <w:spacing w:val="-1"/>
          <w:sz w:val="24"/>
          <w:szCs w:val="24"/>
          <w:highlight w:val="none"/>
          <w14:textFill>
            <w14:solidFill>
              <w14:schemeClr w14:val="tx1"/>
            </w14:solidFill>
          </w14:textFill>
        </w:rPr>
        <w:t>完成各项承包工作</w:t>
      </w:r>
    </w:p>
    <w:p w14:paraId="507DF213">
      <w:pPr>
        <w:spacing w:before="117" w:line="307" w:lineRule="auto"/>
        <w:ind w:right="104" w:firstLine="480"/>
        <w:rPr>
          <w:rFonts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pacing w:val="2"/>
          <w:sz w:val="24"/>
          <w:szCs w:val="24"/>
          <w:highlight w:val="none"/>
          <w14:textFill>
            <w14:solidFill>
              <w14:schemeClr w14:val="tx1"/>
            </w14:solidFill>
          </w14:textFill>
        </w:rPr>
        <w:t>承包人应按合同约定以及咨询人根据第</w:t>
      </w:r>
      <w:r>
        <w:rPr>
          <w:rFonts w:ascii="宋体" w:hAnsi="宋体" w:cs="宋体"/>
          <w:color w:val="000000" w:themeColor="text1"/>
          <w:spacing w:val="-47"/>
          <w:sz w:val="24"/>
          <w:szCs w:val="24"/>
          <w:highlight w:val="none"/>
          <w14:textFill>
            <w14:solidFill>
              <w14:schemeClr w14:val="tx1"/>
            </w14:solidFill>
          </w14:textFill>
        </w:rPr>
        <w:t xml:space="preserve"> </w:t>
      </w:r>
      <w:r>
        <w:rPr>
          <w:rFonts w:eastAsia="Times New Roman"/>
          <w:color w:val="000000" w:themeColor="text1"/>
          <w:spacing w:val="2"/>
          <w:sz w:val="24"/>
          <w:szCs w:val="24"/>
          <w:highlight w:val="none"/>
          <w14:textFill>
            <w14:solidFill>
              <w14:schemeClr w14:val="tx1"/>
            </w14:solidFill>
          </w14:textFill>
        </w:rPr>
        <w:t xml:space="preserve">3.4 </w:t>
      </w:r>
      <w:r>
        <w:rPr>
          <w:rFonts w:ascii="宋体" w:hAnsi="宋体" w:cs="宋体"/>
          <w:color w:val="000000" w:themeColor="text1"/>
          <w:spacing w:val="2"/>
          <w:sz w:val="24"/>
          <w:szCs w:val="24"/>
          <w:highlight w:val="none"/>
          <w14:textFill>
            <w14:solidFill>
              <w14:schemeClr w14:val="tx1"/>
            </w14:solidFill>
          </w14:textFill>
        </w:rPr>
        <w:t>款作出的指示，实施、完成全</w:t>
      </w:r>
      <w:r>
        <w:rPr>
          <w:rFonts w:ascii="宋体" w:hAnsi="宋体" w:cs="宋体"/>
          <w:color w:val="000000" w:themeColor="text1"/>
          <w:spacing w:val="1"/>
          <w:sz w:val="24"/>
          <w:szCs w:val="24"/>
          <w:highlight w:val="none"/>
          <w14:textFill>
            <w14:solidFill>
              <w14:schemeClr w14:val="tx1"/>
            </w14:solidFill>
          </w14:textFill>
        </w:rPr>
        <w:t>部养护项目，并修补养护项目中的任何缺陷。除专用合同条款</w:t>
      </w:r>
      <w:r>
        <w:rPr>
          <w:rFonts w:ascii="宋体" w:hAnsi="宋体" w:cs="宋体"/>
          <w:color w:val="000000" w:themeColor="text1"/>
          <w:sz w:val="24"/>
          <w:szCs w:val="24"/>
          <w:highlight w:val="none"/>
          <w14:textFill>
            <w14:solidFill>
              <w14:schemeClr w14:val="tx1"/>
            </w14:solidFill>
          </w14:textFill>
        </w:rPr>
        <w:t>另有约定外，承包人应提</w:t>
      </w:r>
      <w:r>
        <w:rPr>
          <w:rFonts w:ascii="宋体" w:hAnsi="宋体" w:cs="宋体"/>
          <w:color w:val="000000" w:themeColor="text1"/>
          <w:spacing w:val="1"/>
          <w:sz w:val="24"/>
          <w:szCs w:val="24"/>
          <w:highlight w:val="none"/>
          <w14:textFill>
            <w14:solidFill>
              <w14:schemeClr w14:val="tx1"/>
            </w14:solidFill>
          </w14:textFill>
        </w:rPr>
        <w:t>供为完成合同工作所需的劳务、材料、养护作业设备、工</w:t>
      </w:r>
      <w:r>
        <w:rPr>
          <w:rFonts w:ascii="宋体" w:hAnsi="宋体" w:cs="宋体"/>
          <w:color w:val="000000" w:themeColor="text1"/>
          <w:sz w:val="24"/>
          <w:szCs w:val="24"/>
          <w:highlight w:val="none"/>
          <w14:textFill>
            <w14:solidFill>
              <w14:schemeClr w14:val="tx1"/>
            </w14:solidFill>
          </w14:textFill>
        </w:rPr>
        <w:t>程设备和其他物品，并按</w:t>
      </w:r>
      <w:r>
        <w:rPr>
          <w:rFonts w:ascii="宋体" w:hAnsi="宋体" w:cs="宋体"/>
          <w:color w:val="000000" w:themeColor="text1"/>
          <w:spacing w:val="-1"/>
          <w:sz w:val="24"/>
          <w:szCs w:val="24"/>
          <w:highlight w:val="none"/>
          <w14:textFill>
            <w14:solidFill>
              <w14:schemeClr w14:val="tx1"/>
            </w14:solidFill>
          </w14:textFill>
        </w:rPr>
        <w:t>合同约定负责临时设施的设计、建造、运行、维护、管理和拆除。</w:t>
      </w:r>
    </w:p>
    <w:p w14:paraId="22F89636">
      <w:pPr>
        <w:spacing w:before="1" w:line="219" w:lineRule="auto"/>
        <w:ind w:left="475"/>
        <w:rPr>
          <w:rFonts w:ascii="宋体" w:hAnsi="宋体" w:cs="宋体"/>
          <w:color w:val="000000" w:themeColor="text1"/>
          <w:sz w:val="24"/>
          <w:szCs w:val="24"/>
          <w:highlight w:val="none"/>
          <w14:textFill>
            <w14:solidFill>
              <w14:schemeClr w14:val="tx1"/>
            </w14:solidFill>
          </w14:textFill>
        </w:rPr>
      </w:pPr>
      <w:r>
        <w:rPr>
          <w:rFonts w:eastAsia="Times New Roman"/>
          <w:color w:val="000000" w:themeColor="text1"/>
          <w:spacing w:val="-1"/>
          <w:sz w:val="24"/>
          <w:szCs w:val="24"/>
          <w:highlight w:val="none"/>
          <w14:textFill>
            <w14:solidFill>
              <w14:schemeClr w14:val="tx1"/>
            </w14:solidFill>
          </w14:textFill>
        </w:rPr>
        <w:t xml:space="preserve">4.1.4  </w:t>
      </w:r>
      <w:r>
        <w:rPr>
          <w:rFonts w:ascii="宋体" w:hAnsi="宋体" w:cs="宋体"/>
          <w:color w:val="000000" w:themeColor="text1"/>
          <w:spacing w:val="-1"/>
          <w:sz w:val="24"/>
          <w:szCs w:val="24"/>
          <w:highlight w:val="none"/>
          <w14:textFill>
            <w14:solidFill>
              <w14:schemeClr w14:val="tx1"/>
            </w14:solidFill>
          </w14:textFill>
        </w:rPr>
        <w:t>对养护作业和方法的完备性负责</w:t>
      </w:r>
    </w:p>
    <w:p w14:paraId="3AB65711">
      <w:pPr>
        <w:spacing w:before="116" w:line="307" w:lineRule="auto"/>
        <w:ind w:right="104" w:firstLine="480"/>
        <w:rPr>
          <w:rFonts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pacing w:val="1"/>
          <w:sz w:val="24"/>
          <w:szCs w:val="24"/>
          <w:highlight w:val="none"/>
          <w14:textFill>
            <w14:solidFill>
              <w14:schemeClr w14:val="tx1"/>
            </w14:solidFill>
          </w14:textFill>
        </w:rPr>
        <w:t>承包人应按合同约定的工作内容和进度要求，编制施工组</w:t>
      </w:r>
      <w:r>
        <w:rPr>
          <w:rFonts w:ascii="宋体" w:hAnsi="宋体" w:cs="宋体"/>
          <w:color w:val="000000" w:themeColor="text1"/>
          <w:sz w:val="24"/>
          <w:szCs w:val="24"/>
          <w:highlight w:val="none"/>
          <w14:textFill>
            <w14:solidFill>
              <w14:schemeClr w14:val="tx1"/>
            </w14:solidFill>
          </w14:textFill>
        </w:rPr>
        <w:t>织设计和施工措施计</w:t>
      </w:r>
      <w:r>
        <w:rPr>
          <w:rFonts w:ascii="宋体" w:hAnsi="宋体" w:cs="宋体"/>
          <w:color w:val="000000" w:themeColor="text1"/>
          <w:spacing w:val="-1"/>
          <w:sz w:val="24"/>
          <w:szCs w:val="24"/>
          <w:highlight w:val="none"/>
          <w14:textFill>
            <w14:solidFill>
              <w14:schemeClr w14:val="tx1"/>
            </w14:solidFill>
          </w14:textFill>
        </w:rPr>
        <w:t>划，并对所有养护作业和方法的完备性和安全可靠性负责。</w:t>
      </w:r>
    </w:p>
    <w:p w14:paraId="300A2314">
      <w:pPr>
        <w:spacing w:before="1" w:line="219" w:lineRule="auto"/>
        <w:ind w:left="475"/>
        <w:rPr>
          <w:rFonts w:ascii="宋体" w:hAnsi="宋体" w:cs="宋体"/>
          <w:color w:val="000000" w:themeColor="text1"/>
          <w:sz w:val="24"/>
          <w:szCs w:val="24"/>
          <w:highlight w:val="none"/>
          <w14:textFill>
            <w14:solidFill>
              <w14:schemeClr w14:val="tx1"/>
            </w14:solidFill>
          </w14:textFill>
        </w:rPr>
      </w:pPr>
      <w:r>
        <w:rPr>
          <w:rFonts w:eastAsia="Times New Roman"/>
          <w:color w:val="000000" w:themeColor="text1"/>
          <w:spacing w:val="-1"/>
          <w:sz w:val="24"/>
          <w:szCs w:val="24"/>
          <w:highlight w:val="none"/>
          <w14:textFill>
            <w14:solidFill>
              <w14:schemeClr w14:val="tx1"/>
            </w14:solidFill>
          </w14:textFill>
        </w:rPr>
        <w:t xml:space="preserve">4.1.5  </w:t>
      </w:r>
      <w:r>
        <w:rPr>
          <w:rFonts w:ascii="宋体" w:hAnsi="宋体" w:cs="宋体"/>
          <w:color w:val="000000" w:themeColor="text1"/>
          <w:spacing w:val="-1"/>
          <w:sz w:val="24"/>
          <w:szCs w:val="24"/>
          <w:highlight w:val="none"/>
          <w14:textFill>
            <w14:solidFill>
              <w14:schemeClr w14:val="tx1"/>
            </w14:solidFill>
          </w14:textFill>
        </w:rPr>
        <w:t>保证养护项目和人员的安全</w:t>
      </w:r>
    </w:p>
    <w:p w14:paraId="7B047A28">
      <w:pPr>
        <w:spacing w:before="114" w:line="308" w:lineRule="auto"/>
        <w:ind w:left="1" w:right="104" w:firstLine="479"/>
        <w:rPr>
          <w:rFonts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pacing w:val="2"/>
          <w:sz w:val="24"/>
          <w:szCs w:val="24"/>
          <w:highlight w:val="none"/>
          <w14:textFill>
            <w14:solidFill>
              <w14:schemeClr w14:val="tx1"/>
            </w14:solidFill>
          </w14:textFill>
        </w:rPr>
        <w:t>承包人应按第</w:t>
      </w:r>
      <w:r>
        <w:rPr>
          <w:rFonts w:ascii="宋体" w:hAnsi="宋体" w:cs="宋体"/>
          <w:color w:val="000000" w:themeColor="text1"/>
          <w:spacing w:val="-47"/>
          <w:sz w:val="24"/>
          <w:szCs w:val="24"/>
          <w:highlight w:val="none"/>
          <w14:textFill>
            <w14:solidFill>
              <w14:schemeClr w14:val="tx1"/>
            </w14:solidFill>
          </w14:textFill>
        </w:rPr>
        <w:t xml:space="preserve"> </w:t>
      </w:r>
      <w:r>
        <w:rPr>
          <w:rFonts w:eastAsia="Times New Roman"/>
          <w:color w:val="000000" w:themeColor="text1"/>
          <w:spacing w:val="2"/>
          <w:sz w:val="24"/>
          <w:szCs w:val="24"/>
          <w:highlight w:val="none"/>
          <w14:textFill>
            <w14:solidFill>
              <w14:schemeClr w14:val="tx1"/>
            </w14:solidFill>
          </w14:textFill>
        </w:rPr>
        <w:t xml:space="preserve">9.2 </w:t>
      </w:r>
      <w:r>
        <w:rPr>
          <w:rFonts w:ascii="宋体" w:hAnsi="宋体" w:cs="宋体"/>
          <w:color w:val="000000" w:themeColor="text1"/>
          <w:spacing w:val="2"/>
          <w:sz w:val="24"/>
          <w:szCs w:val="24"/>
          <w:highlight w:val="none"/>
          <w14:textFill>
            <w14:solidFill>
              <w14:schemeClr w14:val="tx1"/>
            </w14:solidFill>
          </w14:textFill>
        </w:rPr>
        <w:t>款约定采取安全措施，确保本合同约定范围内的养护项</w:t>
      </w:r>
      <w:r>
        <w:rPr>
          <w:rFonts w:ascii="宋体" w:hAnsi="宋体" w:cs="宋体"/>
          <w:color w:val="000000" w:themeColor="text1"/>
          <w:spacing w:val="1"/>
          <w:sz w:val="24"/>
          <w:szCs w:val="24"/>
          <w:highlight w:val="none"/>
          <w14:textFill>
            <w14:solidFill>
              <w14:schemeClr w14:val="tx1"/>
            </w14:solidFill>
          </w14:textFill>
        </w:rPr>
        <w:t>目及其人员、材料、设备和设施的安全，防止因养护项目实</w:t>
      </w:r>
      <w:r>
        <w:rPr>
          <w:rFonts w:ascii="宋体" w:hAnsi="宋体" w:cs="宋体"/>
          <w:color w:val="000000" w:themeColor="text1"/>
          <w:sz w:val="24"/>
          <w:szCs w:val="24"/>
          <w:highlight w:val="none"/>
          <w14:textFill>
            <w14:solidFill>
              <w14:schemeClr w14:val="tx1"/>
            </w14:solidFill>
          </w14:textFill>
        </w:rPr>
        <w:t>施造成的人身伤害和财产损</w:t>
      </w:r>
      <w:r>
        <w:rPr>
          <w:rFonts w:ascii="宋体" w:hAnsi="宋体" w:cs="宋体"/>
          <w:color w:val="000000" w:themeColor="text1"/>
          <w:spacing w:val="-6"/>
          <w:sz w:val="24"/>
          <w:szCs w:val="24"/>
          <w:highlight w:val="none"/>
          <w14:textFill>
            <w14:solidFill>
              <w14:schemeClr w14:val="tx1"/>
            </w14:solidFill>
          </w14:textFill>
        </w:rPr>
        <w:t>失。</w:t>
      </w:r>
    </w:p>
    <w:p w14:paraId="1C7615D5">
      <w:pPr>
        <w:spacing w:before="1" w:line="219" w:lineRule="auto"/>
        <w:ind w:left="475"/>
        <w:rPr>
          <w:rFonts w:ascii="宋体" w:hAnsi="宋体" w:cs="宋体"/>
          <w:color w:val="000000" w:themeColor="text1"/>
          <w:sz w:val="24"/>
          <w:szCs w:val="24"/>
          <w:highlight w:val="none"/>
          <w14:textFill>
            <w14:solidFill>
              <w14:schemeClr w14:val="tx1"/>
            </w14:solidFill>
          </w14:textFill>
        </w:rPr>
      </w:pPr>
      <w:r>
        <w:rPr>
          <w:rFonts w:eastAsia="Times New Roman"/>
          <w:color w:val="000000" w:themeColor="text1"/>
          <w:sz w:val="24"/>
          <w:szCs w:val="24"/>
          <w:highlight w:val="none"/>
          <w14:textFill>
            <w14:solidFill>
              <w14:schemeClr w14:val="tx1"/>
            </w14:solidFill>
          </w14:textFill>
        </w:rPr>
        <w:t xml:space="preserve">4.1.6  </w:t>
      </w:r>
      <w:r>
        <w:rPr>
          <w:rFonts w:ascii="宋体" w:hAnsi="宋体" w:cs="宋体"/>
          <w:color w:val="000000" w:themeColor="text1"/>
          <w:sz w:val="24"/>
          <w:szCs w:val="24"/>
          <w:highlight w:val="none"/>
          <w14:textFill>
            <w14:solidFill>
              <w14:schemeClr w14:val="tx1"/>
            </w14:solidFill>
          </w14:textFill>
        </w:rPr>
        <w:t>负责养护作业场地及其周边环境与生态</w:t>
      </w:r>
      <w:r>
        <w:rPr>
          <w:rFonts w:ascii="宋体" w:hAnsi="宋体" w:cs="宋体"/>
          <w:color w:val="000000" w:themeColor="text1"/>
          <w:spacing w:val="-1"/>
          <w:sz w:val="24"/>
          <w:szCs w:val="24"/>
          <w:highlight w:val="none"/>
          <w14:textFill>
            <w14:solidFill>
              <w14:schemeClr w14:val="tx1"/>
            </w14:solidFill>
          </w14:textFill>
        </w:rPr>
        <w:t>的保护工作</w:t>
      </w:r>
    </w:p>
    <w:p w14:paraId="22708102">
      <w:pPr>
        <w:spacing w:before="116" w:line="219" w:lineRule="auto"/>
        <w:jc w:val="center"/>
        <w:rPr>
          <w:rFonts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pacing w:val="-2"/>
          <w:sz w:val="24"/>
          <w:szCs w:val="24"/>
          <w:highlight w:val="none"/>
          <w14:textFill>
            <w14:solidFill>
              <w14:schemeClr w14:val="tx1"/>
            </w14:solidFill>
          </w14:textFill>
        </w:rPr>
        <w:t>承包人应按照第</w:t>
      </w:r>
      <w:r>
        <w:rPr>
          <w:rFonts w:ascii="宋体" w:hAnsi="宋体" w:cs="宋体"/>
          <w:color w:val="000000" w:themeColor="text1"/>
          <w:spacing w:val="-37"/>
          <w:sz w:val="24"/>
          <w:szCs w:val="24"/>
          <w:highlight w:val="none"/>
          <w14:textFill>
            <w14:solidFill>
              <w14:schemeClr w14:val="tx1"/>
            </w14:solidFill>
          </w14:textFill>
        </w:rPr>
        <w:t xml:space="preserve"> </w:t>
      </w:r>
      <w:r>
        <w:rPr>
          <w:rFonts w:eastAsia="Times New Roman"/>
          <w:color w:val="000000" w:themeColor="text1"/>
          <w:spacing w:val="-2"/>
          <w:sz w:val="24"/>
          <w:szCs w:val="24"/>
          <w:highlight w:val="none"/>
          <w14:textFill>
            <w14:solidFill>
              <w14:schemeClr w14:val="tx1"/>
            </w14:solidFill>
          </w14:textFill>
        </w:rPr>
        <w:t xml:space="preserve">9.4 </w:t>
      </w:r>
      <w:r>
        <w:rPr>
          <w:rFonts w:ascii="宋体" w:hAnsi="宋体" w:cs="宋体"/>
          <w:color w:val="000000" w:themeColor="text1"/>
          <w:spacing w:val="-2"/>
          <w:sz w:val="24"/>
          <w:szCs w:val="24"/>
          <w:highlight w:val="none"/>
          <w14:textFill>
            <w14:solidFill>
              <w14:schemeClr w14:val="tx1"/>
            </w14:solidFill>
          </w14:textFill>
        </w:rPr>
        <w:t>款约定负责养护作业场地及其周边环境与生态的保护工作。</w:t>
      </w:r>
    </w:p>
    <w:p w14:paraId="04BA8BD5">
      <w:pPr>
        <w:spacing w:before="113" w:line="219" w:lineRule="auto"/>
        <w:ind w:left="475"/>
        <w:rPr>
          <w:rFonts w:ascii="宋体" w:hAnsi="宋体" w:cs="宋体"/>
          <w:color w:val="000000" w:themeColor="text1"/>
          <w:sz w:val="24"/>
          <w:szCs w:val="24"/>
          <w:highlight w:val="none"/>
          <w14:textFill>
            <w14:solidFill>
              <w14:schemeClr w14:val="tx1"/>
            </w14:solidFill>
          </w14:textFill>
        </w:rPr>
      </w:pPr>
      <w:r>
        <w:rPr>
          <w:rFonts w:eastAsia="Times New Roman"/>
          <w:color w:val="000000" w:themeColor="text1"/>
          <w:spacing w:val="-1"/>
          <w:sz w:val="24"/>
          <w:szCs w:val="24"/>
          <w:highlight w:val="none"/>
          <w14:textFill>
            <w14:solidFill>
              <w14:schemeClr w14:val="tx1"/>
            </w14:solidFill>
          </w14:textFill>
        </w:rPr>
        <w:t xml:space="preserve">4.1.7  </w:t>
      </w:r>
      <w:r>
        <w:rPr>
          <w:rFonts w:ascii="宋体" w:hAnsi="宋体" w:cs="宋体"/>
          <w:color w:val="000000" w:themeColor="text1"/>
          <w:spacing w:val="-1"/>
          <w:sz w:val="24"/>
          <w:szCs w:val="24"/>
          <w:highlight w:val="none"/>
          <w14:textFill>
            <w14:solidFill>
              <w14:schemeClr w14:val="tx1"/>
            </w14:solidFill>
          </w14:textFill>
        </w:rPr>
        <w:t>避免损害公众与他人利益</w:t>
      </w:r>
    </w:p>
    <w:p w14:paraId="5C30BCD5">
      <w:pPr>
        <w:spacing w:before="115" w:line="308" w:lineRule="auto"/>
        <w:ind w:left="3" w:right="104" w:firstLine="477"/>
        <w:rPr>
          <w:rFonts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pacing w:val="1"/>
          <w:sz w:val="24"/>
          <w:szCs w:val="24"/>
          <w:highlight w:val="none"/>
          <w14:textFill>
            <w14:solidFill>
              <w14:schemeClr w14:val="tx1"/>
            </w14:solidFill>
          </w14:textFill>
        </w:rPr>
        <w:t>承包人在进行合同约定的各项工作时，不得侵害发包人与</w:t>
      </w:r>
      <w:r>
        <w:rPr>
          <w:rFonts w:ascii="宋体" w:hAnsi="宋体" w:cs="宋体"/>
          <w:color w:val="000000" w:themeColor="text1"/>
          <w:sz w:val="24"/>
          <w:szCs w:val="24"/>
          <w:highlight w:val="none"/>
          <w14:textFill>
            <w14:solidFill>
              <w14:schemeClr w14:val="tx1"/>
            </w14:solidFill>
          </w14:textFill>
        </w:rPr>
        <w:t>他人使用公用道路、</w:t>
      </w:r>
      <w:r>
        <w:rPr>
          <w:rFonts w:ascii="宋体" w:hAnsi="宋体" w:cs="宋体"/>
          <w:color w:val="000000" w:themeColor="text1"/>
          <w:spacing w:val="1"/>
          <w:sz w:val="24"/>
          <w:szCs w:val="24"/>
          <w:highlight w:val="none"/>
          <w14:textFill>
            <w14:solidFill>
              <w14:schemeClr w14:val="tx1"/>
            </w14:solidFill>
          </w14:textFill>
        </w:rPr>
        <w:t>水源、市政管网等公共设施的权利，避免对邻近的</w:t>
      </w:r>
      <w:r>
        <w:rPr>
          <w:rFonts w:ascii="宋体" w:hAnsi="宋体" w:cs="宋体"/>
          <w:color w:val="000000" w:themeColor="text1"/>
          <w:sz w:val="24"/>
          <w:szCs w:val="24"/>
          <w:highlight w:val="none"/>
          <w14:textFill>
            <w14:solidFill>
              <w14:schemeClr w14:val="tx1"/>
            </w14:solidFill>
          </w14:textFill>
        </w:rPr>
        <w:t>公共设施产生干扰。承包人占用</w:t>
      </w:r>
      <w:r>
        <w:rPr>
          <w:rFonts w:ascii="宋体" w:hAnsi="宋体" w:cs="宋体"/>
          <w:color w:val="000000" w:themeColor="text1"/>
          <w:spacing w:val="-1"/>
          <w:sz w:val="24"/>
          <w:szCs w:val="24"/>
          <w:highlight w:val="none"/>
          <w14:textFill>
            <w14:solidFill>
              <w14:schemeClr w14:val="tx1"/>
            </w14:solidFill>
          </w14:textFill>
        </w:rPr>
        <w:t>或使用他人的场地或设施，影响他人作业或生活的，应承担相应责任。</w:t>
      </w:r>
    </w:p>
    <w:p w14:paraId="22EF3125">
      <w:pPr>
        <w:spacing w:before="1" w:line="218" w:lineRule="auto"/>
        <w:ind w:left="475"/>
        <w:rPr>
          <w:rFonts w:ascii="宋体" w:hAnsi="宋体" w:cs="宋体"/>
          <w:color w:val="000000" w:themeColor="text1"/>
          <w:sz w:val="24"/>
          <w:szCs w:val="24"/>
          <w:highlight w:val="none"/>
          <w14:textFill>
            <w14:solidFill>
              <w14:schemeClr w14:val="tx1"/>
            </w14:solidFill>
          </w14:textFill>
        </w:rPr>
      </w:pPr>
      <w:r>
        <w:rPr>
          <w:rFonts w:eastAsia="Times New Roman"/>
          <w:color w:val="000000" w:themeColor="text1"/>
          <w:spacing w:val="-1"/>
          <w:sz w:val="24"/>
          <w:szCs w:val="24"/>
          <w:highlight w:val="none"/>
          <w14:textFill>
            <w14:solidFill>
              <w14:schemeClr w14:val="tx1"/>
            </w14:solidFill>
          </w14:textFill>
        </w:rPr>
        <w:t xml:space="preserve">4.1.8  </w:t>
      </w:r>
      <w:r>
        <w:rPr>
          <w:rFonts w:ascii="宋体" w:hAnsi="宋体" w:cs="宋体"/>
          <w:color w:val="000000" w:themeColor="text1"/>
          <w:spacing w:val="-1"/>
          <w:sz w:val="24"/>
          <w:szCs w:val="24"/>
          <w:highlight w:val="none"/>
          <w14:textFill>
            <w14:solidFill>
              <w14:schemeClr w14:val="tx1"/>
            </w14:solidFill>
          </w14:textFill>
        </w:rPr>
        <w:t>为他人提供方便</w:t>
      </w:r>
    </w:p>
    <w:p w14:paraId="0CE92F95">
      <w:pPr>
        <w:spacing w:before="115" w:line="308" w:lineRule="auto"/>
        <w:ind w:left="1" w:right="104" w:firstLine="479"/>
        <w:rPr>
          <w:rFonts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pacing w:val="1"/>
          <w:sz w:val="24"/>
          <w:szCs w:val="24"/>
          <w:highlight w:val="none"/>
          <w14:textFill>
            <w14:solidFill>
              <w14:schemeClr w14:val="tx1"/>
            </w14:solidFill>
          </w14:textFill>
        </w:rPr>
        <w:t>承包人应按咨询人的指示为他人在养护作业场地或附近实</w:t>
      </w:r>
      <w:r>
        <w:rPr>
          <w:rFonts w:ascii="宋体" w:hAnsi="宋体" w:cs="宋体"/>
          <w:color w:val="000000" w:themeColor="text1"/>
          <w:sz w:val="24"/>
          <w:szCs w:val="24"/>
          <w:highlight w:val="none"/>
          <w14:textFill>
            <w14:solidFill>
              <w14:schemeClr w14:val="tx1"/>
            </w14:solidFill>
          </w14:textFill>
        </w:rPr>
        <w:t>施与养护项目有关的</w:t>
      </w:r>
      <w:r>
        <w:rPr>
          <w:rFonts w:ascii="宋体" w:hAnsi="宋体" w:cs="宋体"/>
          <w:color w:val="000000" w:themeColor="text1"/>
          <w:spacing w:val="1"/>
          <w:sz w:val="24"/>
          <w:szCs w:val="24"/>
          <w:highlight w:val="none"/>
          <w14:textFill>
            <w14:solidFill>
              <w14:schemeClr w14:val="tx1"/>
            </w14:solidFill>
          </w14:textFill>
        </w:rPr>
        <w:t>其他各项工作提供可能的条件。除合同另有约定外，提</w:t>
      </w:r>
      <w:r>
        <w:rPr>
          <w:rFonts w:ascii="宋体" w:hAnsi="宋体" w:cs="宋体"/>
          <w:color w:val="000000" w:themeColor="text1"/>
          <w:sz w:val="24"/>
          <w:szCs w:val="24"/>
          <w:highlight w:val="none"/>
          <w14:textFill>
            <w14:solidFill>
              <w14:schemeClr w14:val="tx1"/>
            </w14:solidFill>
          </w14:textFill>
        </w:rPr>
        <w:t>供有关条件的内容和可能发</w:t>
      </w:r>
      <w:r>
        <w:rPr>
          <w:rFonts w:ascii="宋体" w:hAnsi="宋体" w:cs="宋体"/>
          <w:color w:val="000000" w:themeColor="text1"/>
          <w:spacing w:val="-1"/>
          <w:sz w:val="24"/>
          <w:szCs w:val="24"/>
          <w:highlight w:val="none"/>
          <w14:textFill>
            <w14:solidFill>
              <w14:schemeClr w14:val="tx1"/>
            </w14:solidFill>
          </w14:textFill>
        </w:rPr>
        <w:t>生的费用，由咨询人按第</w:t>
      </w:r>
      <w:r>
        <w:rPr>
          <w:rFonts w:ascii="宋体" w:hAnsi="宋体" w:cs="宋体"/>
          <w:color w:val="000000" w:themeColor="text1"/>
          <w:spacing w:val="-50"/>
          <w:sz w:val="24"/>
          <w:szCs w:val="24"/>
          <w:highlight w:val="none"/>
          <w14:textFill>
            <w14:solidFill>
              <w14:schemeClr w14:val="tx1"/>
            </w14:solidFill>
          </w14:textFill>
        </w:rPr>
        <w:t xml:space="preserve"> </w:t>
      </w:r>
      <w:r>
        <w:rPr>
          <w:rFonts w:eastAsia="Times New Roman"/>
          <w:color w:val="000000" w:themeColor="text1"/>
          <w:spacing w:val="-1"/>
          <w:sz w:val="24"/>
          <w:szCs w:val="24"/>
          <w:highlight w:val="none"/>
          <w14:textFill>
            <w14:solidFill>
              <w14:schemeClr w14:val="tx1"/>
            </w14:solidFill>
          </w14:textFill>
        </w:rPr>
        <w:t xml:space="preserve">3.5 </w:t>
      </w:r>
      <w:r>
        <w:rPr>
          <w:rFonts w:ascii="宋体" w:hAnsi="宋体" w:cs="宋体"/>
          <w:color w:val="000000" w:themeColor="text1"/>
          <w:spacing w:val="-1"/>
          <w:sz w:val="24"/>
          <w:szCs w:val="24"/>
          <w:highlight w:val="none"/>
          <w14:textFill>
            <w14:solidFill>
              <w14:schemeClr w14:val="tx1"/>
            </w14:solidFill>
          </w14:textFill>
        </w:rPr>
        <w:t>款商定或确定。</w:t>
      </w:r>
    </w:p>
    <w:p w14:paraId="3E074B36">
      <w:pPr>
        <w:spacing w:before="1" w:line="219" w:lineRule="auto"/>
        <w:ind w:left="475"/>
        <w:rPr>
          <w:rFonts w:ascii="宋体" w:hAnsi="宋体" w:cs="宋体"/>
          <w:color w:val="000000" w:themeColor="text1"/>
          <w:sz w:val="24"/>
          <w:szCs w:val="24"/>
          <w:highlight w:val="none"/>
          <w14:textFill>
            <w14:solidFill>
              <w14:schemeClr w14:val="tx1"/>
            </w14:solidFill>
          </w14:textFill>
        </w:rPr>
      </w:pPr>
      <w:r>
        <w:rPr>
          <w:rFonts w:eastAsia="Times New Roman"/>
          <w:color w:val="000000" w:themeColor="text1"/>
          <w:spacing w:val="-1"/>
          <w:sz w:val="24"/>
          <w:szCs w:val="24"/>
          <w:highlight w:val="none"/>
          <w14:textFill>
            <w14:solidFill>
              <w14:schemeClr w14:val="tx1"/>
            </w14:solidFill>
          </w14:textFill>
        </w:rPr>
        <w:t xml:space="preserve">4.1.9  </w:t>
      </w:r>
      <w:r>
        <w:rPr>
          <w:rFonts w:ascii="宋体" w:hAnsi="宋体" w:cs="宋体"/>
          <w:color w:val="000000" w:themeColor="text1"/>
          <w:spacing w:val="-1"/>
          <w:sz w:val="24"/>
          <w:szCs w:val="24"/>
          <w:highlight w:val="none"/>
          <w14:textFill>
            <w14:solidFill>
              <w14:schemeClr w14:val="tx1"/>
            </w14:solidFill>
          </w14:textFill>
        </w:rPr>
        <w:t>养护项目的维护和照管</w:t>
      </w:r>
    </w:p>
    <w:p w14:paraId="45631504">
      <w:pPr>
        <w:spacing w:before="114" w:line="263" w:lineRule="auto"/>
        <w:ind w:left="46" w:right="104" w:firstLine="445"/>
        <w:rPr>
          <w:rFonts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pacing w:val="4"/>
          <w:sz w:val="24"/>
          <w:szCs w:val="24"/>
          <w:highlight w:val="none"/>
          <w14:textFill>
            <w14:solidFill>
              <w14:schemeClr w14:val="tx1"/>
            </w14:solidFill>
          </w14:textFill>
        </w:rPr>
        <w:t>（</w:t>
      </w:r>
      <w:r>
        <w:rPr>
          <w:rFonts w:eastAsia="Times New Roman"/>
          <w:color w:val="000000" w:themeColor="text1"/>
          <w:spacing w:val="4"/>
          <w:sz w:val="24"/>
          <w:szCs w:val="24"/>
          <w:highlight w:val="none"/>
          <w14:textFill>
            <w14:solidFill>
              <w14:schemeClr w14:val="tx1"/>
            </w14:solidFill>
          </w14:textFill>
        </w:rPr>
        <w:t>1</w:t>
      </w:r>
      <w:r>
        <w:rPr>
          <w:rFonts w:ascii="宋体" w:hAnsi="宋体" w:cs="宋体"/>
          <w:color w:val="000000" w:themeColor="text1"/>
          <w:spacing w:val="4"/>
          <w:sz w:val="24"/>
          <w:szCs w:val="24"/>
          <w:highlight w:val="none"/>
          <w14:textFill>
            <w14:solidFill>
              <w14:schemeClr w14:val="tx1"/>
            </w14:solidFill>
          </w14:textFill>
        </w:rPr>
        <w:t>）未开放交通前，承包人应负责照管和维护作业控制区内已实施的养</w:t>
      </w:r>
      <w:r>
        <w:rPr>
          <w:rFonts w:ascii="宋体" w:hAnsi="宋体" w:cs="宋体"/>
          <w:color w:val="000000" w:themeColor="text1"/>
          <w:spacing w:val="3"/>
          <w:sz w:val="24"/>
          <w:szCs w:val="24"/>
          <w:highlight w:val="none"/>
          <w14:textFill>
            <w14:solidFill>
              <w14:schemeClr w14:val="tx1"/>
            </w14:solidFill>
          </w14:textFill>
        </w:rPr>
        <w:t>护项</w:t>
      </w:r>
      <w:r>
        <w:rPr>
          <w:rFonts w:ascii="宋体" w:hAnsi="宋体" w:cs="宋体"/>
          <w:color w:val="000000" w:themeColor="text1"/>
          <w:spacing w:val="-6"/>
          <w:sz w:val="24"/>
          <w:szCs w:val="24"/>
          <w:highlight w:val="none"/>
          <w14:textFill>
            <w14:solidFill>
              <w14:schemeClr w14:val="tx1"/>
            </w14:solidFill>
          </w14:textFill>
        </w:rPr>
        <w:t>目及相关材料、设备。</w:t>
      </w:r>
    </w:p>
    <w:p w14:paraId="0B8733C3">
      <w:pPr>
        <w:spacing w:before="116" w:line="219" w:lineRule="auto"/>
        <w:ind w:firstLine="496" w:firstLineChars="200"/>
        <w:rPr>
          <w:rFonts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pacing w:val="4"/>
          <w:sz w:val="24"/>
          <w:szCs w:val="24"/>
          <w:highlight w:val="none"/>
          <w14:textFill>
            <w14:solidFill>
              <w14:schemeClr w14:val="tx1"/>
            </w14:solidFill>
          </w14:textFill>
        </w:rPr>
        <w:t>（</w:t>
      </w:r>
      <w:r>
        <w:rPr>
          <w:rFonts w:eastAsia="Times New Roman"/>
          <w:color w:val="000000" w:themeColor="text1"/>
          <w:spacing w:val="4"/>
          <w:sz w:val="24"/>
          <w:szCs w:val="24"/>
          <w:highlight w:val="none"/>
          <w14:textFill>
            <w14:solidFill>
              <w14:schemeClr w14:val="tx1"/>
            </w14:solidFill>
          </w14:textFill>
        </w:rPr>
        <w:t>2</w:t>
      </w:r>
      <w:r>
        <w:rPr>
          <w:rFonts w:ascii="宋体" w:hAnsi="宋体" w:cs="宋体"/>
          <w:color w:val="000000" w:themeColor="text1"/>
          <w:spacing w:val="4"/>
          <w:sz w:val="24"/>
          <w:szCs w:val="24"/>
          <w:highlight w:val="none"/>
          <w14:textFill>
            <w14:solidFill>
              <w14:schemeClr w14:val="tx1"/>
            </w14:solidFill>
          </w14:textFill>
        </w:rPr>
        <w:t>）在承包人负责照管与维护期间，如果养护项目或材料、设备等发生</w:t>
      </w:r>
      <w:r>
        <w:rPr>
          <w:rFonts w:ascii="宋体" w:hAnsi="宋体" w:cs="宋体"/>
          <w:color w:val="000000" w:themeColor="text1"/>
          <w:spacing w:val="3"/>
          <w:sz w:val="24"/>
          <w:szCs w:val="24"/>
          <w:highlight w:val="none"/>
          <w14:textFill>
            <w14:solidFill>
              <w14:schemeClr w14:val="tx1"/>
            </w14:solidFill>
          </w14:textFill>
        </w:rPr>
        <w:t>损失</w:t>
      </w:r>
      <w:r>
        <w:rPr>
          <w:rFonts w:ascii="宋体" w:hAnsi="宋体" w:cs="宋体"/>
          <w:color w:val="000000" w:themeColor="text1"/>
          <w:spacing w:val="1"/>
          <w:sz w:val="24"/>
          <w:szCs w:val="24"/>
          <w:highlight w:val="none"/>
          <w14:textFill>
            <w14:solidFill>
              <w14:schemeClr w14:val="tx1"/>
            </w14:solidFill>
          </w14:textFill>
        </w:rPr>
        <w:t>或损害，除不可抗力原因之外，承包人均应自费弥</w:t>
      </w:r>
      <w:r>
        <w:rPr>
          <w:rFonts w:ascii="宋体" w:hAnsi="宋体" w:cs="宋体"/>
          <w:color w:val="000000" w:themeColor="text1"/>
          <w:sz w:val="24"/>
          <w:szCs w:val="24"/>
          <w:highlight w:val="none"/>
          <w14:textFill>
            <w14:solidFill>
              <w14:schemeClr w14:val="tx1"/>
            </w14:solidFill>
          </w14:textFill>
        </w:rPr>
        <w:t>补，并达到合同要求。承包人还</w:t>
      </w:r>
      <w:r>
        <w:rPr>
          <w:rFonts w:ascii="宋体" w:hAnsi="宋体" w:cs="宋体"/>
          <w:color w:val="000000" w:themeColor="text1"/>
          <w:spacing w:val="3"/>
          <w:sz w:val="24"/>
          <w:szCs w:val="24"/>
          <w:highlight w:val="none"/>
          <w14:textFill>
            <w14:solidFill>
              <w14:schemeClr w14:val="tx1"/>
            </w14:solidFill>
          </w14:textFill>
        </w:rPr>
        <w:t>应对按第</w:t>
      </w:r>
      <w:r>
        <w:rPr>
          <w:rFonts w:ascii="宋体" w:hAnsi="宋体" w:cs="宋体"/>
          <w:color w:val="000000" w:themeColor="text1"/>
          <w:spacing w:val="-29"/>
          <w:sz w:val="24"/>
          <w:szCs w:val="24"/>
          <w:highlight w:val="none"/>
          <w14:textFill>
            <w14:solidFill>
              <w14:schemeClr w14:val="tx1"/>
            </w14:solidFill>
          </w14:textFill>
        </w:rPr>
        <w:t xml:space="preserve"> </w:t>
      </w:r>
      <w:r>
        <w:rPr>
          <w:rFonts w:eastAsia="Times New Roman"/>
          <w:color w:val="000000" w:themeColor="text1"/>
          <w:spacing w:val="3"/>
          <w:sz w:val="24"/>
          <w:szCs w:val="24"/>
          <w:highlight w:val="none"/>
          <w14:textFill>
            <w14:solidFill>
              <w14:schemeClr w14:val="tx1"/>
            </w14:solidFill>
          </w14:textFill>
        </w:rPr>
        <w:t>19</w:t>
      </w:r>
      <w:r>
        <w:rPr>
          <w:rFonts w:eastAsia="Times New Roman"/>
          <w:color w:val="000000" w:themeColor="text1"/>
          <w:spacing w:val="16"/>
          <w:sz w:val="24"/>
          <w:szCs w:val="24"/>
          <w:highlight w:val="none"/>
          <w14:textFill>
            <w14:solidFill>
              <w14:schemeClr w14:val="tx1"/>
            </w14:solidFill>
          </w14:textFill>
        </w:rPr>
        <w:t xml:space="preserve"> </w:t>
      </w:r>
      <w:r>
        <w:rPr>
          <w:rFonts w:ascii="宋体" w:hAnsi="宋体" w:cs="宋体"/>
          <w:color w:val="000000" w:themeColor="text1"/>
          <w:spacing w:val="3"/>
          <w:sz w:val="24"/>
          <w:szCs w:val="24"/>
          <w:highlight w:val="none"/>
          <w14:textFill>
            <w14:solidFill>
              <w14:schemeClr w14:val="tx1"/>
            </w14:solidFill>
          </w14:textFill>
        </w:rPr>
        <w:t>条约定实施缺陷修复过程中由承包人造成</w:t>
      </w:r>
      <w:r>
        <w:rPr>
          <w:rFonts w:ascii="宋体" w:hAnsi="宋体" w:cs="宋体"/>
          <w:color w:val="000000" w:themeColor="text1"/>
          <w:spacing w:val="2"/>
          <w:sz w:val="24"/>
          <w:szCs w:val="24"/>
          <w:highlight w:val="none"/>
          <w14:textFill>
            <w14:solidFill>
              <w14:schemeClr w14:val="tx1"/>
            </w14:solidFill>
          </w14:textFill>
        </w:rPr>
        <w:t>的对养护项目的任何损失或</w:t>
      </w:r>
      <w:r>
        <w:rPr>
          <w:rFonts w:ascii="宋体" w:hAnsi="宋体" w:cs="宋体"/>
          <w:color w:val="000000" w:themeColor="text1"/>
          <w:spacing w:val="-2"/>
          <w:sz w:val="24"/>
          <w:szCs w:val="24"/>
          <w:highlight w:val="none"/>
          <w14:textFill>
            <w14:solidFill>
              <w14:schemeClr w14:val="tx1"/>
            </w14:solidFill>
          </w14:textFill>
        </w:rPr>
        <w:t>损害负责。</w:t>
      </w:r>
    </w:p>
    <w:p w14:paraId="48FB453D">
      <w:pPr>
        <w:spacing w:line="219" w:lineRule="auto"/>
        <w:ind w:left="475"/>
        <w:rPr>
          <w:rFonts w:ascii="宋体" w:hAnsi="宋体" w:cs="宋体"/>
          <w:color w:val="000000" w:themeColor="text1"/>
          <w:sz w:val="24"/>
          <w:szCs w:val="24"/>
          <w:highlight w:val="none"/>
          <w14:textFill>
            <w14:solidFill>
              <w14:schemeClr w14:val="tx1"/>
            </w14:solidFill>
          </w14:textFill>
        </w:rPr>
      </w:pPr>
      <w:r>
        <w:rPr>
          <w:rFonts w:eastAsia="Times New Roman"/>
          <w:color w:val="000000" w:themeColor="text1"/>
          <w:spacing w:val="-1"/>
          <w:sz w:val="24"/>
          <w:szCs w:val="24"/>
          <w:highlight w:val="none"/>
          <w14:textFill>
            <w14:solidFill>
              <w14:schemeClr w14:val="tx1"/>
            </w14:solidFill>
          </w14:textFill>
        </w:rPr>
        <w:t xml:space="preserve">4.1.10  </w:t>
      </w:r>
      <w:r>
        <w:rPr>
          <w:rFonts w:ascii="宋体" w:hAnsi="宋体" w:cs="宋体"/>
          <w:color w:val="000000" w:themeColor="text1"/>
          <w:spacing w:val="-1"/>
          <w:sz w:val="24"/>
          <w:szCs w:val="24"/>
          <w:highlight w:val="none"/>
          <w14:textFill>
            <w14:solidFill>
              <w14:schemeClr w14:val="tx1"/>
            </w14:solidFill>
          </w14:textFill>
        </w:rPr>
        <w:t>临时占地的租用和退还</w:t>
      </w:r>
    </w:p>
    <w:p w14:paraId="172C9A41">
      <w:pPr>
        <w:spacing w:before="116" w:line="307" w:lineRule="auto"/>
        <w:ind w:left="6" w:right="58" w:firstLine="488"/>
        <w:rPr>
          <w:rFonts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pacing w:val="-1"/>
          <w:sz w:val="24"/>
          <w:szCs w:val="24"/>
          <w:highlight w:val="none"/>
          <w14:textFill>
            <w14:solidFill>
              <w14:schemeClr w14:val="tx1"/>
            </w14:solidFill>
          </w14:textFill>
        </w:rPr>
        <w:t>除专用合同条款另有约定外，承包人自行负责</w:t>
      </w:r>
      <w:r>
        <w:rPr>
          <w:rFonts w:ascii="宋体" w:hAnsi="宋体" w:cs="宋体"/>
          <w:color w:val="000000" w:themeColor="text1"/>
          <w:spacing w:val="-2"/>
          <w:sz w:val="24"/>
          <w:szCs w:val="24"/>
          <w:highlight w:val="none"/>
          <w14:textFill>
            <w14:solidFill>
              <w14:schemeClr w14:val="tx1"/>
            </w14:solidFill>
          </w14:textFill>
        </w:rPr>
        <w:t>临时占地的租用、恢复和移交，</w:t>
      </w:r>
      <w:r>
        <w:rPr>
          <w:rFonts w:ascii="宋体" w:hAnsi="宋体" w:cs="宋体"/>
          <w:color w:val="000000" w:themeColor="text1"/>
          <w:spacing w:val="-1"/>
          <w:sz w:val="24"/>
          <w:szCs w:val="24"/>
          <w:highlight w:val="none"/>
          <w14:textFill>
            <w14:solidFill>
              <w14:schemeClr w14:val="tx1"/>
            </w14:solidFill>
          </w14:textFill>
        </w:rPr>
        <w:t>并承担相关费用。发包人应尽可能协助承包人办理临时占地相关手续。</w:t>
      </w:r>
    </w:p>
    <w:p w14:paraId="5E96D9FF">
      <w:pPr>
        <w:spacing w:line="219" w:lineRule="auto"/>
        <w:ind w:left="475"/>
        <w:rPr>
          <w:rFonts w:ascii="宋体" w:hAnsi="宋体" w:cs="宋体"/>
          <w:color w:val="000000" w:themeColor="text1"/>
          <w:sz w:val="24"/>
          <w:szCs w:val="24"/>
          <w:highlight w:val="none"/>
          <w14:textFill>
            <w14:solidFill>
              <w14:schemeClr w14:val="tx1"/>
            </w14:solidFill>
          </w14:textFill>
        </w:rPr>
      </w:pPr>
      <w:r>
        <w:rPr>
          <w:rFonts w:eastAsia="Times New Roman"/>
          <w:color w:val="000000" w:themeColor="text1"/>
          <w:spacing w:val="-2"/>
          <w:sz w:val="24"/>
          <w:szCs w:val="24"/>
          <w:highlight w:val="none"/>
          <w14:textFill>
            <w14:solidFill>
              <w14:schemeClr w14:val="tx1"/>
            </w14:solidFill>
          </w14:textFill>
        </w:rPr>
        <w:t xml:space="preserve">4.1.11  </w:t>
      </w:r>
      <w:r>
        <w:rPr>
          <w:rFonts w:ascii="宋体" w:hAnsi="宋体" w:cs="宋体"/>
          <w:color w:val="000000" w:themeColor="text1"/>
          <w:spacing w:val="-2"/>
          <w:sz w:val="24"/>
          <w:szCs w:val="24"/>
          <w:highlight w:val="none"/>
          <w14:textFill>
            <w14:solidFill>
              <w14:schemeClr w14:val="tx1"/>
            </w14:solidFill>
          </w14:textFill>
        </w:rPr>
        <w:t>其他义务</w:t>
      </w:r>
    </w:p>
    <w:p w14:paraId="620C9845">
      <w:pPr>
        <w:spacing w:before="116" w:line="219" w:lineRule="auto"/>
        <w:ind w:left="480"/>
        <w:rPr>
          <w:rFonts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pacing w:val="-1"/>
          <w:sz w:val="24"/>
          <w:szCs w:val="24"/>
          <w:highlight w:val="none"/>
          <w14:textFill>
            <w14:solidFill>
              <w14:schemeClr w14:val="tx1"/>
            </w14:solidFill>
          </w14:textFill>
        </w:rPr>
        <w:t>承包人应履行专用合同条款约定的其他义务。</w:t>
      </w:r>
    </w:p>
    <w:p w14:paraId="45A3E71E">
      <w:pPr>
        <w:spacing w:before="104" w:line="220" w:lineRule="auto"/>
        <w:ind w:left="477"/>
        <w:outlineLvl w:val="3"/>
        <w:rPr>
          <w:rFonts w:ascii="宋体" w:hAnsi="宋体" w:cs="宋体"/>
          <w:color w:val="000000" w:themeColor="text1"/>
          <w:sz w:val="24"/>
          <w:szCs w:val="24"/>
          <w:highlight w:val="none"/>
          <w14:textFill>
            <w14:solidFill>
              <w14:schemeClr w14:val="tx1"/>
            </w14:solidFill>
          </w14:textFill>
        </w:rPr>
      </w:pPr>
      <w:r>
        <w:rPr>
          <w:rFonts w:eastAsia="Times New Roman"/>
          <w:b/>
          <w:bCs/>
          <w:color w:val="000000" w:themeColor="text1"/>
          <w:spacing w:val="-2"/>
          <w:sz w:val="24"/>
          <w:szCs w:val="24"/>
          <w:highlight w:val="none"/>
          <w14:textFill>
            <w14:solidFill>
              <w14:schemeClr w14:val="tx1"/>
            </w14:solidFill>
          </w14:textFill>
        </w:rPr>
        <w:t xml:space="preserve">4.2  </w:t>
      </w:r>
      <w:r>
        <w:rPr>
          <w:rFonts w:ascii="宋体" w:hAnsi="宋体" w:cs="宋体"/>
          <w:b/>
          <w:bCs/>
          <w:color w:val="000000" w:themeColor="text1"/>
          <w:spacing w:val="-2"/>
          <w:sz w:val="24"/>
          <w:szCs w:val="24"/>
          <w:highlight w:val="none"/>
          <w14:textFill>
            <w14:solidFill>
              <w14:schemeClr w14:val="tx1"/>
            </w14:solidFill>
          </w14:textFill>
        </w:rPr>
        <w:t>履约保证金</w:t>
      </w:r>
    </w:p>
    <w:p w14:paraId="523BD841">
      <w:pPr>
        <w:spacing w:before="122" w:line="286" w:lineRule="auto"/>
        <w:ind w:firstLine="474"/>
        <w:rPr>
          <w:rFonts w:ascii="宋体" w:hAnsi="宋体" w:cs="宋体"/>
          <w:color w:val="000000" w:themeColor="text1"/>
          <w:sz w:val="24"/>
          <w:szCs w:val="24"/>
          <w:highlight w:val="none"/>
          <w14:textFill>
            <w14:solidFill>
              <w14:schemeClr w14:val="tx1"/>
            </w14:solidFill>
          </w14:textFill>
        </w:rPr>
      </w:pPr>
      <w:r>
        <w:rPr>
          <w:rFonts w:eastAsia="Times New Roman"/>
          <w:color w:val="000000" w:themeColor="text1"/>
          <w:spacing w:val="4"/>
          <w:sz w:val="24"/>
          <w:szCs w:val="24"/>
          <w:highlight w:val="none"/>
          <w14:textFill>
            <w14:solidFill>
              <w14:schemeClr w14:val="tx1"/>
            </w14:solidFill>
          </w14:textFill>
        </w:rPr>
        <w:t xml:space="preserve">4.2.1  </w:t>
      </w:r>
      <w:r>
        <w:rPr>
          <w:rFonts w:ascii="宋体" w:hAnsi="宋体" w:cs="宋体"/>
          <w:color w:val="000000" w:themeColor="text1"/>
          <w:spacing w:val="4"/>
          <w:sz w:val="24"/>
          <w:szCs w:val="24"/>
          <w:highlight w:val="none"/>
          <w14:textFill>
            <w14:solidFill>
              <w14:schemeClr w14:val="tx1"/>
            </w14:solidFill>
          </w14:textFill>
        </w:rPr>
        <w:t>承包人应按照专用合同条款约定的形式、金额和期限提交履约保证金。</w:t>
      </w:r>
      <w:r>
        <w:rPr>
          <w:rFonts w:ascii="宋体" w:hAnsi="宋体" w:cs="宋体"/>
          <w:color w:val="000000" w:themeColor="text1"/>
          <w:spacing w:val="1"/>
          <w:sz w:val="24"/>
          <w:szCs w:val="24"/>
          <w:highlight w:val="none"/>
          <w14:textFill>
            <w14:solidFill>
              <w14:schemeClr w14:val="tx1"/>
            </w14:solidFill>
          </w14:textFill>
        </w:rPr>
        <w:t>承包人应保证其履约保证金在发包人签发交工验收证书且</w:t>
      </w:r>
      <w:r>
        <w:rPr>
          <w:rFonts w:ascii="宋体" w:hAnsi="宋体" w:cs="宋体"/>
          <w:color w:val="000000" w:themeColor="text1"/>
          <w:sz w:val="24"/>
          <w:szCs w:val="24"/>
          <w:highlight w:val="none"/>
          <w14:textFill>
            <w14:solidFill>
              <w14:schemeClr w14:val="tx1"/>
            </w14:solidFill>
          </w14:textFill>
        </w:rPr>
        <w:t>承包人按照合同约定缴纳</w:t>
      </w:r>
      <w:r>
        <w:rPr>
          <w:rFonts w:ascii="宋体" w:hAnsi="宋体" w:cs="宋体"/>
          <w:color w:val="000000" w:themeColor="text1"/>
          <w:spacing w:val="3"/>
          <w:sz w:val="24"/>
          <w:szCs w:val="24"/>
          <w:highlight w:val="none"/>
          <w14:textFill>
            <w14:solidFill>
              <w14:schemeClr w14:val="tx1"/>
            </w14:solidFill>
          </w14:textFill>
        </w:rPr>
        <w:t>质量保证金前一直有效。发包人应在收到承包人</w:t>
      </w:r>
      <w:r>
        <w:rPr>
          <w:rFonts w:ascii="宋体" w:hAnsi="宋体" w:cs="宋体"/>
          <w:color w:val="000000" w:themeColor="text1"/>
          <w:spacing w:val="2"/>
          <w:sz w:val="24"/>
          <w:szCs w:val="24"/>
          <w:highlight w:val="none"/>
          <w14:textFill>
            <w14:solidFill>
              <w14:schemeClr w14:val="tx1"/>
            </w14:solidFill>
          </w14:textFill>
        </w:rPr>
        <w:t>缴纳的质量保证金后</w:t>
      </w:r>
      <w:r>
        <w:rPr>
          <w:rFonts w:ascii="宋体" w:hAnsi="宋体" w:cs="宋体"/>
          <w:color w:val="000000" w:themeColor="text1"/>
          <w:spacing w:val="-27"/>
          <w:sz w:val="24"/>
          <w:szCs w:val="24"/>
          <w:highlight w:val="none"/>
          <w14:textFill>
            <w14:solidFill>
              <w14:schemeClr w14:val="tx1"/>
            </w14:solidFill>
          </w14:textFill>
        </w:rPr>
        <w:t xml:space="preserve"> </w:t>
      </w:r>
      <w:r>
        <w:rPr>
          <w:rFonts w:eastAsia="Times New Roman"/>
          <w:color w:val="000000" w:themeColor="text1"/>
          <w:spacing w:val="2"/>
          <w:sz w:val="24"/>
          <w:szCs w:val="24"/>
          <w:highlight w:val="none"/>
          <w14:textFill>
            <w14:solidFill>
              <w14:schemeClr w14:val="tx1"/>
            </w14:solidFill>
          </w14:textFill>
        </w:rPr>
        <w:t>14</w:t>
      </w:r>
      <w:r>
        <w:rPr>
          <w:rFonts w:eastAsia="Times New Roman"/>
          <w:color w:val="000000" w:themeColor="text1"/>
          <w:spacing w:val="19"/>
          <w:w w:val="101"/>
          <w:sz w:val="24"/>
          <w:szCs w:val="24"/>
          <w:highlight w:val="none"/>
          <w14:textFill>
            <w14:solidFill>
              <w14:schemeClr w14:val="tx1"/>
            </w14:solidFill>
          </w14:textFill>
        </w:rPr>
        <w:t xml:space="preserve"> </w:t>
      </w:r>
      <w:r>
        <w:rPr>
          <w:rFonts w:ascii="宋体" w:hAnsi="宋体" w:cs="宋体"/>
          <w:color w:val="000000" w:themeColor="text1"/>
          <w:spacing w:val="2"/>
          <w:sz w:val="24"/>
          <w:szCs w:val="24"/>
          <w:highlight w:val="none"/>
          <w14:textFill>
            <w14:solidFill>
              <w14:schemeClr w14:val="tx1"/>
            </w14:solidFill>
          </w14:textFill>
        </w:rPr>
        <w:t>天内将履</w:t>
      </w:r>
      <w:r>
        <w:rPr>
          <w:rFonts w:ascii="宋体" w:hAnsi="宋体" w:cs="宋体"/>
          <w:color w:val="000000" w:themeColor="text1"/>
          <w:spacing w:val="-1"/>
          <w:sz w:val="24"/>
          <w:szCs w:val="24"/>
          <w:highlight w:val="none"/>
          <w14:textFill>
            <w14:solidFill>
              <w14:schemeClr w14:val="tx1"/>
            </w14:solidFill>
          </w14:textFill>
        </w:rPr>
        <w:t>约保证金退还给承包人。</w:t>
      </w:r>
    </w:p>
    <w:p w14:paraId="7F81D609">
      <w:pPr>
        <w:spacing w:before="116" w:line="278" w:lineRule="auto"/>
        <w:ind w:firstLine="475"/>
        <w:rPr>
          <w:rFonts w:ascii="宋体" w:hAnsi="宋体" w:cs="宋体"/>
          <w:color w:val="000000" w:themeColor="text1"/>
          <w:sz w:val="24"/>
          <w:szCs w:val="24"/>
          <w:highlight w:val="none"/>
          <w14:textFill>
            <w14:solidFill>
              <w14:schemeClr w14:val="tx1"/>
            </w14:solidFill>
          </w14:textFill>
        </w:rPr>
      </w:pPr>
      <w:r>
        <w:rPr>
          <w:rFonts w:eastAsia="Times New Roman"/>
          <w:color w:val="000000" w:themeColor="text1"/>
          <w:spacing w:val="4"/>
          <w:sz w:val="24"/>
          <w:szCs w:val="24"/>
          <w:highlight w:val="none"/>
          <w14:textFill>
            <w14:solidFill>
              <w14:schemeClr w14:val="tx1"/>
            </w14:solidFill>
          </w14:textFill>
        </w:rPr>
        <w:t xml:space="preserve">4.2.2  </w:t>
      </w:r>
      <w:r>
        <w:rPr>
          <w:rFonts w:ascii="宋体" w:hAnsi="宋体" w:cs="宋体"/>
          <w:color w:val="000000" w:themeColor="text1"/>
          <w:spacing w:val="4"/>
          <w:sz w:val="24"/>
          <w:szCs w:val="24"/>
          <w:highlight w:val="none"/>
          <w14:textFill>
            <w14:solidFill>
              <w14:schemeClr w14:val="tx1"/>
            </w14:solidFill>
          </w14:textFill>
        </w:rPr>
        <w:t>承包人拒绝按照本合同约定缴纳质量保证金的，发包人有权从</w:t>
      </w:r>
      <w:r>
        <w:rPr>
          <w:rFonts w:ascii="宋体" w:hAnsi="宋体" w:cs="宋体"/>
          <w:color w:val="000000" w:themeColor="text1"/>
          <w:spacing w:val="3"/>
          <w:sz w:val="24"/>
          <w:szCs w:val="24"/>
          <w:highlight w:val="none"/>
          <w14:textFill>
            <w14:solidFill>
              <w14:schemeClr w14:val="tx1"/>
            </w14:solidFill>
          </w14:textFill>
        </w:rPr>
        <w:t>交工付款</w:t>
      </w:r>
      <w:r>
        <w:rPr>
          <w:rFonts w:ascii="宋体" w:hAnsi="宋体" w:cs="宋体"/>
          <w:color w:val="000000" w:themeColor="text1"/>
          <w:spacing w:val="1"/>
          <w:sz w:val="24"/>
          <w:szCs w:val="24"/>
          <w:highlight w:val="none"/>
          <w14:textFill>
            <w14:solidFill>
              <w14:schemeClr w14:val="tx1"/>
            </w14:solidFill>
          </w14:textFill>
        </w:rPr>
        <w:t>证书中扣留相应金额作为质量保证金，或者直接将履约保证</w:t>
      </w:r>
      <w:r>
        <w:rPr>
          <w:rFonts w:ascii="宋体" w:hAnsi="宋体" w:cs="宋体"/>
          <w:color w:val="000000" w:themeColor="text1"/>
          <w:sz w:val="24"/>
          <w:szCs w:val="24"/>
          <w:highlight w:val="none"/>
          <w14:textFill>
            <w14:solidFill>
              <w14:schemeClr w14:val="tx1"/>
            </w14:solidFill>
          </w14:textFill>
        </w:rPr>
        <w:t>金金额用于保证承包人</w:t>
      </w:r>
      <w:r>
        <w:rPr>
          <w:rFonts w:ascii="宋体" w:hAnsi="宋体" w:cs="宋体"/>
          <w:color w:val="000000" w:themeColor="text1"/>
          <w:spacing w:val="-1"/>
          <w:sz w:val="24"/>
          <w:szCs w:val="24"/>
          <w:highlight w:val="none"/>
          <w14:textFill>
            <w14:solidFill>
              <w14:schemeClr w14:val="tx1"/>
            </w14:solidFill>
          </w14:textFill>
        </w:rPr>
        <w:t>在缺陷责任期内履行缺陷修复义务。</w:t>
      </w:r>
    </w:p>
    <w:p w14:paraId="399AED04">
      <w:pPr>
        <w:spacing w:before="106" w:line="220" w:lineRule="auto"/>
        <w:ind w:left="477"/>
        <w:outlineLvl w:val="3"/>
        <w:rPr>
          <w:rFonts w:ascii="宋体" w:hAnsi="宋体" w:cs="宋体"/>
          <w:color w:val="000000" w:themeColor="text1"/>
          <w:sz w:val="24"/>
          <w:szCs w:val="24"/>
          <w:highlight w:val="none"/>
          <w14:textFill>
            <w14:solidFill>
              <w14:schemeClr w14:val="tx1"/>
            </w14:solidFill>
          </w14:textFill>
        </w:rPr>
      </w:pPr>
      <w:r>
        <w:rPr>
          <w:rFonts w:eastAsia="Times New Roman"/>
          <w:b/>
          <w:bCs/>
          <w:color w:val="000000" w:themeColor="text1"/>
          <w:spacing w:val="-2"/>
          <w:sz w:val="24"/>
          <w:szCs w:val="24"/>
          <w:highlight w:val="none"/>
          <w14:textFill>
            <w14:solidFill>
              <w14:schemeClr w14:val="tx1"/>
            </w14:solidFill>
          </w14:textFill>
        </w:rPr>
        <w:t xml:space="preserve">4.3  </w:t>
      </w:r>
      <w:r>
        <w:rPr>
          <w:rFonts w:ascii="宋体" w:hAnsi="宋体" w:cs="宋体"/>
          <w:b/>
          <w:bCs/>
          <w:color w:val="000000" w:themeColor="text1"/>
          <w:spacing w:val="-2"/>
          <w:sz w:val="24"/>
          <w:szCs w:val="24"/>
          <w:highlight w:val="none"/>
          <w14:textFill>
            <w14:solidFill>
              <w14:schemeClr w14:val="tx1"/>
            </w14:solidFill>
          </w14:textFill>
        </w:rPr>
        <w:t>转包、分包</w:t>
      </w:r>
    </w:p>
    <w:p w14:paraId="56956B25">
      <w:pPr>
        <w:spacing w:before="121" w:line="264" w:lineRule="auto"/>
        <w:ind w:left="1" w:right="2" w:firstLine="473"/>
        <w:rPr>
          <w:rFonts w:ascii="宋体" w:hAnsi="宋体" w:cs="宋体"/>
          <w:color w:val="000000" w:themeColor="text1"/>
          <w:sz w:val="24"/>
          <w:szCs w:val="24"/>
          <w:highlight w:val="none"/>
          <w14:textFill>
            <w14:solidFill>
              <w14:schemeClr w14:val="tx1"/>
            </w14:solidFill>
          </w14:textFill>
        </w:rPr>
      </w:pPr>
      <w:r>
        <w:rPr>
          <w:rFonts w:eastAsia="Times New Roman"/>
          <w:color w:val="000000" w:themeColor="text1"/>
          <w:spacing w:val="4"/>
          <w:sz w:val="24"/>
          <w:szCs w:val="24"/>
          <w:highlight w:val="none"/>
          <w14:textFill>
            <w14:solidFill>
              <w14:schemeClr w14:val="tx1"/>
            </w14:solidFill>
          </w14:textFill>
        </w:rPr>
        <w:t xml:space="preserve">4.3.1  </w:t>
      </w:r>
      <w:r>
        <w:rPr>
          <w:rFonts w:ascii="宋体" w:hAnsi="宋体" w:cs="宋体"/>
          <w:color w:val="000000" w:themeColor="text1"/>
          <w:spacing w:val="4"/>
          <w:sz w:val="24"/>
          <w:szCs w:val="24"/>
          <w:highlight w:val="none"/>
          <w14:textFill>
            <w14:solidFill>
              <w14:schemeClr w14:val="tx1"/>
            </w14:solidFill>
          </w14:textFill>
        </w:rPr>
        <w:t>承包人不得将其承包的养护项目全部工作转包给第三人，或将</w:t>
      </w:r>
      <w:r>
        <w:rPr>
          <w:rFonts w:ascii="宋体" w:hAnsi="宋体" w:cs="宋体"/>
          <w:color w:val="000000" w:themeColor="text1"/>
          <w:spacing w:val="3"/>
          <w:sz w:val="24"/>
          <w:szCs w:val="24"/>
          <w:highlight w:val="none"/>
          <w14:textFill>
            <w14:solidFill>
              <w14:schemeClr w14:val="tx1"/>
            </w14:solidFill>
          </w14:textFill>
        </w:rPr>
        <w:t>其承包的</w:t>
      </w:r>
      <w:r>
        <w:rPr>
          <w:rFonts w:ascii="宋体" w:hAnsi="宋体" w:cs="宋体"/>
          <w:color w:val="000000" w:themeColor="text1"/>
          <w:spacing w:val="-1"/>
          <w:sz w:val="24"/>
          <w:szCs w:val="24"/>
          <w:highlight w:val="none"/>
          <w14:textFill>
            <w14:solidFill>
              <w14:schemeClr w14:val="tx1"/>
            </w14:solidFill>
          </w14:textFill>
        </w:rPr>
        <w:t>养护项目中的全部工作支解后以分包的名义转包给第三人。</w:t>
      </w:r>
    </w:p>
    <w:p w14:paraId="0F36FD73">
      <w:pPr>
        <w:spacing w:before="116" w:line="219" w:lineRule="auto"/>
        <w:ind w:left="475"/>
        <w:rPr>
          <w:rFonts w:ascii="宋体" w:hAnsi="宋体" w:cs="宋体"/>
          <w:color w:val="000000" w:themeColor="text1"/>
          <w:sz w:val="24"/>
          <w:szCs w:val="24"/>
          <w:highlight w:val="none"/>
          <w14:textFill>
            <w14:solidFill>
              <w14:schemeClr w14:val="tx1"/>
            </w14:solidFill>
          </w14:textFill>
        </w:rPr>
      </w:pPr>
      <w:r>
        <w:rPr>
          <w:rFonts w:eastAsia="Times New Roman"/>
          <w:color w:val="000000" w:themeColor="text1"/>
          <w:sz w:val="24"/>
          <w:szCs w:val="24"/>
          <w:highlight w:val="none"/>
          <w14:textFill>
            <w14:solidFill>
              <w14:schemeClr w14:val="tx1"/>
            </w14:solidFill>
          </w14:textFill>
        </w:rPr>
        <w:t xml:space="preserve">4.3.2  </w:t>
      </w:r>
      <w:r>
        <w:rPr>
          <w:rFonts w:ascii="宋体" w:hAnsi="宋体" w:cs="宋体"/>
          <w:color w:val="000000" w:themeColor="text1"/>
          <w:sz w:val="24"/>
          <w:szCs w:val="24"/>
          <w:highlight w:val="none"/>
          <w14:textFill>
            <w14:solidFill>
              <w14:schemeClr w14:val="tx1"/>
            </w14:solidFill>
          </w14:textFill>
        </w:rPr>
        <w:t>承包人不得将专用合同条款约定的养护项目分包</w:t>
      </w:r>
      <w:r>
        <w:rPr>
          <w:rFonts w:ascii="宋体" w:hAnsi="宋体" w:cs="宋体"/>
          <w:color w:val="000000" w:themeColor="text1"/>
          <w:spacing w:val="-1"/>
          <w:sz w:val="24"/>
          <w:szCs w:val="24"/>
          <w:highlight w:val="none"/>
          <w14:textFill>
            <w14:solidFill>
              <w14:schemeClr w14:val="tx1"/>
            </w14:solidFill>
          </w14:textFill>
        </w:rPr>
        <w:t>给第三人。</w:t>
      </w:r>
    </w:p>
    <w:p w14:paraId="6A7F92C5">
      <w:pPr>
        <w:spacing w:before="116" w:line="285" w:lineRule="auto"/>
        <w:ind w:firstLine="474"/>
        <w:rPr>
          <w:rFonts w:ascii="宋体" w:hAnsi="宋体" w:cs="宋体"/>
          <w:color w:val="000000" w:themeColor="text1"/>
          <w:sz w:val="24"/>
          <w:szCs w:val="24"/>
          <w:highlight w:val="none"/>
          <w14:textFill>
            <w14:solidFill>
              <w14:schemeClr w14:val="tx1"/>
            </w14:solidFill>
          </w14:textFill>
        </w:rPr>
      </w:pPr>
      <w:r>
        <w:rPr>
          <w:rFonts w:eastAsia="Times New Roman"/>
          <w:color w:val="000000" w:themeColor="text1"/>
          <w:spacing w:val="4"/>
          <w:sz w:val="24"/>
          <w:szCs w:val="24"/>
          <w:highlight w:val="none"/>
          <w14:textFill>
            <w14:solidFill>
              <w14:schemeClr w14:val="tx1"/>
            </w14:solidFill>
          </w14:textFill>
        </w:rPr>
        <w:t xml:space="preserve">4.3.3  </w:t>
      </w:r>
      <w:r>
        <w:rPr>
          <w:rFonts w:ascii="宋体" w:hAnsi="宋体" w:cs="宋体"/>
          <w:color w:val="000000" w:themeColor="text1"/>
          <w:spacing w:val="4"/>
          <w:sz w:val="24"/>
          <w:szCs w:val="24"/>
          <w:highlight w:val="none"/>
          <w14:textFill>
            <w14:solidFill>
              <w14:schemeClr w14:val="tx1"/>
            </w14:solidFill>
          </w14:textFill>
        </w:rPr>
        <w:t>承包人拟进行分包的，应向咨询人提出申请并经发包人同意后</w:t>
      </w:r>
      <w:r>
        <w:rPr>
          <w:rFonts w:ascii="宋体" w:hAnsi="宋体" w:cs="宋体"/>
          <w:color w:val="000000" w:themeColor="text1"/>
          <w:spacing w:val="3"/>
          <w:sz w:val="24"/>
          <w:szCs w:val="24"/>
          <w:highlight w:val="none"/>
          <w14:textFill>
            <w14:solidFill>
              <w14:schemeClr w14:val="tx1"/>
            </w14:solidFill>
          </w14:textFill>
        </w:rPr>
        <w:t>，方可在</w:t>
      </w:r>
      <w:r>
        <w:rPr>
          <w:rFonts w:ascii="宋体" w:hAnsi="宋体" w:cs="宋体"/>
          <w:color w:val="000000" w:themeColor="text1"/>
          <w:spacing w:val="1"/>
          <w:sz w:val="24"/>
          <w:szCs w:val="24"/>
          <w:highlight w:val="none"/>
          <w14:textFill>
            <w14:solidFill>
              <w14:schemeClr w14:val="tx1"/>
            </w14:solidFill>
          </w14:textFill>
        </w:rPr>
        <w:t>合同约定的范围内进行分包。分包人的资格能力应与</w:t>
      </w:r>
      <w:r>
        <w:rPr>
          <w:rFonts w:ascii="宋体" w:hAnsi="宋体" w:cs="宋体"/>
          <w:color w:val="000000" w:themeColor="text1"/>
          <w:sz w:val="24"/>
          <w:szCs w:val="24"/>
          <w:highlight w:val="none"/>
          <w14:textFill>
            <w14:solidFill>
              <w14:schemeClr w14:val="tx1"/>
            </w14:solidFill>
          </w14:textFill>
        </w:rPr>
        <w:t>其分包工作的标准和规模相适</w:t>
      </w:r>
      <w:r>
        <w:rPr>
          <w:rFonts w:ascii="宋体" w:hAnsi="宋体" w:cs="宋体"/>
          <w:color w:val="000000" w:themeColor="text1"/>
          <w:spacing w:val="1"/>
          <w:sz w:val="24"/>
          <w:szCs w:val="24"/>
          <w:highlight w:val="none"/>
          <w14:textFill>
            <w14:solidFill>
              <w14:schemeClr w14:val="tx1"/>
            </w14:solidFill>
          </w14:textFill>
        </w:rPr>
        <w:t>应，且满足专用合同条款约定的相关条件。承包人应向咨</w:t>
      </w:r>
      <w:r>
        <w:rPr>
          <w:rFonts w:ascii="宋体" w:hAnsi="宋体" w:cs="宋体"/>
          <w:color w:val="000000" w:themeColor="text1"/>
          <w:sz w:val="24"/>
          <w:szCs w:val="24"/>
          <w:highlight w:val="none"/>
          <w14:textFill>
            <w14:solidFill>
              <w14:schemeClr w14:val="tx1"/>
            </w14:solidFill>
          </w14:textFill>
        </w:rPr>
        <w:t>询人提交分包人的资格证</w:t>
      </w:r>
      <w:r>
        <w:rPr>
          <w:rFonts w:ascii="宋体" w:hAnsi="宋体" w:cs="宋体"/>
          <w:color w:val="000000" w:themeColor="text1"/>
          <w:spacing w:val="-1"/>
          <w:sz w:val="24"/>
          <w:szCs w:val="24"/>
          <w:highlight w:val="none"/>
          <w14:textFill>
            <w14:solidFill>
              <w14:schemeClr w14:val="tx1"/>
            </w14:solidFill>
          </w14:textFill>
        </w:rPr>
        <w:t>明材料，经咨询人审查同意后报发包人批准。</w:t>
      </w:r>
    </w:p>
    <w:p w14:paraId="59829335">
      <w:pPr>
        <w:spacing w:before="117" w:line="307" w:lineRule="auto"/>
        <w:ind w:left="25" w:right="2" w:firstLine="450"/>
        <w:rPr>
          <w:rFonts w:ascii="宋体" w:hAnsi="宋体" w:cs="宋体"/>
          <w:color w:val="000000" w:themeColor="text1"/>
          <w:sz w:val="24"/>
          <w:szCs w:val="24"/>
          <w:highlight w:val="none"/>
          <w14:textFill>
            <w14:solidFill>
              <w14:schemeClr w14:val="tx1"/>
            </w14:solidFill>
          </w14:textFill>
        </w:rPr>
      </w:pPr>
      <w:r>
        <w:rPr>
          <w:rFonts w:eastAsia="Times New Roman"/>
          <w:color w:val="000000" w:themeColor="text1"/>
          <w:spacing w:val="4"/>
          <w:sz w:val="24"/>
          <w:szCs w:val="24"/>
          <w:highlight w:val="none"/>
          <w14:textFill>
            <w14:solidFill>
              <w14:schemeClr w14:val="tx1"/>
            </w14:solidFill>
          </w14:textFill>
        </w:rPr>
        <w:t xml:space="preserve">4.3.4  </w:t>
      </w:r>
      <w:r>
        <w:rPr>
          <w:rFonts w:ascii="宋体" w:hAnsi="宋体" w:cs="宋体"/>
          <w:color w:val="000000" w:themeColor="text1"/>
          <w:spacing w:val="4"/>
          <w:sz w:val="24"/>
          <w:szCs w:val="24"/>
          <w:highlight w:val="none"/>
          <w14:textFill>
            <w14:solidFill>
              <w14:schemeClr w14:val="tx1"/>
            </w14:solidFill>
          </w14:textFill>
        </w:rPr>
        <w:t>分包不减轻或免除承包人的责任和义务，承包人应与分包人就</w:t>
      </w:r>
      <w:r>
        <w:rPr>
          <w:rFonts w:ascii="宋体" w:hAnsi="宋体" w:cs="宋体"/>
          <w:color w:val="000000" w:themeColor="text1"/>
          <w:spacing w:val="3"/>
          <w:sz w:val="24"/>
          <w:szCs w:val="24"/>
          <w:highlight w:val="none"/>
          <w14:textFill>
            <w14:solidFill>
              <w14:schemeClr w14:val="tx1"/>
            </w14:solidFill>
          </w14:textFill>
        </w:rPr>
        <w:t>分包工作</w:t>
      </w:r>
      <w:r>
        <w:rPr>
          <w:rFonts w:ascii="宋体" w:hAnsi="宋体" w:cs="宋体"/>
          <w:color w:val="000000" w:themeColor="text1"/>
          <w:spacing w:val="-4"/>
          <w:sz w:val="24"/>
          <w:szCs w:val="24"/>
          <w:highlight w:val="none"/>
          <w14:textFill>
            <w14:solidFill>
              <w14:schemeClr w14:val="tx1"/>
            </w14:solidFill>
          </w14:textFill>
        </w:rPr>
        <w:t>向发包人承担连带责任。</w:t>
      </w:r>
    </w:p>
    <w:p w14:paraId="0E812655">
      <w:pPr>
        <w:spacing w:before="2" w:line="304" w:lineRule="auto"/>
        <w:ind w:left="4" w:right="2" w:firstLine="470"/>
        <w:rPr>
          <w:rFonts w:ascii="宋体" w:hAnsi="宋体" w:cs="宋体"/>
          <w:color w:val="000000" w:themeColor="text1"/>
          <w:sz w:val="24"/>
          <w:szCs w:val="24"/>
          <w:highlight w:val="none"/>
          <w14:textFill>
            <w14:solidFill>
              <w14:schemeClr w14:val="tx1"/>
            </w14:solidFill>
          </w14:textFill>
        </w:rPr>
      </w:pPr>
      <w:r>
        <w:rPr>
          <w:rFonts w:eastAsia="Times New Roman"/>
          <w:color w:val="000000" w:themeColor="text1"/>
          <w:spacing w:val="4"/>
          <w:sz w:val="24"/>
          <w:szCs w:val="24"/>
          <w:highlight w:val="none"/>
          <w14:textFill>
            <w14:solidFill>
              <w14:schemeClr w14:val="tx1"/>
            </w14:solidFill>
          </w14:textFill>
        </w:rPr>
        <w:t xml:space="preserve">4.3.5  </w:t>
      </w:r>
      <w:r>
        <w:rPr>
          <w:rFonts w:ascii="宋体" w:hAnsi="宋体" w:cs="宋体"/>
          <w:color w:val="000000" w:themeColor="text1"/>
          <w:spacing w:val="4"/>
          <w:sz w:val="24"/>
          <w:szCs w:val="24"/>
          <w:highlight w:val="none"/>
          <w14:textFill>
            <w14:solidFill>
              <w14:schemeClr w14:val="tx1"/>
            </w14:solidFill>
          </w14:textFill>
        </w:rPr>
        <w:t>承包人应妥善处理其与分包人之间的合同争议、纠纷，并保障</w:t>
      </w:r>
      <w:r>
        <w:rPr>
          <w:rFonts w:ascii="宋体" w:hAnsi="宋体" w:cs="宋体"/>
          <w:color w:val="000000" w:themeColor="text1"/>
          <w:spacing w:val="3"/>
          <w:sz w:val="24"/>
          <w:szCs w:val="24"/>
          <w:highlight w:val="none"/>
          <w14:textFill>
            <w14:solidFill>
              <w14:schemeClr w14:val="tx1"/>
            </w14:solidFill>
          </w14:textFill>
        </w:rPr>
        <w:t>发包人免</w:t>
      </w:r>
      <w:r>
        <w:rPr>
          <w:rFonts w:ascii="宋体" w:hAnsi="宋体" w:cs="宋体"/>
          <w:color w:val="000000" w:themeColor="text1"/>
          <w:spacing w:val="-2"/>
          <w:sz w:val="24"/>
          <w:szCs w:val="24"/>
          <w:highlight w:val="none"/>
          <w14:textFill>
            <w14:solidFill>
              <w14:schemeClr w14:val="tx1"/>
            </w14:solidFill>
          </w14:textFill>
        </w:rPr>
        <w:t>于承担相应法律责任。</w:t>
      </w:r>
    </w:p>
    <w:p w14:paraId="63D8820E">
      <w:pPr>
        <w:spacing w:before="1" w:line="220" w:lineRule="auto"/>
        <w:ind w:left="477"/>
        <w:outlineLvl w:val="3"/>
        <w:rPr>
          <w:rFonts w:ascii="宋体" w:hAnsi="宋体" w:cs="宋体"/>
          <w:color w:val="000000" w:themeColor="text1"/>
          <w:sz w:val="24"/>
          <w:szCs w:val="24"/>
          <w:highlight w:val="none"/>
          <w14:textFill>
            <w14:solidFill>
              <w14:schemeClr w14:val="tx1"/>
            </w14:solidFill>
          </w14:textFill>
        </w:rPr>
      </w:pPr>
      <w:r>
        <w:rPr>
          <w:rFonts w:eastAsia="Times New Roman"/>
          <w:b/>
          <w:bCs/>
          <w:color w:val="000000" w:themeColor="text1"/>
          <w:spacing w:val="-4"/>
          <w:sz w:val="24"/>
          <w:szCs w:val="24"/>
          <w:highlight w:val="none"/>
          <w14:textFill>
            <w14:solidFill>
              <w14:schemeClr w14:val="tx1"/>
            </w14:solidFill>
          </w14:textFill>
        </w:rPr>
        <w:t>4.4</w:t>
      </w:r>
      <w:r>
        <w:rPr>
          <w:rFonts w:eastAsia="Times New Roman"/>
          <w:b/>
          <w:bCs/>
          <w:color w:val="000000" w:themeColor="text1"/>
          <w:spacing w:val="11"/>
          <w:sz w:val="24"/>
          <w:szCs w:val="24"/>
          <w:highlight w:val="none"/>
          <w14:textFill>
            <w14:solidFill>
              <w14:schemeClr w14:val="tx1"/>
            </w14:solidFill>
          </w14:textFill>
        </w:rPr>
        <w:t xml:space="preserve"> </w:t>
      </w:r>
      <w:r>
        <w:rPr>
          <w:rFonts w:ascii="宋体" w:hAnsi="宋体" w:cs="宋体"/>
          <w:b/>
          <w:bCs/>
          <w:color w:val="000000" w:themeColor="text1"/>
          <w:spacing w:val="-4"/>
          <w:sz w:val="24"/>
          <w:szCs w:val="24"/>
          <w:highlight w:val="none"/>
          <w14:textFill>
            <w14:solidFill>
              <w14:schemeClr w14:val="tx1"/>
            </w14:solidFill>
          </w14:textFill>
        </w:rPr>
        <w:t>联合体</w:t>
      </w:r>
    </w:p>
    <w:p w14:paraId="34227A46">
      <w:pPr>
        <w:spacing w:before="121" w:line="264" w:lineRule="auto"/>
        <w:ind w:right="2" w:firstLine="474"/>
        <w:rPr>
          <w:rFonts w:ascii="宋体" w:hAnsi="宋体" w:cs="宋体"/>
          <w:color w:val="000000" w:themeColor="text1"/>
          <w:sz w:val="24"/>
          <w:szCs w:val="24"/>
          <w:highlight w:val="none"/>
          <w14:textFill>
            <w14:solidFill>
              <w14:schemeClr w14:val="tx1"/>
            </w14:solidFill>
          </w14:textFill>
        </w:rPr>
      </w:pPr>
      <w:r>
        <w:rPr>
          <w:rFonts w:eastAsia="Times New Roman"/>
          <w:color w:val="000000" w:themeColor="text1"/>
          <w:spacing w:val="4"/>
          <w:sz w:val="24"/>
          <w:szCs w:val="24"/>
          <w:highlight w:val="none"/>
          <w14:textFill>
            <w14:solidFill>
              <w14:schemeClr w14:val="tx1"/>
            </w14:solidFill>
          </w14:textFill>
        </w:rPr>
        <w:t xml:space="preserve">4.4.1  </w:t>
      </w:r>
      <w:r>
        <w:rPr>
          <w:rFonts w:ascii="宋体" w:hAnsi="宋体" w:cs="宋体"/>
          <w:color w:val="000000" w:themeColor="text1"/>
          <w:spacing w:val="4"/>
          <w:sz w:val="24"/>
          <w:szCs w:val="24"/>
          <w:highlight w:val="none"/>
          <w14:textFill>
            <w14:solidFill>
              <w14:schemeClr w14:val="tx1"/>
            </w14:solidFill>
          </w14:textFill>
        </w:rPr>
        <w:t>联合体各方应共同与发包人签订合同协议书。联合体各方应为</w:t>
      </w:r>
      <w:r>
        <w:rPr>
          <w:rFonts w:ascii="宋体" w:hAnsi="宋体" w:cs="宋体"/>
          <w:color w:val="000000" w:themeColor="text1"/>
          <w:spacing w:val="3"/>
          <w:sz w:val="24"/>
          <w:szCs w:val="24"/>
          <w:highlight w:val="none"/>
          <w14:textFill>
            <w14:solidFill>
              <w14:schemeClr w14:val="tx1"/>
            </w14:solidFill>
          </w14:textFill>
        </w:rPr>
        <w:t>履行合同</w:t>
      </w:r>
      <w:r>
        <w:rPr>
          <w:rFonts w:ascii="宋体" w:hAnsi="宋体" w:cs="宋体"/>
          <w:color w:val="000000" w:themeColor="text1"/>
          <w:spacing w:val="-2"/>
          <w:sz w:val="24"/>
          <w:szCs w:val="24"/>
          <w:highlight w:val="none"/>
          <w14:textFill>
            <w14:solidFill>
              <w14:schemeClr w14:val="tx1"/>
            </w14:solidFill>
          </w14:textFill>
        </w:rPr>
        <w:t>承担连带责任。</w:t>
      </w:r>
    </w:p>
    <w:p w14:paraId="5C52348F">
      <w:pPr>
        <w:spacing w:before="115" w:line="278" w:lineRule="auto"/>
        <w:ind w:firstLine="474"/>
        <w:rPr>
          <w:color w:val="000000" w:themeColor="text1"/>
          <w:highlight w:val="none"/>
          <w14:textFill>
            <w14:solidFill>
              <w14:schemeClr w14:val="tx1"/>
            </w14:solidFill>
          </w14:textFill>
        </w:rPr>
      </w:pPr>
      <w:r>
        <w:rPr>
          <w:rFonts w:eastAsia="Times New Roman"/>
          <w:color w:val="000000" w:themeColor="text1"/>
          <w:spacing w:val="4"/>
          <w:sz w:val="24"/>
          <w:szCs w:val="24"/>
          <w:highlight w:val="none"/>
          <w14:textFill>
            <w14:solidFill>
              <w14:schemeClr w14:val="tx1"/>
            </w14:solidFill>
          </w14:textFill>
        </w:rPr>
        <w:t xml:space="preserve">4.4.2  </w:t>
      </w:r>
      <w:r>
        <w:rPr>
          <w:rFonts w:ascii="宋体" w:hAnsi="宋体" w:cs="宋体"/>
          <w:color w:val="000000" w:themeColor="text1"/>
          <w:spacing w:val="4"/>
          <w:sz w:val="24"/>
          <w:szCs w:val="24"/>
          <w:highlight w:val="none"/>
          <w14:textFill>
            <w14:solidFill>
              <w14:schemeClr w14:val="tx1"/>
            </w14:solidFill>
          </w14:textFill>
        </w:rPr>
        <w:t>联合体协议经发包人确认后作为合同附件。在履行合同过程中，未经发</w:t>
      </w:r>
      <w:r>
        <w:rPr>
          <w:rFonts w:ascii="宋体" w:hAnsi="宋体" w:cs="宋体"/>
          <w:color w:val="000000" w:themeColor="text1"/>
          <w:spacing w:val="1"/>
          <w:sz w:val="24"/>
          <w:szCs w:val="24"/>
          <w:highlight w:val="none"/>
          <w14:textFill>
            <w14:solidFill>
              <w14:schemeClr w14:val="tx1"/>
            </w14:solidFill>
          </w14:textFill>
        </w:rPr>
        <w:t>包人同意，不得变更联合体成员和其负责的工作范围</w:t>
      </w:r>
      <w:r>
        <w:rPr>
          <w:rFonts w:ascii="宋体" w:hAnsi="宋体" w:cs="宋体"/>
          <w:color w:val="000000" w:themeColor="text1"/>
          <w:sz w:val="24"/>
          <w:szCs w:val="24"/>
          <w:highlight w:val="none"/>
          <w14:textFill>
            <w14:solidFill>
              <w14:schemeClr w14:val="tx1"/>
            </w14:solidFill>
          </w14:textFill>
        </w:rPr>
        <w:t>，或者修改联合体协议中与本</w:t>
      </w:r>
      <w:r>
        <w:rPr>
          <w:rFonts w:ascii="宋体" w:hAnsi="宋体" w:cs="宋体"/>
          <w:color w:val="000000" w:themeColor="text1"/>
          <w:spacing w:val="-1"/>
          <w:sz w:val="24"/>
          <w:szCs w:val="24"/>
          <w:highlight w:val="none"/>
          <w14:textFill>
            <w14:solidFill>
              <w14:schemeClr w14:val="tx1"/>
            </w14:solidFill>
          </w14:textFill>
        </w:rPr>
        <w:t>合同履行相关的内容。</w:t>
      </w:r>
    </w:p>
    <w:p w14:paraId="187E3572">
      <w:pPr>
        <w:spacing w:before="78" w:line="263" w:lineRule="auto"/>
        <w:ind w:right="147" w:firstLine="476"/>
        <w:rPr>
          <w:rFonts w:ascii="宋体" w:hAnsi="宋体" w:cs="宋体"/>
          <w:color w:val="000000" w:themeColor="text1"/>
          <w:sz w:val="24"/>
          <w:szCs w:val="24"/>
          <w:highlight w:val="none"/>
          <w14:textFill>
            <w14:solidFill>
              <w14:schemeClr w14:val="tx1"/>
            </w14:solidFill>
          </w14:textFill>
        </w:rPr>
      </w:pPr>
      <w:bookmarkStart w:id="113" w:name="bookmark216"/>
      <w:bookmarkEnd w:id="113"/>
      <w:r>
        <w:rPr>
          <w:rFonts w:eastAsia="Times New Roman"/>
          <w:color w:val="000000" w:themeColor="text1"/>
          <w:spacing w:val="4"/>
          <w:sz w:val="24"/>
          <w:szCs w:val="24"/>
          <w:highlight w:val="none"/>
          <w14:textFill>
            <w14:solidFill>
              <w14:schemeClr w14:val="tx1"/>
            </w14:solidFill>
          </w14:textFill>
        </w:rPr>
        <w:t xml:space="preserve">4.4.3  </w:t>
      </w:r>
      <w:r>
        <w:rPr>
          <w:rFonts w:ascii="宋体" w:hAnsi="宋体" w:cs="宋体"/>
          <w:color w:val="000000" w:themeColor="text1"/>
          <w:spacing w:val="4"/>
          <w:sz w:val="24"/>
          <w:szCs w:val="24"/>
          <w:highlight w:val="none"/>
          <w14:textFill>
            <w14:solidFill>
              <w14:schemeClr w14:val="tx1"/>
            </w14:solidFill>
          </w14:textFill>
        </w:rPr>
        <w:t>联合体牵头人负责与发包人和咨询人联系、接受指示，并向联</w:t>
      </w:r>
      <w:r>
        <w:rPr>
          <w:rFonts w:ascii="宋体" w:hAnsi="宋体" w:cs="宋体"/>
          <w:color w:val="000000" w:themeColor="text1"/>
          <w:spacing w:val="3"/>
          <w:sz w:val="24"/>
          <w:szCs w:val="24"/>
          <w:highlight w:val="none"/>
          <w14:textFill>
            <w14:solidFill>
              <w14:schemeClr w14:val="tx1"/>
            </w14:solidFill>
          </w14:textFill>
        </w:rPr>
        <w:t>合体各方</w:t>
      </w:r>
      <w:r>
        <w:rPr>
          <w:rFonts w:ascii="宋体" w:hAnsi="宋体" w:cs="宋体"/>
          <w:color w:val="000000" w:themeColor="text1"/>
          <w:sz w:val="24"/>
          <w:szCs w:val="24"/>
          <w:highlight w:val="none"/>
          <w14:textFill>
            <w14:solidFill>
              <w14:schemeClr w14:val="tx1"/>
            </w14:solidFill>
          </w14:textFill>
        </w:rPr>
        <w:t>传达发包人指示、下达工作指令，负责组织联合体各</w:t>
      </w:r>
      <w:r>
        <w:rPr>
          <w:rFonts w:ascii="宋体" w:hAnsi="宋体" w:cs="宋体"/>
          <w:color w:val="000000" w:themeColor="text1"/>
          <w:spacing w:val="-1"/>
          <w:sz w:val="24"/>
          <w:szCs w:val="24"/>
          <w:highlight w:val="none"/>
          <w14:textFill>
            <w14:solidFill>
              <w14:schemeClr w14:val="tx1"/>
            </w14:solidFill>
          </w14:textFill>
        </w:rPr>
        <w:t>成员全面履行合同。</w:t>
      </w:r>
    </w:p>
    <w:p w14:paraId="49AA0445">
      <w:pPr>
        <w:spacing w:before="113" w:line="264" w:lineRule="auto"/>
        <w:ind w:left="1" w:right="147" w:firstLine="474"/>
        <w:rPr>
          <w:rFonts w:ascii="宋体" w:hAnsi="宋体" w:cs="宋体"/>
          <w:color w:val="000000" w:themeColor="text1"/>
          <w:sz w:val="24"/>
          <w:szCs w:val="24"/>
          <w:highlight w:val="none"/>
          <w14:textFill>
            <w14:solidFill>
              <w14:schemeClr w14:val="tx1"/>
            </w14:solidFill>
          </w14:textFill>
        </w:rPr>
      </w:pPr>
      <w:r>
        <w:rPr>
          <w:rFonts w:eastAsia="Times New Roman"/>
          <w:color w:val="000000" w:themeColor="text1"/>
          <w:spacing w:val="4"/>
          <w:sz w:val="24"/>
          <w:szCs w:val="24"/>
          <w:highlight w:val="none"/>
          <w14:textFill>
            <w14:solidFill>
              <w14:schemeClr w14:val="tx1"/>
            </w14:solidFill>
          </w14:textFill>
        </w:rPr>
        <w:t xml:space="preserve">4.4.4  </w:t>
      </w:r>
      <w:r>
        <w:rPr>
          <w:rFonts w:ascii="宋体" w:hAnsi="宋体" w:cs="宋体"/>
          <w:color w:val="000000" w:themeColor="text1"/>
          <w:spacing w:val="4"/>
          <w:sz w:val="24"/>
          <w:szCs w:val="24"/>
          <w:highlight w:val="none"/>
          <w14:textFill>
            <w14:solidFill>
              <w14:schemeClr w14:val="tx1"/>
            </w14:solidFill>
          </w14:textFill>
        </w:rPr>
        <w:t>联合体牵头人在履行合同中作出的所有行为和决定，均视为已</w:t>
      </w:r>
      <w:r>
        <w:rPr>
          <w:rFonts w:ascii="宋体" w:hAnsi="宋体" w:cs="宋体"/>
          <w:color w:val="000000" w:themeColor="text1"/>
          <w:spacing w:val="3"/>
          <w:sz w:val="24"/>
          <w:szCs w:val="24"/>
          <w:highlight w:val="none"/>
          <w14:textFill>
            <w14:solidFill>
              <w14:schemeClr w14:val="tx1"/>
            </w14:solidFill>
          </w14:textFill>
        </w:rPr>
        <w:t>得到联合</w:t>
      </w:r>
      <w:r>
        <w:rPr>
          <w:rFonts w:ascii="宋体" w:hAnsi="宋体" w:cs="宋体"/>
          <w:color w:val="000000" w:themeColor="text1"/>
          <w:spacing w:val="-2"/>
          <w:sz w:val="24"/>
          <w:szCs w:val="24"/>
          <w:highlight w:val="none"/>
          <w14:textFill>
            <w14:solidFill>
              <w14:schemeClr w14:val="tx1"/>
            </w14:solidFill>
          </w14:textFill>
        </w:rPr>
        <w:t>体全部成员认可。</w:t>
      </w:r>
    </w:p>
    <w:p w14:paraId="0AE3268E">
      <w:pPr>
        <w:spacing w:before="106" w:line="219" w:lineRule="auto"/>
        <w:ind w:left="478"/>
        <w:outlineLvl w:val="3"/>
        <w:rPr>
          <w:rFonts w:ascii="宋体" w:hAnsi="宋体" w:cs="宋体"/>
          <w:color w:val="000000" w:themeColor="text1"/>
          <w:sz w:val="24"/>
          <w:szCs w:val="24"/>
          <w:highlight w:val="none"/>
          <w14:textFill>
            <w14:solidFill>
              <w14:schemeClr w14:val="tx1"/>
            </w14:solidFill>
          </w14:textFill>
        </w:rPr>
      </w:pPr>
      <w:r>
        <w:rPr>
          <w:rFonts w:eastAsia="Times New Roman"/>
          <w:b/>
          <w:bCs/>
          <w:color w:val="000000" w:themeColor="text1"/>
          <w:spacing w:val="-2"/>
          <w:sz w:val="24"/>
          <w:szCs w:val="24"/>
          <w:highlight w:val="none"/>
          <w14:textFill>
            <w14:solidFill>
              <w14:schemeClr w14:val="tx1"/>
            </w14:solidFill>
          </w14:textFill>
        </w:rPr>
        <w:t xml:space="preserve">4.5  </w:t>
      </w:r>
      <w:r>
        <w:rPr>
          <w:rFonts w:ascii="宋体" w:hAnsi="宋体" w:cs="宋体"/>
          <w:b/>
          <w:bCs/>
          <w:color w:val="000000" w:themeColor="text1"/>
          <w:spacing w:val="-2"/>
          <w:sz w:val="24"/>
          <w:szCs w:val="24"/>
          <w:highlight w:val="none"/>
          <w14:textFill>
            <w14:solidFill>
              <w14:schemeClr w14:val="tx1"/>
            </w14:solidFill>
          </w14:textFill>
        </w:rPr>
        <w:t>承包人项目经理和项目总工</w:t>
      </w:r>
    </w:p>
    <w:p w14:paraId="301490B1">
      <w:pPr>
        <w:spacing w:before="120" w:line="286" w:lineRule="auto"/>
        <w:ind w:left="3" w:right="145" w:firstLine="472"/>
        <w:rPr>
          <w:rFonts w:ascii="宋体" w:hAnsi="宋体" w:cs="宋体"/>
          <w:color w:val="000000" w:themeColor="text1"/>
          <w:sz w:val="24"/>
          <w:szCs w:val="24"/>
          <w:highlight w:val="none"/>
          <w14:textFill>
            <w14:solidFill>
              <w14:schemeClr w14:val="tx1"/>
            </w14:solidFill>
          </w14:textFill>
        </w:rPr>
      </w:pPr>
      <w:r>
        <w:rPr>
          <w:rFonts w:eastAsia="Times New Roman"/>
          <w:color w:val="000000" w:themeColor="text1"/>
          <w:spacing w:val="6"/>
          <w:sz w:val="24"/>
          <w:szCs w:val="24"/>
          <w:highlight w:val="none"/>
          <w14:textFill>
            <w14:solidFill>
              <w14:schemeClr w14:val="tx1"/>
            </w14:solidFill>
          </w14:textFill>
        </w:rPr>
        <w:t xml:space="preserve">4.5.1 </w:t>
      </w:r>
      <w:r>
        <w:rPr>
          <w:rFonts w:ascii="宋体" w:hAnsi="宋体" w:cs="宋体"/>
          <w:color w:val="000000" w:themeColor="text1"/>
          <w:spacing w:val="6"/>
          <w:sz w:val="24"/>
          <w:szCs w:val="24"/>
          <w:highlight w:val="none"/>
          <w14:textFill>
            <w14:solidFill>
              <w14:schemeClr w14:val="tx1"/>
            </w14:solidFill>
          </w14:textFill>
        </w:rPr>
        <w:t>承包人应按合同协议书的约定指派项目</w:t>
      </w:r>
      <w:r>
        <w:rPr>
          <w:rFonts w:ascii="宋体" w:hAnsi="宋体" w:cs="宋体"/>
          <w:color w:val="000000" w:themeColor="text1"/>
          <w:spacing w:val="5"/>
          <w:sz w:val="24"/>
          <w:szCs w:val="24"/>
          <w:highlight w:val="none"/>
          <w14:textFill>
            <w14:solidFill>
              <w14:schemeClr w14:val="tx1"/>
            </w14:solidFill>
          </w14:textFill>
        </w:rPr>
        <w:t>经理和项目总工，并在专用合同</w:t>
      </w:r>
      <w:r>
        <w:rPr>
          <w:rFonts w:ascii="宋体" w:hAnsi="宋体" w:cs="宋体"/>
          <w:color w:val="000000" w:themeColor="text1"/>
          <w:spacing w:val="1"/>
          <w:sz w:val="24"/>
          <w:szCs w:val="24"/>
          <w:highlight w:val="none"/>
          <w14:textFill>
            <w14:solidFill>
              <w14:schemeClr w14:val="tx1"/>
            </w14:solidFill>
          </w14:textFill>
        </w:rPr>
        <w:t>条款约定的期限内到职。承包人更换项目经理或项目</w:t>
      </w:r>
      <w:r>
        <w:rPr>
          <w:rFonts w:ascii="宋体" w:hAnsi="宋体" w:cs="宋体"/>
          <w:color w:val="000000" w:themeColor="text1"/>
          <w:sz w:val="24"/>
          <w:szCs w:val="24"/>
          <w:highlight w:val="none"/>
          <w14:textFill>
            <w14:solidFill>
              <w14:schemeClr w14:val="tx1"/>
            </w14:solidFill>
          </w14:textFill>
        </w:rPr>
        <w:t>总工应事先征得发包人同意，并应在更换</w:t>
      </w:r>
      <w:r>
        <w:rPr>
          <w:rFonts w:ascii="宋体" w:hAnsi="宋体" w:cs="宋体"/>
          <w:color w:val="000000" w:themeColor="text1"/>
          <w:spacing w:val="-37"/>
          <w:sz w:val="24"/>
          <w:szCs w:val="24"/>
          <w:highlight w:val="none"/>
          <w14:textFill>
            <w14:solidFill>
              <w14:schemeClr w14:val="tx1"/>
            </w14:solidFill>
          </w14:textFill>
        </w:rPr>
        <w:t xml:space="preserve"> </w:t>
      </w:r>
      <w:r>
        <w:rPr>
          <w:rFonts w:eastAsia="Times New Roman"/>
          <w:color w:val="000000" w:themeColor="text1"/>
          <w:sz w:val="24"/>
          <w:szCs w:val="24"/>
          <w:highlight w:val="none"/>
          <w14:textFill>
            <w14:solidFill>
              <w14:schemeClr w14:val="tx1"/>
            </w14:solidFill>
          </w14:textFill>
        </w:rPr>
        <w:t xml:space="preserve">7 </w:t>
      </w:r>
      <w:r>
        <w:rPr>
          <w:rFonts w:ascii="宋体" w:hAnsi="宋体" w:cs="宋体"/>
          <w:color w:val="000000" w:themeColor="text1"/>
          <w:sz w:val="24"/>
          <w:szCs w:val="24"/>
          <w:highlight w:val="none"/>
          <w14:textFill>
            <w14:solidFill>
              <w14:schemeClr w14:val="tx1"/>
            </w14:solidFill>
          </w14:textFill>
        </w:rPr>
        <w:t>天前将拟更换人员的姓名和详细资料提交发包人和咨询人。承包人项</w:t>
      </w:r>
      <w:r>
        <w:rPr>
          <w:rFonts w:ascii="宋体" w:hAnsi="宋体" w:cs="宋体"/>
          <w:color w:val="000000" w:themeColor="text1"/>
          <w:spacing w:val="-1"/>
          <w:sz w:val="24"/>
          <w:szCs w:val="24"/>
          <w:highlight w:val="none"/>
          <w14:textFill>
            <w14:solidFill>
              <w14:schemeClr w14:val="tx1"/>
            </w14:solidFill>
          </w14:textFill>
        </w:rPr>
        <w:t>目经理和项目总工在养护作业场地的驻场要求在专用合同条款中约定。</w:t>
      </w:r>
    </w:p>
    <w:p w14:paraId="13393992">
      <w:pPr>
        <w:spacing w:before="114" w:line="278" w:lineRule="auto"/>
        <w:ind w:left="3" w:right="101" w:firstLine="472"/>
        <w:rPr>
          <w:rFonts w:ascii="宋体" w:hAnsi="宋体" w:cs="宋体"/>
          <w:color w:val="000000" w:themeColor="text1"/>
          <w:sz w:val="24"/>
          <w:szCs w:val="24"/>
          <w:highlight w:val="none"/>
          <w14:textFill>
            <w14:solidFill>
              <w14:schemeClr w14:val="tx1"/>
            </w14:solidFill>
          </w14:textFill>
        </w:rPr>
      </w:pPr>
      <w:r>
        <w:rPr>
          <w:rFonts w:eastAsia="Times New Roman"/>
          <w:color w:val="000000" w:themeColor="text1"/>
          <w:spacing w:val="5"/>
          <w:sz w:val="24"/>
          <w:szCs w:val="24"/>
          <w:highlight w:val="none"/>
          <w14:textFill>
            <w14:solidFill>
              <w14:schemeClr w14:val="tx1"/>
            </w14:solidFill>
          </w14:textFill>
        </w:rPr>
        <w:t xml:space="preserve">4.5.2  </w:t>
      </w:r>
      <w:r>
        <w:rPr>
          <w:rFonts w:ascii="宋体" w:hAnsi="宋体" w:cs="宋体"/>
          <w:color w:val="000000" w:themeColor="text1"/>
          <w:spacing w:val="5"/>
          <w:sz w:val="24"/>
          <w:szCs w:val="24"/>
          <w:highlight w:val="none"/>
          <w14:textFill>
            <w14:solidFill>
              <w14:schemeClr w14:val="tx1"/>
            </w14:solidFill>
          </w14:textFill>
        </w:rPr>
        <w:t>承包人项目经理应按合同约定</w:t>
      </w:r>
      <w:r>
        <w:rPr>
          <w:rFonts w:ascii="宋体" w:hAnsi="宋体" w:cs="宋体"/>
          <w:color w:val="000000" w:themeColor="text1"/>
          <w:spacing w:val="4"/>
          <w:sz w:val="24"/>
          <w:szCs w:val="24"/>
          <w:highlight w:val="none"/>
          <w14:textFill>
            <w14:solidFill>
              <w14:schemeClr w14:val="tx1"/>
            </w14:solidFill>
          </w14:textFill>
        </w:rPr>
        <w:t>以及咨询人按第</w:t>
      </w:r>
      <w:r>
        <w:rPr>
          <w:rFonts w:ascii="宋体" w:hAnsi="宋体" w:cs="宋体"/>
          <w:color w:val="000000" w:themeColor="text1"/>
          <w:spacing w:val="-45"/>
          <w:sz w:val="24"/>
          <w:szCs w:val="24"/>
          <w:highlight w:val="none"/>
          <w14:textFill>
            <w14:solidFill>
              <w14:schemeClr w14:val="tx1"/>
            </w14:solidFill>
          </w14:textFill>
        </w:rPr>
        <w:t xml:space="preserve"> </w:t>
      </w:r>
      <w:r>
        <w:rPr>
          <w:rFonts w:eastAsia="Times New Roman"/>
          <w:color w:val="000000" w:themeColor="text1"/>
          <w:spacing w:val="4"/>
          <w:sz w:val="24"/>
          <w:szCs w:val="24"/>
          <w:highlight w:val="none"/>
          <w14:textFill>
            <w14:solidFill>
              <w14:schemeClr w14:val="tx1"/>
            </w14:solidFill>
          </w14:textFill>
        </w:rPr>
        <w:t>3.4</w:t>
      </w:r>
      <w:r>
        <w:rPr>
          <w:rFonts w:eastAsia="Times New Roman"/>
          <w:color w:val="000000" w:themeColor="text1"/>
          <w:spacing w:val="17"/>
          <w:w w:val="101"/>
          <w:sz w:val="24"/>
          <w:szCs w:val="24"/>
          <w:highlight w:val="none"/>
          <w14:textFill>
            <w14:solidFill>
              <w14:schemeClr w14:val="tx1"/>
            </w14:solidFill>
          </w14:textFill>
        </w:rPr>
        <w:t xml:space="preserve"> </w:t>
      </w:r>
      <w:r>
        <w:rPr>
          <w:rFonts w:ascii="宋体" w:hAnsi="宋体" w:cs="宋体"/>
          <w:color w:val="000000" w:themeColor="text1"/>
          <w:spacing w:val="4"/>
          <w:sz w:val="24"/>
          <w:szCs w:val="24"/>
          <w:highlight w:val="none"/>
          <w14:textFill>
            <w14:solidFill>
              <w14:schemeClr w14:val="tx1"/>
            </w14:solidFill>
          </w14:textFill>
        </w:rPr>
        <w:t>款作出的指示，负责</w:t>
      </w:r>
      <w:r>
        <w:rPr>
          <w:rFonts w:ascii="宋体" w:hAnsi="宋体" w:cs="宋体"/>
          <w:color w:val="000000" w:themeColor="text1"/>
          <w:spacing w:val="1"/>
          <w:sz w:val="24"/>
          <w:szCs w:val="24"/>
          <w:highlight w:val="none"/>
          <w14:textFill>
            <w14:solidFill>
              <w14:schemeClr w14:val="tx1"/>
            </w14:solidFill>
          </w14:textFill>
        </w:rPr>
        <w:t>组织合同工程的实施。在情况紧急且无法与咨询人取</w:t>
      </w:r>
      <w:r>
        <w:rPr>
          <w:rFonts w:ascii="宋体" w:hAnsi="宋体" w:cs="宋体"/>
          <w:color w:val="000000" w:themeColor="text1"/>
          <w:sz w:val="24"/>
          <w:szCs w:val="24"/>
          <w:highlight w:val="none"/>
          <w14:textFill>
            <w14:solidFill>
              <w14:schemeClr w14:val="tx1"/>
            </w14:solidFill>
          </w14:textFill>
        </w:rPr>
        <w:t>得联系时，可采取保证工程和</w:t>
      </w:r>
      <w:r>
        <w:rPr>
          <w:rFonts w:ascii="宋体" w:hAnsi="宋体" w:cs="宋体"/>
          <w:color w:val="000000" w:themeColor="text1"/>
          <w:spacing w:val="-2"/>
          <w:sz w:val="24"/>
          <w:szCs w:val="24"/>
          <w:highlight w:val="none"/>
          <w14:textFill>
            <w14:solidFill>
              <w14:schemeClr w14:val="tx1"/>
            </w14:solidFill>
          </w14:textFill>
        </w:rPr>
        <w:t>人员生命财产安全的紧急措施，并在采取措施后</w:t>
      </w:r>
      <w:r>
        <w:rPr>
          <w:rFonts w:ascii="宋体" w:hAnsi="宋体" w:cs="宋体"/>
          <w:color w:val="000000" w:themeColor="text1"/>
          <w:spacing w:val="-54"/>
          <w:sz w:val="24"/>
          <w:szCs w:val="24"/>
          <w:highlight w:val="none"/>
          <w14:textFill>
            <w14:solidFill>
              <w14:schemeClr w14:val="tx1"/>
            </w14:solidFill>
          </w14:textFill>
        </w:rPr>
        <w:t xml:space="preserve"> </w:t>
      </w:r>
      <w:r>
        <w:rPr>
          <w:rFonts w:eastAsia="Times New Roman"/>
          <w:color w:val="000000" w:themeColor="text1"/>
          <w:spacing w:val="-2"/>
          <w:sz w:val="24"/>
          <w:szCs w:val="24"/>
          <w:highlight w:val="none"/>
          <w14:textFill>
            <w14:solidFill>
              <w14:schemeClr w14:val="tx1"/>
            </w14:solidFill>
          </w14:textFill>
        </w:rPr>
        <w:t>24</w:t>
      </w:r>
      <w:r>
        <w:rPr>
          <w:rFonts w:eastAsia="Times New Roman"/>
          <w:color w:val="000000" w:themeColor="text1"/>
          <w:spacing w:val="15"/>
          <w:w w:val="101"/>
          <w:sz w:val="24"/>
          <w:szCs w:val="24"/>
          <w:highlight w:val="none"/>
          <w14:textFill>
            <w14:solidFill>
              <w14:schemeClr w14:val="tx1"/>
            </w14:solidFill>
          </w14:textFill>
        </w:rPr>
        <w:t xml:space="preserve"> </w:t>
      </w:r>
      <w:r>
        <w:rPr>
          <w:rFonts w:ascii="宋体" w:hAnsi="宋体" w:cs="宋体"/>
          <w:color w:val="000000" w:themeColor="text1"/>
          <w:spacing w:val="-2"/>
          <w:sz w:val="24"/>
          <w:szCs w:val="24"/>
          <w:highlight w:val="none"/>
          <w14:textFill>
            <w14:solidFill>
              <w14:schemeClr w14:val="tx1"/>
            </w14:solidFill>
          </w14:textFill>
        </w:rPr>
        <w:t>小时内向咨询人提交书面报告。</w:t>
      </w:r>
    </w:p>
    <w:p w14:paraId="4B193C5F">
      <w:pPr>
        <w:spacing w:before="118" w:line="263" w:lineRule="auto"/>
        <w:ind w:right="148" w:firstLine="475"/>
        <w:rPr>
          <w:rFonts w:ascii="宋体" w:hAnsi="宋体" w:cs="宋体"/>
          <w:color w:val="000000" w:themeColor="text1"/>
          <w:sz w:val="24"/>
          <w:szCs w:val="24"/>
          <w:highlight w:val="none"/>
          <w14:textFill>
            <w14:solidFill>
              <w14:schemeClr w14:val="tx1"/>
            </w14:solidFill>
          </w14:textFill>
        </w:rPr>
      </w:pPr>
      <w:r>
        <w:rPr>
          <w:rFonts w:eastAsia="Times New Roman"/>
          <w:color w:val="000000" w:themeColor="text1"/>
          <w:spacing w:val="6"/>
          <w:sz w:val="24"/>
          <w:szCs w:val="24"/>
          <w:highlight w:val="none"/>
          <w14:textFill>
            <w14:solidFill>
              <w14:schemeClr w14:val="tx1"/>
            </w14:solidFill>
          </w14:textFill>
        </w:rPr>
        <w:t xml:space="preserve">4.5.3 </w:t>
      </w:r>
      <w:r>
        <w:rPr>
          <w:rFonts w:ascii="宋体" w:hAnsi="宋体" w:cs="宋体"/>
          <w:color w:val="000000" w:themeColor="text1"/>
          <w:spacing w:val="6"/>
          <w:sz w:val="24"/>
          <w:szCs w:val="24"/>
          <w:highlight w:val="none"/>
          <w14:textFill>
            <w14:solidFill>
              <w14:schemeClr w14:val="tx1"/>
            </w14:solidFill>
          </w14:textFill>
        </w:rPr>
        <w:t>承包人为履行合同发出的一切函件均应</w:t>
      </w:r>
      <w:r>
        <w:rPr>
          <w:rFonts w:ascii="宋体" w:hAnsi="宋体" w:cs="宋体"/>
          <w:color w:val="000000" w:themeColor="text1"/>
          <w:spacing w:val="5"/>
          <w:sz w:val="24"/>
          <w:szCs w:val="24"/>
          <w:highlight w:val="none"/>
          <w14:textFill>
            <w14:solidFill>
              <w14:schemeClr w14:val="tx1"/>
            </w14:solidFill>
          </w14:textFill>
        </w:rPr>
        <w:t>盖有承包人单位公章或承包人授</w:t>
      </w:r>
      <w:r>
        <w:rPr>
          <w:rFonts w:ascii="宋体" w:hAnsi="宋体" w:cs="宋体"/>
          <w:color w:val="000000" w:themeColor="text1"/>
          <w:spacing w:val="-1"/>
          <w:sz w:val="24"/>
          <w:szCs w:val="24"/>
          <w:highlight w:val="none"/>
          <w14:textFill>
            <w14:solidFill>
              <w14:schemeClr w14:val="tx1"/>
            </w14:solidFill>
          </w14:textFill>
        </w:rPr>
        <w:t>权的项目管理机构章，并由承包人项目经理或其授权代表签字。</w:t>
      </w:r>
    </w:p>
    <w:p w14:paraId="5B2312EB">
      <w:pPr>
        <w:spacing w:before="114" w:line="264" w:lineRule="auto"/>
        <w:ind w:left="3" w:right="147" w:firstLine="472"/>
        <w:rPr>
          <w:rFonts w:ascii="宋体" w:hAnsi="宋体" w:cs="宋体"/>
          <w:color w:val="000000" w:themeColor="text1"/>
          <w:sz w:val="24"/>
          <w:szCs w:val="24"/>
          <w:highlight w:val="none"/>
          <w14:textFill>
            <w14:solidFill>
              <w14:schemeClr w14:val="tx1"/>
            </w14:solidFill>
          </w14:textFill>
        </w:rPr>
      </w:pPr>
      <w:r>
        <w:rPr>
          <w:rFonts w:eastAsia="Times New Roman"/>
          <w:color w:val="000000" w:themeColor="text1"/>
          <w:spacing w:val="4"/>
          <w:sz w:val="24"/>
          <w:szCs w:val="24"/>
          <w:highlight w:val="none"/>
          <w14:textFill>
            <w14:solidFill>
              <w14:schemeClr w14:val="tx1"/>
            </w14:solidFill>
          </w14:textFill>
        </w:rPr>
        <w:t xml:space="preserve">4.5.4  </w:t>
      </w:r>
      <w:r>
        <w:rPr>
          <w:rFonts w:ascii="宋体" w:hAnsi="宋体" w:cs="宋体"/>
          <w:color w:val="000000" w:themeColor="text1"/>
          <w:spacing w:val="4"/>
          <w:sz w:val="24"/>
          <w:szCs w:val="24"/>
          <w:highlight w:val="none"/>
          <w14:textFill>
            <w14:solidFill>
              <w14:schemeClr w14:val="tx1"/>
            </w14:solidFill>
          </w14:textFill>
        </w:rPr>
        <w:t>承包人项目经理可以授权其下属人员履行其某项职责，但事先</w:t>
      </w:r>
      <w:r>
        <w:rPr>
          <w:rFonts w:ascii="宋体" w:hAnsi="宋体" w:cs="宋体"/>
          <w:color w:val="000000" w:themeColor="text1"/>
          <w:spacing w:val="3"/>
          <w:sz w:val="24"/>
          <w:szCs w:val="24"/>
          <w:highlight w:val="none"/>
          <w14:textFill>
            <w14:solidFill>
              <w14:schemeClr w14:val="tx1"/>
            </w14:solidFill>
          </w14:textFill>
        </w:rPr>
        <w:t>应将这些</w:t>
      </w:r>
      <w:r>
        <w:rPr>
          <w:rFonts w:ascii="宋体" w:hAnsi="宋体" w:cs="宋体"/>
          <w:color w:val="000000" w:themeColor="text1"/>
          <w:spacing w:val="-1"/>
          <w:sz w:val="24"/>
          <w:szCs w:val="24"/>
          <w:highlight w:val="none"/>
          <w14:textFill>
            <w14:solidFill>
              <w14:schemeClr w14:val="tx1"/>
            </w14:solidFill>
          </w14:textFill>
        </w:rPr>
        <w:t>人员的姓名和授权范围通知咨询人。</w:t>
      </w:r>
    </w:p>
    <w:p w14:paraId="53B6827C">
      <w:pPr>
        <w:spacing w:before="107" w:line="219" w:lineRule="auto"/>
        <w:ind w:left="478"/>
        <w:outlineLvl w:val="3"/>
        <w:rPr>
          <w:rFonts w:ascii="宋体" w:hAnsi="宋体" w:cs="宋体"/>
          <w:color w:val="000000" w:themeColor="text1"/>
          <w:sz w:val="24"/>
          <w:szCs w:val="24"/>
          <w:highlight w:val="none"/>
          <w14:textFill>
            <w14:solidFill>
              <w14:schemeClr w14:val="tx1"/>
            </w14:solidFill>
          </w14:textFill>
        </w:rPr>
      </w:pPr>
      <w:r>
        <w:rPr>
          <w:rFonts w:eastAsia="Times New Roman"/>
          <w:b/>
          <w:bCs/>
          <w:color w:val="000000" w:themeColor="text1"/>
          <w:spacing w:val="-2"/>
          <w:sz w:val="24"/>
          <w:szCs w:val="24"/>
          <w:highlight w:val="none"/>
          <w14:textFill>
            <w14:solidFill>
              <w14:schemeClr w14:val="tx1"/>
            </w14:solidFill>
          </w14:textFill>
        </w:rPr>
        <w:t xml:space="preserve">4.6  </w:t>
      </w:r>
      <w:r>
        <w:rPr>
          <w:rFonts w:ascii="宋体" w:hAnsi="宋体" w:cs="宋体"/>
          <w:b/>
          <w:bCs/>
          <w:color w:val="000000" w:themeColor="text1"/>
          <w:spacing w:val="-2"/>
          <w:sz w:val="24"/>
          <w:szCs w:val="24"/>
          <w:highlight w:val="none"/>
          <w14:textFill>
            <w14:solidFill>
              <w14:schemeClr w14:val="tx1"/>
            </w14:solidFill>
          </w14:textFill>
        </w:rPr>
        <w:t>承包人人员的管理</w:t>
      </w:r>
    </w:p>
    <w:p w14:paraId="630C35D7">
      <w:pPr>
        <w:spacing w:before="124" w:line="285" w:lineRule="auto"/>
        <w:ind w:left="1" w:right="145" w:firstLine="474"/>
        <w:rPr>
          <w:rFonts w:ascii="宋体" w:hAnsi="宋体" w:cs="宋体"/>
          <w:color w:val="000000" w:themeColor="text1"/>
          <w:sz w:val="24"/>
          <w:szCs w:val="24"/>
          <w:highlight w:val="none"/>
          <w14:textFill>
            <w14:solidFill>
              <w14:schemeClr w14:val="tx1"/>
            </w14:solidFill>
          </w14:textFill>
        </w:rPr>
      </w:pPr>
      <w:r>
        <w:rPr>
          <w:rFonts w:eastAsia="Times New Roman"/>
          <w:color w:val="000000" w:themeColor="text1"/>
          <w:spacing w:val="3"/>
          <w:sz w:val="24"/>
          <w:szCs w:val="24"/>
          <w:highlight w:val="none"/>
          <w14:textFill>
            <w14:solidFill>
              <w14:schemeClr w14:val="tx1"/>
            </w14:solidFill>
          </w14:textFill>
        </w:rPr>
        <w:t xml:space="preserve">4.6.1  </w:t>
      </w:r>
      <w:r>
        <w:rPr>
          <w:rFonts w:ascii="宋体" w:hAnsi="宋体" w:cs="宋体"/>
          <w:color w:val="000000" w:themeColor="text1"/>
          <w:spacing w:val="3"/>
          <w:sz w:val="24"/>
          <w:szCs w:val="24"/>
          <w:highlight w:val="none"/>
          <w14:textFill>
            <w14:solidFill>
              <w14:schemeClr w14:val="tx1"/>
            </w14:solidFill>
          </w14:textFill>
        </w:rPr>
        <w:t>承包人应在接到开工通知后</w:t>
      </w:r>
      <w:r>
        <w:rPr>
          <w:rFonts w:ascii="宋体" w:hAnsi="宋体" w:cs="宋体"/>
          <w:color w:val="000000" w:themeColor="text1"/>
          <w:spacing w:val="-45"/>
          <w:sz w:val="24"/>
          <w:szCs w:val="24"/>
          <w:highlight w:val="none"/>
          <w14:textFill>
            <w14:solidFill>
              <w14:schemeClr w14:val="tx1"/>
            </w14:solidFill>
          </w14:textFill>
        </w:rPr>
        <w:t xml:space="preserve"> </w:t>
      </w:r>
      <w:r>
        <w:rPr>
          <w:rFonts w:eastAsia="Times New Roman"/>
          <w:color w:val="000000" w:themeColor="text1"/>
          <w:spacing w:val="3"/>
          <w:sz w:val="24"/>
          <w:szCs w:val="24"/>
          <w:highlight w:val="none"/>
          <w14:textFill>
            <w14:solidFill>
              <w14:schemeClr w14:val="tx1"/>
            </w14:solidFill>
          </w14:textFill>
        </w:rPr>
        <w:t>7</w:t>
      </w:r>
      <w:r>
        <w:rPr>
          <w:rFonts w:eastAsia="Times New Roman"/>
          <w:color w:val="000000" w:themeColor="text1"/>
          <w:spacing w:val="19"/>
          <w:w w:val="101"/>
          <w:sz w:val="24"/>
          <w:szCs w:val="24"/>
          <w:highlight w:val="none"/>
          <w14:textFill>
            <w14:solidFill>
              <w14:schemeClr w14:val="tx1"/>
            </w14:solidFill>
          </w14:textFill>
        </w:rPr>
        <w:t xml:space="preserve"> </w:t>
      </w:r>
      <w:r>
        <w:rPr>
          <w:rFonts w:ascii="宋体" w:hAnsi="宋体" w:cs="宋体"/>
          <w:color w:val="000000" w:themeColor="text1"/>
          <w:spacing w:val="3"/>
          <w:sz w:val="24"/>
          <w:szCs w:val="24"/>
          <w:highlight w:val="none"/>
          <w14:textFill>
            <w14:solidFill>
              <w14:schemeClr w14:val="tx1"/>
            </w14:solidFill>
          </w14:textFill>
        </w:rPr>
        <w:t>天内，向咨询人提交承包人在养护作业场</w:t>
      </w:r>
      <w:r>
        <w:rPr>
          <w:rFonts w:ascii="宋体" w:hAnsi="宋体" w:cs="宋体"/>
          <w:color w:val="000000" w:themeColor="text1"/>
          <w:spacing w:val="1"/>
          <w:sz w:val="24"/>
          <w:szCs w:val="24"/>
          <w:highlight w:val="none"/>
          <w14:textFill>
            <w14:solidFill>
              <w14:schemeClr w14:val="tx1"/>
            </w14:solidFill>
          </w14:textFill>
        </w:rPr>
        <w:t>地的管理机构以及人员安排的报告，其内容应包括管理机</w:t>
      </w:r>
      <w:r>
        <w:rPr>
          <w:rFonts w:ascii="宋体" w:hAnsi="宋体" w:cs="宋体"/>
          <w:color w:val="000000" w:themeColor="text1"/>
          <w:sz w:val="24"/>
          <w:szCs w:val="24"/>
          <w:highlight w:val="none"/>
          <w14:textFill>
            <w14:solidFill>
              <w14:schemeClr w14:val="tx1"/>
            </w14:solidFill>
          </w14:textFill>
        </w:rPr>
        <w:t>构的设置、各主要岗位的</w:t>
      </w:r>
      <w:r>
        <w:rPr>
          <w:rFonts w:ascii="宋体" w:hAnsi="宋体" w:cs="宋体"/>
          <w:color w:val="000000" w:themeColor="text1"/>
          <w:spacing w:val="1"/>
          <w:sz w:val="24"/>
          <w:szCs w:val="24"/>
          <w:highlight w:val="none"/>
          <w14:textFill>
            <w14:solidFill>
              <w14:schemeClr w14:val="tx1"/>
            </w14:solidFill>
          </w14:textFill>
        </w:rPr>
        <w:t>技术和管理人员名单及其资格，以及各工种技术工人的安</w:t>
      </w:r>
      <w:r>
        <w:rPr>
          <w:rFonts w:ascii="宋体" w:hAnsi="宋体" w:cs="宋体"/>
          <w:color w:val="000000" w:themeColor="text1"/>
          <w:sz w:val="24"/>
          <w:szCs w:val="24"/>
          <w:highlight w:val="none"/>
          <w14:textFill>
            <w14:solidFill>
              <w14:schemeClr w14:val="tx1"/>
            </w14:solidFill>
          </w14:textFill>
        </w:rPr>
        <w:t>排状况。承包人应向咨询</w:t>
      </w:r>
      <w:r>
        <w:rPr>
          <w:rFonts w:ascii="宋体" w:hAnsi="宋体" w:cs="宋体"/>
          <w:color w:val="000000" w:themeColor="text1"/>
          <w:spacing w:val="-1"/>
          <w:sz w:val="24"/>
          <w:szCs w:val="24"/>
          <w:highlight w:val="none"/>
          <w14:textFill>
            <w14:solidFill>
              <w14:schemeClr w14:val="tx1"/>
            </w14:solidFill>
          </w14:textFill>
        </w:rPr>
        <w:t>人提交养护作业场地人员变动情况的报告。</w:t>
      </w:r>
    </w:p>
    <w:p w14:paraId="5C896326">
      <w:pPr>
        <w:spacing w:before="117" w:line="264" w:lineRule="auto"/>
        <w:ind w:left="3" w:right="147" w:firstLine="472"/>
        <w:rPr>
          <w:rFonts w:ascii="宋体" w:hAnsi="宋体" w:cs="宋体"/>
          <w:color w:val="000000" w:themeColor="text1"/>
          <w:sz w:val="24"/>
          <w:szCs w:val="24"/>
          <w:highlight w:val="none"/>
          <w14:textFill>
            <w14:solidFill>
              <w14:schemeClr w14:val="tx1"/>
            </w14:solidFill>
          </w14:textFill>
        </w:rPr>
      </w:pPr>
      <w:r>
        <w:rPr>
          <w:rFonts w:eastAsia="Times New Roman"/>
          <w:color w:val="000000" w:themeColor="text1"/>
          <w:spacing w:val="4"/>
          <w:sz w:val="24"/>
          <w:szCs w:val="24"/>
          <w:highlight w:val="none"/>
          <w14:textFill>
            <w14:solidFill>
              <w14:schemeClr w14:val="tx1"/>
            </w14:solidFill>
          </w14:textFill>
        </w:rPr>
        <w:t xml:space="preserve">4.6.2  </w:t>
      </w:r>
      <w:r>
        <w:rPr>
          <w:rFonts w:ascii="宋体" w:hAnsi="宋体" w:cs="宋体"/>
          <w:color w:val="000000" w:themeColor="text1"/>
          <w:spacing w:val="4"/>
          <w:sz w:val="24"/>
          <w:szCs w:val="24"/>
          <w:highlight w:val="none"/>
          <w14:textFill>
            <w14:solidFill>
              <w14:schemeClr w14:val="tx1"/>
            </w14:solidFill>
          </w14:textFill>
        </w:rPr>
        <w:t>为完成合同约定的各项工作，承包人应向养护作业场地派遣或</w:t>
      </w:r>
      <w:r>
        <w:rPr>
          <w:rFonts w:ascii="宋体" w:hAnsi="宋体" w:cs="宋体"/>
          <w:color w:val="000000" w:themeColor="text1"/>
          <w:spacing w:val="3"/>
          <w:sz w:val="24"/>
          <w:szCs w:val="24"/>
          <w:highlight w:val="none"/>
          <w14:textFill>
            <w14:solidFill>
              <w14:schemeClr w14:val="tx1"/>
            </w14:solidFill>
          </w14:textFill>
        </w:rPr>
        <w:t>雇用足够</w:t>
      </w:r>
      <w:r>
        <w:rPr>
          <w:rFonts w:ascii="宋体" w:hAnsi="宋体" w:cs="宋体"/>
          <w:color w:val="000000" w:themeColor="text1"/>
          <w:sz w:val="24"/>
          <w:szCs w:val="24"/>
          <w:highlight w:val="none"/>
          <w14:textFill>
            <w14:solidFill>
              <w14:schemeClr w14:val="tx1"/>
            </w14:solidFill>
          </w14:textFill>
        </w:rPr>
        <w:t>数量且具备相应资格能力的技术人员、管理人员、专</w:t>
      </w:r>
      <w:r>
        <w:rPr>
          <w:rFonts w:ascii="宋体" w:hAnsi="宋体" w:cs="宋体"/>
          <w:color w:val="000000" w:themeColor="text1"/>
          <w:spacing w:val="-1"/>
          <w:sz w:val="24"/>
          <w:szCs w:val="24"/>
          <w:highlight w:val="none"/>
          <w14:textFill>
            <w14:solidFill>
              <w14:schemeClr w14:val="tx1"/>
            </w14:solidFill>
          </w14:textFill>
        </w:rPr>
        <w:t>职安全生产管理人员和工人。</w:t>
      </w:r>
    </w:p>
    <w:p w14:paraId="54245B98">
      <w:pPr>
        <w:spacing w:before="111" w:line="286" w:lineRule="auto"/>
        <w:ind w:left="5" w:right="147" w:firstLine="470"/>
        <w:rPr>
          <w:rFonts w:ascii="宋体" w:hAnsi="宋体" w:cs="宋体"/>
          <w:color w:val="000000" w:themeColor="text1"/>
          <w:sz w:val="24"/>
          <w:szCs w:val="24"/>
          <w:highlight w:val="none"/>
          <w14:textFill>
            <w14:solidFill>
              <w14:schemeClr w14:val="tx1"/>
            </w14:solidFill>
          </w14:textFill>
        </w:rPr>
      </w:pPr>
      <w:r>
        <w:rPr>
          <w:rFonts w:eastAsia="Times New Roman"/>
          <w:color w:val="000000" w:themeColor="text1"/>
          <w:spacing w:val="4"/>
          <w:sz w:val="24"/>
          <w:szCs w:val="24"/>
          <w:highlight w:val="none"/>
          <w14:textFill>
            <w14:solidFill>
              <w14:schemeClr w14:val="tx1"/>
            </w14:solidFill>
          </w14:textFill>
        </w:rPr>
        <w:t xml:space="preserve">4.6.3  </w:t>
      </w:r>
      <w:r>
        <w:rPr>
          <w:rFonts w:ascii="宋体" w:hAnsi="宋体" w:cs="宋体"/>
          <w:color w:val="000000" w:themeColor="text1"/>
          <w:spacing w:val="4"/>
          <w:sz w:val="24"/>
          <w:szCs w:val="24"/>
          <w:highlight w:val="none"/>
          <w14:textFill>
            <w14:solidFill>
              <w14:schemeClr w14:val="tx1"/>
            </w14:solidFill>
          </w14:textFill>
        </w:rPr>
        <w:t>承包人安排在养护作业场地的主要管理人员和技术骨干应与承</w:t>
      </w:r>
      <w:r>
        <w:rPr>
          <w:rFonts w:ascii="宋体" w:hAnsi="宋体" w:cs="宋体"/>
          <w:color w:val="000000" w:themeColor="text1"/>
          <w:spacing w:val="3"/>
          <w:sz w:val="24"/>
          <w:szCs w:val="24"/>
          <w:highlight w:val="none"/>
          <w14:textFill>
            <w14:solidFill>
              <w14:schemeClr w14:val="tx1"/>
            </w14:solidFill>
          </w14:textFill>
        </w:rPr>
        <w:t>包人承诺</w:t>
      </w:r>
      <w:r>
        <w:rPr>
          <w:rFonts w:ascii="宋体" w:hAnsi="宋体" w:cs="宋体"/>
          <w:color w:val="000000" w:themeColor="text1"/>
          <w:spacing w:val="1"/>
          <w:sz w:val="24"/>
          <w:szCs w:val="24"/>
          <w:highlight w:val="none"/>
          <w14:textFill>
            <w14:solidFill>
              <w14:schemeClr w14:val="tx1"/>
            </w14:solidFill>
          </w14:textFill>
        </w:rPr>
        <w:t>的名单一致，并保持相对稳定，相关人员的</w:t>
      </w:r>
      <w:r>
        <w:rPr>
          <w:rFonts w:ascii="宋体" w:hAnsi="宋体" w:cs="宋体"/>
          <w:color w:val="000000" w:themeColor="text1"/>
          <w:sz w:val="24"/>
          <w:szCs w:val="24"/>
          <w:highlight w:val="none"/>
          <w14:textFill>
            <w14:solidFill>
              <w14:schemeClr w14:val="tx1"/>
            </w14:solidFill>
          </w14:textFill>
        </w:rPr>
        <w:t>现场管理要求在专用合同条款中约定。</w:t>
      </w:r>
      <w:r>
        <w:rPr>
          <w:rFonts w:ascii="宋体" w:hAnsi="宋体" w:cs="宋体"/>
          <w:color w:val="000000" w:themeColor="text1"/>
          <w:spacing w:val="1"/>
          <w:sz w:val="24"/>
          <w:szCs w:val="24"/>
          <w:highlight w:val="none"/>
          <w14:textFill>
            <w14:solidFill>
              <w14:schemeClr w14:val="tx1"/>
            </w14:solidFill>
          </w14:textFill>
        </w:rPr>
        <w:t>未经咨询人批准，上述人员不应无故不到位</w:t>
      </w:r>
      <w:r>
        <w:rPr>
          <w:rFonts w:ascii="宋体" w:hAnsi="宋体" w:cs="宋体"/>
          <w:color w:val="000000" w:themeColor="text1"/>
          <w:sz w:val="24"/>
          <w:szCs w:val="24"/>
          <w:highlight w:val="none"/>
          <w14:textFill>
            <w14:solidFill>
              <w14:schemeClr w14:val="tx1"/>
            </w14:solidFill>
          </w14:textFill>
        </w:rPr>
        <w:t>或被替换；若确实无法到位或需替换，</w:t>
      </w:r>
      <w:r>
        <w:rPr>
          <w:rFonts w:ascii="宋体" w:hAnsi="宋体" w:cs="宋体"/>
          <w:color w:val="000000" w:themeColor="text1"/>
          <w:spacing w:val="-1"/>
          <w:sz w:val="24"/>
          <w:szCs w:val="24"/>
          <w:highlight w:val="none"/>
          <w14:textFill>
            <w14:solidFill>
              <w14:schemeClr w14:val="tx1"/>
            </w14:solidFill>
          </w14:textFill>
        </w:rPr>
        <w:t>需经咨询人审核并报发包人批准后，用同等或更高资格和资历的人员替换。</w:t>
      </w:r>
    </w:p>
    <w:p w14:paraId="655CD165">
      <w:pPr>
        <w:spacing w:before="115" w:line="264" w:lineRule="auto"/>
        <w:ind w:left="11" w:right="187" w:firstLine="465"/>
        <w:rPr>
          <w:rFonts w:ascii="宋体" w:hAnsi="宋体" w:cs="宋体"/>
          <w:color w:val="000000" w:themeColor="text1"/>
          <w:sz w:val="24"/>
          <w:szCs w:val="24"/>
          <w:highlight w:val="none"/>
          <w14:textFill>
            <w14:solidFill>
              <w14:schemeClr w14:val="tx1"/>
            </w14:solidFill>
          </w14:textFill>
        </w:rPr>
      </w:pPr>
      <w:r>
        <w:rPr>
          <w:rFonts w:eastAsia="Times New Roman"/>
          <w:color w:val="000000" w:themeColor="text1"/>
          <w:spacing w:val="3"/>
          <w:sz w:val="24"/>
          <w:szCs w:val="24"/>
          <w:highlight w:val="none"/>
          <w14:textFill>
            <w14:solidFill>
              <w14:schemeClr w14:val="tx1"/>
            </w14:solidFill>
          </w14:textFill>
        </w:rPr>
        <w:t xml:space="preserve">4.6.4  </w:t>
      </w:r>
      <w:r>
        <w:rPr>
          <w:rFonts w:ascii="宋体" w:hAnsi="宋体" w:cs="宋体"/>
          <w:color w:val="000000" w:themeColor="text1"/>
          <w:spacing w:val="3"/>
          <w:sz w:val="24"/>
          <w:szCs w:val="24"/>
          <w:highlight w:val="none"/>
          <w14:textFill>
            <w14:solidFill>
              <w14:schemeClr w14:val="tx1"/>
            </w14:solidFill>
          </w14:textFill>
        </w:rPr>
        <w:t>特殊岗位的工作人员均应持有相应的资格证明，咨询人有</w:t>
      </w:r>
      <w:r>
        <w:rPr>
          <w:rFonts w:ascii="宋体" w:hAnsi="宋体" w:cs="宋体"/>
          <w:color w:val="000000" w:themeColor="text1"/>
          <w:spacing w:val="2"/>
          <w:sz w:val="24"/>
          <w:szCs w:val="24"/>
          <w:highlight w:val="none"/>
          <w14:textFill>
            <w14:solidFill>
              <w14:schemeClr w14:val="tx1"/>
            </w14:solidFill>
          </w14:textFill>
        </w:rPr>
        <w:t>权随时检查。</w:t>
      </w:r>
      <w:r>
        <w:rPr>
          <w:rFonts w:ascii="宋体" w:hAnsi="宋体" w:cs="宋体"/>
          <w:color w:val="000000" w:themeColor="text1"/>
          <w:spacing w:val="-2"/>
          <w:sz w:val="24"/>
          <w:szCs w:val="24"/>
          <w:highlight w:val="none"/>
          <w14:textFill>
            <w14:solidFill>
              <w14:schemeClr w14:val="tx1"/>
            </w14:solidFill>
          </w14:textFill>
        </w:rPr>
        <w:t>咨询人认为有必要时，可进行现场考核。</w:t>
      </w:r>
    </w:p>
    <w:p w14:paraId="1F268F0B">
      <w:pPr>
        <w:spacing w:before="111" w:line="286" w:lineRule="auto"/>
        <w:ind w:left="1" w:firstLine="474"/>
        <w:rPr>
          <w:color w:val="000000" w:themeColor="text1"/>
          <w:highlight w:val="none"/>
          <w14:textFill>
            <w14:solidFill>
              <w14:schemeClr w14:val="tx1"/>
            </w14:solidFill>
          </w14:textFill>
        </w:rPr>
      </w:pPr>
      <w:r>
        <w:rPr>
          <w:rFonts w:eastAsia="Times New Roman"/>
          <w:color w:val="000000" w:themeColor="text1"/>
          <w:spacing w:val="5"/>
          <w:sz w:val="24"/>
          <w:szCs w:val="24"/>
          <w:highlight w:val="none"/>
          <w14:textFill>
            <w14:solidFill>
              <w14:schemeClr w14:val="tx1"/>
            </w14:solidFill>
          </w14:textFill>
        </w:rPr>
        <w:t xml:space="preserve">4.6.5  </w:t>
      </w:r>
      <w:r>
        <w:rPr>
          <w:rFonts w:ascii="宋体" w:hAnsi="宋体" w:cs="宋体"/>
          <w:color w:val="000000" w:themeColor="text1"/>
          <w:spacing w:val="5"/>
          <w:sz w:val="24"/>
          <w:szCs w:val="24"/>
          <w:highlight w:val="none"/>
          <w14:textFill>
            <w14:solidFill>
              <w14:schemeClr w14:val="tx1"/>
            </w14:solidFill>
          </w14:textFill>
        </w:rPr>
        <w:t>承包人虽已按承诺派遣了上述各类</w:t>
      </w:r>
      <w:r>
        <w:rPr>
          <w:rFonts w:ascii="宋体" w:hAnsi="宋体" w:cs="宋体"/>
          <w:color w:val="000000" w:themeColor="text1"/>
          <w:spacing w:val="4"/>
          <w:sz w:val="24"/>
          <w:szCs w:val="24"/>
          <w:highlight w:val="none"/>
          <w14:textFill>
            <w14:solidFill>
              <w14:schemeClr w14:val="tx1"/>
            </w14:solidFill>
          </w14:textFill>
        </w:rPr>
        <w:t>人员，但仍不能满足合同进度计划、</w:t>
      </w:r>
      <w:r>
        <w:rPr>
          <w:rFonts w:ascii="宋体" w:hAnsi="宋体" w:cs="宋体"/>
          <w:color w:val="000000" w:themeColor="text1"/>
          <w:spacing w:val="1"/>
          <w:sz w:val="24"/>
          <w:szCs w:val="24"/>
          <w:highlight w:val="none"/>
          <w14:textFill>
            <w14:solidFill>
              <w14:schemeClr w14:val="tx1"/>
            </w14:solidFill>
          </w14:textFill>
        </w:rPr>
        <w:t>质量和安全管理要求时，咨询人有权要求承包人继续增派</w:t>
      </w:r>
      <w:r>
        <w:rPr>
          <w:rFonts w:ascii="宋体" w:hAnsi="宋体" w:cs="宋体"/>
          <w:color w:val="000000" w:themeColor="text1"/>
          <w:sz w:val="24"/>
          <w:szCs w:val="24"/>
          <w:highlight w:val="none"/>
          <w14:textFill>
            <w14:solidFill>
              <w14:schemeClr w14:val="tx1"/>
            </w14:solidFill>
          </w14:textFill>
        </w:rPr>
        <w:t>或雇用这类人员，并书面</w:t>
      </w:r>
      <w:r>
        <w:rPr>
          <w:rFonts w:ascii="宋体" w:hAnsi="宋体" w:cs="宋体"/>
          <w:color w:val="000000" w:themeColor="text1"/>
          <w:spacing w:val="-2"/>
          <w:sz w:val="24"/>
          <w:szCs w:val="24"/>
          <w:highlight w:val="none"/>
          <w14:textFill>
            <w14:solidFill>
              <w14:schemeClr w14:val="tx1"/>
            </w14:solidFill>
          </w14:textFill>
        </w:rPr>
        <w:t>通知承包人和抄送发包人。承包人在接到上述通知后应立即执行咨询人的上述指示，</w:t>
      </w:r>
      <w:r>
        <w:rPr>
          <w:rFonts w:ascii="宋体" w:hAnsi="宋体" w:cs="宋体"/>
          <w:color w:val="000000" w:themeColor="text1"/>
          <w:spacing w:val="-1"/>
          <w:sz w:val="24"/>
          <w:szCs w:val="24"/>
          <w:highlight w:val="none"/>
          <w14:textFill>
            <w14:solidFill>
              <w14:schemeClr w14:val="tx1"/>
            </w14:solidFill>
          </w14:textFill>
        </w:rPr>
        <w:t>不得无故拖延，由此增加的费用和（或）工期延误由承包人承担。</w:t>
      </w:r>
    </w:p>
    <w:p w14:paraId="63510B71">
      <w:pPr>
        <w:spacing w:before="78" w:line="219" w:lineRule="auto"/>
        <w:ind w:left="477"/>
        <w:outlineLvl w:val="3"/>
        <w:rPr>
          <w:rFonts w:ascii="宋体" w:hAnsi="宋体" w:cs="宋体"/>
          <w:color w:val="000000" w:themeColor="text1"/>
          <w:sz w:val="24"/>
          <w:szCs w:val="24"/>
          <w:highlight w:val="none"/>
          <w14:textFill>
            <w14:solidFill>
              <w14:schemeClr w14:val="tx1"/>
            </w14:solidFill>
          </w14:textFill>
        </w:rPr>
      </w:pPr>
      <w:bookmarkStart w:id="114" w:name="bookmark217"/>
      <w:bookmarkEnd w:id="114"/>
      <w:r>
        <w:rPr>
          <w:rFonts w:eastAsia="Times New Roman"/>
          <w:b/>
          <w:bCs/>
          <w:color w:val="000000" w:themeColor="text1"/>
          <w:spacing w:val="-2"/>
          <w:sz w:val="24"/>
          <w:szCs w:val="24"/>
          <w:highlight w:val="none"/>
          <w14:textFill>
            <w14:solidFill>
              <w14:schemeClr w14:val="tx1"/>
            </w14:solidFill>
          </w14:textFill>
        </w:rPr>
        <w:t xml:space="preserve">4.7  </w:t>
      </w:r>
      <w:r>
        <w:rPr>
          <w:rFonts w:ascii="宋体" w:hAnsi="宋体" w:cs="宋体"/>
          <w:b/>
          <w:bCs/>
          <w:color w:val="000000" w:themeColor="text1"/>
          <w:spacing w:val="-2"/>
          <w:sz w:val="24"/>
          <w:szCs w:val="24"/>
          <w:highlight w:val="none"/>
          <w14:textFill>
            <w14:solidFill>
              <w14:schemeClr w14:val="tx1"/>
            </w14:solidFill>
          </w14:textFill>
        </w:rPr>
        <w:t>撤换承包人项目经理和其他人员</w:t>
      </w:r>
    </w:p>
    <w:p w14:paraId="78BEBFD6">
      <w:pPr>
        <w:spacing w:before="126" w:line="305" w:lineRule="auto"/>
        <w:ind w:left="1" w:firstLine="479"/>
        <w:rPr>
          <w:rFonts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pacing w:val="1"/>
          <w:sz w:val="24"/>
          <w:szCs w:val="24"/>
          <w:highlight w:val="none"/>
          <w14:textFill>
            <w14:solidFill>
              <w14:schemeClr w14:val="tx1"/>
            </w14:solidFill>
          </w14:textFill>
        </w:rPr>
        <w:t>承包人应对其项目经理和其他人员进行有效管理。咨询人</w:t>
      </w:r>
      <w:r>
        <w:rPr>
          <w:rFonts w:ascii="宋体" w:hAnsi="宋体" w:cs="宋体"/>
          <w:color w:val="000000" w:themeColor="text1"/>
          <w:sz w:val="24"/>
          <w:szCs w:val="24"/>
          <w:highlight w:val="none"/>
          <w14:textFill>
            <w14:solidFill>
              <w14:schemeClr w14:val="tx1"/>
            </w14:solidFill>
          </w14:textFill>
        </w:rPr>
        <w:t>要求撤换不能胜任本</w:t>
      </w:r>
      <w:r>
        <w:rPr>
          <w:rFonts w:ascii="宋体" w:hAnsi="宋体" w:cs="宋体"/>
          <w:color w:val="000000" w:themeColor="text1"/>
          <w:spacing w:val="-1"/>
          <w:sz w:val="24"/>
          <w:szCs w:val="24"/>
          <w:highlight w:val="none"/>
          <w14:textFill>
            <w14:solidFill>
              <w14:schemeClr w14:val="tx1"/>
            </w14:solidFill>
          </w14:textFill>
        </w:rPr>
        <w:t>职工作、行为不端或玩忽职守的承包人项目经理和</w:t>
      </w:r>
      <w:r>
        <w:rPr>
          <w:rFonts w:ascii="宋体" w:hAnsi="宋体" w:cs="宋体"/>
          <w:color w:val="000000" w:themeColor="text1"/>
          <w:spacing w:val="-2"/>
          <w:sz w:val="24"/>
          <w:szCs w:val="24"/>
          <w:highlight w:val="none"/>
          <w14:textFill>
            <w14:solidFill>
              <w14:schemeClr w14:val="tx1"/>
            </w14:solidFill>
          </w14:textFill>
        </w:rPr>
        <w:t>其他人员的，承包人应予以撤换。</w:t>
      </w:r>
      <w:r>
        <w:rPr>
          <w:rFonts w:ascii="宋体" w:hAnsi="宋体" w:cs="宋体"/>
          <w:color w:val="000000" w:themeColor="text1"/>
          <w:spacing w:val="-1"/>
          <w:sz w:val="24"/>
          <w:szCs w:val="24"/>
          <w:highlight w:val="none"/>
          <w14:textFill>
            <w14:solidFill>
              <w14:schemeClr w14:val="tx1"/>
            </w14:solidFill>
          </w14:textFill>
        </w:rPr>
        <w:t>同时委派经发包人与咨询人同意的新的项目经理和其他人员。</w:t>
      </w:r>
    </w:p>
    <w:p w14:paraId="60D53C09">
      <w:pPr>
        <w:spacing w:line="219" w:lineRule="auto"/>
        <w:ind w:left="477"/>
        <w:outlineLvl w:val="3"/>
        <w:rPr>
          <w:rFonts w:ascii="宋体" w:hAnsi="宋体" w:cs="宋体"/>
          <w:color w:val="000000" w:themeColor="text1"/>
          <w:sz w:val="24"/>
          <w:szCs w:val="24"/>
          <w:highlight w:val="none"/>
          <w14:textFill>
            <w14:solidFill>
              <w14:schemeClr w14:val="tx1"/>
            </w14:solidFill>
          </w14:textFill>
        </w:rPr>
      </w:pPr>
      <w:r>
        <w:rPr>
          <w:rFonts w:eastAsia="Times New Roman"/>
          <w:b/>
          <w:bCs/>
          <w:color w:val="000000" w:themeColor="text1"/>
          <w:spacing w:val="-2"/>
          <w:sz w:val="24"/>
          <w:szCs w:val="24"/>
          <w:highlight w:val="none"/>
          <w14:textFill>
            <w14:solidFill>
              <w14:schemeClr w14:val="tx1"/>
            </w14:solidFill>
          </w14:textFill>
        </w:rPr>
        <w:t xml:space="preserve">4.8  </w:t>
      </w:r>
      <w:r>
        <w:rPr>
          <w:rFonts w:ascii="宋体" w:hAnsi="宋体" w:cs="宋体"/>
          <w:b/>
          <w:bCs/>
          <w:color w:val="000000" w:themeColor="text1"/>
          <w:spacing w:val="-2"/>
          <w:sz w:val="24"/>
          <w:szCs w:val="24"/>
          <w:highlight w:val="none"/>
          <w14:textFill>
            <w14:solidFill>
              <w14:schemeClr w14:val="tx1"/>
            </w14:solidFill>
          </w14:textFill>
        </w:rPr>
        <w:t>承包人劳动用工管理</w:t>
      </w:r>
    </w:p>
    <w:p w14:paraId="6BDBA02C">
      <w:pPr>
        <w:spacing w:before="122" w:line="264" w:lineRule="auto"/>
        <w:ind w:left="1" w:right="166" w:firstLine="473"/>
        <w:rPr>
          <w:rFonts w:ascii="宋体" w:hAnsi="宋体" w:cs="宋体"/>
          <w:color w:val="000000" w:themeColor="text1"/>
          <w:sz w:val="24"/>
          <w:szCs w:val="24"/>
          <w:highlight w:val="none"/>
          <w14:textFill>
            <w14:solidFill>
              <w14:schemeClr w14:val="tx1"/>
            </w14:solidFill>
          </w14:textFill>
        </w:rPr>
      </w:pPr>
      <w:r>
        <w:rPr>
          <w:rFonts w:eastAsia="Times New Roman"/>
          <w:color w:val="000000" w:themeColor="text1"/>
          <w:spacing w:val="4"/>
          <w:sz w:val="24"/>
          <w:szCs w:val="24"/>
          <w:highlight w:val="none"/>
          <w14:textFill>
            <w14:solidFill>
              <w14:schemeClr w14:val="tx1"/>
            </w14:solidFill>
          </w14:textFill>
        </w:rPr>
        <w:t xml:space="preserve">4.8.1  </w:t>
      </w:r>
      <w:r>
        <w:rPr>
          <w:rFonts w:ascii="宋体" w:hAnsi="宋体" w:cs="宋体"/>
          <w:color w:val="000000" w:themeColor="text1"/>
          <w:spacing w:val="4"/>
          <w:sz w:val="24"/>
          <w:szCs w:val="24"/>
          <w:highlight w:val="none"/>
          <w14:textFill>
            <w14:solidFill>
              <w14:schemeClr w14:val="tx1"/>
            </w14:solidFill>
          </w14:textFill>
        </w:rPr>
        <w:t>承包人应按国家法律法规和有关规定，健全劳动用工管理制度</w:t>
      </w:r>
      <w:r>
        <w:rPr>
          <w:rFonts w:ascii="宋体" w:hAnsi="宋体" w:cs="宋体"/>
          <w:color w:val="000000" w:themeColor="text1"/>
          <w:spacing w:val="3"/>
          <w:sz w:val="24"/>
          <w:szCs w:val="24"/>
          <w:highlight w:val="none"/>
          <w14:textFill>
            <w14:solidFill>
              <w14:schemeClr w14:val="tx1"/>
            </w14:solidFill>
          </w14:textFill>
        </w:rPr>
        <w:t>，保障劳</w:t>
      </w:r>
      <w:r>
        <w:rPr>
          <w:rFonts w:ascii="宋体" w:hAnsi="宋体" w:cs="宋体"/>
          <w:color w:val="000000" w:themeColor="text1"/>
          <w:sz w:val="24"/>
          <w:szCs w:val="24"/>
          <w:highlight w:val="none"/>
          <w14:textFill>
            <w14:solidFill>
              <w14:schemeClr w14:val="tx1"/>
            </w14:solidFill>
          </w14:textFill>
        </w:rPr>
        <w:t>动用工的合法权益，设立农民工工资专用账户，</w:t>
      </w:r>
      <w:r>
        <w:rPr>
          <w:rFonts w:ascii="宋体" w:hAnsi="宋体" w:cs="宋体"/>
          <w:color w:val="000000" w:themeColor="text1"/>
          <w:spacing w:val="-1"/>
          <w:sz w:val="24"/>
          <w:szCs w:val="24"/>
          <w:highlight w:val="none"/>
          <w14:textFill>
            <w14:solidFill>
              <w14:schemeClr w14:val="tx1"/>
            </w14:solidFill>
          </w14:textFill>
        </w:rPr>
        <w:t>及时足额支付农民工工资。</w:t>
      </w:r>
    </w:p>
    <w:p w14:paraId="0F0614E9">
      <w:pPr>
        <w:spacing w:before="115" w:line="263" w:lineRule="auto"/>
        <w:ind w:left="2" w:right="166" w:firstLine="472"/>
        <w:rPr>
          <w:rFonts w:ascii="宋体" w:hAnsi="宋体" w:cs="宋体"/>
          <w:color w:val="000000" w:themeColor="text1"/>
          <w:sz w:val="24"/>
          <w:szCs w:val="24"/>
          <w:highlight w:val="none"/>
          <w14:textFill>
            <w14:solidFill>
              <w14:schemeClr w14:val="tx1"/>
            </w14:solidFill>
          </w14:textFill>
        </w:rPr>
      </w:pPr>
      <w:r>
        <w:rPr>
          <w:rFonts w:eastAsia="Times New Roman"/>
          <w:color w:val="000000" w:themeColor="text1"/>
          <w:spacing w:val="4"/>
          <w:sz w:val="24"/>
          <w:szCs w:val="24"/>
          <w:highlight w:val="none"/>
          <w14:textFill>
            <w14:solidFill>
              <w14:schemeClr w14:val="tx1"/>
            </w14:solidFill>
          </w14:textFill>
        </w:rPr>
        <w:t xml:space="preserve">4.8.2  </w:t>
      </w:r>
      <w:r>
        <w:rPr>
          <w:rFonts w:ascii="宋体" w:hAnsi="宋体" w:cs="宋体"/>
          <w:color w:val="000000" w:themeColor="text1"/>
          <w:spacing w:val="4"/>
          <w:sz w:val="24"/>
          <w:szCs w:val="24"/>
          <w:highlight w:val="none"/>
          <w14:textFill>
            <w14:solidFill>
              <w14:schemeClr w14:val="tx1"/>
            </w14:solidFill>
          </w14:textFill>
        </w:rPr>
        <w:t>承包人与其劳动用工发生劳动纠纷的，由承包人自行解决，由</w:t>
      </w:r>
      <w:r>
        <w:rPr>
          <w:rFonts w:ascii="宋体" w:hAnsi="宋体" w:cs="宋体"/>
          <w:color w:val="000000" w:themeColor="text1"/>
          <w:spacing w:val="3"/>
          <w:sz w:val="24"/>
          <w:szCs w:val="24"/>
          <w:highlight w:val="none"/>
          <w14:textFill>
            <w14:solidFill>
              <w14:schemeClr w14:val="tx1"/>
            </w14:solidFill>
          </w14:textFill>
        </w:rPr>
        <w:t>此给发包</w:t>
      </w:r>
      <w:r>
        <w:rPr>
          <w:rFonts w:ascii="宋体" w:hAnsi="宋体" w:cs="宋体"/>
          <w:color w:val="000000" w:themeColor="text1"/>
          <w:spacing w:val="-1"/>
          <w:sz w:val="24"/>
          <w:szCs w:val="24"/>
          <w:highlight w:val="none"/>
          <w14:textFill>
            <w14:solidFill>
              <w14:schemeClr w14:val="tx1"/>
            </w14:solidFill>
          </w14:textFill>
        </w:rPr>
        <w:t>人造成损失的，承包人应予赔偿。</w:t>
      </w:r>
    </w:p>
    <w:p w14:paraId="109E3E14">
      <w:pPr>
        <w:spacing w:before="116" w:line="219" w:lineRule="auto"/>
        <w:ind w:left="477"/>
        <w:rPr>
          <w:rFonts w:ascii="宋体" w:hAnsi="宋体" w:cs="宋体"/>
          <w:color w:val="000000" w:themeColor="text1"/>
          <w:sz w:val="24"/>
          <w:szCs w:val="24"/>
          <w:highlight w:val="none"/>
          <w14:textFill>
            <w14:solidFill>
              <w14:schemeClr w14:val="tx1"/>
            </w14:solidFill>
          </w14:textFill>
        </w:rPr>
      </w:pPr>
      <w:r>
        <w:rPr>
          <w:rFonts w:eastAsia="Times New Roman"/>
          <w:b/>
          <w:bCs/>
          <w:color w:val="000000" w:themeColor="text1"/>
          <w:spacing w:val="-2"/>
          <w:sz w:val="24"/>
          <w:szCs w:val="24"/>
          <w:highlight w:val="none"/>
          <w14:textFill>
            <w14:solidFill>
              <w14:schemeClr w14:val="tx1"/>
            </w14:solidFill>
          </w14:textFill>
        </w:rPr>
        <w:t xml:space="preserve">4.9  </w:t>
      </w:r>
      <w:r>
        <w:rPr>
          <w:rFonts w:ascii="宋体" w:hAnsi="宋体" w:cs="宋体"/>
          <w:b/>
          <w:bCs/>
          <w:color w:val="000000" w:themeColor="text1"/>
          <w:spacing w:val="-2"/>
          <w:sz w:val="24"/>
          <w:szCs w:val="24"/>
          <w:highlight w:val="none"/>
          <w14:textFill>
            <w14:solidFill>
              <w14:schemeClr w14:val="tx1"/>
            </w14:solidFill>
          </w14:textFill>
        </w:rPr>
        <w:t>保障承包人人员的合法权益</w:t>
      </w:r>
    </w:p>
    <w:p w14:paraId="6D228D3A">
      <w:pPr>
        <w:spacing w:before="116" w:line="219" w:lineRule="auto"/>
        <w:ind w:left="475"/>
        <w:rPr>
          <w:rFonts w:ascii="宋体" w:hAnsi="宋体" w:cs="宋体"/>
          <w:color w:val="000000" w:themeColor="text1"/>
          <w:sz w:val="24"/>
          <w:szCs w:val="24"/>
          <w:highlight w:val="none"/>
          <w14:textFill>
            <w14:solidFill>
              <w14:schemeClr w14:val="tx1"/>
            </w14:solidFill>
          </w14:textFill>
        </w:rPr>
      </w:pPr>
      <w:r>
        <w:rPr>
          <w:rFonts w:eastAsia="Times New Roman"/>
          <w:color w:val="000000" w:themeColor="text1"/>
          <w:sz w:val="24"/>
          <w:szCs w:val="24"/>
          <w:highlight w:val="none"/>
          <w14:textFill>
            <w14:solidFill>
              <w14:schemeClr w14:val="tx1"/>
            </w14:solidFill>
          </w14:textFill>
        </w:rPr>
        <w:t xml:space="preserve">4.9.1  </w:t>
      </w:r>
      <w:r>
        <w:rPr>
          <w:rFonts w:ascii="宋体" w:hAnsi="宋体" w:cs="宋体"/>
          <w:color w:val="000000" w:themeColor="text1"/>
          <w:sz w:val="24"/>
          <w:szCs w:val="24"/>
          <w:highlight w:val="none"/>
          <w14:textFill>
            <w14:solidFill>
              <w14:schemeClr w14:val="tx1"/>
            </w14:solidFill>
          </w14:textFill>
        </w:rPr>
        <w:t>承包人应与其雇佣的人员签订劳动合同，并按时</w:t>
      </w:r>
      <w:r>
        <w:rPr>
          <w:rFonts w:ascii="宋体" w:hAnsi="宋体" w:cs="宋体"/>
          <w:color w:val="000000" w:themeColor="text1"/>
          <w:spacing w:val="-1"/>
          <w:sz w:val="24"/>
          <w:szCs w:val="24"/>
          <w:highlight w:val="none"/>
          <w14:textFill>
            <w14:solidFill>
              <w14:schemeClr w14:val="tx1"/>
            </w14:solidFill>
          </w14:textFill>
        </w:rPr>
        <w:t>发放工资。</w:t>
      </w:r>
    </w:p>
    <w:p w14:paraId="08E2699E">
      <w:pPr>
        <w:spacing w:before="112" w:line="279" w:lineRule="auto"/>
        <w:ind w:right="164" w:firstLine="474"/>
        <w:rPr>
          <w:rFonts w:ascii="宋体" w:hAnsi="宋体" w:cs="宋体"/>
          <w:color w:val="000000" w:themeColor="text1"/>
          <w:sz w:val="24"/>
          <w:szCs w:val="24"/>
          <w:highlight w:val="none"/>
          <w14:textFill>
            <w14:solidFill>
              <w14:schemeClr w14:val="tx1"/>
            </w14:solidFill>
          </w14:textFill>
        </w:rPr>
      </w:pPr>
      <w:r>
        <w:rPr>
          <w:rFonts w:eastAsia="Times New Roman"/>
          <w:color w:val="000000" w:themeColor="text1"/>
          <w:spacing w:val="4"/>
          <w:sz w:val="24"/>
          <w:szCs w:val="24"/>
          <w:highlight w:val="none"/>
          <w14:textFill>
            <w14:solidFill>
              <w14:schemeClr w14:val="tx1"/>
            </w14:solidFill>
          </w14:textFill>
        </w:rPr>
        <w:t xml:space="preserve">4.9.2  </w:t>
      </w:r>
      <w:r>
        <w:rPr>
          <w:rFonts w:ascii="宋体" w:hAnsi="宋体" w:cs="宋体"/>
          <w:color w:val="000000" w:themeColor="text1"/>
          <w:spacing w:val="4"/>
          <w:sz w:val="24"/>
          <w:szCs w:val="24"/>
          <w:highlight w:val="none"/>
          <w14:textFill>
            <w14:solidFill>
              <w14:schemeClr w14:val="tx1"/>
            </w14:solidFill>
          </w14:textFill>
        </w:rPr>
        <w:t>承包人应按劳动法的规定安排工作时间，保证其雇佣人员享有</w:t>
      </w:r>
      <w:r>
        <w:rPr>
          <w:rFonts w:ascii="宋体" w:hAnsi="宋体" w:cs="宋体"/>
          <w:color w:val="000000" w:themeColor="text1"/>
          <w:spacing w:val="3"/>
          <w:sz w:val="24"/>
          <w:szCs w:val="24"/>
          <w:highlight w:val="none"/>
          <w14:textFill>
            <w14:solidFill>
              <w14:schemeClr w14:val="tx1"/>
            </w14:solidFill>
          </w14:textFill>
        </w:rPr>
        <w:t>休息和休</w:t>
      </w:r>
      <w:r>
        <w:rPr>
          <w:rFonts w:ascii="宋体" w:hAnsi="宋体" w:cs="宋体"/>
          <w:color w:val="000000" w:themeColor="text1"/>
          <w:spacing w:val="1"/>
          <w:sz w:val="24"/>
          <w:szCs w:val="24"/>
          <w:highlight w:val="none"/>
          <w14:textFill>
            <w14:solidFill>
              <w14:schemeClr w14:val="tx1"/>
            </w14:solidFill>
          </w14:textFill>
        </w:rPr>
        <w:t>假的权利。因养护作业的特殊需要占用休假日或延长工作</w:t>
      </w:r>
      <w:r>
        <w:rPr>
          <w:rFonts w:ascii="宋体" w:hAnsi="宋体" w:cs="宋体"/>
          <w:color w:val="000000" w:themeColor="text1"/>
          <w:sz w:val="24"/>
          <w:szCs w:val="24"/>
          <w:highlight w:val="none"/>
          <w14:textFill>
            <w14:solidFill>
              <w14:schemeClr w14:val="tx1"/>
            </w14:solidFill>
          </w14:textFill>
        </w:rPr>
        <w:t>时间的，应不超过法律规</w:t>
      </w:r>
      <w:r>
        <w:rPr>
          <w:rFonts w:ascii="宋体" w:hAnsi="宋体" w:cs="宋体"/>
          <w:color w:val="000000" w:themeColor="text1"/>
          <w:spacing w:val="-1"/>
          <w:sz w:val="24"/>
          <w:szCs w:val="24"/>
          <w:highlight w:val="none"/>
          <w14:textFill>
            <w14:solidFill>
              <w14:schemeClr w14:val="tx1"/>
            </w14:solidFill>
          </w14:textFill>
        </w:rPr>
        <w:t>定的限度，并按法律规定给予补休或报酬。</w:t>
      </w:r>
    </w:p>
    <w:p w14:paraId="5F8422FC">
      <w:pPr>
        <w:spacing w:before="114" w:line="264" w:lineRule="auto"/>
        <w:ind w:left="1" w:right="166" w:firstLine="473"/>
        <w:rPr>
          <w:rFonts w:ascii="宋体" w:hAnsi="宋体" w:cs="宋体"/>
          <w:color w:val="000000" w:themeColor="text1"/>
          <w:sz w:val="24"/>
          <w:szCs w:val="24"/>
          <w:highlight w:val="none"/>
          <w14:textFill>
            <w14:solidFill>
              <w14:schemeClr w14:val="tx1"/>
            </w14:solidFill>
          </w14:textFill>
        </w:rPr>
      </w:pPr>
      <w:r>
        <w:rPr>
          <w:rFonts w:eastAsia="Times New Roman"/>
          <w:color w:val="000000" w:themeColor="text1"/>
          <w:spacing w:val="4"/>
          <w:sz w:val="24"/>
          <w:szCs w:val="24"/>
          <w:highlight w:val="none"/>
          <w14:textFill>
            <w14:solidFill>
              <w14:schemeClr w14:val="tx1"/>
            </w14:solidFill>
          </w14:textFill>
        </w:rPr>
        <w:t xml:space="preserve">4.9.3  </w:t>
      </w:r>
      <w:r>
        <w:rPr>
          <w:rFonts w:ascii="宋体" w:hAnsi="宋体" w:cs="宋体"/>
          <w:color w:val="000000" w:themeColor="text1"/>
          <w:spacing w:val="4"/>
          <w:sz w:val="24"/>
          <w:szCs w:val="24"/>
          <w:highlight w:val="none"/>
          <w14:textFill>
            <w14:solidFill>
              <w14:schemeClr w14:val="tx1"/>
            </w14:solidFill>
          </w14:textFill>
        </w:rPr>
        <w:t>承包人应为其雇佣人员提供必要的食宿条件，以及符合环境保</w:t>
      </w:r>
      <w:r>
        <w:rPr>
          <w:rFonts w:ascii="宋体" w:hAnsi="宋体" w:cs="宋体"/>
          <w:color w:val="000000" w:themeColor="text1"/>
          <w:spacing w:val="3"/>
          <w:sz w:val="24"/>
          <w:szCs w:val="24"/>
          <w:highlight w:val="none"/>
          <w14:textFill>
            <w14:solidFill>
              <w14:schemeClr w14:val="tx1"/>
            </w14:solidFill>
          </w14:textFill>
        </w:rPr>
        <w:t>护和卫生</w:t>
      </w:r>
      <w:r>
        <w:rPr>
          <w:rFonts w:ascii="宋体" w:hAnsi="宋体" w:cs="宋体"/>
          <w:color w:val="000000" w:themeColor="text1"/>
          <w:spacing w:val="-1"/>
          <w:sz w:val="24"/>
          <w:szCs w:val="24"/>
          <w:highlight w:val="none"/>
          <w14:textFill>
            <w14:solidFill>
              <w14:schemeClr w14:val="tx1"/>
            </w14:solidFill>
          </w14:textFill>
        </w:rPr>
        <w:t>要求的生活环境和工作环境。</w:t>
      </w:r>
    </w:p>
    <w:p w14:paraId="6F0774B9">
      <w:pPr>
        <w:spacing w:before="113" w:line="278" w:lineRule="auto"/>
        <w:ind w:right="164" w:firstLine="475"/>
        <w:rPr>
          <w:rFonts w:ascii="宋体" w:hAnsi="宋体" w:cs="宋体"/>
          <w:color w:val="000000" w:themeColor="text1"/>
          <w:sz w:val="24"/>
          <w:szCs w:val="24"/>
          <w:highlight w:val="none"/>
          <w14:textFill>
            <w14:solidFill>
              <w14:schemeClr w14:val="tx1"/>
            </w14:solidFill>
          </w14:textFill>
        </w:rPr>
      </w:pPr>
      <w:r>
        <w:rPr>
          <w:rFonts w:eastAsia="Times New Roman"/>
          <w:color w:val="000000" w:themeColor="text1"/>
          <w:spacing w:val="4"/>
          <w:sz w:val="24"/>
          <w:szCs w:val="24"/>
          <w:highlight w:val="none"/>
          <w14:textFill>
            <w14:solidFill>
              <w14:schemeClr w14:val="tx1"/>
            </w14:solidFill>
          </w14:textFill>
        </w:rPr>
        <w:t xml:space="preserve">4.9.4  </w:t>
      </w:r>
      <w:r>
        <w:rPr>
          <w:rFonts w:ascii="宋体" w:hAnsi="宋体" w:cs="宋体"/>
          <w:color w:val="000000" w:themeColor="text1"/>
          <w:spacing w:val="4"/>
          <w:sz w:val="24"/>
          <w:szCs w:val="24"/>
          <w:highlight w:val="none"/>
          <w14:textFill>
            <w14:solidFill>
              <w14:schemeClr w14:val="tx1"/>
            </w14:solidFill>
          </w14:textFill>
        </w:rPr>
        <w:t>承包人应按国家有关劳动保护的规定，采取有效防止粉尘、降低噪声、</w:t>
      </w:r>
      <w:r>
        <w:rPr>
          <w:rFonts w:ascii="宋体" w:hAnsi="宋体" w:cs="宋体"/>
          <w:color w:val="000000" w:themeColor="text1"/>
          <w:spacing w:val="1"/>
          <w:sz w:val="24"/>
          <w:szCs w:val="24"/>
          <w:highlight w:val="none"/>
          <w14:textFill>
            <w14:solidFill>
              <w14:schemeClr w14:val="tx1"/>
            </w14:solidFill>
          </w14:textFill>
        </w:rPr>
        <w:t>控制有害气体和保障高温、高寒、高空作业安全等劳动保护</w:t>
      </w:r>
      <w:r>
        <w:rPr>
          <w:rFonts w:ascii="宋体" w:hAnsi="宋体" w:cs="宋体"/>
          <w:color w:val="000000" w:themeColor="text1"/>
          <w:sz w:val="24"/>
          <w:szCs w:val="24"/>
          <w:highlight w:val="none"/>
          <w14:textFill>
            <w14:solidFill>
              <w14:schemeClr w14:val="tx1"/>
            </w14:solidFill>
          </w14:textFill>
        </w:rPr>
        <w:t>措施。其雇佣人员在养护作业过程中受到伤害的，承包人应立即采取有效</w:t>
      </w:r>
      <w:r>
        <w:rPr>
          <w:rFonts w:ascii="宋体" w:hAnsi="宋体" w:cs="宋体"/>
          <w:color w:val="000000" w:themeColor="text1"/>
          <w:spacing w:val="-1"/>
          <w:sz w:val="24"/>
          <w:szCs w:val="24"/>
          <w:highlight w:val="none"/>
          <w14:textFill>
            <w14:solidFill>
              <w14:schemeClr w14:val="tx1"/>
            </w14:solidFill>
          </w14:textFill>
        </w:rPr>
        <w:t>措施进行抢救和治疗。</w:t>
      </w:r>
    </w:p>
    <w:p w14:paraId="297CFD73">
      <w:pPr>
        <w:spacing w:before="117" w:line="219" w:lineRule="auto"/>
        <w:ind w:left="475"/>
        <w:rPr>
          <w:rFonts w:ascii="宋体" w:hAnsi="宋体" w:cs="宋体"/>
          <w:color w:val="000000" w:themeColor="text1"/>
          <w:sz w:val="24"/>
          <w:szCs w:val="24"/>
          <w:highlight w:val="none"/>
          <w14:textFill>
            <w14:solidFill>
              <w14:schemeClr w14:val="tx1"/>
            </w14:solidFill>
          </w14:textFill>
        </w:rPr>
      </w:pPr>
      <w:r>
        <w:rPr>
          <w:rFonts w:eastAsia="Times New Roman"/>
          <w:color w:val="000000" w:themeColor="text1"/>
          <w:sz w:val="24"/>
          <w:szCs w:val="24"/>
          <w:highlight w:val="none"/>
          <w14:textFill>
            <w14:solidFill>
              <w14:schemeClr w14:val="tx1"/>
            </w14:solidFill>
          </w14:textFill>
        </w:rPr>
        <w:t xml:space="preserve">4.9.5  </w:t>
      </w:r>
      <w:r>
        <w:rPr>
          <w:rFonts w:ascii="宋体" w:hAnsi="宋体" w:cs="宋体"/>
          <w:color w:val="000000" w:themeColor="text1"/>
          <w:sz w:val="24"/>
          <w:szCs w:val="24"/>
          <w:highlight w:val="none"/>
          <w14:textFill>
            <w14:solidFill>
              <w14:schemeClr w14:val="tx1"/>
            </w14:solidFill>
          </w14:textFill>
        </w:rPr>
        <w:t>承包人应按有关法律规定和合同约定，为其雇佣人员</w:t>
      </w:r>
      <w:r>
        <w:rPr>
          <w:rFonts w:ascii="宋体" w:hAnsi="宋体" w:cs="宋体"/>
          <w:color w:val="000000" w:themeColor="text1"/>
          <w:spacing w:val="-1"/>
          <w:sz w:val="24"/>
          <w:szCs w:val="24"/>
          <w:highlight w:val="none"/>
          <w14:textFill>
            <w14:solidFill>
              <w14:schemeClr w14:val="tx1"/>
            </w14:solidFill>
          </w14:textFill>
        </w:rPr>
        <w:t>办理保险。</w:t>
      </w:r>
    </w:p>
    <w:p w14:paraId="7EBDD386">
      <w:pPr>
        <w:spacing w:before="114" w:line="219" w:lineRule="auto"/>
        <w:ind w:left="475"/>
        <w:rPr>
          <w:rFonts w:ascii="宋体" w:hAnsi="宋体" w:cs="宋体"/>
          <w:color w:val="000000" w:themeColor="text1"/>
          <w:sz w:val="24"/>
          <w:szCs w:val="24"/>
          <w:highlight w:val="none"/>
          <w14:textFill>
            <w14:solidFill>
              <w14:schemeClr w14:val="tx1"/>
            </w14:solidFill>
          </w14:textFill>
        </w:rPr>
      </w:pPr>
      <w:r>
        <w:rPr>
          <w:rFonts w:eastAsia="Times New Roman"/>
          <w:color w:val="000000" w:themeColor="text1"/>
          <w:sz w:val="24"/>
          <w:szCs w:val="24"/>
          <w:highlight w:val="none"/>
          <w14:textFill>
            <w14:solidFill>
              <w14:schemeClr w14:val="tx1"/>
            </w14:solidFill>
          </w14:textFill>
        </w:rPr>
        <w:t xml:space="preserve">4.9.6  </w:t>
      </w:r>
      <w:r>
        <w:rPr>
          <w:rFonts w:ascii="宋体" w:hAnsi="宋体" w:cs="宋体"/>
          <w:color w:val="000000" w:themeColor="text1"/>
          <w:sz w:val="24"/>
          <w:szCs w:val="24"/>
          <w:highlight w:val="none"/>
          <w14:textFill>
            <w14:solidFill>
              <w14:schemeClr w14:val="tx1"/>
            </w14:solidFill>
          </w14:textFill>
        </w:rPr>
        <w:t>承包人应负责处理其雇佣人员因工伤亡事故的</w:t>
      </w:r>
      <w:r>
        <w:rPr>
          <w:rFonts w:ascii="宋体" w:hAnsi="宋体" w:cs="宋体"/>
          <w:color w:val="000000" w:themeColor="text1"/>
          <w:spacing w:val="-1"/>
          <w:sz w:val="24"/>
          <w:szCs w:val="24"/>
          <w:highlight w:val="none"/>
          <w14:textFill>
            <w14:solidFill>
              <w14:schemeClr w14:val="tx1"/>
            </w14:solidFill>
          </w14:textFill>
        </w:rPr>
        <w:t>善后事宜。</w:t>
      </w:r>
    </w:p>
    <w:p w14:paraId="3005671D">
      <w:pPr>
        <w:spacing w:before="106" w:line="219" w:lineRule="auto"/>
        <w:ind w:left="477"/>
        <w:outlineLvl w:val="3"/>
        <w:rPr>
          <w:rFonts w:ascii="宋体" w:hAnsi="宋体" w:cs="宋体"/>
          <w:color w:val="000000" w:themeColor="text1"/>
          <w:sz w:val="24"/>
          <w:szCs w:val="24"/>
          <w:highlight w:val="none"/>
          <w14:textFill>
            <w14:solidFill>
              <w14:schemeClr w14:val="tx1"/>
            </w14:solidFill>
          </w14:textFill>
        </w:rPr>
      </w:pPr>
      <w:r>
        <w:rPr>
          <w:rFonts w:eastAsia="Times New Roman"/>
          <w:b/>
          <w:bCs/>
          <w:color w:val="000000" w:themeColor="text1"/>
          <w:spacing w:val="-2"/>
          <w:sz w:val="24"/>
          <w:szCs w:val="24"/>
          <w:highlight w:val="none"/>
          <w14:textFill>
            <w14:solidFill>
              <w14:schemeClr w14:val="tx1"/>
            </w14:solidFill>
          </w14:textFill>
        </w:rPr>
        <w:t xml:space="preserve">4.10  </w:t>
      </w:r>
      <w:r>
        <w:rPr>
          <w:rFonts w:ascii="宋体" w:hAnsi="宋体" w:cs="宋体"/>
          <w:b/>
          <w:bCs/>
          <w:color w:val="000000" w:themeColor="text1"/>
          <w:spacing w:val="-2"/>
          <w:sz w:val="24"/>
          <w:szCs w:val="24"/>
          <w:highlight w:val="none"/>
          <w14:textFill>
            <w14:solidFill>
              <w14:schemeClr w14:val="tx1"/>
            </w14:solidFill>
          </w14:textFill>
        </w:rPr>
        <w:t>传染病防控</w:t>
      </w:r>
    </w:p>
    <w:p w14:paraId="02889DF2">
      <w:pPr>
        <w:spacing w:before="127" w:line="306" w:lineRule="auto"/>
        <w:ind w:right="164" w:firstLine="480"/>
        <w:rPr>
          <w:rFonts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pacing w:val="1"/>
          <w:sz w:val="24"/>
          <w:szCs w:val="24"/>
          <w:highlight w:val="none"/>
          <w14:textFill>
            <w14:solidFill>
              <w14:schemeClr w14:val="tx1"/>
            </w14:solidFill>
          </w14:textFill>
        </w:rPr>
        <w:t>承包人在组织人员进驻养护作业场地时，应切实采取预防</w:t>
      </w:r>
      <w:r>
        <w:rPr>
          <w:rFonts w:ascii="宋体" w:hAnsi="宋体" w:cs="宋体"/>
          <w:color w:val="000000" w:themeColor="text1"/>
          <w:sz w:val="24"/>
          <w:szCs w:val="24"/>
          <w:highlight w:val="none"/>
          <w14:textFill>
            <w14:solidFill>
              <w14:schemeClr w14:val="tx1"/>
            </w14:solidFill>
          </w14:textFill>
        </w:rPr>
        <w:t>传染病的有效措施，</w:t>
      </w:r>
      <w:r>
        <w:rPr>
          <w:rFonts w:ascii="宋体" w:hAnsi="宋体" w:cs="宋体"/>
          <w:color w:val="000000" w:themeColor="text1"/>
          <w:spacing w:val="1"/>
          <w:sz w:val="24"/>
          <w:szCs w:val="24"/>
          <w:highlight w:val="none"/>
          <w14:textFill>
            <w14:solidFill>
              <w14:schemeClr w14:val="tx1"/>
            </w14:solidFill>
          </w14:textFill>
        </w:rPr>
        <w:t>配备必要的医药用品、消毒、测温、通风等设施、设备，</w:t>
      </w:r>
      <w:r>
        <w:rPr>
          <w:rFonts w:ascii="宋体" w:hAnsi="宋体" w:cs="宋体"/>
          <w:color w:val="000000" w:themeColor="text1"/>
          <w:sz w:val="24"/>
          <w:szCs w:val="24"/>
          <w:highlight w:val="none"/>
          <w14:textFill>
            <w14:solidFill>
              <w14:schemeClr w14:val="tx1"/>
            </w14:solidFill>
          </w14:textFill>
        </w:rPr>
        <w:t>加强传染病防控工作。除</w:t>
      </w:r>
      <w:r>
        <w:rPr>
          <w:rFonts w:ascii="宋体" w:hAnsi="宋体" w:cs="宋体"/>
          <w:color w:val="000000" w:themeColor="text1"/>
          <w:spacing w:val="1"/>
          <w:sz w:val="24"/>
          <w:szCs w:val="24"/>
          <w:highlight w:val="none"/>
          <w14:textFill>
            <w14:solidFill>
              <w14:schemeClr w14:val="tx1"/>
            </w14:solidFill>
          </w14:textFill>
        </w:rPr>
        <w:t>专用合同条款另有约定外，一旦暴发任何传染病，承包人</w:t>
      </w:r>
      <w:r>
        <w:rPr>
          <w:rFonts w:ascii="宋体" w:hAnsi="宋体" w:cs="宋体"/>
          <w:color w:val="000000" w:themeColor="text1"/>
          <w:sz w:val="24"/>
          <w:szCs w:val="24"/>
          <w:highlight w:val="none"/>
          <w14:textFill>
            <w14:solidFill>
              <w14:schemeClr w14:val="tx1"/>
            </w14:solidFill>
          </w14:textFill>
        </w:rPr>
        <w:t>应遵守并执行当地政府或</w:t>
      </w:r>
      <w:r>
        <w:rPr>
          <w:rFonts w:ascii="宋体" w:hAnsi="宋体" w:cs="宋体"/>
          <w:color w:val="000000" w:themeColor="text1"/>
          <w:spacing w:val="1"/>
          <w:sz w:val="24"/>
          <w:szCs w:val="24"/>
          <w:highlight w:val="none"/>
          <w14:textFill>
            <w14:solidFill>
              <w14:schemeClr w14:val="tx1"/>
            </w14:solidFill>
          </w14:textFill>
        </w:rPr>
        <w:t>卫生防疫部门为防治和消灭上述传染病蔓延而制定的指令</w:t>
      </w:r>
      <w:r>
        <w:rPr>
          <w:rFonts w:ascii="宋体" w:hAnsi="宋体" w:cs="宋体"/>
          <w:color w:val="000000" w:themeColor="text1"/>
          <w:sz w:val="24"/>
          <w:szCs w:val="24"/>
          <w:highlight w:val="none"/>
          <w14:textFill>
            <w14:solidFill>
              <w14:schemeClr w14:val="tx1"/>
            </w14:solidFill>
          </w14:textFill>
        </w:rPr>
        <w:t>和要求，由此导致的费用增加和（或）工期延误由发包人承担，但由于承包</w:t>
      </w:r>
      <w:r>
        <w:rPr>
          <w:rFonts w:ascii="宋体" w:hAnsi="宋体" w:cs="宋体"/>
          <w:color w:val="000000" w:themeColor="text1"/>
          <w:spacing w:val="-1"/>
          <w:sz w:val="24"/>
          <w:szCs w:val="24"/>
          <w:highlight w:val="none"/>
          <w14:textFill>
            <w14:solidFill>
              <w14:schemeClr w14:val="tx1"/>
            </w14:solidFill>
          </w14:textFill>
        </w:rPr>
        <w:t>人自身原因导致的除外。</w:t>
      </w:r>
    </w:p>
    <w:p w14:paraId="2AB4D048">
      <w:pPr>
        <w:spacing w:before="1" w:line="217" w:lineRule="auto"/>
        <w:ind w:left="477"/>
        <w:outlineLvl w:val="3"/>
        <w:rPr>
          <w:rFonts w:ascii="宋体" w:hAnsi="宋体" w:cs="宋体"/>
          <w:color w:val="000000" w:themeColor="text1"/>
          <w:sz w:val="24"/>
          <w:szCs w:val="24"/>
          <w:highlight w:val="none"/>
          <w14:textFill>
            <w14:solidFill>
              <w14:schemeClr w14:val="tx1"/>
            </w14:solidFill>
          </w14:textFill>
        </w:rPr>
      </w:pPr>
      <w:r>
        <w:rPr>
          <w:rFonts w:eastAsia="Times New Roman"/>
          <w:b/>
          <w:bCs/>
          <w:color w:val="000000" w:themeColor="text1"/>
          <w:spacing w:val="-2"/>
          <w:sz w:val="24"/>
          <w:szCs w:val="24"/>
          <w:highlight w:val="none"/>
          <w14:textFill>
            <w14:solidFill>
              <w14:schemeClr w14:val="tx1"/>
            </w14:solidFill>
          </w14:textFill>
        </w:rPr>
        <w:t xml:space="preserve">4.11  </w:t>
      </w:r>
      <w:r>
        <w:rPr>
          <w:rFonts w:ascii="宋体" w:hAnsi="宋体" w:cs="宋体"/>
          <w:b/>
          <w:bCs/>
          <w:color w:val="000000" w:themeColor="text1"/>
          <w:spacing w:val="-2"/>
          <w:sz w:val="24"/>
          <w:szCs w:val="24"/>
          <w:highlight w:val="none"/>
          <w14:textFill>
            <w14:solidFill>
              <w14:schemeClr w14:val="tx1"/>
            </w14:solidFill>
          </w14:textFill>
        </w:rPr>
        <w:t>合同价款应专款专用</w:t>
      </w:r>
    </w:p>
    <w:p w14:paraId="22585943">
      <w:pPr>
        <w:spacing w:before="127" w:line="218" w:lineRule="auto"/>
        <w:ind w:left="484"/>
        <w:rPr>
          <w:rFonts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pacing w:val="-1"/>
          <w:sz w:val="24"/>
          <w:szCs w:val="24"/>
          <w:highlight w:val="none"/>
          <w14:textFill>
            <w14:solidFill>
              <w14:schemeClr w14:val="tx1"/>
            </w14:solidFill>
          </w14:textFill>
        </w:rPr>
        <w:t>发包人按合同约定支付给承包人的各项价款应专用于养护项目。</w:t>
      </w:r>
    </w:p>
    <w:p w14:paraId="53943EBF">
      <w:pPr>
        <w:spacing w:before="106" w:line="219" w:lineRule="auto"/>
        <w:ind w:left="477"/>
        <w:outlineLvl w:val="3"/>
        <w:rPr>
          <w:rFonts w:ascii="宋体" w:hAnsi="宋体" w:cs="宋体"/>
          <w:color w:val="000000" w:themeColor="text1"/>
          <w:sz w:val="24"/>
          <w:szCs w:val="24"/>
          <w:highlight w:val="none"/>
          <w14:textFill>
            <w14:solidFill>
              <w14:schemeClr w14:val="tx1"/>
            </w14:solidFill>
          </w14:textFill>
        </w:rPr>
      </w:pPr>
      <w:r>
        <w:rPr>
          <w:rFonts w:eastAsia="Times New Roman"/>
          <w:b/>
          <w:bCs/>
          <w:color w:val="000000" w:themeColor="text1"/>
          <w:spacing w:val="-2"/>
          <w:sz w:val="24"/>
          <w:szCs w:val="24"/>
          <w:highlight w:val="none"/>
          <w14:textFill>
            <w14:solidFill>
              <w14:schemeClr w14:val="tx1"/>
            </w14:solidFill>
          </w14:textFill>
        </w:rPr>
        <w:t xml:space="preserve">4.12  </w:t>
      </w:r>
      <w:r>
        <w:rPr>
          <w:rFonts w:ascii="宋体" w:hAnsi="宋体" w:cs="宋体"/>
          <w:b/>
          <w:bCs/>
          <w:color w:val="000000" w:themeColor="text1"/>
          <w:spacing w:val="-2"/>
          <w:sz w:val="24"/>
          <w:szCs w:val="24"/>
          <w:highlight w:val="none"/>
          <w14:textFill>
            <w14:solidFill>
              <w14:schemeClr w14:val="tx1"/>
            </w14:solidFill>
          </w14:textFill>
        </w:rPr>
        <w:t>承包人现场查勘</w:t>
      </w:r>
    </w:p>
    <w:p w14:paraId="32FE76EA">
      <w:pPr>
        <w:spacing w:before="123" w:line="278" w:lineRule="auto"/>
        <w:ind w:left="3" w:firstLine="471"/>
        <w:rPr>
          <w:rFonts w:ascii="宋体" w:hAnsi="宋体" w:cs="宋体"/>
          <w:color w:val="000000" w:themeColor="text1"/>
          <w:sz w:val="24"/>
          <w:szCs w:val="24"/>
          <w:highlight w:val="none"/>
          <w14:textFill>
            <w14:solidFill>
              <w14:schemeClr w14:val="tx1"/>
            </w14:solidFill>
          </w14:textFill>
        </w:rPr>
      </w:pPr>
      <w:r>
        <w:rPr>
          <w:rFonts w:eastAsia="Times New Roman"/>
          <w:color w:val="000000" w:themeColor="text1"/>
          <w:spacing w:val="-1"/>
          <w:sz w:val="24"/>
          <w:szCs w:val="24"/>
          <w:highlight w:val="none"/>
          <w14:textFill>
            <w14:solidFill>
              <w14:schemeClr w14:val="tx1"/>
            </w14:solidFill>
          </w14:textFill>
        </w:rPr>
        <w:t xml:space="preserve">4.12.1  </w:t>
      </w:r>
      <w:r>
        <w:rPr>
          <w:rFonts w:ascii="宋体" w:hAnsi="宋体" w:cs="宋体"/>
          <w:color w:val="000000" w:themeColor="text1"/>
          <w:spacing w:val="-1"/>
          <w:sz w:val="24"/>
          <w:szCs w:val="24"/>
          <w:highlight w:val="none"/>
          <w14:textFill>
            <w14:solidFill>
              <w14:schemeClr w14:val="tx1"/>
            </w14:solidFill>
          </w14:textFill>
        </w:rPr>
        <w:t>承包人应对养护作业场地和周围环境进行查勘，并收集有关项</w:t>
      </w:r>
      <w:r>
        <w:rPr>
          <w:rFonts w:ascii="宋体" w:hAnsi="宋体" w:cs="宋体"/>
          <w:color w:val="000000" w:themeColor="text1"/>
          <w:spacing w:val="-2"/>
          <w:sz w:val="24"/>
          <w:szCs w:val="24"/>
          <w:highlight w:val="none"/>
          <w14:textFill>
            <w14:solidFill>
              <w14:schemeClr w14:val="tx1"/>
            </w14:solidFill>
          </w14:textFill>
        </w:rPr>
        <w:t>目、地质、</w:t>
      </w:r>
      <w:r>
        <w:rPr>
          <w:rFonts w:ascii="宋体" w:hAnsi="宋体" w:cs="宋体"/>
          <w:color w:val="000000" w:themeColor="text1"/>
          <w:spacing w:val="1"/>
          <w:sz w:val="24"/>
          <w:szCs w:val="24"/>
          <w:highlight w:val="none"/>
          <w14:textFill>
            <w14:solidFill>
              <w14:schemeClr w14:val="tx1"/>
            </w14:solidFill>
          </w14:textFill>
        </w:rPr>
        <w:t>水文、气象条件、交通条件、风俗习惯以及其他为</w:t>
      </w:r>
      <w:r>
        <w:rPr>
          <w:rFonts w:ascii="宋体" w:hAnsi="宋体" w:cs="宋体"/>
          <w:color w:val="000000" w:themeColor="text1"/>
          <w:sz w:val="24"/>
          <w:szCs w:val="24"/>
          <w:highlight w:val="none"/>
          <w14:textFill>
            <w14:solidFill>
              <w14:schemeClr w14:val="tx1"/>
            </w14:solidFill>
          </w14:textFill>
        </w:rPr>
        <w:t>完成合同工作有关的资料。在全</w:t>
      </w:r>
      <w:r>
        <w:rPr>
          <w:rFonts w:ascii="宋体" w:hAnsi="宋体" w:cs="宋体"/>
          <w:color w:val="000000" w:themeColor="text1"/>
          <w:spacing w:val="-1"/>
          <w:sz w:val="24"/>
          <w:szCs w:val="24"/>
          <w:highlight w:val="none"/>
          <w14:textFill>
            <w14:solidFill>
              <w14:schemeClr w14:val="tx1"/>
            </w14:solidFill>
          </w14:textFill>
        </w:rPr>
        <w:t>部合同工作中，应视为承包人已充分估计了应承担的责任和风险。</w:t>
      </w:r>
    </w:p>
    <w:p w14:paraId="036EC6FE">
      <w:pPr>
        <w:spacing w:before="117" w:line="219" w:lineRule="auto"/>
        <w:ind w:left="475"/>
        <w:rPr>
          <w:color w:val="000000" w:themeColor="text1"/>
          <w:highlight w:val="none"/>
          <w14:textFill>
            <w14:solidFill>
              <w14:schemeClr w14:val="tx1"/>
            </w14:solidFill>
          </w14:textFill>
        </w:rPr>
      </w:pPr>
      <w:r>
        <w:rPr>
          <w:rFonts w:eastAsia="Times New Roman"/>
          <w:color w:val="000000" w:themeColor="text1"/>
          <w:spacing w:val="1"/>
          <w:sz w:val="24"/>
          <w:szCs w:val="24"/>
          <w:highlight w:val="none"/>
          <w14:textFill>
            <w14:solidFill>
              <w14:schemeClr w14:val="tx1"/>
            </w14:solidFill>
          </w14:textFill>
        </w:rPr>
        <w:t xml:space="preserve">4.12.2  </w:t>
      </w:r>
      <w:r>
        <w:rPr>
          <w:rFonts w:ascii="宋体" w:hAnsi="宋体" w:cs="宋体"/>
          <w:color w:val="000000" w:themeColor="text1"/>
          <w:spacing w:val="1"/>
          <w:sz w:val="24"/>
          <w:szCs w:val="24"/>
          <w:highlight w:val="none"/>
          <w14:textFill>
            <w14:solidFill>
              <w14:schemeClr w14:val="tx1"/>
            </w14:solidFill>
          </w14:textFill>
        </w:rPr>
        <w:t>发包人可以按照专用合同条款的约定向承包人</w:t>
      </w:r>
      <w:r>
        <w:rPr>
          <w:rFonts w:ascii="宋体" w:hAnsi="宋体" w:cs="宋体"/>
          <w:color w:val="000000" w:themeColor="text1"/>
          <w:sz w:val="24"/>
          <w:szCs w:val="24"/>
          <w:highlight w:val="none"/>
          <w14:textFill>
            <w14:solidFill>
              <w14:schemeClr w14:val="tx1"/>
            </w14:solidFill>
          </w14:textFill>
        </w:rPr>
        <w:t>提供养护项目的相关图纸</w:t>
      </w:r>
    </w:p>
    <w:p w14:paraId="34A7549C">
      <w:pPr>
        <w:spacing w:before="78" w:line="219" w:lineRule="auto"/>
        <w:ind w:left="1"/>
        <w:rPr>
          <w:rFonts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pacing w:val="-1"/>
          <w:sz w:val="24"/>
          <w:szCs w:val="24"/>
          <w:highlight w:val="none"/>
          <w14:textFill>
            <w14:solidFill>
              <w14:schemeClr w14:val="tx1"/>
            </w14:solidFill>
          </w14:textFill>
        </w:rPr>
        <w:t>和资料，便于承包人充分了解养护项目实际情况。</w:t>
      </w:r>
    </w:p>
    <w:p w14:paraId="3FF28896">
      <w:pPr>
        <w:spacing w:before="106" w:line="219" w:lineRule="auto"/>
        <w:ind w:left="477"/>
        <w:outlineLvl w:val="3"/>
        <w:rPr>
          <w:rFonts w:ascii="宋体" w:hAnsi="宋体" w:cs="宋体"/>
          <w:color w:val="000000" w:themeColor="text1"/>
          <w:sz w:val="24"/>
          <w:szCs w:val="24"/>
          <w:highlight w:val="none"/>
          <w14:textFill>
            <w14:solidFill>
              <w14:schemeClr w14:val="tx1"/>
            </w14:solidFill>
          </w14:textFill>
        </w:rPr>
      </w:pPr>
      <w:bookmarkStart w:id="115" w:name="bookmark218"/>
      <w:bookmarkEnd w:id="115"/>
      <w:r>
        <w:rPr>
          <w:rFonts w:eastAsia="Times New Roman"/>
          <w:b/>
          <w:bCs/>
          <w:color w:val="000000" w:themeColor="text1"/>
          <w:spacing w:val="-2"/>
          <w:sz w:val="24"/>
          <w:szCs w:val="24"/>
          <w:highlight w:val="none"/>
          <w14:textFill>
            <w14:solidFill>
              <w14:schemeClr w14:val="tx1"/>
            </w14:solidFill>
          </w14:textFill>
        </w:rPr>
        <w:t xml:space="preserve">4.13  </w:t>
      </w:r>
      <w:r>
        <w:rPr>
          <w:rFonts w:ascii="宋体" w:hAnsi="宋体" w:cs="宋体"/>
          <w:b/>
          <w:bCs/>
          <w:color w:val="000000" w:themeColor="text1"/>
          <w:spacing w:val="-2"/>
          <w:sz w:val="24"/>
          <w:szCs w:val="24"/>
          <w:highlight w:val="none"/>
          <w14:textFill>
            <w14:solidFill>
              <w14:schemeClr w14:val="tx1"/>
            </w14:solidFill>
          </w14:textFill>
        </w:rPr>
        <w:t>不利物质条件</w:t>
      </w:r>
    </w:p>
    <w:p w14:paraId="0304A14A">
      <w:pPr>
        <w:spacing w:before="121" w:line="279" w:lineRule="auto"/>
        <w:ind w:right="183" w:firstLine="474"/>
        <w:rPr>
          <w:rFonts w:ascii="宋体" w:hAnsi="宋体" w:cs="宋体"/>
          <w:color w:val="000000" w:themeColor="text1"/>
          <w:sz w:val="24"/>
          <w:szCs w:val="24"/>
          <w:highlight w:val="none"/>
          <w14:textFill>
            <w14:solidFill>
              <w14:schemeClr w14:val="tx1"/>
            </w14:solidFill>
          </w14:textFill>
        </w:rPr>
      </w:pPr>
      <w:r>
        <w:rPr>
          <w:rFonts w:eastAsia="Times New Roman"/>
          <w:color w:val="000000" w:themeColor="text1"/>
          <w:spacing w:val="2"/>
          <w:sz w:val="24"/>
          <w:szCs w:val="24"/>
          <w:highlight w:val="none"/>
          <w14:textFill>
            <w14:solidFill>
              <w14:schemeClr w14:val="tx1"/>
            </w14:solidFill>
          </w14:textFill>
        </w:rPr>
        <w:t xml:space="preserve">4.13.1 </w:t>
      </w:r>
      <w:r>
        <w:rPr>
          <w:rFonts w:ascii="宋体" w:hAnsi="宋体" w:cs="宋体"/>
          <w:color w:val="000000" w:themeColor="text1"/>
          <w:spacing w:val="2"/>
          <w:sz w:val="24"/>
          <w:szCs w:val="24"/>
          <w:highlight w:val="none"/>
          <w14:textFill>
            <w14:solidFill>
              <w14:schemeClr w14:val="tx1"/>
            </w14:solidFill>
          </w14:textFill>
        </w:rPr>
        <w:t>不利物质条件，除专用合同条款另有约定外，是指承包人在养护作业场</w:t>
      </w:r>
      <w:r>
        <w:rPr>
          <w:rFonts w:ascii="宋体" w:hAnsi="宋体" w:cs="宋体"/>
          <w:color w:val="000000" w:themeColor="text1"/>
          <w:spacing w:val="1"/>
          <w:sz w:val="24"/>
          <w:szCs w:val="24"/>
          <w:highlight w:val="none"/>
          <w14:textFill>
            <w14:solidFill>
              <w14:schemeClr w14:val="tx1"/>
            </w14:solidFill>
          </w14:textFill>
        </w:rPr>
        <w:t>地遇到的不可预见的自然物质条件、非自然的物质障碍和</w:t>
      </w:r>
      <w:r>
        <w:rPr>
          <w:rFonts w:ascii="宋体" w:hAnsi="宋体" w:cs="宋体"/>
          <w:color w:val="000000" w:themeColor="text1"/>
          <w:sz w:val="24"/>
          <w:szCs w:val="24"/>
          <w:highlight w:val="none"/>
          <w14:textFill>
            <w14:solidFill>
              <w14:schemeClr w14:val="tx1"/>
            </w14:solidFill>
          </w14:textFill>
        </w:rPr>
        <w:t>污染物，包括地下和水文</w:t>
      </w:r>
      <w:r>
        <w:rPr>
          <w:rFonts w:ascii="宋体" w:hAnsi="宋体" w:cs="宋体"/>
          <w:color w:val="000000" w:themeColor="text1"/>
          <w:spacing w:val="-1"/>
          <w:sz w:val="24"/>
          <w:szCs w:val="24"/>
          <w:highlight w:val="none"/>
          <w14:textFill>
            <w14:solidFill>
              <w14:schemeClr w14:val="tx1"/>
            </w14:solidFill>
          </w14:textFill>
        </w:rPr>
        <w:t>条件，但不包括气候条件。</w:t>
      </w:r>
    </w:p>
    <w:p w14:paraId="5A95B2FD">
      <w:pPr>
        <w:spacing w:before="111" w:line="286" w:lineRule="auto"/>
        <w:ind w:left="1" w:firstLine="473"/>
        <w:rPr>
          <w:rFonts w:ascii="宋体" w:hAnsi="宋体" w:cs="宋体"/>
          <w:color w:val="000000" w:themeColor="text1"/>
          <w:sz w:val="24"/>
          <w:szCs w:val="24"/>
          <w:highlight w:val="none"/>
          <w14:textFill>
            <w14:solidFill>
              <w14:schemeClr w14:val="tx1"/>
            </w14:solidFill>
          </w14:textFill>
        </w:rPr>
      </w:pPr>
      <w:r>
        <w:rPr>
          <w:rFonts w:eastAsia="Times New Roman"/>
          <w:color w:val="000000" w:themeColor="text1"/>
          <w:spacing w:val="2"/>
          <w:sz w:val="24"/>
          <w:szCs w:val="24"/>
          <w:highlight w:val="none"/>
          <w14:textFill>
            <w14:solidFill>
              <w14:schemeClr w14:val="tx1"/>
            </w14:solidFill>
          </w14:textFill>
        </w:rPr>
        <w:t xml:space="preserve">4.13.2 </w:t>
      </w:r>
      <w:r>
        <w:rPr>
          <w:rFonts w:ascii="宋体" w:hAnsi="宋体" w:cs="宋体"/>
          <w:color w:val="000000" w:themeColor="text1"/>
          <w:spacing w:val="2"/>
          <w:sz w:val="24"/>
          <w:szCs w:val="24"/>
          <w:highlight w:val="none"/>
          <w14:textFill>
            <w14:solidFill>
              <w14:schemeClr w14:val="tx1"/>
            </w14:solidFill>
          </w14:textFill>
        </w:rPr>
        <w:t>承包人遇到不利物质条件时，应采取适应不利物质条件的合理措施继续</w:t>
      </w:r>
      <w:r>
        <w:rPr>
          <w:rFonts w:ascii="宋体" w:hAnsi="宋体" w:cs="宋体"/>
          <w:color w:val="000000" w:themeColor="text1"/>
          <w:spacing w:val="5"/>
          <w:sz w:val="24"/>
          <w:szCs w:val="24"/>
          <w:highlight w:val="none"/>
          <w14:textFill>
            <w14:solidFill>
              <w14:schemeClr w14:val="tx1"/>
            </w14:solidFill>
          </w14:textFill>
        </w:rPr>
        <w:t>作业，并及时通知咨询人。咨询人应当及时发出指示，指</w:t>
      </w:r>
      <w:r>
        <w:rPr>
          <w:rFonts w:ascii="宋体" w:hAnsi="宋体" w:cs="宋体"/>
          <w:color w:val="000000" w:themeColor="text1"/>
          <w:spacing w:val="4"/>
          <w:sz w:val="24"/>
          <w:szCs w:val="24"/>
          <w:highlight w:val="none"/>
          <w14:textFill>
            <w14:solidFill>
              <w14:schemeClr w14:val="tx1"/>
            </w14:solidFill>
          </w14:textFill>
        </w:rPr>
        <w:t>示构成变更的，按第</w:t>
      </w:r>
      <w:r>
        <w:rPr>
          <w:rFonts w:ascii="宋体" w:hAnsi="宋体" w:cs="宋体"/>
          <w:color w:val="000000" w:themeColor="text1"/>
          <w:spacing w:val="-25"/>
          <w:sz w:val="24"/>
          <w:szCs w:val="24"/>
          <w:highlight w:val="none"/>
          <w14:textFill>
            <w14:solidFill>
              <w14:schemeClr w14:val="tx1"/>
            </w14:solidFill>
          </w14:textFill>
        </w:rPr>
        <w:t xml:space="preserve"> </w:t>
      </w:r>
      <w:r>
        <w:rPr>
          <w:rFonts w:eastAsia="Times New Roman"/>
          <w:color w:val="000000" w:themeColor="text1"/>
          <w:spacing w:val="4"/>
          <w:sz w:val="24"/>
          <w:szCs w:val="24"/>
          <w:highlight w:val="none"/>
          <w14:textFill>
            <w14:solidFill>
              <w14:schemeClr w14:val="tx1"/>
            </w14:solidFill>
          </w14:textFill>
        </w:rPr>
        <w:t>15</w:t>
      </w:r>
      <w:r>
        <w:rPr>
          <w:rFonts w:ascii="宋体" w:hAnsi="宋体" w:cs="宋体"/>
          <w:color w:val="000000" w:themeColor="text1"/>
          <w:spacing w:val="-1"/>
          <w:sz w:val="24"/>
          <w:szCs w:val="24"/>
          <w:highlight w:val="none"/>
          <w14:textFill>
            <w14:solidFill>
              <w14:schemeClr w14:val="tx1"/>
            </w14:solidFill>
          </w14:textFill>
        </w:rPr>
        <w:t>条约定办理。咨询人没有发出指示的，承包人因采取合理措施而增加的费用和（或）工期延误，由发包人承担。</w:t>
      </w:r>
    </w:p>
    <w:p w14:paraId="32DF093F">
      <w:pPr>
        <w:spacing w:before="78" w:line="219" w:lineRule="auto"/>
        <w:ind w:left="479"/>
        <w:outlineLvl w:val="2"/>
        <w:rPr>
          <w:rFonts w:ascii="宋体" w:hAnsi="宋体" w:cs="宋体"/>
          <w:color w:val="000000" w:themeColor="text1"/>
          <w:sz w:val="24"/>
          <w:szCs w:val="24"/>
          <w:highlight w:val="none"/>
          <w14:textFill>
            <w14:solidFill>
              <w14:schemeClr w14:val="tx1"/>
            </w14:solidFill>
          </w14:textFill>
        </w:rPr>
      </w:pPr>
      <w:bookmarkStart w:id="116" w:name="bookmark16"/>
      <w:bookmarkEnd w:id="116"/>
      <w:bookmarkStart w:id="117" w:name="bookmark15"/>
      <w:bookmarkEnd w:id="117"/>
      <w:bookmarkStart w:id="118" w:name="_Toc21389"/>
      <w:r>
        <w:rPr>
          <w:rFonts w:eastAsia="Times New Roman"/>
          <w:b/>
          <w:bCs/>
          <w:color w:val="000000" w:themeColor="text1"/>
          <w:spacing w:val="-2"/>
          <w:sz w:val="24"/>
          <w:szCs w:val="24"/>
          <w:highlight w:val="none"/>
          <w14:textFill>
            <w14:solidFill>
              <w14:schemeClr w14:val="tx1"/>
            </w14:solidFill>
          </w14:textFill>
        </w:rPr>
        <w:t xml:space="preserve">5.  </w:t>
      </w:r>
      <w:r>
        <w:rPr>
          <w:rFonts w:ascii="宋体" w:hAnsi="宋体" w:cs="宋体"/>
          <w:b/>
          <w:bCs/>
          <w:color w:val="000000" w:themeColor="text1"/>
          <w:spacing w:val="-2"/>
          <w:sz w:val="24"/>
          <w:szCs w:val="24"/>
          <w:highlight w:val="none"/>
          <w14:textFill>
            <w14:solidFill>
              <w14:schemeClr w14:val="tx1"/>
            </w14:solidFill>
          </w14:textFill>
        </w:rPr>
        <w:t>材料和工程设备</w:t>
      </w:r>
      <w:bookmarkEnd w:id="118"/>
    </w:p>
    <w:p w14:paraId="2BD19DA0">
      <w:pPr>
        <w:spacing w:before="260" w:line="219" w:lineRule="auto"/>
        <w:ind w:left="479"/>
        <w:outlineLvl w:val="3"/>
        <w:rPr>
          <w:rFonts w:ascii="宋体" w:hAnsi="宋体" w:cs="宋体"/>
          <w:color w:val="000000" w:themeColor="text1"/>
          <w:sz w:val="24"/>
          <w:szCs w:val="24"/>
          <w:highlight w:val="none"/>
          <w14:textFill>
            <w14:solidFill>
              <w14:schemeClr w14:val="tx1"/>
            </w14:solidFill>
          </w14:textFill>
        </w:rPr>
      </w:pPr>
      <w:r>
        <w:rPr>
          <w:rFonts w:eastAsia="Times New Roman"/>
          <w:b/>
          <w:bCs/>
          <w:color w:val="000000" w:themeColor="text1"/>
          <w:spacing w:val="-2"/>
          <w:sz w:val="24"/>
          <w:szCs w:val="24"/>
          <w:highlight w:val="none"/>
          <w14:textFill>
            <w14:solidFill>
              <w14:schemeClr w14:val="tx1"/>
            </w14:solidFill>
          </w14:textFill>
        </w:rPr>
        <w:t xml:space="preserve">5.1  </w:t>
      </w:r>
      <w:r>
        <w:rPr>
          <w:rFonts w:ascii="宋体" w:hAnsi="宋体" w:cs="宋体"/>
          <w:b/>
          <w:bCs/>
          <w:color w:val="000000" w:themeColor="text1"/>
          <w:spacing w:val="-2"/>
          <w:sz w:val="24"/>
          <w:szCs w:val="24"/>
          <w:highlight w:val="none"/>
          <w14:textFill>
            <w14:solidFill>
              <w14:schemeClr w14:val="tx1"/>
            </w14:solidFill>
          </w14:textFill>
        </w:rPr>
        <w:t>承包人提供的材料和工程设备</w:t>
      </w:r>
    </w:p>
    <w:p w14:paraId="238A77BE">
      <w:pPr>
        <w:spacing w:before="124" w:line="263" w:lineRule="auto"/>
        <w:ind w:left="10" w:right="185" w:firstLine="472"/>
        <w:rPr>
          <w:rFonts w:ascii="宋体" w:hAnsi="宋体" w:cs="宋体"/>
          <w:color w:val="000000" w:themeColor="text1"/>
          <w:sz w:val="24"/>
          <w:szCs w:val="24"/>
          <w:highlight w:val="none"/>
          <w14:textFill>
            <w14:solidFill>
              <w14:schemeClr w14:val="tx1"/>
            </w14:solidFill>
          </w14:textFill>
        </w:rPr>
      </w:pPr>
      <w:r>
        <w:rPr>
          <w:rFonts w:eastAsia="Times New Roman"/>
          <w:color w:val="000000" w:themeColor="text1"/>
          <w:spacing w:val="4"/>
          <w:sz w:val="24"/>
          <w:szCs w:val="24"/>
          <w:highlight w:val="none"/>
          <w14:textFill>
            <w14:solidFill>
              <w14:schemeClr w14:val="tx1"/>
            </w14:solidFill>
          </w14:textFill>
        </w:rPr>
        <w:t xml:space="preserve">5.1.1  </w:t>
      </w:r>
      <w:r>
        <w:rPr>
          <w:rFonts w:ascii="宋体" w:hAnsi="宋体" w:cs="宋体"/>
          <w:color w:val="000000" w:themeColor="text1"/>
          <w:spacing w:val="4"/>
          <w:sz w:val="24"/>
          <w:szCs w:val="24"/>
          <w:highlight w:val="none"/>
          <w14:textFill>
            <w14:solidFill>
              <w14:schemeClr w14:val="tx1"/>
            </w14:solidFill>
          </w14:textFill>
        </w:rPr>
        <w:t>除专用合同条款另有约定外，承包人提供的</w:t>
      </w:r>
      <w:r>
        <w:rPr>
          <w:rFonts w:ascii="宋体" w:hAnsi="宋体" w:cs="宋体"/>
          <w:color w:val="000000" w:themeColor="text1"/>
          <w:spacing w:val="3"/>
          <w:sz w:val="24"/>
          <w:szCs w:val="24"/>
          <w:highlight w:val="none"/>
          <w14:textFill>
            <w14:solidFill>
              <w14:schemeClr w14:val="tx1"/>
            </w14:solidFill>
          </w14:textFill>
        </w:rPr>
        <w:t>材料和工程设备均由承包人</w:t>
      </w:r>
      <w:r>
        <w:rPr>
          <w:rFonts w:ascii="宋体" w:hAnsi="宋体" w:cs="宋体"/>
          <w:color w:val="000000" w:themeColor="text1"/>
          <w:spacing w:val="-1"/>
          <w:sz w:val="24"/>
          <w:szCs w:val="24"/>
          <w:highlight w:val="none"/>
          <w14:textFill>
            <w14:solidFill>
              <w14:schemeClr w14:val="tx1"/>
            </w14:solidFill>
          </w14:textFill>
        </w:rPr>
        <w:t>负责采购、运输和保管。承包人应对其采购的材料和工程设备负责。</w:t>
      </w:r>
    </w:p>
    <w:p w14:paraId="66D1BAD6">
      <w:pPr>
        <w:spacing w:before="116" w:line="278" w:lineRule="auto"/>
        <w:ind w:right="183" w:firstLine="482"/>
        <w:rPr>
          <w:rFonts w:ascii="宋体" w:hAnsi="宋体" w:cs="宋体"/>
          <w:color w:val="000000" w:themeColor="text1"/>
          <w:sz w:val="24"/>
          <w:szCs w:val="24"/>
          <w:highlight w:val="none"/>
          <w14:textFill>
            <w14:solidFill>
              <w14:schemeClr w14:val="tx1"/>
            </w14:solidFill>
          </w14:textFill>
        </w:rPr>
      </w:pPr>
      <w:r>
        <w:rPr>
          <w:rFonts w:eastAsia="Times New Roman"/>
          <w:color w:val="000000" w:themeColor="text1"/>
          <w:spacing w:val="4"/>
          <w:sz w:val="24"/>
          <w:szCs w:val="24"/>
          <w:highlight w:val="none"/>
          <w14:textFill>
            <w14:solidFill>
              <w14:schemeClr w14:val="tx1"/>
            </w14:solidFill>
          </w14:textFill>
        </w:rPr>
        <w:t xml:space="preserve">5.1.2  </w:t>
      </w:r>
      <w:r>
        <w:rPr>
          <w:rFonts w:ascii="宋体" w:hAnsi="宋体" w:cs="宋体"/>
          <w:color w:val="000000" w:themeColor="text1"/>
          <w:spacing w:val="4"/>
          <w:sz w:val="24"/>
          <w:szCs w:val="24"/>
          <w:highlight w:val="none"/>
          <w14:textFill>
            <w14:solidFill>
              <w14:schemeClr w14:val="tx1"/>
            </w14:solidFill>
          </w14:textFill>
        </w:rPr>
        <w:t>承包人应按专用合同条款的约定，将各项材</w:t>
      </w:r>
      <w:r>
        <w:rPr>
          <w:rFonts w:ascii="宋体" w:hAnsi="宋体" w:cs="宋体"/>
          <w:color w:val="000000" w:themeColor="text1"/>
          <w:spacing w:val="3"/>
          <w:sz w:val="24"/>
          <w:szCs w:val="24"/>
          <w:highlight w:val="none"/>
          <w14:textFill>
            <w14:solidFill>
              <w14:schemeClr w14:val="tx1"/>
            </w14:solidFill>
          </w14:textFill>
        </w:rPr>
        <w:t>料和工程设备的供货人及品</w:t>
      </w:r>
      <w:r>
        <w:rPr>
          <w:rFonts w:ascii="宋体" w:hAnsi="宋体" w:cs="宋体"/>
          <w:color w:val="000000" w:themeColor="text1"/>
          <w:spacing w:val="1"/>
          <w:sz w:val="24"/>
          <w:szCs w:val="24"/>
          <w:highlight w:val="none"/>
          <w14:textFill>
            <w14:solidFill>
              <w14:schemeClr w14:val="tx1"/>
            </w14:solidFill>
          </w14:textFill>
        </w:rPr>
        <w:t>种、规格、数量和供货时间等报送咨询人审批。承包人应</w:t>
      </w:r>
      <w:r>
        <w:rPr>
          <w:rFonts w:ascii="宋体" w:hAnsi="宋体" w:cs="宋体"/>
          <w:color w:val="000000" w:themeColor="text1"/>
          <w:sz w:val="24"/>
          <w:szCs w:val="24"/>
          <w:highlight w:val="none"/>
          <w14:textFill>
            <w14:solidFill>
              <w14:schemeClr w14:val="tx1"/>
            </w14:solidFill>
          </w14:textFill>
        </w:rPr>
        <w:t>向咨询人提交其负责提供</w:t>
      </w:r>
      <w:r>
        <w:rPr>
          <w:rFonts w:ascii="宋体" w:hAnsi="宋体" w:cs="宋体"/>
          <w:color w:val="000000" w:themeColor="text1"/>
          <w:spacing w:val="-1"/>
          <w:sz w:val="24"/>
          <w:szCs w:val="24"/>
          <w:highlight w:val="none"/>
          <w14:textFill>
            <w14:solidFill>
              <w14:schemeClr w14:val="tx1"/>
            </w14:solidFill>
          </w14:textFill>
        </w:rPr>
        <w:t>的材料和工程设备的质量证明文件，并满足合同约定的质量标准。</w:t>
      </w:r>
    </w:p>
    <w:p w14:paraId="77FCD00D">
      <w:pPr>
        <w:spacing w:before="114" w:line="286" w:lineRule="auto"/>
        <w:ind w:right="183" w:firstLine="483"/>
        <w:rPr>
          <w:rFonts w:ascii="宋体" w:hAnsi="宋体" w:cs="宋体"/>
          <w:color w:val="000000" w:themeColor="text1"/>
          <w:sz w:val="24"/>
          <w:szCs w:val="24"/>
          <w:highlight w:val="none"/>
          <w14:textFill>
            <w14:solidFill>
              <w14:schemeClr w14:val="tx1"/>
            </w14:solidFill>
          </w14:textFill>
        </w:rPr>
      </w:pPr>
      <w:r>
        <w:rPr>
          <w:rFonts w:eastAsia="Times New Roman"/>
          <w:color w:val="000000" w:themeColor="text1"/>
          <w:spacing w:val="5"/>
          <w:sz w:val="24"/>
          <w:szCs w:val="24"/>
          <w:highlight w:val="none"/>
          <w14:textFill>
            <w14:solidFill>
              <w14:schemeClr w14:val="tx1"/>
            </w14:solidFill>
          </w14:textFill>
        </w:rPr>
        <w:t xml:space="preserve">5.1.3 </w:t>
      </w:r>
      <w:r>
        <w:rPr>
          <w:rFonts w:ascii="宋体" w:hAnsi="宋体" w:cs="宋体"/>
          <w:color w:val="000000" w:themeColor="text1"/>
          <w:spacing w:val="5"/>
          <w:sz w:val="24"/>
          <w:szCs w:val="24"/>
          <w:highlight w:val="none"/>
          <w14:textFill>
            <w14:solidFill>
              <w14:schemeClr w14:val="tx1"/>
            </w14:solidFill>
          </w14:textFill>
        </w:rPr>
        <w:t>对承包人提供的材料和工程设备，承包人应会同咨询人进行检验和交货</w:t>
      </w:r>
      <w:r>
        <w:rPr>
          <w:rFonts w:ascii="宋体" w:hAnsi="宋体" w:cs="宋体"/>
          <w:color w:val="000000" w:themeColor="text1"/>
          <w:spacing w:val="1"/>
          <w:sz w:val="24"/>
          <w:szCs w:val="24"/>
          <w:highlight w:val="none"/>
          <w14:textFill>
            <w14:solidFill>
              <w14:schemeClr w14:val="tx1"/>
            </w14:solidFill>
          </w14:textFill>
        </w:rPr>
        <w:t>验收，查验材料合格证明和产品合格证书，并按合同约定和</w:t>
      </w:r>
      <w:r>
        <w:rPr>
          <w:rFonts w:ascii="宋体" w:hAnsi="宋体" w:cs="宋体"/>
          <w:color w:val="000000" w:themeColor="text1"/>
          <w:sz w:val="24"/>
          <w:szCs w:val="24"/>
          <w:highlight w:val="none"/>
          <w14:textFill>
            <w14:solidFill>
              <w14:schemeClr w14:val="tx1"/>
            </w14:solidFill>
          </w14:textFill>
        </w:rPr>
        <w:t>咨询人指示，进行材料</w:t>
      </w:r>
      <w:r>
        <w:rPr>
          <w:rFonts w:ascii="宋体" w:hAnsi="宋体" w:cs="宋体"/>
          <w:color w:val="000000" w:themeColor="text1"/>
          <w:spacing w:val="1"/>
          <w:sz w:val="24"/>
          <w:szCs w:val="24"/>
          <w:highlight w:val="none"/>
          <w14:textFill>
            <w14:solidFill>
              <w14:schemeClr w14:val="tx1"/>
            </w14:solidFill>
          </w14:textFill>
        </w:rPr>
        <w:t>的抽样检验和工程设备的检验测试，检验和测试结果应提交</w:t>
      </w:r>
      <w:r>
        <w:rPr>
          <w:rFonts w:ascii="宋体" w:hAnsi="宋体" w:cs="宋体"/>
          <w:color w:val="000000" w:themeColor="text1"/>
          <w:sz w:val="24"/>
          <w:szCs w:val="24"/>
          <w:highlight w:val="none"/>
          <w14:textFill>
            <w14:solidFill>
              <w14:schemeClr w14:val="tx1"/>
            </w14:solidFill>
          </w14:textFill>
        </w:rPr>
        <w:t>咨询人，所需费用由承</w:t>
      </w:r>
      <w:r>
        <w:rPr>
          <w:rFonts w:ascii="宋体" w:hAnsi="宋体" w:cs="宋体"/>
          <w:color w:val="000000" w:themeColor="text1"/>
          <w:spacing w:val="-2"/>
          <w:sz w:val="24"/>
          <w:szCs w:val="24"/>
          <w:highlight w:val="none"/>
          <w14:textFill>
            <w14:solidFill>
              <w14:schemeClr w14:val="tx1"/>
            </w14:solidFill>
          </w14:textFill>
        </w:rPr>
        <w:t>包人承担。</w:t>
      </w:r>
    </w:p>
    <w:p w14:paraId="2C25D376">
      <w:pPr>
        <w:spacing w:before="104" w:line="219" w:lineRule="auto"/>
        <w:ind w:left="479"/>
        <w:outlineLvl w:val="3"/>
        <w:rPr>
          <w:rFonts w:ascii="宋体" w:hAnsi="宋体" w:cs="宋体"/>
          <w:color w:val="000000" w:themeColor="text1"/>
          <w:sz w:val="24"/>
          <w:szCs w:val="24"/>
          <w:highlight w:val="none"/>
          <w14:textFill>
            <w14:solidFill>
              <w14:schemeClr w14:val="tx1"/>
            </w14:solidFill>
          </w14:textFill>
        </w:rPr>
      </w:pPr>
      <w:r>
        <w:rPr>
          <w:rFonts w:eastAsia="Times New Roman"/>
          <w:b/>
          <w:bCs/>
          <w:color w:val="000000" w:themeColor="text1"/>
          <w:spacing w:val="-2"/>
          <w:sz w:val="24"/>
          <w:szCs w:val="24"/>
          <w:highlight w:val="none"/>
          <w14:textFill>
            <w14:solidFill>
              <w14:schemeClr w14:val="tx1"/>
            </w14:solidFill>
          </w14:textFill>
        </w:rPr>
        <w:t xml:space="preserve">5.2  </w:t>
      </w:r>
      <w:r>
        <w:rPr>
          <w:rFonts w:ascii="宋体" w:hAnsi="宋体" w:cs="宋体"/>
          <w:b/>
          <w:bCs/>
          <w:color w:val="000000" w:themeColor="text1"/>
          <w:spacing w:val="-2"/>
          <w:sz w:val="24"/>
          <w:szCs w:val="24"/>
          <w:highlight w:val="none"/>
          <w14:textFill>
            <w14:solidFill>
              <w14:schemeClr w14:val="tx1"/>
            </w14:solidFill>
          </w14:textFill>
        </w:rPr>
        <w:t>发包人提供的材料和工程设备</w:t>
      </w:r>
    </w:p>
    <w:p w14:paraId="3DDA13E0">
      <w:pPr>
        <w:spacing w:before="125" w:line="304" w:lineRule="auto"/>
        <w:ind w:right="183" w:firstLine="484"/>
        <w:rPr>
          <w:rFonts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pacing w:val="1"/>
          <w:sz w:val="24"/>
          <w:szCs w:val="24"/>
          <w:highlight w:val="none"/>
          <w14:textFill>
            <w14:solidFill>
              <w14:schemeClr w14:val="tx1"/>
            </w14:solidFill>
          </w14:textFill>
        </w:rPr>
        <w:t>发包人提供材料和工程设备的，应在专用合同条</w:t>
      </w:r>
      <w:r>
        <w:rPr>
          <w:rFonts w:ascii="宋体" w:hAnsi="宋体" w:cs="宋体"/>
          <w:color w:val="000000" w:themeColor="text1"/>
          <w:sz w:val="24"/>
          <w:szCs w:val="24"/>
          <w:highlight w:val="none"/>
          <w14:textFill>
            <w14:solidFill>
              <w14:schemeClr w14:val="tx1"/>
            </w14:solidFill>
          </w14:textFill>
        </w:rPr>
        <w:t>款中写明材料和工程设备的名称、规格、数量、价格、交货方式、交货地</w:t>
      </w:r>
      <w:r>
        <w:rPr>
          <w:rFonts w:ascii="宋体" w:hAnsi="宋体" w:cs="宋体"/>
          <w:color w:val="000000" w:themeColor="text1"/>
          <w:spacing w:val="-1"/>
          <w:sz w:val="24"/>
          <w:szCs w:val="24"/>
          <w:highlight w:val="none"/>
          <w14:textFill>
            <w14:solidFill>
              <w14:schemeClr w14:val="tx1"/>
            </w14:solidFill>
          </w14:textFill>
        </w:rPr>
        <w:t>点和计划交货日期等。</w:t>
      </w:r>
    </w:p>
    <w:p w14:paraId="20CC656C">
      <w:pPr>
        <w:spacing w:before="1" w:line="218" w:lineRule="auto"/>
        <w:ind w:left="479"/>
        <w:outlineLvl w:val="3"/>
        <w:rPr>
          <w:rFonts w:ascii="宋体" w:hAnsi="宋体" w:cs="宋体"/>
          <w:color w:val="000000" w:themeColor="text1"/>
          <w:sz w:val="24"/>
          <w:szCs w:val="24"/>
          <w:highlight w:val="none"/>
          <w14:textFill>
            <w14:solidFill>
              <w14:schemeClr w14:val="tx1"/>
            </w14:solidFill>
          </w14:textFill>
        </w:rPr>
      </w:pPr>
      <w:r>
        <w:rPr>
          <w:rFonts w:eastAsia="Times New Roman"/>
          <w:b/>
          <w:bCs/>
          <w:color w:val="000000" w:themeColor="text1"/>
          <w:spacing w:val="-2"/>
          <w:sz w:val="24"/>
          <w:szCs w:val="24"/>
          <w:highlight w:val="none"/>
          <w14:textFill>
            <w14:solidFill>
              <w14:schemeClr w14:val="tx1"/>
            </w14:solidFill>
          </w14:textFill>
        </w:rPr>
        <w:t xml:space="preserve">5.3  </w:t>
      </w:r>
      <w:r>
        <w:rPr>
          <w:rFonts w:ascii="宋体" w:hAnsi="宋体" w:cs="宋体"/>
          <w:b/>
          <w:bCs/>
          <w:color w:val="000000" w:themeColor="text1"/>
          <w:spacing w:val="-2"/>
          <w:sz w:val="24"/>
          <w:szCs w:val="24"/>
          <w:highlight w:val="none"/>
          <w14:textFill>
            <w14:solidFill>
              <w14:schemeClr w14:val="tx1"/>
            </w14:solidFill>
          </w14:textFill>
        </w:rPr>
        <w:t>材料和工程设备专用于养护项目</w:t>
      </w:r>
    </w:p>
    <w:p w14:paraId="2007719A">
      <w:pPr>
        <w:spacing w:before="126" w:line="279" w:lineRule="auto"/>
        <w:ind w:right="183" w:firstLine="482"/>
        <w:rPr>
          <w:rFonts w:ascii="宋体" w:hAnsi="宋体" w:cs="宋体"/>
          <w:color w:val="000000" w:themeColor="text1"/>
          <w:sz w:val="24"/>
          <w:szCs w:val="24"/>
          <w:highlight w:val="none"/>
          <w14:textFill>
            <w14:solidFill>
              <w14:schemeClr w14:val="tx1"/>
            </w14:solidFill>
          </w14:textFill>
        </w:rPr>
      </w:pPr>
      <w:r>
        <w:rPr>
          <w:rFonts w:eastAsia="Times New Roman"/>
          <w:color w:val="000000" w:themeColor="text1"/>
          <w:spacing w:val="5"/>
          <w:sz w:val="24"/>
          <w:szCs w:val="24"/>
          <w:highlight w:val="none"/>
          <w14:textFill>
            <w14:solidFill>
              <w14:schemeClr w14:val="tx1"/>
            </w14:solidFill>
          </w14:textFill>
        </w:rPr>
        <w:t xml:space="preserve">5.3.1 </w:t>
      </w:r>
      <w:r>
        <w:rPr>
          <w:rFonts w:ascii="宋体" w:hAnsi="宋体" w:cs="宋体"/>
          <w:color w:val="000000" w:themeColor="text1"/>
          <w:spacing w:val="5"/>
          <w:sz w:val="24"/>
          <w:szCs w:val="24"/>
          <w:highlight w:val="none"/>
          <w14:textFill>
            <w14:solidFill>
              <w14:schemeClr w14:val="tx1"/>
            </w14:solidFill>
          </w14:textFill>
        </w:rPr>
        <w:t>运入养护作业场地的材料、工程设备，包括备品备件、安装专用工器具</w:t>
      </w:r>
      <w:r>
        <w:rPr>
          <w:rFonts w:ascii="宋体" w:hAnsi="宋体" w:cs="宋体"/>
          <w:color w:val="000000" w:themeColor="text1"/>
          <w:spacing w:val="1"/>
          <w:sz w:val="24"/>
          <w:szCs w:val="24"/>
          <w:highlight w:val="none"/>
          <w14:textFill>
            <w14:solidFill>
              <w14:schemeClr w14:val="tx1"/>
            </w14:solidFill>
          </w14:textFill>
        </w:rPr>
        <w:t>与随机资料，必须专用于养护项目，未经咨询人同意，承</w:t>
      </w:r>
      <w:r>
        <w:rPr>
          <w:rFonts w:ascii="宋体" w:hAnsi="宋体" w:cs="宋体"/>
          <w:color w:val="000000" w:themeColor="text1"/>
          <w:sz w:val="24"/>
          <w:szCs w:val="24"/>
          <w:highlight w:val="none"/>
          <w14:textFill>
            <w14:solidFill>
              <w14:schemeClr w14:val="tx1"/>
            </w14:solidFill>
          </w14:textFill>
        </w:rPr>
        <w:t>包人不得运出养护作业场</w:t>
      </w:r>
      <w:r>
        <w:rPr>
          <w:rFonts w:ascii="宋体" w:hAnsi="宋体" w:cs="宋体"/>
          <w:color w:val="000000" w:themeColor="text1"/>
          <w:spacing w:val="-2"/>
          <w:sz w:val="24"/>
          <w:szCs w:val="24"/>
          <w:highlight w:val="none"/>
          <w14:textFill>
            <w14:solidFill>
              <w14:schemeClr w14:val="tx1"/>
            </w14:solidFill>
          </w14:textFill>
        </w:rPr>
        <w:t>地或挪作他用。</w:t>
      </w:r>
    </w:p>
    <w:p w14:paraId="4F3FDEBA">
      <w:pPr>
        <w:spacing w:before="111" w:line="279" w:lineRule="auto"/>
        <w:ind w:right="183" w:firstLine="482"/>
        <w:rPr>
          <w:rFonts w:ascii="宋体" w:hAnsi="宋体" w:cs="宋体"/>
          <w:color w:val="000000" w:themeColor="text1"/>
          <w:sz w:val="24"/>
          <w:szCs w:val="24"/>
          <w:highlight w:val="none"/>
          <w14:textFill>
            <w14:solidFill>
              <w14:schemeClr w14:val="tx1"/>
            </w14:solidFill>
          </w14:textFill>
        </w:rPr>
      </w:pPr>
      <w:r>
        <w:rPr>
          <w:rFonts w:eastAsia="Times New Roman"/>
          <w:color w:val="000000" w:themeColor="text1"/>
          <w:spacing w:val="4"/>
          <w:sz w:val="24"/>
          <w:szCs w:val="24"/>
          <w:highlight w:val="none"/>
          <w14:textFill>
            <w14:solidFill>
              <w14:schemeClr w14:val="tx1"/>
            </w14:solidFill>
          </w14:textFill>
        </w:rPr>
        <w:t xml:space="preserve">5.3.2  </w:t>
      </w:r>
      <w:r>
        <w:rPr>
          <w:rFonts w:ascii="宋体" w:hAnsi="宋体" w:cs="宋体"/>
          <w:color w:val="000000" w:themeColor="text1"/>
          <w:spacing w:val="4"/>
          <w:sz w:val="24"/>
          <w:szCs w:val="24"/>
          <w:highlight w:val="none"/>
          <w14:textFill>
            <w14:solidFill>
              <w14:schemeClr w14:val="tx1"/>
            </w14:solidFill>
          </w14:textFill>
        </w:rPr>
        <w:t>随同工程设备运入养护作业场地的备品备件、专用</w:t>
      </w:r>
      <w:r>
        <w:rPr>
          <w:rFonts w:ascii="宋体" w:hAnsi="宋体" w:cs="宋体"/>
          <w:color w:val="000000" w:themeColor="text1"/>
          <w:spacing w:val="3"/>
          <w:sz w:val="24"/>
          <w:szCs w:val="24"/>
          <w:highlight w:val="none"/>
          <w14:textFill>
            <w14:solidFill>
              <w14:schemeClr w14:val="tx1"/>
            </w14:solidFill>
          </w14:textFill>
        </w:rPr>
        <w:t>工器具与随机资料，</w:t>
      </w:r>
      <w:r>
        <w:rPr>
          <w:rFonts w:ascii="宋体" w:hAnsi="宋体" w:cs="宋体"/>
          <w:color w:val="000000" w:themeColor="text1"/>
          <w:spacing w:val="1"/>
          <w:sz w:val="24"/>
          <w:szCs w:val="24"/>
          <w:highlight w:val="none"/>
          <w14:textFill>
            <w14:solidFill>
              <w14:schemeClr w14:val="tx1"/>
            </w14:solidFill>
          </w14:textFill>
        </w:rPr>
        <w:t>应由承包人会同咨询人按供货人的装箱单清点后共同封存</w:t>
      </w:r>
      <w:r>
        <w:rPr>
          <w:rFonts w:ascii="宋体" w:hAnsi="宋体" w:cs="宋体"/>
          <w:color w:val="000000" w:themeColor="text1"/>
          <w:sz w:val="24"/>
          <w:szCs w:val="24"/>
          <w:highlight w:val="none"/>
          <w14:textFill>
            <w14:solidFill>
              <w14:schemeClr w14:val="tx1"/>
            </w14:solidFill>
          </w14:textFill>
        </w:rPr>
        <w:t>，未经咨询人同意不得启用。承包人因合同工作需要使用上述物品时</w:t>
      </w:r>
      <w:r>
        <w:rPr>
          <w:rFonts w:ascii="宋体" w:hAnsi="宋体" w:cs="宋体"/>
          <w:color w:val="000000" w:themeColor="text1"/>
          <w:spacing w:val="-1"/>
          <w:sz w:val="24"/>
          <w:szCs w:val="24"/>
          <w:highlight w:val="none"/>
          <w14:textFill>
            <w14:solidFill>
              <w14:schemeClr w14:val="tx1"/>
            </w14:solidFill>
          </w14:textFill>
        </w:rPr>
        <w:t>，应向咨询人提出申请。</w:t>
      </w:r>
    </w:p>
    <w:p w14:paraId="71EA6125">
      <w:pPr>
        <w:spacing w:before="103" w:line="219" w:lineRule="auto"/>
        <w:ind w:left="479"/>
        <w:outlineLvl w:val="3"/>
        <w:rPr>
          <w:rFonts w:ascii="宋体" w:hAnsi="宋体" w:cs="宋体"/>
          <w:color w:val="000000" w:themeColor="text1"/>
          <w:sz w:val="24"/>
          <w:szCs w:val="24"/>
          <w:highlight w:val="none"/>
          <w14:textFill>
            <w14:solidFill>
              <w14:schemeClr w14:val="tx1"/>
            </w14:solidFill>
          </w14:textFill>
        </w:rPr>
      </w:pPr>
      <w:r>
        <w:rPr>
          <w:rFonts w:eastAsia="Times New Roman"/>
          <w:b/>
          <w:bCs/>
          <w:color w:val="000000" w:themeColor="text1"/>
          <w:spacing w:val="-2"/>
          <w:sz w:val="24"/>
          <w:szCs w:val="24"/>
          <w:highlight w:val="none"/>
          <w14:textFill>
            <w14:solidFill>
              <w14:schemeClr w14:val="tx1"/>
            </w14:solidFill>
          </w14:textFill>
        </w:rPr>
        <w:t xml:space="preserve">5.4  </w:t>
      </w:r>
      <w:r>
        <w:rPr>
          <w:rFonts w:ascii="宋体" w:hAnsi="宋体" w:cs="宋体"/>
          <w:b/>
          <w:bCs/>
          <w:color w:val="000000" w:themeColor="text1"/>
          <w:spacing w:val="-2"/>
          <w:sz w:val="24"/>
          <w:szCs w:val="24"/>
          <w:highlight w:val="none"/>
          <w14:textFill>
            <w14:solidFill>
              <w14:schemeClr w14:val="tx1"/>
            </w14:solidFill>
          </w14:textFill>
        </w:rPr>
        <w:t>禁止使用不合格的材料和工程设备</w:t>
      </w:r>
    </w:p>
    <w:p w14:paraId="00D365B9">
      <w:pPr>
        <w:spacing w:before="127" w:line="310" w:lineRule="auto"/>
        <w:ind w:left="18" w:right="183" w:firstLine="464"/>
        <w:rPr>
          <w:rFonts w:ascii="宋体" w:hAnsi="宋体" w:cs="宋体"/>
          <w:color w:val="000000" w:themeColor="text1"/>
          <w:sz w:val="24"/>
          <w:szCs w:val="24"/>
          <w:highlight w:val="none"/>
          <w14:textFill>
            <w14:solidFill>
              <w14:schemeClr w14:val="tx1"/>
            </w14:solidFill>
          </w14:textFill>
        </w:rPr>
      </w:pPr>
      <w:r>
        <w:rPr>
          <w:rFonts w:eastAsia="Times New Roman"/>
          <w:color w:val="000000" w:themeColor="text1"/>
          <w:spacing w:val="4"/>
          <w:sz w:val="24"/>
          <w:szCs w:val="24"/>
          <w:highlight w:val="none"/>
          <w14:textFill>
            <w14:solidFill>
              <w14:schemeClr w14:val="tx1"/>
            </w14:solidFill>
          </w14:textFill>
        </w:rPr>
        <w:t xml:space="preserve">5.4.1  </w:t>
      </w:r>
      <w:r>
        <w:rPr>
          <w:rFonts w:ascii="宋体" w:hAnsi="宋体" w:cs="宋体"/>
          <w:color w:val="000000" w:themeColor="text1"/>
          <w:spacing w:val="4"/>
          <w:sz w:val="24"/>
          <w:szCs w:val="24"/>
          <w:highlight w:val="none"/>
          <w14:textFill>
            <w14:solidFill>
              <w14:schemeClr w14:val="tx1"/>
            </w14:solidFill>
          </w14:textFill>
        </w:rPr>
        <w:t>咨询人有权拒绝承包人提供的不合格材料或</w:t>
      </w:r>
      <w:r>
        <w:rPr>
          <w:rFonts w:ascii="宋体" w:hAnsi="宋体" w:cs="宋体"/>
          <w:color w:val="000000" w:themeColor="text1"/>
          <w:spacing w:val="3"/>
          <w:sz w:val="24"/>
          <w:szCs w:val="24"/>
          <w:highlight w:val="none"/>
          <w14:textFill>
            <w14:solidFill>
              <w14:schemeClr w14:val="tx1"/>
            </w14:solidFill>
          </w14:textFill>
        </w:rPr>
        <w:t>工程设备，并要求承包人立</w:t>
      </w:r>
      <w:r>
        <w:rPr>
          <w:rFonts w:ascii="宋体" w:hAnsi="宋体" w:cs="宋体"/>
          <w:color w:val="000000" w:themeColor="text1"/>
          <w:sz w:val="24"/>
          <w:szCs w:val="24"/>
          <w:highlight w:val="none"/>
          <w14:textFill>
            <w14:solidFill>
              <w14:schemeClr w14:val="tx1"/>
            </w14:solidFill>
          </w14:textFill>
        </w:rPr>
        <w:t>即进行更换。咨询人应在更换后再次进行检查和检验，由此增加的费用和（或）工</w:t>
      </w:r>
      <w:bookmarkStart w:id="119" w:name="bookmark219"/>
      <w:bookmarkEnd w:id="119"/>
      <w:r>
        <w:rPr>
          <w:rFonts w:ascii="宋体" w:hAnsi="宋体" w:cs="宋体"/>
          <w:color w:val="000000" w:themeColor="text1"/>
          <w:spacing w:val="-2"/>
          <w:sz w:val="24"/>
          <w:szCs w:val="24"/>
          <w:highlight w:val="none"/>
          <w14:textFill>
            <w14:solidFill>
              <w14:schemeClr w14:val="tx1"/>
            </w14:solidFill>
          </w14:textFill>
        </w:rPr>
        <w:t>期延误由承包人承担。</w:t>
      </w:r>
    </w:p>
    <w:p w14:paraId="0B0E7AE0">
      <w:pPr>
        <w:spacing w:before="114" w:line="263" w:lineRule="auto"/>
        <w:ind w:left="2" w:right="2" w:firstLine="480"/>
        <w:rPr>
          <w:rFonts w:ascii="宋体" w:hAnsi="宋体" w:cs="宋体"/>
          <w:color w:val="000000" w:themeColor="text1"/>
          <w:sz w:val="24"/>
          <w:szCs w:val="24"/>
          <w:highlight w:val="none"/>
          <w14:textFill>
            <w14:solidFill>
              <w14:schemeClr w14:val="tx1"/>
            </w14:solidFill>
          </w14:textFill>
        </w:rPr>
      </w:pPr>
      <w:r>
        <w:rPr>
          <w:rFonts w:eastAsia="Times New Roman"/>
          <w:color w:val="000000" w:themeColor="text1"/>
          <w:spacing w:val="4"/>
          <w:sz w:val="24"/>
          <w:szCs w:val="24"/>
          <w:highlight w:val="none"/>
          <w14:textFill>
            <w14:solidFill>
              <w14:schemeClr w14:val="tx1"/>
            </w14:solidFill>
          </w14:textFill>
        </w:rPr>
        <w:t xml:space="preserve">5.4.2  </w:t>
      </w:r>
      <w:r>
        <w:rPr>
          <w:rFonts w:ascii="宋体" w:hAnsi="宋体" w:cs="宋体"/>
          <w:color w:val="000000" w:themeColor="text1"/>
          <w:spacing w:val="4"/>
          <w:sz w:val="24"/>
          <w:szCs w:val="24"/>
          <w:highlight w:val="none"/>
          <w14:textFill>
            <w14:solidFill>
              <w14:schemeClr w14:val="tx1"/>
            </w14:solidFill>
          </w14:textFill>
        </w:rPr>
        <w:t>咨询人发现承包人使用了不合格的材料和工</w:t>
      </w:r>
      <w:r>
        <w:rPr>
          <w:rFonts w:ascii="宋体" w:hAnsi="宋体" w:cs="宋体"/>
          <w:color w:val="000000" w:themeColor="text1"/>
          <w:spacing w:val="3"/>
          <w:sz w:val="24"/>
          <w:szCs w:val="24"/>
          <w:highlight w:val="none"/>
          <w14:textFill>
            <w14:solidFill>
              <w14:schemeClr w14:val="tx1"/>
            </w14:solidFill>
          </w14:textFill>
        </w:rPr>
        <w:t>程设备，应及时发出指示要</w:t>
      </w:r>
      <w:r>
        <w:rPr>
          <w:rFonts w:ascii="宋体" w:hAnsi="宋体" w:cs="宋体"/>
          <w:color w:val="000000" w:themeColor="text1"/>
          <w:sz w:val="24"/>
          <w:szCs w:val="24"/>
          <w:highlight w:val="none"/>
          <w14:textFill>
            <w14:solidFill>
              <w14:schemeClr w14:val="tx1"/>
            </w14:solidFill>
          </w14:textFill>
        </w:rPr>
        <w:t>求承包人立即改正，并禁止在养护项目中继续使</w:t>
      </w:r>
      <w:r>
        <w:rPr>
          <w:rFonts w:ascii="宋体" w:hAnsi="宋体" w:cs="宋体"/>
          <w:color w:val="000000" w:themeColor="text1"/>
          <w:spacing w:val="-1"/>
          <w:sz w:val="24"/>
          <w:szCs w:val="24"/>
          <w:highlight w:val="none"/>
          <w14:textFill>
            <w14:solidFill>
              <w14:schemeClr w14:val="tx1"/>
            </w14:solidFill>
          </w14:textFill>
        </w:rPr>
        <w:t>用不合格的材料和工程设备。</w:t>
      </w:r>
    </w:p>
    <w:p w14:paraId="698F558C">
      <w:pPr>
        <w:spacing w:before="116" w:line="264" w:lineRule="auto"/>
        <w:ind w:left="2" w:right="2" w:firstLine="480"/>
        <w:rPr>
          <w:rFonts w:ascii="宋体" w:hAnsi="宋体" w:cs="宋体"/>
          <w:color w:val="000000" w:themeColor="text1"/>
          <w:sz w:val="24"/>
          <w:szCs w:val="24"/>
          <w:highlight w:val="none"/>
          <w14:textFill>
            <w14:solidFill>
              <w14:schemeClr w14:val="tx1"/>
            </w14:solidFill>
          </w14:textFill>
        </w:rPr>
      </w:pPr>
      <w:r>
        <w:rPr>
          <w:rFonts w:eastAsia="Times New Roman"/>
          <w:color w:val="000000" w:themeColor="text1"/>
          <w:spacing w:val="4"/>
          <w:sz w:val="24"/>
          <w:szCs w:val="24"/>
          <w:highlight w:val="none"/>
          <w14:textFill>
            <w14:solidFill>
              <w14:schemeClr w14:val="tx1"/>
            </w14:solidFill>
          </w14:textFill>
        </w:rPr>
        <w:t xml:space="preserve">5.4.3  </w:t>
      </w:r>
      <w:r>
        <w:rPr>
          <w:rFonts w:ascii="宋体" w:hAnsi="宋体" w:cs="宋体"/>
          <w:color w:val="000000" w:themeColor="text1"/>
          <w:spacing w:val="4"/>
          <w:sz w:val="24"/>
          <w:szCs w:val="24"/>
          <w:highlight w:val="none"/>
          <w14:textFill>
            <w14:solidFill>
              <w14:schemeClr w14:val="tx1"/>
            </w14:solidFill>
          </w14:textFill>
        </w:rPr>
        <w:t>发包人提供的材料或工程设备不符合合同要</w:t>
      </w:r>
      <w:r>
        <w:rPr>
          <w:rFonts w:ascii="宋体" w:hAnsi="宋体" w:cs="宋体"/>
          <w:color w:val="000000" w:themeColor="text1"/>
          <w:spacing w:val="3"/>
          <w:sz w:val="24"/>
          <w:szCs w:val="24"/>
          <w:highlight w:val="none"/>
          <w14:textFill>
            <w14:solidFill>
              <w14:schemeClr w14:val="tx1"/>
            </w14:solidFill>
          </w14:textFill>
        </w:rPr>
        <w:t>求的，承包人有权拒绝，并</w:t>
      </w:r>
      <w:r>
        <w:rPr>
          <w:rFonts w:ascii="宋体" w:hAnsi="宋体" w:cs="宋体"/>
          <w:color w:val="000000" w:themeColor="text1"/>
          <w:spacing w:val="-1"/>
          <w:sz w:val="24"/>
          <w:szCs w:val="24"/>
          <w:highlight w:val="none"/>
          <w14:textFill>
            <w14:solidFill>
              <w14:schemeClr w14:val="tx1"/>
            </w14:solidFill>
          </w14:textFill>
        </w:rPr>
        <w:t>可要求发包人更换，由此增加的费用和（或）工期延误由发包人承担。</w:t>
      </w:r>
    </w:p>
    <w:p w14:paraId="5D6A2F29">
      <w:pPr>
        <w:spacing w:before="78" w:line="219" w:lineRule="auto"/>
        <w:ind w:left="480"/>
        <w:outlineLvl w:val="2"/>
        <w:rPr>
          <w:rFonts w:ascii="宋体" w:hAnsi="宋体" w:cs="宋体"/>
          <w:color w:val="000000" w:themeColor="text1"/>
          <w:sz w:val="24"/>
          <w:szCs w:val="24"/>
          <w:highlight w:val="none"/>
          <w14:textFill>
            <w14:solidFill>
              <w14:schemeClr w14:val="tx1"/>
            </w14:solidFill>
          </w14:textFill>
        </w:rPr>
      </w:pPr>
      <w:bookmarkStart w:id="120" w:name="bookmark17"/>
      <w:bookmarkEnd w:id="120"/>
      <w:bookmarkStart w:id="121" w:name="bookmark18"/>
      <w:bookmarkEnd w:id="121"/>
      <w:bookmarkStart w:id="122" w:name="_Toc12397"/>
      <w:r>
        <w:rPr>
          <w:rFonts w:eastAsia="Times New Roman"/>
          <w:b/>
          <w:bCs/>
          <w:color w:val="000000" w:themeColor="text1"/>
          <w:spacing w:val="-2"/>
          <w:sz w:val="24"/>
          <w:szCs w:val="24"/>
          <w:highlight w:val="none"/>
          <w14:textFill>
            <w14:solidFill>
              <w14:schemeClr w14:val="tx1"/>
            </w14:solidFill>
          </w14:textFill>
        </w:rPr>
        <w:t xml:space="preserve">6.  </w:t>
      </w:r>
      <w:r>
        <w:rPr>
          <w:rFonts w:ascii="宋体" w:hAnsi="宋体" w:cs="宋体"/>
          <w:b/>
          <w:bCs/>
          <w:color w:val="000000" w:themeColor="text1"/>
          <w:spacing w:val="-2"/>
          <w:sz w:val="24"/>
          <w:szCs w:val="24"/>
          <w:highlight w:val="none"/>
          <w14:textFill>
            <w14:solidFill>
              <w14:schemeClr w14:val="tx1"/>
            </w14:solidFill>
          </w14:textFill>
        </w:rPr>
        <w:t>养护作业设备和临时设施</w:t>
      </w:r>
      <w:bookmarkEnd w:id="122"/>
    </w:p>
    <w:p w14:paraId="42ED813B">
      <w:pPr>
        <w:spacing w:before="259" w:line="219" w:lineRule="auto"/>
        <w:ind w:left="480"/>
        <w:outlineLvl w:val="3"/>
        <w:rPr>
          <w:rFonts w:ascii="宋体" w:hAnsi="宋体" w:cs="宋体"/>
          <w:color w:val="000000" w:themeColor="text1"/>
          <w:sz w:val="24"/>
          <w:szCs w:val="24"/>
          <w:highlight w:val="none"/>
          <w14:textFill>
            <w14:solidFill>
              <w14:schemeClr w14:val="tx1"/>
            </w14:solidFill>
          </w14:textFill>
        </w:rPr>
      </w:pPr>
      <w:r>
        <w:rPr>
          <w:rFonts w:eastAsia="Times New Roman"/>
          <w:b/>
          <w:bCs/>
          <w:color w:val="000000" w:themeColor="text1"/>
          <w:spacing w:val="-2"/>
          <w:sz w:val="24"/>
          <w:szCs w:val="24"/>
          <w:highlight w:val="none"/>
          <w14:textFill>
            <w14:solidFill>
              <w14:schemeClr w14:val="tx1"/>
            </w14:solidFill>
          </w14:textFill>
        </w:rPr>
        <w:t xml:space="preserve">6.1  </w:t>
      </w:r>
      <w:r>
        <w:rPr>
          <w:rFonts w:ascii="宋体" w:hAnsi="宋体" w:cs="宋体"/>
          <w:b/>
          <w:bCs/>
          <w:color w:val="000000" w:themeColor="text1"/>
          <w:spacing w:val="-2"/>
          <w:sz w:val="24"/>
          <w:szCs w:val="24"/>
          <w:highlight w:val="none"/>
          <w14:textFill>
            <w14:solidFill>
              <w14:schemeClr w14:val="tx1"/>
            </w14:solidFill>
          </w14:textFill>
        </w:rPr>
        <w:t>承包人提供的养护作业设备和临时设施</w:t>
      </w:r>
    </w:p>
    <w:p w14:paraId="3C899152">
      <w:pPr>
        <w:spacing w:before="126" w:line="278" w:lineRule="auto"/>
        <w:ind w:firstLine="481"/>
        <w:rPr>
          <w:rFonts w:ascii="宋体" w:hAnsi="宋体" w:cs="宋体"/>
          <w:color w:val="000000" w:themeColor="text1"/>
          <w:sz w:val="24"/>
          <w:szCs w:val="24"/>
          <w:highlight w:val="none"/>
          <w14:textFill>
            <w14:solidFill>
              <w14:schemeClr w14:val="tx1"/>
            </w14:solidFill>
          </w14:textFill>
        </w:rPr>
      </w:pPr>
      <w:r>
        <w:rPr>
          <w:rFonts w:eastAsia="Times New Roman"/>
          <w:color w:val="000000" w:themeColor="text1"/>
          <w:spacing w:val="4"/>
          <w:sz w:val="24"/>
          <w:szCs w:val="24"/>
          <w:highlight w:val="none"/>
          <w14:textFill>
            <w14:solidFill>
              <w14:schemeClr w14:val="tx1"/>
            </w14:solidFill>
          </w14:textFill>
        </w:rPr>
        <w:t xml:space="preserve">6.1.1  </w:t>
      </w:r>
      <w:r>
        <w:rPr>
          <w:rFonts w:ascii="宋体" w:hAnsi="宋体" w:cs="宋体"/>
          <w:color w:val="000000" w:themeColor="text1"/>
          <w:spacing w:val="4"/>
          <w:sz w:val="24"/>
          <w:szCs w:val="24"/>
          <w:highlight w:val="none"/>
          <w14:textFill>
            <w14:solidFill>
              <w14:schemeClr w14:val="tx1"/>
            </w14:solidFill>
          </w14:textFill>
        </w:rPr>
        <w:t>承包人应按合同进度计划的要求，及时配置养护</w:t>
      </w:r>
      <w:r>
        <w:rPr>
          <w:rFonts w:ascii="宋体" w:hAnsi="宋体" w:cs="宋体"/>
          <w:color w:val="000000" w:themeColor="text1"/>
          <w:spacing w:val="3"/>
          <w:sz w:val="24"/>
          <w:szCs w:val="24"/>
          <w:highlight w:val="none"/>
          <w14:textFill>
            <w14:solidFill>
              <w14:schemeClr w14:val="tx1"/>
            </w14:solidFill>
          </w14:textFill>
        </w:rPr>
        <w:t>作业设备和修建临时设</w:t>
      </w:r>
      <w:r>
        <w:rPr>
          <w:rFonts w:ascii="宋体" w:hAnsi="宋体" w:cs="宋体"/>
          <w:color w:val="000000" w:themeColor="text1"/>
          <w:spacing w:val="1"/>
          <w:sz w:val="24"/>
          <w:szCs w:val="24"/>
          <w:highlight w:val="none"/>
          <w14:textFill>
            <w14:solidFill>
              <w14:schemeClr w14:val="tx1"/>
            </w14:solidFill>
          </w14:textFill>
        </w:rPr>
        <w:t>施。进入养护作业场地的承包人设备需经咨询人核查后才能</w:t>
      </w:r>
      <w:r>
        <w:rPr>
          <w:rFonts w:ascii="宋体" w:hAnsi="宋体" w:cs="宋体"/>
          <w:color w:val="000000" w:themeColor="text1"/>
          <w:sz w:val="24"/>
          <w:szCs w:val="24"/>
          <w:highlight w:val="none"/>
          <w14:textFill>
            <w14:solidFill>
              <w14:schemeClr w14:val="tx1"/>
            </w14:solidFill>
          </w14:textFill>
        </w:rPr>
        <w:t>投入使用。承包人更换</w:t>
      </w:r>
      <w:r>
        <w:rPr>
          <w:rFonts w:ascii="宋体" w:hAnsi="宋体" w:cs="宋体"/>
          <w:color w:val="000000" w:themeColor="text1"/>
          <w:spacing w:val="-1"/>
          <w:sz w:val="24"/>
          <w:szCs w:val="24"/>
          <w:highlight w:val="none"/>
          <w14:textFill>
            <w14:solidFill>
              <w14:schemeClr w14:val="tx1"/>
            </w14:solidFill>
          </w14:textFill>
        </w:rPr>
        <w:t>合同约定的承包人设备的，应报咨询人批准。</w:t>
      </w:r>
    </w:p>
    <w:p w14:paraId="5F52B409">
      <w:pPr>
        <w:spacing w:before="115" w:line="264" w:lineRule="auto"/>
        <w:ind w:left="2" w:right="2" w:firstLine="479"/>
        <w:rPr>
          <w:rFonts w:ascii="宋体" w:hAnsi="宋体" w:cs="宋体"/>
          <w:color w:val="000000" w:themeColor="text1"/>
          <w:sz w:val="24"/>
          <w:szCs w:val="24"/>
          <w:highlight w:val="none"/>
          <w14:textFill>
            <w14:solidFill>
              <w14:schemeClr w14:val="tx1"/>
            </w14:solidFill>
          </w14:textFill>
        </w:rPr>
      </w:pPr>
      <w:r>
        <w:rPr>
          <w:rFonts w:eastAsia="Times New Roman"/>
          <w:color w:val="000000" w:themeColor="text1"/>
          <w:spacing w:val="4"/>
          <w:sz w:val="24"/>
          <w:szCs w:val="24"/>
          <w:highlight w:val="none"/>
          <w14:textFill>
            <w14:solidFill>
              <w14:schemeClr w14:val="tx1"/>
            </w14:solidFill>
          </w14:textFill>
        </w:rPr>
        <w:t xml:space="preserve">6.1.2  </w:t>
      </w:r>
      <w:r>
        <w:rPr>
          <w:rFonts w:ascii="宋体" w:hAnsi="宋体" w:cs="宋体"/>
          <w:color w:val="000000" w:themeColor="text1"/>
          <w:spacing w:val="4"/>
          <w:sz w:val="24"/>
          <w:szCs w:val="24"/>
          <w:highlight w:val="none"/>
          <w14:textFill>
            <w14:solidFill>
              <w14:schemeClr w14:val="tx1"/>
            </w14:solidFill>
          </w14:textFill>
        </w:rPr>
        <w:t>承包人应自行承担修建临时设施的费用，需要临</w:t>
      </w:r>
      <w:r>
        <w:rPr>
          <w:rFonts w:ascii="宋体" w:hAnsi="宋体" w:cs="宋体"/>
          <w:color w:val="000000" w:themeColor="text1"/>
          <w:spacing w:val="3"/>
          <w:sz w:val="24"/>
          <w:szCs w:val="24"/>
          <w:highlight w:val="none"/>
          <w14:textFill>
            <w14:solidFill>
              <w14:schemeClr w14:val="tx1"/>
            </w14:solidFill>
          </w14:textFill>
        </w:rPr>
        <w:t>时占地的，应由承包人</w:t>
      </w:r>
      <w:r>
        <w:rPr>
          <w:rFonts w:ascii="宋体" w:hAnsi="宋体" w:cs="宋体"/>
          <w:color w:val="000000" w:themeColor="text1"/>
          <w:spacing w:val="-3"/>
          <w:sz w:val="24"/>
          <w:szCs w:val="24"/>
          <w:highlight w:val="none"/>
          <w14:textFill>
            <w14:solidFill>
              <w14:schemeClr w14:val="tx1"/>
            </w14:solidFill>
          </w14:textFill>
        </w:rPr>
        <w:t>按第</w:t>
      </w:r>
      <w:r>
        <w:rPr>
          <w:rFonts w:ascii="宋体" w:hAnsi="宋体" w:cs="宋体"/>
          <w:color w:val="000000" w:themeColor="text1"/>
          <w:spacing w:val="-56"/>
          <w:sz w:val="24"/>
          <w:szCs w:val="24"/>
          <w:highlight w:val="none"/>
          <w14:textFill>
            <w14:solidFill>
              <w14:schemeClr w14:val="tx1"/>
            </w14:solidFill>
          </w14:textFill>
        </w:rPr>
        <w:t xml:space="preserve"> </w:t>
      </w:r>
      <w:r>
        <w:rPr>
          <w:rFonts w:eastAsia="Times New Roman"/>
          <w:color w:val="000000" w:themeColor="text1"/>
          <w:spacing w:val="-3"/>
          <w:sz w:val="24"/>
          <w:szCs w:val="24"/>
          <w:highlight w:val="none"/>
          <w14:textFill>
            <w14:solidFill>
              <w14:schemeClr w14:val="tx1"/>
            </w14:solidFill>
          </w14:textFill>
        </w:rPr>
        <w:t>4.1.</w:t>
      </w:r>
      <w:r>
        <w:rPr>
          <w:rFonts w:eastAsia="Times New Roman"/>
          <w:color w:val="000000" w:themeColor="text1"/>
          <w:spacing w:val="-32"/>
          <w:sz w:val="24"/>
          <w:szCs w:val="24"/>
          <w:highlight w:val="none"/>
          <w14:textFill>
            <w14:solidFill>
              <w14:schemeClr w14:val="tx1"/>
            </w14:solidFill>
          </w14:textFill>
        </w:rPr>
        <w:t xml:space="preserve"> </w:t>
      </w:r>
      <w:r>
        <w:rPr>
          <w:rFonts w:eastAsia="Times New Roman"/>
          <w:color w:val="000000" w:themeColor="text1"/>
          <w:spacing w:val="-3"/>
          <w:sz w:val="24"/>
          <w:szCs w:val="24"/>
          <w:highlight w:val="none"/>
          <w14:textFill>
            <w14:solidFill>
              <w14:schemeClr w14:val="tx1"/>
            </w14:solidFill>
          </w14:textFill>
        </w:rPr>
        <w:t xml:space="preserve">10 </w:t>
      </w:r>
      <w:r>
        <w:rPr>
          <w:rFonts w:ascii="宋体" w:hAnsi="宋体" w:cs="宋体"/>
          <w:color w:val="000000" w:themeColor="text1"/>
          <w:spacing w:val="-3"/>
          <w:sz w:val="24"/>
          <w:szCs w:val="24"/>
          <w:highlight w:val="none"/>
          <w14:textFill>
            <w14:solidFill>
              <w14:schemeClr w14:val="tx1"/>
            </w14:solidFill>
          </w14:textFill>
        </w:rPr>
        <w:t>项约定办理。</w:t>
      </w:r>
    </w:p>
    <w:p w14:paraId="634600DD">
      <w:pPr>
        <w:spacing w:before="103" w:line="219" w:lineRule="auto"/>
        <w:ind w:left="480"/>
        <w:outlineLvl w:val="3"/>
        <w:rPr>
          <w:rFonts w:ascii="宋体" w:hAnsi="宋体" w:cs="宋体"/>
          <w:color w:val="000000" w:themeColor="text1"/>
          <w:sz w:val="24"/>
          <w:szCs w:val="24"/>
          <w:highlight w:val="none"/>
          <w14:textFill>
            <w14:solidFill>
              <w14:schemeClr w14:val="tx1"/>
            </w14:solidFill>
          </w14:textFill>
        </w:rPr>
      </w:pPr>
      <w:r>
        <w:rPr>
          <w:rFonts w:eastAsia="Times New Roman"/>
          <w:b/>
          <w:bCs/>
          <w:color w:val="000000" w:themeColor="text1"/>
          <w:spacing w:val="-2"/>
          <w:sz w:val="24"/>
          <w:szCs w:val="24"/>
          <w:highlight w:val="none"/>
          <w14:textFill>
            <w14:solidFill>
              <w14:schemeClr w14:val="tx1"/>
            </w14:solidFill>
          </w14:textFill>
        </w:rPr>
        <w:t xml:space="preserve">6.2  </w:t>
      </w:r>
      <w:r>
        <w:rPr>
          <w:rFonts w:ascii="宋体" w:hAnsi="宋体" w:cs="宋体"/>
          <w:b/>
          <w:bCs/>
          <w:color w:val="000000" w:themeColor="text1"/>
          <w:spacing w:val="-2"/>
          <w:sz w:val="24"/>
          <w:szCs w:val="24"/>
          <w:highlight w:val="none"/>
          <w14:textFill>
            <w14:solidFill>
              <w14:schemeClr w14:val="tx1"/>
            </w14:solidFill>
          </w14:textFill>
        </w:rPr>
        <w:t>发包人提供的养护作业设备和临时设施</w:t>
      </w:r>
    </w:p>
    <w:p w14:paraId="1C928CBA">
      <w:pPr>
        <w:spacing w:before="126" w:line="219" w:lineRule="auto"/>
        <w:ind w:left="484"/>
        <w:rPr>
          <w:rFonts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pacing w:val="-1"/>
          <w:sz w:val="24"/>
          <w:szCs w:val="24"/>
          <w:highlight w:val="none"/>
          <w14:textFill>
            <w14:solidFill>
              <w14:schemeClr w14:val="tx1"/>
            </w14:solidFill>
          </w14:textFill>
        </w:rPr>
        <w:t>发包人提供的养护作业设备或临时设施在专用合同条款中约定。</w:t>
      </w:r>
    </w:p>
    <w:p w14:paraId="33A1E337">
      <w:pPr>
        <w:spacing w:before="105" w:line="219" w:lineRule="auto"/>
        <w:ind w:left="480"/>
        <w:outlineLvl w:val="3"/>
        <w:rPr>
          <w:rFonts w:ascii="宋体" w:hAnsi="宋体" w:cs="宋体"/>
          <w:color w:val="000000" w:themeColor="text1"/>
          <w:sz w:val="24"/>
          <w:szCs w:val="24"/>
          <w:highlight w:val="none"/>
          <w14:textFill>
            <w14:solidFill>
              <w14:schemeClr w14:val="tx1"/>
            </w14:solidFill>
          </w14:textFill>
        </w:rPr>
      </w:pPr>
      <w:r>
        <w:rPr>
          <w:rFonts w:eastAsia="Times New Roman"/>
          <w:b/>
          <w:bCs/>
          <w:color w:val="000000" w:themeColor="text1"/>
          <w:spacing w:val="-2"/>
          <w:sz w:val="24"/>
          <w:szCs w:val="24"/>
          <w:highlight w:val="none"/>
          <w14:textFill>
            <w14:solidFill>
              <w14:schemeClr w14:val="tx1"/>
            </w14:solidFill>
          </w14:textFill>
        </w:rPr>
        <w:t xml:space="preserve">6.3  </w:t>
      </w:r>
      <w:r>
        <w:rPr>
          <w:rFonts w:ascii="宋体" w:hAnsi="宋体" w:cs="宋体"/>
          <w:b/>
          <w:bCs/>
          <w:color w:val="000000" w:themeColor="text1"/>
          <w:spacing w:val="-2"/>
          <w:sz w:val="24"/>
          <w:szCs w:val="24"/>
          <w:highlight w:val="none"/>
          <w14:textFill>
            <w14:solidFill>
              <w14:schemeClr w14:val="tx1"/>
            </w14:solidFill>
          </w14:textFill>
        </w:rPr>
        <w:t>要求承包人增加或更换养护作业设备</w:t>
      </w:r>
    </w:p>
    <w:p w14:paraId="7EAD7249">
      <w:pPr>
        <w:spacing w:before="125" w:line="306" w:lineRule="auto"/>
        <w:ind w:firstLine="480"/>
        <w:rPr>
          <w:rFonts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pacing w:val="1"/>
          <w:sz w:val="24"/>
          <w:szCs w:val="24"/>
          <w:highlight w:val="none"/>
          <w14:textFill>
            <w14:solidFill>
              <w14:schemeClr w14:val="tx1"/>
            </w14:solidFill>
          </w14:textFill>
        </w:rPr>
        <w:t>承包人承诺的养护作业设备必须按时到达现场，不得拖延</w:t>
      </w:r>
      <w:r>
        <w:rPr>
          <w:rFonts w:ascii="宋体" w:hAnsi="宋体" w:cs="宋体"/>
          <w:color w:val="000000" w:themeColor="text1"/>
          <w:sz w:val="24"/>
          <w:szCs w:val="24"/>
          <w:highlight w:val="none"/>
          <w14:textFill>
            <w14:solidFill>
              <w14:schemeClr w14:val="tx1"/>
            </w14:solidFill>
          </w14:textFill>
        </w:rPr>
        <w:t>、缺短或任意更换。</w:t>
      </w:r>
      <w:r>
        <w:rPr>
          <w:rFonts w:ascii="宋体" w:hAnsi="宋体" w:cs="宋体"/>
          <w:color w:val="000000" w:themeColor="text1"/>
          <w:spacing w:val="1"/>
          <w:sz w:val="24"/>
          <w:szCs w:val="24"/>
          <w:highlight w:val="none"/>
          <w14:textFill>
            <w14:solidFill>
              <w14:schemeClr w14:val="tx1"/>
            </w14:solidFill>
          </w14:textFill>
        </w:rPr>
        <w:t>承包人虽已按承诺提供了上述设备，但仍不能满足合同进</w:t>
      </w:r>
      <w:r>
        <w:rPr>
          <w:rFonts w:ascii="宋体" w:hAnsi="宋体" w:cs="宋体"/>
          <w:color w:val="000000" w:themeColor="text1"/>
          <w:sz w:val="24"/>
          <w:szCs w:val="24"/>
          <w:highlight w:val="none"/>
          <w14:textFill>
            <w14:solidFill>
              <w14:schemeClr w14:val="tx1"/>
            </w14:solidFill>
          </w14:textFill>
        </w:rPr>
        <w:t>度计划和（或）质量要求</w:t>
      </w:r>
      <w:r>
        <w:rPr>
          <w:rFonts w:ascii="宋体" w:hAnsi="宋体" w:cs="宋体"/>
          <w:color w:val="000000" w:themeColor="text1"/>
          <w:spacing w:val="1"/>
          <w:sz w:val="24"/>
          <w:szCs w:val="24"/>
          <w:highlight w:val="none"/>
          <w14:textFill>
            <w14:solidFill>
              <w14:schemeClr w14:val="tx1"/>
            </w14:solidFill>
          </w14:textFill>
        </w:rPr>
        <w:t>时，咨询人有权要求承包人增加或更换养护作业设备，承</w:t>
      </w:r>
      <w:r>
        <w:rPr>
          <w:rFonts w:ascii="宋体" w:hAnsi="宋体" w:cs="宋体"/>
          <w:color w:val="000000" w:themeColor="text1"/>
          <w:sz w:val="24"/>
          <w:szCs w:val="24"/>
          <w:highlight w:val="none"/>
          <w14:textFill>
            <w14:solidFill>
              <w14:schemeClr w14:val="tx1"/>
            </w14:solidFill>
          </w14:textFill>
        </w:rPr>
        <w:t>包人应及时增加或更换，</w:t>
      </w:r>
      <w:r>
        <w:rPr>
          <w:rFonts w:ascii="宋体" w:hAnsi="宋体" w:cs="宋体"/>
          <w:color w:val="000000" w:themeColor="text1"/>
          <w:spacing w:val="-1"/>
          <w:sz w:val="24"/>
          <w:szCs w:val="24"/>
          <w:highlight w:val="none"/>
          <w14:textFill>
            <w14:solidFill>
              <w14:schemeClr w14:val="tx1"/>
            </w14:solidFill>
          </w14:textFill>
        </w:rPr>
        <w:t>由此增加的费用和（或）工期延误由承包人承担。</w:t>
      </w:r>
    </w:p>
    <w:p w14:paraId="242A73EE">
      <w:pPr>
        <w:spacing w:line="219" w:lineRule="auto"/>
        <w:ind w:left="480"/>
        <w:outlineLvl w:val="3"/>
        <w:rPr>
          <w:rFonts w:ascii="宋体" w:hAnsi="宋体" w:cs="宋体"/>
          <w:color w:val="000000" w:themeColor="text1"/>
          <w:sz w:val="24"/>
          <w:szCs w:val="24"/>
          <w:highlight w:val="none"/>
          <w14:textFill>
            <w14:solidFill>
              <w14:schemeClr w14:val="tx1"/>
            </w14:solidFill>
          </w14:textFill>
        </w:rPr>
      </w:pPr>
      <w:r>
        <w:rPr>
          <w:rFonts w:eastAsia="Times New Roman"/>
          <w:b/>
          <w:bCs/>
          <w:color w:val="000000" w:themeColor="text1"/>
          <w:spacing w:val="-2"/>
          <w:sz w:val="24"/>
          <w:szCs w:val="24"/>
          <w:highlight w:val="none"/>
          <w14:textFill>
            <w14:solidFill>
              <w14:schemeClr w14:val="tx1"/>
            </w14:solidFill>
          </w14:textFill>
        </w:rPr>
        <w:t xml:space="preserve">6.4  </w:t>
      </w:r>
      <w:r>
        <w:rPr>
          <w:rFonts w:ascii="宋体" w:hAnsi="宋体" w:cs="宋体"/>
          <w:b/>
          <w:bCs/>
          <w:color w:val="000000" w:themeColor="text1"/>
          <w:spacing w:val="-2"/>
          <w:sz w:val="24"/>
          <w:szCs w:val="24"/>
          <w:highlight w:val="none"/>
          <w14:textFill>
            <w14:solidFill>
              <w14:schemeClr w14:val="tx1"/>
            </w14:solidFill>
          </w14:textFill>
        </w:rPr>
        <w:t>养护作业设备和临时设施专用于养护项目</w:t>
      </w:r>
    </w:p>
    <w:p w14:paraId="0CE45EDE">
      <w:pPr>
        <w:spacing w:before="126" w:line="278" w:lineRule="auto"/>
        <w:ind w:firstLine="481"/>
        <w:rPr>
          <w:rFonts w:ascii="宋体" w:hAnsi="宋体" w:cs="宋体"/>
          <w:color w:val="000000" w:themeColor="text1"/>
          <w:sz w:val="24"/>
          <w:szCs w:val="24"/>
          <w:highlight w:val="none"/>
          <w14:textFill>
            <w14:solidFill>
              <w14:schemeClr w14:val="tx1"/>
            </w14:solidFill>
          </w14:textFill>
        </w:rPr>
      </w:pPr>
      <w:r>
        <w:rPr>
          <w:rFonts w:eastAsia="Times New Roman"/>
          <w:color w:val="000000" w:themeColor="text1"/>
          <w:spacing w:val="5"/>
          <w:sz w:val="24"/>
          <w:szCs w:val="24"/>
          <w:highlight w:val="none"/>
          <w14:textFill>
            <w14:solidFill>
              <w14:schemeClr w14:val="tx1"/>
            </w14:solidFill>
          </w14:textFill>
        </w:rPr>
        <w:t>6.4.1</w:t>
      </w:r>
      <w:r>
        <w:rPr>
          <w:rFonts w:eastAsia="Times New Roman"/>
          <w:color w:val="000000" w:themeColor="text1"/>
          <w:spacing w:val="28"/>
          <w:w w:val="101"/>
          <w:sz w:val="24"/>
          <w:szCs w:val="24"/>
          <w:highlight w:val="none"/>
          <w14:textFill>
            <w14:solidFill>
              <w14:schemeClr w14:val="tx1"/>
            </w14:solidFill>
          </w14:textFill>
        </w:rPr>
        <w:t xml:space="preserve"> </w:t>
      </w:r>
      <w:r>
        <w:rPr>
          <w:rFonts w:ascii="宋体" w:hAnsi="宋体" w:cs="宋体"/>
          <w:color w:val="000000" w:themeColor="text1"/>
          <w:spacing w:val="5"/>
          <w:sz w:val="24"/>
          <w:szCs w:val="24"/>
          <w:highlight w:val="none"/>
          <w14:textFill>
            <w14:solidFill>
              <w14:schemeClr w14:val="tx1"/>
            </w14:solidFill>
          </w14:textFill>
        </w:rPr>
        <w:t>除合同另有约定外，运入养护作业场地的所有养护作业</w:t>
      </w:r>
      <w:r>
        <w:rPr>
          <w:rFonts w:ascii="宋体" w:hAnsi="宋体" w:cs="宋体"/>
          <w:color w:val="000000" w:themeColor="text1"/>
          <w:spacing w:val="4"/>
          <w:sz w:val="24"/>
          <w:szCs w:val="24"/>
          <w:highlight w:val="none"/>
          <w14:textFill>
            <w14:solidFill>
              <w14:schemeClr w14:val="tx1"/>
            </w14:solidFill>
          </w14:textFill>
        </w:rPr>
        <w:t>设备以及在养护</w:t>
      </w:r>
      <w:r>
        <w:rPr>
          <w:rFonts w:ascii="宋体" w:hAnsi="宋体" w:cs="宋体"/>
          <w:color w:val="000000" w:themeColor="text1"/>
          <w:spacing w:val="1"/>
          <w:sz w:val="24"/>
          <w:szCs w:val="24"/>
          <w:highlight w:val="none"/>
          <w14:textFill>
            <w14:solidFill>
              <w14:schemeClr w14:val="tx1"/>
            </w14:solidFill>
          </w14:textFill>
        </w:rPr>
        <w:t>作业场地建设的临时设施应专用于养护项目。未经咨询人同</w:t>
      </w:r>
      <w:r>
        <w:rPr>
          <w:rFonts w:ascii="宋体" w:hAnsi="宋体" w:cs="宋体"/>
          <w:color w:val="000000" w:themeColor="text1"/>
          <w:sz w:val="24"/>
          <w:szCs w:val="24"/>
          <w:highlight w:val="none"/>
          <w14:textFill>
            <w14:solidFill>
              <w14:schemeClr w14:val="tx1"/>
            </w14:solidFill>
          </w14:textFill>
        </w:rPr>
        <w:t>意，不得将上述养护作</w:t>
      </w:r>
      <w:r>
        <w:rPr>
          <w:rFonts w:ascii="宋体" w:hAnsi="宋体" w:cs="宋体"/>
          <w:color w:val="000000" w:themeColor="text1"/>
          <w:spacing w:val="-1"/>
          <w:sz w:val="24"/>
          <w:szCs w:val="24"/>
          <w:highlight w:val="none"/>
          <w14:textFill>
            <w14:solidFill>
              <w14:schemeClr w14:val="tx1"/>
            </w14:solidFill>
          </w14:textFill>
        </w:rPr>
        <w:t>业设备和临时设施中的任何部分运出养护作业场地或挪作他用。</w:t>
      </w:r>
    </w:p>
    <w:p w14:paraId="27AFF12B">
      <w:pPr>
        <w:spacing w:before="116" w:line="219" w:lineRule="auto"/>
        <w:ind w:left="481"/>
        <w:rPr>
          <w:rFonts w:ascii="宋体" w:hAnsi="宋体" w:cs="宋体"/>
          <w:color w:val="000000" w:themeColor="text1"/>
          <w:sz w:val="24"/>
          <w:szCs w:val="24"/>
          <w:highlight w:val="none"/>
          <w14:textFill>
            <w14:solidFill>
              <w14:schemeClr w14:val="tx1"/>
            </w14:solidFill>
          </w14:textFill>
        </w:rPr>
      </w:pPr>
      <w:r>
        <w:rPr>
          <w:rFonts w:eastAsia="Times New Roman"/>
          <w:color w:val="000000" w:themeColor="text1"/>
          <w:sz w:val="24"/>
          <w:szCs w:val="24"/>
          <w:highlight w:val="none"/>
          <w14:textFill>
            <w14:solidFill>
              <w14:schemeClr w14:val="tx1"/>
            </w14:solidFill>
          </w14:textFill>
        </w:rPr>
        <w:t xml:space="preserve">6.4.2  </w:t>
      </w:r>
      <w:r>
        <w:rPr>
          <w:rFonts w:ascii="宋体" w:hAnsi="宋体" w:cs="宋体"/>
          <w:color w:val="000000" w:themeColor="text1"/>
          <w:sz w:val="24"/>
          <w:szCs w:val="24"/>
          <w:highlight w:val="none"/>
          <w14:textFill>
            <w14:solidFill>
              <w14:schemeClr w14:val="tx1"/>
            </w14:solidFill>
          </w14:textFill>
        </w:rPr>
        <w:t>经咨询人同意，承包人可根据合同进度计划</w:t>
      </w:r>
      <w:r>
        <w:rPr>
          <w:rFonts w:ascii="宋体" w:hAnsi="宋体" w:cs="宋体"/>
          <w:color w:val="000000" w:themeColor="text1"/>
          <w:spacing w:val="-1"/>
          <w:sz w:val="24"/>
          <w:szCs w:val="24"/>
          <w:highlight w:val="none"/>
          <w14:textFill>
            <w14:solidFill>
              <w14:schemeClr w14:val="tx1"/>
            </w14:solidFill>
          </w14:textFill>
        </w:rPr>
        <w:t>撤走闲置的养护作业设备。</w:t>
      </w:r>
    </w:p>
    <w:p w14:paraId="24E4C846">
      <w:pPr>
        <w:spacing w:before="78" w:line="219" w:lineRule="auto"/>
        <w:ind w:left="479"/>
        <w:outlineLvl w:val="2"/>
        <w:rPr>
          <w:rFonts w:ascii="宋体" w:hAnsi="宋体" w:cs="宋体"/>
          <w:color w:val="000000" w:themeColor="text1"/>
          <w:sz w:val="24"/>
          <w:szCs w:val="24"/>
          <w:highlight w:val="none"/>
          <w14:textFill>
            <w14:solidFill>
              <w14:schemeClr w14:val="tx1"/>
            </w14:solidFill>
          </w14:textFill>
        </w:rPr>
      </w:pPr>
      <w:bookmarkStart w:id="123" w:name="bookmark20"/>
      <w:bookmarkEnd w:id="123"/>
      <w:bookmarkStart w:id="124" w:name="bookmark19"/>
      <w:bookmarkEnd w:id="124"/>
      <w:bookmarkStart w:id="125" w:name="_Toc9567"/>
      <w:r>
        <w:rPr>
          <w:rFonts w:eastAsia="Times New Roman"/>
          <w:b/>
          <w:bCs/>
          <w:color w:val="000000" w:themeColor="text1"/>
          <w:spacing w:val="-6"/>
          <w:sz w:val="24"/>
          <w:szCs w:val="24"/>
          <w:highlight w:val="none"/>
          <w14:textFill>
            <w14:solidFill>
              <w14:schemeClr w14:val="tx1"/>
            </w14:solidFill>
          </w14:textFill>
        </w:rPr>
        <w:t>7.</w:t>
      </w:r>
      <w:r>
        <w:rPr>
          <w:rFonts w:eastAsia="Times New Roman"/>
          <w:b/>
          <w:bCs/>
          <w:color w:val="000000" w:themeColor="text1"/>
          <w:spacing w:val="9"/>
          <w:sz w:val="24"/>
          <w:szCs w:val="24"/>
          <w:highlight w:val="none"/>
          <w14:textFill>
            <w14:solidFill>
              <w14:schemeClr w14:val="tx1"/>
            </w14:solidFill>
          </w14:textFill>
        </w:rPr>
        <w:t xml:space="preserve">  </w:t>
      </w:r>
      <w:r>
        <w:rPr>
          <w:rFonts w:ascii="宋体" w:hAnsi="宋体" w:cs="宋体"/>
          <w:b/>
          <w:bCs/>
          <w:color w:val="000000" w:themeColor="text1"/>
          <w:spacing w:val="-6"/>
          <w:sz w:val="24"/>
          <w:szCs w:val="24"/>
          <w:highlight w:val="none"/>
          <w14:textFill>
            <w14:solidFill>
              <w14:schemeClr w14:val="tx1"/>
            </w14:solidFill>
          </w14:textFill>
        </w:rPr>
        <w:t>交通运输</w:t>
      </w:r>
      <w:bookmarkEnd w:id="125"/>
    </w:p>
    <w:p w14:paraId="13E05A99">
      <w:pPr>
        <w:spacing w:before="260" w:line="219" w:lineRule="auto"/>
        <w:ind w:left="479"/>
        <w:outlineLvl w:val="3"/>
        <w:rPr>
          <w:rFonts w:ascii="宋体" w:hAnsi="宋体" w:cs="宋体"/>
          <w:color w:val="000000" w:themeColor="text1"/>
          <w:sz w:val="24"/>
          <w:szCs w:val="24"/>
          <w:highlight w:val="none"/>
          <w14:textFill>
            <w14:solidFill>
              <w14:schemeClr w14:val="tx1"/>
            </w14:solidFill>
          </w14:textFill>
        </w:rPr>
      </w:pPr>
      <w:r>
        <w:rPr>
          <w:rFonts w:eastAsia="Times New Roman"/>
          <w:b/>
          <w:bCs/>
          <w:color w:val="000000" w:themeColor="text1"/>
          <w:spacing w:val="-2"/>
          <w:sz w:val="24"/>
          <w:szCs w:val="24"/>
          <w:highlight w:val="none"/>
          <w14:textFill>
            <w14:solidFill>
              <w14:schemeClr w14:val="tx1"/>
            </w14:solidFill>
          </w14:textFill>
        </w:rPr>
        <w:t xml:space="preserve">7.1  </w:t>
      </w:r>
      <w:r>
        <w:rPr>
          <w:rFonts w:ascii="宋体" w:hAnsi="宋体" w:cs="宋体"/>
          <w:b/>
          <w:bCs/>
          <w:color w:val="000000" w:themeColor="text1"/>
          <w:spacing w:val="-2"/>
          <w:sz w:val="24"/>
          <w:szCs w:val="24"/>
          <w:highlight w:val="none"/>
          <w14:textFill>
            <w14:solidFill>
              <w14:schemeClr w14:val="tx1"/>
            </w14:solidFill>
          </w14:textFill>
        </w:rPr>
        <w:t>道路通行权和场外设施</w:t>
      </w:r>
    </w:p>
    <w:p w14:paraId="4A3A0E82">
      <w:pPr>
        <w:spacing w:before="127" w:line="305" w:lineRule="auto"/>
        <w:ind w:left="2" w:firstLine="478"/>
        <w:rPr>
          <w:rFonts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pacing w:val="1"/>
          <w:sz w:val="24"/>
          <w:szCs w:val="24"/>
          <w:highlight w:val="none"/>
          <w14:textFill>
            <w14:solidFill>
              <w14:schemeClr w14:val="tx1"/>
            </w14:solidFill>
          </w14:textFill>
        </w:rPr>
        <w:t>承包人应根据养护项目的实施需要，负责办理取得出入养</w:t>
      </w:r>
      <w:r>
        <w:rPr>
          <w:rFonts w:ascii="宋体" w:hAnsi="宋体" w:cs="宋体"/>
          <w:color w:val="000000" w:themeColor="text1"/>
          <w:sz w:val="24"/>
          <w:szCs w:val="24"/>
          <w:highlight w:val="none"/>
          <w14:textFill>
            <w14:solidFill>
              <w14:schemeClr w14:val="tx1"/>
            </w14:solidFill>
          </w14:textFill>
        </w:rPr>
        <w:t>护作业场地的专用和</w:t>
      </w:r>
      <w:r>
        <w:rPr>
          <w:rFonts w:ascii="宋体" w:hAnsi="宋体" w:cs="宋体"/>
          <w:color w:val="000000" w:themeColor="text1"/>
          <w:spacing w:val="1"/>
          <w:sz w:val="24"/>
          <w:szCs w:val="24"/>
          <w:highlight w:val="none"/>
          <w14:textFill>
            <w14:solidFill>
              <w14:schemeClr w14:val="tx1"/>
            </w14:solidFill>
          </w14:textFill>
        </w:rPr>
        <w:t>临时道路的通行权，以及取得为养护作业所需修建场</w:t>
      </w:r>
      <w:r>
        <w:rPr>
          <w:rFonts w:ascii="宋体" w:hAnsi="宋体" w:cs="宋体"/>
          <w:color w:val="000000" w:themeColor="text1"/>
          <w:sz w:val="24"/>
          <w:szCs w:val="24"/>
          <w:highlight w:val="none"/>
          <w14:textFill>
            <w14:solidFill>
              <w14:schemeClr w14:val="tx1"/>
            </w14:solidFill>
          </w14:textFill>
        </w:rPr>
        <w:t>外设施的权利，并承担有关费</w:t>
      </w:r>
      <w:r>
        <w:rPr>
          <w:rFonts w:ascii="宋体" w:hAnsi="宋体" w:cs="宋体"/>
          <w:color w:val="000000" w:themeColor="text1"/>
          <w:spacing w:val="-1"/>
          <w:sz w:val="24"/>
          <w:szCs w:val="24"/>
          <w:highlight w:val="none"/>
          <w14:textFill>
            <w14:solidFill>
              <w14:schemeClr w14:val="tx1"/>
            </w14:solidFill>
          </w14:textFill>
        </w:rPr>
        <w:t>用。需要发包人协调时，发包人应协助承包人办理相关手续。</w:t>
      </w:r>
    </w:p>
    <w:p w14:paraId="75014786">
      <w:pPr>
        <w:spacing w:line="219" w:lineRule="auto"/>
        <w:ind w:left="479"/>
        <w:outlineLvl w:val="3"/>
        <w:rPr>
          <w:rFonts w:ascii="宋体" w:hAnsi="宋体" w:cs="宋体"/>
          <w:color w:val="000000" w:themeColor="text1"/>
          <w:sz w:val="24"/>
          <w:szCs w:val="24"/>
          <w:highlight w:val="none"/>
          <w14:textFill>
            <w14:solidFill>
              <w14:schemeClr w14:val="tx1"/>
            </w14:solidFill>
          </w14:textFill>
        </w:rPr>
      </w:pPr>
      <w:r>
        <w:rPr>
          <w:rFonts w:eastAsia="Times New Roman"/>
          <w:b/>
          <w:bCs/>
          <w:color w:val="000000" w:themeColor="text1"/>
          <w:spacing w:val="-2"/>
          <w:sz w:val="24"/>
          <w:szCs w:val="24"/>
          <w:highlight w:val="none"/>
          <w14:textFill>
            <w14:solidFill>
              <w14:schemeClr w14:val="tx1"/>
            </w14:solidFill>
          </w14:textFill>
        </w:rPr>
        <w:t xml:space="preserve">7.2  </w:t>
      </w:r>
      <w:r>
        <w:rPr>
          <w:rFonts w:ascii="宋体" w:hAnsi="宋体" w:cs="宋体"/>
          <w:b/>
          <w:bCs/>
          <w:color w:val="000000" w:themeColor="text1"/>
          <w:spacing w:val="-2"/>
          <w:sz w:val="24"/>
          <w:szCs w:val="24"/>
          <w:highlight w:val="none"/>
          <w14:textFill>
            <w14:solidFill>
              <w14:schemeClr w14:val="tx1"/>
            </w14:solidFill>
          </w14:textFill>
        </w:rPr>
        <w:t>养护路段内交通</w:t>
      </w:r>
    </w:p>
    <w:p w14:paraId="77C4A250">
      <w:pPr>
        <w:spacing w:before="126" w:line="310" w:lineRule="auto"/>
        <w:ind w:left="2" w:firstLine="492"/>
        <w:rPr>
          <w:color w:val="000000" w:themeColor="text1"/>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除专用合同条款另有约定外，承包人养护管理车辆及作业车辆通过养护路段产</w:t>
      </w:r>
      <w:r>
        <w:rPr>
          <w:rFonts w:ascii="宋体" w:hAnsi="宋体" w:cs="宋体"/>
          <w:color w:val="000000" w:themeColor="text1"/>
          <w:spacing w:val="-1"/>
          <w:sz w:val="24"/>
          <w:szCs w:val="24"/>
          <w:highlight w:val="none"/>
          <w14:textFill>
            <w14:solidFill>
              <w14:schemeClr w14:val="tx1"/>
            </w14:solidFill>
          </w14:textFill>
        </w:rPr>
        <w:t>生的通行费由承包人自行承担。</w:t>
      </w:r>
    </w:p>
    <w:p w14:paraId="0B12E012">
      <w:pPr>
        <w:spacing w:before="78" w:line="219" w:lineRule="auto"/>
        <w:ind w:left="478"/>
        <w:outlineLvl w:val="3"/>
        <w:rPr>
          <w:rFonts w:ascii="宋体" w:hAnsi="宋体" w:cs="宋体"/>
          <w:color w:val="000000" w:themeColor="text1"/>
          <w:sz w:val="24"/>
          <w:szCs w:val="24"/>
          <w:highlight w:val="none"/>
          <w14:textFill>
            <w14:solidFill>
              <w14:schemeClr w14:val="tx1"/>
            </w14:solidFill>
          </w14:textFill>
        </w:rPr>
      </w:pPr>
      <w:r>
        <w:rPr>
          <w:rFonts w:eastAsia="Times New Roman"/>
          <w:b/>
          <w:bCs/>
          <w:color w:val="000000" w:themeColor="text1"/>
          <w:spacing w:val="-2"/>
          <w:sz w:val="24"/>
          <w:szCs w:val="24"/>
          <w:highlight w:val="none"/>
          <w14:textFill>
            <w14:solidFill>
              <w14:schemeClr w14:val="tx1"/>
            </w14:solidFill>
          </w14:textFill>
        </w:rPr>
        <w:t xml:space="preserve">7.3  </w:t>
      </w:r>
      <w:r>
        <w:rPr>
          <w:rFonts w:ascii="宋体" w:hAnsi="宋体" w:cs="宋体"/>
          <w:b/>
          <w:bCs/>
          <w:color w:val="000000" w:themeColor="text1"/>
          <w:spacing w:val="-2"/>
          <w:sz w:val="24"/>
          <w:szCs w:val="24"/>
          <w:highlight w:val="none"/>
          <w14:textFill>
            <w14:solidFill>
              <w14:schemeClr w14:val="tx1"/>
            </w14:solidFill>
          </w14:textFill>
        </w:rPr>
        <w:t>养护路段外交通</w:t>
      </w:r>
    </w:p>
    <w:p w14:paraId="34CD9AA7">
      <w:pPr>
        <w:spacing w:before="125" w:line="263" w:lineRule="auto"/>
        <w:ind w:left="39" w:right="166" w:firstLine="440"/>
        <w:rPr>
          <w:rFonts w:ascii="宋体" w:hAnsi="宋体" w:cs="宋体"/>
          <w:color w:val="000000" w:themeColor="text1"/>
          <w:sz w:val="24"/>
          <w:szCs w:val="24"/>
          <w:highlight w:val="none"/>
          <w14:textFill>
            <w14:solidFill>
              <w14:schemeClr w14:val="tx1"/>
            </w14:solidFill>
          </w14:textFill>
        </w:rPr>
      </w:pPr>
      <w:r>
        <w:rPr>
          <w:rFonts w:eastAsia="Times New Roman"/>
          <w:color w:val="000000" w:themeColor="text1"/>
          <w:spacing w:val="4"/>
          <w:sz w:val="24"/>
          <w:szCs w:val="24"/>
          <w:highlight w:val="none"/>
          <w14:textFill>
            <w14:solidFill>
              <w14:schemeClr w14:val="tx1"/>
            </w14:solidFill>
          </w14:textFill>
        </w:rPr>
        <w:t xml:space="preserve">7.3.1  </w:t>
      </w:r>
      <w:r>
        <w:rPr>
          <w:rFonts w:ascii="宋体" w:hAnsi="宋体" w:cs="宋体"/>
          <w:color w:val="000000" w:themeColor="text1"/>
          <w:spacing w:val="4"/>
          <w:sz w:val="24"/>
          <w:szCs w:val="24"/>
          <w:highlight w:val="none"/>
          <w14:textFill>
            <w14:solidFill>
              <w14:schemeClr w14:val="tx1"/>
            </w14:solidFill>
          </w14:textFill>
        </w:rPr>
        <w:t>承包人养护管理车辆及作业车辆行驶养护路段外道</w:t>
      </w:r>
      <w:r>
        <w:rPr>
          <w:rFonts w:ascii="宋体" w:hAnsi="宋体" w:cs="宋体"/>
          <w:color w:val="000000" w:themeColor="text1"/>
          <w:spacing w:val="3"/>
          <w:sz w:val="24"/>
          <w:szCs w:val="24"/>
          <w:highlight w:val="none"/>
          <w14:textFill>
            <w14:solidFill>
              <w14:schemeClr w14:val="tx1"/>
            </w14:solidFill>
          </w14:textFill>
        </w:rPr>
        <w:t>路的通行费由承包人</w:t>
      </w:r>
      <w:r>
        <w:rPr>
          <w:rFonts w:ascii="宋体" w:hAnsi="宋体" w:cs="宋体"/>
          <w:color w:val="000000" w:themeColor="text1"/>
          <w:spacing w:val="-10"/>
          <w:sz w:val="24"/>
          <w:szCs w:val="24"/>
          <w:highlight w:val="none"/>
          <w14:textFill>
            <w14:solidFill>
              <w14:schemeClr w14:val="tx1"/>
            </w14:solidFill>
          </w14:textFill>
        </w:rPr>
        <w:t>自行承担。</w:t>
      </w:r>
    </w:p>
    <w:p w14:paraId="4A54D87D">
      <w:pPr>
        <w:spacing w:before="115" w:line="264" w:lineRule="auto"/>
        <w:ind w:left="5" w:right="138" w:firstLine="473"/>
        <w:rPr>
          <w:rFonts w:ascii="宋体" w:hAnsi="宋体" w:cs="宋体"/>
          <w:color w:val="000000" w:themeColor="text1"/>
          <w:sz w:val="24"/>
          <w:szCs w:val="24"/>
          <w:highlight w:val="none"/>
          <w14:textFill>
            <w14:solidFill>
              <w14:schemeClr w14:val="tx1"/>
            </w14:solidFill>
          </w14:textFill>
        </w:rPr>
      </w:pPr>
      <w:r>
        <w:rPr>
          <w:rFonts w:eastAsia="Times New Roman"/>
          <w:color w:val="000000" w:themeColor="text1"/>
          <w:spacing w:val="-2"/>
          <w:sz w:val="24"/>
          <w:szCs w:val="24"/>
          <w:highlight w:val="none"/>
          <w14:textFill>
            <w14:solidFill>
              <w14:schemeClr w14:val="tx1"/>
            </w14:solidFill>
          </w14:textFill>
        </w:rPr>
        <w:t xml:space="preserve">7.3.2  </w:t>
      </w:r>
      <w:r>
        <w:rPr>
          <w:rFonts w:ascii="宋体" w:hAnsi="宋体" w:cs="宋体"/>
          <w:color w:val="000000" w:themeColor="text1"/>
          <w:spacing w:val="-2"/>
          <w:sz w:val="24"/>
          <w:szCs w:val="24"/>
          <w:highlight w:val="none"/>
          <w14:textFill>
            <w14:solidFill>
              <w14:schemeClr w14:val="tx1"/>
            </w14:solidFill>
          </w14:textFill>
        </w:rPr>
        <w:t>承包人应遵守有关交通法规，严格按照道路和桥梁的限制荷重安全行驶，</w:t>
      </w:r>
      <w:r>
        <w:rPr>
          <w:rFonts w:ascii="宋体" w:hAnsi="宋体" w:cs="宋体"/>
          <w:color w:val="000000" w:themeColor="text1"/>
          <w:spacing w:val="-1"/>
          <w:sz w:val="24"/>
          <w:szCs w:val="24"/>
          <w:highlight w:val="none"/>
          <w14:textFill>
            <w14:solidFill>
              <w14:schemeClr w14:val="tx1"/>
            </w14:solidFill>
          </w14:textFill>
        </w:rPr>
        <w:t>并服从交通管理部门的检查和监督。</w:t>
      </w:r>
    </w:p>
    <w:p w14:paraId="708404A7">
      <w:pPr>
        <w:spacing w:before="104" w:line="219" w:lineRule="auto"/>
        <w:ind w:left="478"/>
        <w:outlineLvl w:val="3"/>
        <w:rPr>
          <w:rFonts w:ascii="宋体" w:hAnsi="宋体" w:cs="宋体"/>
          <w:color w:val="000000" w:themeColor="text1"/>
          <w:sz w:val="24"/>
          <w:szCs w:val="24"/>
          <w:highlight w:val="none"/>
          <w14:textFill>
            <w14:solidFill>
              <w14:schemeClr w14:val="tx1"/>
            </w14:solidFill>
          </w14:textFill>
        </w:rPr>
      </w:pPr>
      <w:r>
        <w:rPr>
          <w:rFonts w:eastAsia="Times New Roman"/>
          <w:b/>
          <w:bCs/>
          <w:color w:val="000000" w:themeColor="text1"/>
          <w:spacing w:val="-2"/>
          <w:sz w:val="24"/>
          <w:szCs w:val="24"/>
          <w:highlight w:val="none"/>
          <w14:textFill>
            <w14:solidFill>
              <w14:schemeClr w14:val="tx1"/>
            </w14:solidFill>
          </w14:textFill>
        </w:rPr>
        <w:t xml:space="preserve">7.4  </w:t>
      </w:r>
      <w:r>
        <w:rPr>
          <w:rFonts w:ascii="宋体" w:hAnsi="宋体" w:cs="宋体"/>
          <w:b/>
          <w:bCs/>
          <w:color w:val="000000" w:themeColor="text1"/>
          <w:spacing w:val="-2"/>
          <w:sz w:val="24"/>
          <w:szCs w:val="24"/>
          <w:highlight w:val="none"/>
          <w14:textFill>
            <w14:solidFill>
              <w14:schemeClr w14:val="tx1"/>
            </w14:solidFill>
          </w14:textFill>
        </w:rPr>
        <w:t>道路和桥梁的损坏责任</w:t>
      </w:r>
    </w:p>
    <w:p w14:paraId="6A3D3749">
      <w:pPr>
        <w:spacing w:before="126" w:line="310" w:lineRule="auto"/>
        <w:ind w:right="164" w:firstLine="498"/>
        <w:rPr>
          <w:rFonts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因承包人运输造成养护路段内外道路和桥梁损坏的，由承包人承担修复损坏的</w:t>
      </w:r>
      <w:r>
        <w:rPr>
          <w:rFonts w:ascii="宋体" w:hAnsi="宋体" w:cs="宋体"/>
          <w:color w:val="000000" w:themeColor="text1"/>
          <w:spacing w:val="-1"/>
          <w:sz w:val="24"/>
          <w:szCs w:val="24"/>
          <w:highlight w:val="none"/>
          <w14:textFill>
            <w14:solidFill>
              <w14:schemeClr w14:val="tx1"/>
            </w14:solidFill>
          </w14:textFill>
        </w:rPr>
        <w:t>全部费用和可能引起的赔偿。</w:t>
      </w:r>
    </w:p>
    <w:p w14:paraId="624EC00A">
      <w:pPr>
        <w:spacing w:before="304" w:line="220" w:lineRule="auto"/>
        <w:ind w:left="479"/>
        <w:outlineLvl w:val="2"/>
        <w:rPr>
          <w:rFonts w:ascii="宋体" w:hAnsi="宋体" w:cs="宋体"/>
          <w:color w:val="000000" w:themeColor="text1"/>
          <w:sz w:val="24"/>
          <w:szCs w:val="24"/>
          <w:highlight w:val="none"/>
          <w14:textFill>
            <w14:solidFill>
              <w14:schemeClr w14:val="tx1"/>
            </w14:solidFill>
          </w14:textFill>
        </w:rPr>
      </w:pPr>
      <w:bookmarkStart w:id="126" w:name="bookmark22"/>
      <w:bookmarkEnd w:id="126"/>
      <w:bookmarkStart w:id="127" w:name="bookmark21"/>
      <w:bookmarkEnd w:id="127"/>
      <w:bookmarkStart w:id="128" w:name="_Toc10884"/>
      <w:r>
        <w:rPr>
          <w:rFonts w:eastAsia="Times New Roman"/>
          <w:b/>
          <w:bCs/>
          <w:color w:val="000000" w:themeColor="text1"/>
          <w:spacing w:val="-5"/>
          <w:sz w:val="24"/>
          <w:szCs w:val="24"/>
          <w:highlight w:val="none"/>
          <w14:textFill>
            <w14:solidFill>
              <w14:schemeClr w14:val="tx1"/>
            </w14:solidFill>
          </w14:textFill>
        </w:rPr>
        <w:t>8.</w:t>
      </w:r>
      <w:r>
        <w:rPr>
          <w:rFonts w:eastAsia="Times New Roman"/>
          <w:b/>
          <w:bCs/>
          <w:color w:val="000000" w:themeColor="text1"/>
          <w:spacing w:val="6"/>
          <w:sz w:val="24"/>
          <w:szCs w:val="24"/>
          <w:highlight w:val="none"/>
          <w14:textFill>
            <w14:solidFill>
              <w14:schemeClr w14:val="tx1"/>
            </w14:solidFill>
          </w14:textFill>
        </w:rPr>
        <w:t xml:space="preserve">  </w:t>
      </w:r>
      <w:r>
        <w:rPr>
          <w:rFonts w:ascii="宋体" w:hAnsi="宋体" w:cs="宋体"/>
          <w:b/>
          <w:bCs/>
          <w:color w:val="000000" w:themeColor="text1"/>
          <w:spacing w:val="-5"/>
          <w:sz w:val="24"/>
          <w:szCs w:val="24"/>
          <w:highlight w:val="none"/>
          <w14:textFill>
            <w14:solidFill>
              <w14:schemeClr w14:val="tx1"/>
            </w14:solidFill>
          </w14:textFill>
        </w:rPr>
        <w:t>测量放线</w:t>
      </w:r>
      <w:bookmarkEnd w:id="128"/>
    </w:p>
    <w:p w14:paraId="465B73F8">
      <w:pPr>
        <w:spacing w:before="258" w:line="220" w:lineRule="auto"/>
        <w:ind w:left="479"/>
        <w:outlineLvl w:val="3"/>
        <w:rPr>
          <w:rFonts w:ascii="宋体" w:hAnsi="宋体" w:cs="宋体"/>
          <w:color w:val="000000" w:themeColor="text1"/>
          <w:sz w:val="24"/>
          <w:szCs w:val="24"/>
          <w:highlight w:val="none"/>
          <w14:textFill>
            <w14:solidFill>
              <w14:schemeClr w14:val="tx1"/>
            </w14:solidFill>
          </w14:textFill>
        </w:rPr>
      </w:pPr>
      <w:r>
        <w:rPr>
          <w:rFonts w:eastAsia="Times New Roman"/>
          <w:b/>
          <w:bCs/>
          <w:color w:val="000000" w:themeColor="text1"/>
          <w:spacing w:val="-2"/>
          <w:sz w:val="24"/>
          <w:szCs w:val="24"/>
          <w:highlight w:val="none"/>
          <w14:textFill>
            <w14:solidFill>
              <w14:schemeClr w14:val="tx1"/>
            </w14:solidFill>
          </w14:textFill>
        </w:rPr>
        <w:t xml:space="preserve">8.1  </w:t>
      </w:r>
      <w:r>
        <w:rPr>
          <w:rFonts w:ascii="宋体" w:hAnsi="宋体" w:cs="宋体"/>
          <w:b/>
          <w:bCs/>
          <w:color w:val="000000" w:themeColor="text1"/>
          <w:spacing w:val="-2"/>
          <w:sz w:val="24"/>
          <w:szCs w:val="24"/>
          <w:highlight w:val="none"/>
          <w14:textFill>
            <w14:solidFill>
              <w14:schemeClr w14:val="tx1"/>
            </w14:solidFill>
          </w14:textFill>
        </w:rPr>
        <w:t>施工控制网</w:t>
      </w:r>
    </w:p>
    <w:p w14:paraId="0CC5401D">
      <w:pPr>
        <w:spacing w:before="126" w:line="290" w:lineRule="auto"/>
        <w:ind w:right="164" w:firstLine="484"/>
        <w:rPr>
          <w:rFonts w:ascii="宋体" w:hAnsi="宋体" w:cs="宋体"/>
          <w:color w:val="000000" w:themeColor="text1"/>
          <w:sz w:val="24"/>
          <w:szCs w:val="24"/>
          <w:highlight w:val="none"/>
          <w14:textFill>
            <w14:solidFill>
              <w14:schemeClr w14:val="tx1"/>
            </w14:solidFill>
          </w14:textFill>
        </w:rPr>
      </w:pPr>
      <w:r>
        <w:rPr>
          <w:rFonts w:eastAsia="Times New Roman"/>
          <w:color w:val="000000" w:themeColor="text1"/>
          <w:spacing w:val="5"/>
          <w:sz w:val="24"/>
          <w:szCs w:val="24"/>
          <w:highlight w:val="none"/>
          <w14:textFill>
            <w14:solidFill>
              <w14:schemeClr w14:val="tx1"/>
            </w14:solidFill>
          </w14:textFill>
        </w:rPr>
        <w:t>8.1.1</w:t>
      </w:r>
      <w:r>
        <w:rPr>
          <w:rFonts w:eastAsia="Times New Roman"/>
          <w:color w:val="000000" w:themeColor="text1"/>
          <w:spacing w:val="28"/>
          <w:w w:val="101"/>
          <w:sz w:val="24"/>
          <w:szCs w:val="24"/>
          <w:highlight w:val="none"/>
          <w14:textFill>
            <w14:solidFill>
              <w14:schemeClr w14:val="tx1"/>
            </w14:solidFill>
          </w14:textFill>
        </w:rPr>
        <w:t xml:space="preserve"> </w:t>
      </w:r>
      <w:r>
        <w:rPr>
          <w:rFonts w:ascii="宋体" w:hAnsi="宋体" w:cs="宋体"/>
          <w:color w:val="000000" w:themeColor="text1"/>
          <w:spacing w:val="5"/>
          <w:sz w:val="24"/>
          <w:szCs w:val="24"/>
          <w:highlight w:val="none"/>
          <w14:textFill>
            <w14:solidFill>
              <w14:schemeClr w14:val="tx1"/>
            </w14:solidFill>
          </w14:textFill>
        </w:rPr>
        <w:t>除专用合同条款另有约定外，发包人应通过咨</w:t>
      </w:r>
      <w:r>
        <w:rPr>
          <w:rFonts w:ascii="宋体" w:hAnsi="宋体" w:cs="宋体"/>
          <w:color w:val="000000" w:themeColor="text1"/>
          <w:spacing w:val="4"/>
          <w:sz w:val="24"/>
          <w:szCs w:val="24"/>
          <w:highlight w:val="none"/>
          <w14:textFill>
            <w14:solidFill>
              <w14:schemeClr w14:val="tx1"/>
            </w14:solidFill>
          </w14:textFill>
        </w:rPr>
        <w:t>询人向承包人提供测量基</w:t>
      </w:r>
      <w:r>
        <w:rPr>
          <w:rFonts w:ascii="宋体" w:hAnsi="宋体" w:cs="宋体"/>
          <w:color w:val="000000" w:themeColor="text1"/>
          <w:spacing w:val="1"/>
          <w:sz w:val="24"/>
          <w:szCs w:val="24"/>
          <w:highlight w:val="none"/>
          <w14:textFill>
            <w14:solidFill>
              <w14:schemeClr w14:val="tx1"/>
            </w14:solidFill>
          </w14:textFill>
        </w:rPr>
        <w:t>准点、基准线和水准点及其书面资料。除专用合同条款</w:t>
      </w:r>
      <w:r>
        <w:rPr>
          <w:rFonts w:ascii="宋体" w:hAnsi="宋体" w:cs="宋体"/>
          <w:color w:val="000000" w:themeColor="text1"/>
          <w:sz w:val="24"/>
          <w:szCs w:val="24"/>
          <w:highlight w:val="none"/>
          <w14:textFill>
            <w14:solidFill>
              <w14:schemeClr w14:val="tx1"/>
            </w14:solidFill>
          </w14:textFill>
        </w:rPr>
        <w:t>另有约定外，承包人应根据</w:t>
      </w:r>
      <w:r>
        <w:rPr>
          <w:rFonts w:ascii="宋体" w:hAnsi="宋体" w:cs="宋体"/>
          <w:color w:val="000000" w:themeColor="text1"/>
          <w:spacing w:val="1"/>
          <w:sz w:val="24"/>
          <w:szCs w:val="24"/>
          <w:highlight w:val="none"/>
          <w14:textFill>
            <w14:solidFill>
              <w14:schemeClr w14:val="tx1"/>
            </w14:solidFill>
          </w14:textFill>
        </w:rPr>
        <w:t>国家测绘基准、测绘系统和工程测量技术规范，按基准</w:t>
      </w:r>
      <w:r>
        <w:rPr>
          <w:rFonts w:ascii="宋体" w:hAnsi="宋体" w:cs="宋体"/>
          <w:color w:val="000000" w:themeColor="text1"/>
          <w:sz w:val="24"/>
          <w:szCs w:val="24"/>
          <w:highlight w:val="none"/>
          <w14:textFill>
            <w14:solidFill>
              <w14:schemeClr w14:val="tx1"/>
            </w14:solidFill>
          </w14:textFill>
        </w:rPr>
        <w:t>点（线）以及养护项目精度</w:t>
      </w:r>
      <w:r>
        <w:rPr>
          <w:rFonts w:ascii="宋体" w:hAnsi="宋体" w:cs="宋体"/>
          <w:color w:val="000000" w:themeColor="text1"/>
          <w:spacing w:val="1"/>
          <w:sz w:val="24"/>
          <w:szCs w:val="24"/>
          <w:highlight w:val="none"/>
          <w14:textFill>
            <w14:solidFill>
              <w14:schemeClr w14:val="tx1"/>
            </w14:solidFill>
          </w14:textFill>
        </w:rPr>
        <w:t>要求，测设施工控制网，并在专用合同条款约定的期限</w:t>
      </w:r>
      <w:r>
        <w:rPr>
          <w:rFonts w:ascii="宋体" w:hAnsi="宋体" w:cs="宋体"/>
          <w:color w:val="000000" w:themeColor="text1"/>
          <w:sz w:val="24"/>
          <w:szCs w:val="24"/>
          <w:highlight w:val="none"/>
          <w14:textFill>
            <w14:solidFill>
              <w14:schemeClr w14:val="tx1"/>
            </w14:solidFill>
          </w14:textFill>
        </w:rPr>
        <w:t>内，将施工控制网资料报送</w:t>
      </w:r>
      <w:r>
        <w:rPr>
          <w:rFonts w:ascii="宋体" w:hAnsi="宋体" w:cs="宋体"/>
          <w:color w:val="000000" w:themeColor="text1"/>
          <w:spacing w:val="-2"/>
          <w:sz w:val="24"/>
          <w:szCs w:val="24"/>
          <w:highlight w:val="none"/>
          <w14:textFill>
            <w14:solidFill>
              <w14:schemeClr w14:val="tx1"/>
            </w14:solidFill>
          </w14:textFill>
        </w:rPr>
        <w:t>咨询人审批。</w:t>
      </w:r>
    </w:p>
    <w:p w14:paraId="606DC7C6">
      <w:pPr>
        <w:spacing w:before="112" w:line="279" w:lineRule="auto"/>
        <w:ind w:right="164" w:firstLine="485"/>
        <w:rPr>
          <w:rFonts w:ascii="宋体" w:hAnsi="宋体" w:cs="宋体"/>
          <w:color w:val="000000" w:themeColor="text1"/>
          <w:sz w:val="24"/>
          <w:szCs w:val="24"/>
          <w:highlight w:val="none"/>
          <w14:textFill>
            <w14:solidFill>
              <w14:schemeClr w14:val="tx1"/>
            </w14:solidFill>
          </w14:textFill>
        </w:rPr>
      </w:pPr>
      <w:r>
        <w:rPr>
          <w:rFonts w:eastAsia="Times New Roman"/>
          <w:color w:val="000000" w:themeColor="text1"/>
          <w:spacing w:val="5"/>
          <w:sz w:val="24"/>
          <w:szCs w:val="24"/>
          <w:highlight w:val="none"/>
          <w14:textFill>
            <w14:solidFill>
              <w14:schemeClr w14:val="tx1"/>
            </w14:solidFill>
          </w14:textFill>
        </w:rPr>
        <w:t xml:space="preserve">8.1.2 </w:t>
      </w:r>
      <w:r>
        <w:rPr>
          <w:rFonts w:ascii="宋体" w:hAnsi="宋体" w:cs="宋体"/>
          <w:color w:val="000000" w:themeColor="text1"/>
          <w:spacing w:val="5"/>
          <w:sz w:val="24"/>
          <w:szCs w:val="24"/>
          <w:highlight w:val="none"/>
          <w14:textFill>
            <w14:solidFill>
              <w14:schemeClr w14:val="tx1"/>
            </w14:solidFill>
          </w14:textFill>
        </w:rPr>
        <w:t>承包人应负责管理施工控制网点。施工控制网点丢失或损坏的，承包人</w:t>
      </w:r>
      <w:r>
        <w:rPr>
          <w:rFonts w:ascii="宋体" w:hAnsi="宋体" w:cs="宋体"/>
          <w:color w:val="000000" w:themeColor="text1"/>
          <w:spacing w:val="1"/>
          <w:sz w:val="24"/>
          <w:szCs w:val="24"/>
          <w:highlight w:val="none"/>
          <w14:textFill>
            <w14:solidFill>
              <w14:schemeClr w14:val="tx1"/>
            </w14:solidFill>
          </w14:textFill>
        </w:rPr>
        <w:t>应及时修复。承包人应承担施工控制网点的管理与修复费</w:t>
      </w:r>
      <w:r>
        <w:rPr>
          <w:rFonts w:ascii="宋体" w:hAnsi="宋体" w:cs="宋体"/>
          <w:color w:val="000000" w:themeColor="text1"/>
          <w:sz w:val="24"/>
          <w:szCs w:val="24"/>
          <w:highlight w:val="none"/>
          <w14:textFill>
            <w14:solidFill>
              <w14:schemeClr w14:val="tx1"/>
            </w14:solidFill>
          </w14:textFill>
        </w:rPr>
        <w:t>用，并在工程验收后将施</w:t>
      </w:r>
      <w:r>
        <w:rPr>
          <w:rFonts w:ascii="宋体" w:hAnsi="宋体" w:cs="宋体"/>
          <w:color w:val="000000" w:themeColor="text1"/>
          <w:spacing w:val="-1"/>
          <w:sz w:val="24"/>
          <w:szCs w:val="24"/>
          <w:highlight w:val="none"/>
          <w14:textFill>
            <w14:solidFill>
              <w14:schemeClr w14:val="tx1"/>
            </w14:solidFill>
          </w14:textFill>
        </w:rPr>
        <w:t>工控制网点移交发包人。</w:t>
      </w:r>
    </w:p>
    <w:p w14:paraId="58679837">
      <w:pPr>
        <w:spacing w:before="112" w:line="264" w:lineRule="auto"/>
        <w:ind w:left="2" w:right="166" w:firstLine="482"/>
        <w:rPr>
          <w:rFonts w:ascii="宋体" w:hAnsi="宋体" w:cs="宋体"/>
          <w:color w:val="000000" w:themeColor="text1"/>
          <w:sz w:val="24"/>
          <w:szCs w:val="24"/>
          <w:highlight w:val="none"/>
          <w14:textFill>
            <w14:solidFill>
              <w14:schemeClr w14:val="tx1"/>
            </w14:solidFill>
          </w14:textFill>
        </w:rPr>
      </w:pPr>
      <w:r>
        <w:rPr>
          <w:rFonts w:eastAsia="Times New Roman"/>
          <w:color w:val="000000" w:themeColor="text1"/>
          <w:spacing w:val="4"/>
          <w:sz w:val="24"/>
          <w:szCs w:val="24"/>
          <w:highlight w:val="none"/>
          <w14:textFill>
            <w14:solidFill>
              <w14:schemeClr w14:val="tx1"/>
            </w14:solidFill>
          </w14:textFill>
        </w:rPr>
        <w:t xml:space="preserve">8.1.3  </w:t>
      </w:r>
      <w:r>
        <w:rPr>
          <w:rFonts w:ascii="宋体" w:hAnsi="宋体" w:cs="宋体"/>
          <w:color w:val="000000" w:themeColor="text1"/>
          <w:spacing w:val="4"/>
          <w:sz w:val="24"/>
          <w:szCs w:val="24"/>
          <w:highlight w:val="none"/>
          <w14:textFill>
            <w14:solidFill>
              <w14:schemeClr w14:val="tx1"/>
            </w14:solidFill>
          </w14:textFill>
        </w:rPr>
        <w:t>咨询人需要使用施工控制网的，承包</w:t>
      </w:r>
      <w:r>
        <w:rPr>
          <w:rFonts w:ascii="宋体" w:hAnsi="宋体" w:cs="宋体"/>
          <w:color w:val="000000" w:themeColor="text1"/>
          <w:spacing w:val="3"/>
          <w:sz w:val="24"/>
          <w:szCs w:val="24"/>
          <w:highlight w:val="none"/>
          <w14:textFill>
            <w14:solidFill>
              <w14:schemeClr w14:val="tx1"/>
            </w14:solidFill>
          </w14:textFill>
        </w:rPr>
        <w:t>人应提供必要的协助，发包人不再</w:t>
      </w:r>
      <w:r>
        <w:rPr>
          <w:rFonts w:ascii="宋体" w:hAnsi="宋体" w:cs="宋体"/>
          <w:color w:val="000000" w:themeColor="text1"/>
          <w:spacing w:val="-2"/>
          <w:sz w:val="24"/>
          <w:szCs w:val="24"/>
          <w:highlight w:val="none"/>
          <w14:textFill>
            <w14:solidFill>
              <w14:schemeClr w14:val="tx1"/>
            </w14:solidFill>
          </w14:textFill>
        </w:rPr>
        <w:t>为此支付费用。</w:t>
      </w:r>
    </w:p>
    <w:p w14:paraId="23367B9B">
      <w:pPr>
        <w:spacing w:before="103" w:line="221" w:lineRule="auto"/>
        <w:ind w:left="479"/>
        <w:outlineLvl w:val="3"/>
        <w:rPr>
          <w:rFonts w:ascii="宋体" w:hAnsi="宋体" w:cs="宋体"/>
          <w:color w:val="000000" w:themeColor="text1"/>
          <w:sz w:val="24"/>
          <w:szCs w:val="24"/>
          <w:highlight w:val="none"/>
          <w14:textFill>
            <w14:solidFill>
              <w14:schemeClr w14:val="tx1"/>
            </w14:solidFill>
          </w14:textFill>
        </w:rPr>
      </w:pPr>
      <w:r>
        <w:rPr>
          <w:rFonts w:eastAsia="Times New Roman"/>
          <w:b/>
          <w:bCs/>
          <w:color w:val="000000" w:themeColor="text1"/>
          <w:spacing w:val="-2"/>
          <w:sz w:val="24"/>
          <w:szCs w:val="24"/>
          <w:highlight w:val="none"/>
          <w14:textFill>
            <w14:solidFill>
              <w14:schemeClr w14:val="tx1"/>
            </w14:solidFill>
          </w14:textFill>
        </w:rPr>
        <w:t xml:space="preserve">8.2  </w:t>
      </w:r>
      <w:r>
        <w:rPr>
          <w:rFonts w:ascii="宋体" w:hAnsi="宋体" w:cs="宋体"/>
          <w:b/>
          <w:bCs/>
          <w:color w:val="000000" w:themeColor="text1"/>
          <w:spacing w:val="-2"/>
          <w:sz w:val="24"/>
          <w:szCs w:val="24"/>
          <w:highlight w:val="none"/>
          <w14:textFill>
            <w14:solidFill>
              <w14:schemeClr w14:val="tx1"/>
            </w14:solidFill>
          </w14:textFill>
        </w:rPr>
        <w:t>施工测量</w:t>
      </w:r>
    </w:p>
    <w:p w14:paraId="1AC523A8">
      <w:pPr>
        <w:spacing w:before="123" w:line="264" w:lineRule="auto"/>
        <w:ind w:right="180" w:firstLine="484"/>
        <w:rPr>
          <w:rFonts w:ascii="宋体" w:hAnsi="宋体" w:cs="宋体"/>
          <w:color w:val="000000" w:themeColor="text1"/>
          <w:sz w:val="24"/>
          <w:szCs w:val="24"/>
          <w:highlight w:val="none"/>
          <w14:textFill>
            <w14:solidFill>
              <w14:schemeClr w14:val="tx1"/>
            </w14:solidFill>
          </w14:textFill>
        </w:rPr>
      </w:pPr>
      <w:r>
        <w:rPr>
          <w:rFonts w:eastAsia="Times New Roman"/>
          <w:color w:val="000000" w:themeColor="text1"/>
          <w:spacing w:val="-1"/>
          <w:sz w:val="24"/>
          <w:szCs w:val="24"/>
          <w:highlight w:val="none"/>
          <w14:textFill>
            <w14:solidFill>
              <w14:schemeClr w14:val="tx1"/>
            </w14:solidFill>
          </w14:textFill>
        </w:rPr>
        <w:t xml:space="preserve">8.2.1 </w:t>
      </w:r>
      <w:r>
        <w:rPr>
          <w:rFonts w:ascii="宋体" w:hAnsi="宋体" w:cs="宋体"/>
          <w:color w:val="000000" w:themeColor="text1"/>
          <w:spacing w:val="-1"/>
          <w:sz w:val="24"/>
          <w:szCs w:val="24"/>
          <w:highlight w:val="none"/>
          <w14:textFill>
            <w14:solidFill>
              <w14:schemeClr w14:val="tx1"/>
            </w14:solidFill>
          </w14:textFill>
        </w:rPr>
        <w:t>承包人应负责施工过程中的全部</w:t>
      </w:r>
      <w:r>
        <w:rPr>
          <w:rFonts w:ascii="宋体" w:hAnsi="宋体" w:cs="宋体"/>
          <w:color w:val="000000" w:themeColor="text1"/>
          <w:spacing w:val="-2"/>
          <w:sz w:val="24"/>
          <w:szCs w:val="24"/>
          <w:highlight w:val="none"/>
          <w14:textFill>
            <w14:solidFill>
              <w14:schemeClr w14:val="tx1"/>
            </w14:solidFill>
          </w14:textFill>
        </w:rPr>
        <w:t>施工测量放线工作，并配置合格的人员、</w:t>
      </w:r>
      <w:r>
        <w:rPr>
          <w:rFonts w:ascii="宋体" w:hAnsi="宋体" w:cs="宋体"/>
          <w:color w:val="000000" w:themeColor="text1"/>
          <w:spacing w:val="-1"/>
          <w:sz w:val="24"/>
          <w:szCs w:val="24"/>
          <w:highlight w:val="none"/>
          <w14:textFill>
            <w14:solidFill>
              <w14:schemeClr w14:val="tx1"/>
            </w14:solidFill>
          </w14:textFill>
        </w:rPr>
        <w:t>仪器、设备和其他物品。</w:t>
      </w:r>
    </w:p>
    <w:p w14:paraId="3FB6D14F">
      <w:pPr>
        <w:spacing w:before="116" w:line="263" w:lineRule="auto"/>
        <w:ind w:left="23" w:firstLine="461"/>
        <w:rPr>
          <w:rFonts w:ascii="宋体" w:hAnsi="宋体" w:cs="宋体"/>
          <w:color w:val="000000" w:themeColor="text1"/>
          <w:sz w:val="24"/>
          <w:szCs w:val="24"/>
          <w:highlight w:val="none"/>
          <w14:textFill>
            <w14:solidFill>
              <w14:schemeClr w14:val="tx1"/>
            </w14:solidFill>
          </w14:textFill>
        </w:rPr>
      </w:pPr>
      <w:r>
        <w:rPr>
          <w:rFonts w:eastAsia="Times New Roman"/>
          <w:color w:val="000000" w:themeColor="text1"/>
          <w:spacing w:val="5"/>
          <w:sz w:val="24"/>
          <w:szCs w:val="24"/>
          <w:highlight w:val="none"/>
          <w14:textFill>
            <w14:solidFill>
              <w14:schemeClr w14:val="tx1"/>
            </w14:solidFill>
          </w14:textFill>
        </w:rPr>
        <w:t>8.2.2</w:t>
      </w:r>
      <w:r>
        <w:rPr>
          <w:rFonts w:eastAsia="Times New Roman"/>
          <w:color w:val="000000" w:themeColor="text1"/>
          <w:spacing w:val="23"/>
          <w:w w:val="101"/>
          <w:sz w:val="24"/>
          <w:szCs w:val="24"/>
          <w:highlight w:val="none"/>
          <w14:textFill>
            <w14:solidFill>
              <w14:schemeClr w14:val="tx1"/>
            </w14:solidFill>
          </w14:textFill>
        </w:rPr>
        <w:t xml:space="preserve"> </w:t>
      </w:r>
      <w:r>
        <w:rPr>
          <w:rFonts w:ascii="宋体" w:hAnsi="宋体" w:cs="宋体"/>
          <w:color w:val="000000" w:themeColor="text1"/>
          <w:spacing w:val="5"/>
          <w:sz w:val="24"/>
          <w:szCs w:val="24"/>
          <w:highlight w:val="none"/>
          <w14:textFill>
            <w14:solidFill>
              <w14:schemeClr w14:val="tx1"/>
            </w14:solidFill>
          </w14:textFill>
        </w:rPr>
        <w:t>咨询人可以指示承包人进行抽样复测，当复测中发现错误</w:t>
      </w:r>
      <w:r>
        <w:rPr>
          <w:rFonts w:ascii="宋体" w:hAnsi="宋体" w:cs="宋体"/>
          <w:color w:val="000000" w:themeColor="text1"/>
          <w:spacing w:val="4"/>
          <w:sz w:val="24"/>
          <w:szCs w:val="24"/>
          <w:highlight w:val="none"/>
          <w14:textFill>
            <w14:solidFill>
              <w14:schemeClr w14:val="tx1"/>
            </w14:solidFill>
          </w14:textFill>
        </w:rPr>
        <w:t>或出现超过合</w:t>
      </w:r>
      <w:r>
        <w:rPr>
          <w:rFonts w:ascii="宋体" w:hAnsi="宋体" w:cs="宋体"/>
          <w:color w:val="000000" w:themeColor="text1"/>
          <w:spacing w:val="-2"/>
          <w:sz w:val="24"/>
          <w:szCs w:val="24"/>
          <w:highlight w:val="none"/>
          <w14:textFill>
            <w14:solidFill>
              <w14:schemeClr w14:val="tx1"/>
            </w14:solidFill>
          </w14:textFill>
        </w:rPr>
        <w:t>同约定的误差时，承包人应按咨询人指示进行修正或补测，并承担相应的复测费用。</w:t>
      </w:r>
    </w:p>
    <w:p w14:paraId="7D0692ED">
      <w:pPr>
        <w:spacing w:before="106" w:line="219" w:lineRule="auto"/>
        <w:ind w:left="479"/>
        <w:outlineLvl w:val="3"/>
        <w:rPr>
          <w:rFonts w:ascii="宋体" w:hAnsi="宋体" w:cs="宋体"/>
          <w:color w:val="000000" w:themeColor="text1"/>
          <w:sz w:val="24"/>
          <w:szCs w:val="24"/>
          <w:highlight w:val="none"/>
          <w14:textFill>
            <w14:solidFill>
              <w14:schemeClr w14:val="tx1"/>
            </w14:solidFill>
          </w14:textFill>
        </w:rPr>
      </w:pPr>
      <w:r>
        <w:rPr>
          <w:rFonts w:eastAsia="Times New Roman"/>
          <w:b/>
          <w:bCs/>
          <w:color w:val="000000" w:themeColor="text1"/>
          <w:spacing w:val="-2"/>
          <w:sz w:val="24"/>
          <w:szCs w:val="24"/>
          <w:highlight w:val="none"/>
          <w14:textFill>
            <w14:solidFill>
              <w14:schemeClr w14:val="tx1"/>
            </w14:solidFill>
          </w14:textFill>
        </w:rPr>
        <w:t xml:space="preserve">8.3  </w:t>
      </w:r>
      <w:r>
        <w:rPr>
          <w:rFonts w:ascii="宋体" w:hAnsi="宋体" w:cs="宋体"/>
          <w:b/>
          <w:bCs/>
          <w:color w:val="000000" w:themeColor="text1"/>
          <w:spacing w:val="-2"/>
          <w:sz w:val="24"/>
          <w:szCs w:val="24"/>
          <w:highlight w:val="none"/>
          <w14:textFill>
            <w14:solidFill>
              <w14:schemeClr w14:val="tx1"/>
            </w14:solidFill>
          </w14:textFill>
        </w:rPr>
        <w:t>基准资料错误的责任</w:t>
      </w:r>
    </w:p>
    <w:p w14:paraId="37B1738A">
      <w:pPr>
        <w:spacing w:before="122" w:line="309" w:lineRule="auto"/>
        <w:ind w:right="164" w:firstLine="483"/>
        <w:rPr>
          <w:color w:val="000000" w:themeColor="text1"/>
          <w:highlight w:val="none"/>
          <w14:textFill>
            <w14:solidFill>
              <w14:schemeClr w14:val="tx1"/>
            </w14:solidFill>
          </w14:textFill>
        </w:rPr>
      </w:pPr>
      <w:r>
        <w:rPr>
          <w:rFonts w:ascii="宋体" w:hAnsi="宋体" w:cs="宋体"/>
          <w:color w:val="000000" w:themeColor="text1"/>
          <w:spacing w:val="1"/>
          <w:sz w:val="24"/>
          <w:szCs w:val="24"/>
          <w:highlight w:val="none"/>
          <w14:textFill>
            <w14:solidFill>
              <w14:schemeClr w14:val="tx1"/>
            </w14:solidFill>
          </w14:textFill>
        </w:rPr>
        <w:t>发包人应对其提供的测量基准点、基准线和水准</w:t>
      </w:r>
      <w:r>
        <w:rPr>
          <w:rFonts w:ascii="宋体" w:hAnsi="宋体" w:cs="宋体"/>
          <w:color w:val="000000" w:themeColor="text1"/>
          <w:sz w:val="24"/>
          <w:szCs w:val="24"/>
          <w:highlight w:val="none"/>
          <w14:textFill>
            <w14:solidFill>
              <w14:schemeClr w14:val="tx1"/>
            </w14:solidFill>
          </w14:textFill>
        </w:rPr>
        <w:t>点及其书面资料的真实性、准</w:t>
      </w:r>
      <w:r>
        <w:rPr>
          <w:rFonts w:ascii="宋体" w:hAnsi="宋体" w:cs="宋体"/>
          <w:color w:val="000000" w:themeColor="text1"/>
          <w:spacing w:val="1"/>
          <w:sz w:val="24"/>
          <w:szCs w:val="24"/>
          <w:highlight w:val="none"/>
          <w14:textFill>
            <w14:solidFill>
              <w14:schemeClr w14:val="tx1"/>
            </w14:solidFill>
          </w14:textFill>
        </w:rPr>
        <w:t>确性和完整性负责。发包人提供上述基准资料错误导致承</w:t>
      </w:r>
      <w:r>
        <w:rPr>
          <w:rFonts w:ascii="宋体" w:hAnsi="宋体" w:cs="宋体"/>
          <w:color w:val="000000" w:themeColor="text1"/>
          <w:sz w:val="24"/>
          <w:szCs w:val="24"/>
          <w:highlight w:val="none"/>
          <w14:textFill>
            <w14:solidFill>
              <w14:schemeClr w14:val="tx1"/>
            </w14:solidFill>
          </w14:textFill>
        </w:rPr>
        <w:t>包人测量放线工作的返工</w:t>
      </w:r>
      <w:r>
        <w:rPr>
          <w:rFonts w:ascii="宋体" w:hAnsi="宋体" w:cs="宋体"/>
          <w:color w:val="000000" w:themeColor="text1"/>
          <w:spacing w:val="1"/>
          <w:sz w:val="24"/>
          <w:szCs w:val="24"/>
          <w:highlight w:val="none"/>
          <w14:textFill>
            <w14:solidFill>
              <w14:schemeClr w14:val="tx1"/>
            </w14:solidFill>
          </w14:textFill>
        </w:rPr>
        <w:t>或造成工程损失的，发包人应当承担由此增加的费用和（</w:t>
      </w:r>
      <w:r>
        <w:rPr>
          <w:rFonts w:ascii="宋体" w:hAnsi="宋体" w:cs="宋体"/>
          <w:color w:val="000000" w:themeColor="text1"/>
          <w:sz w:val="24"/>
          <w:szCs w:val="24"/>
          <w:highlight w:val="none"/>
          <w14:textFill>
            <w14:solidFill>
              <w14:schemeClr w14:val="tx1"/>
            </w14:solidFill>
          </w14:textFill>
        </w:rPr>
        <w:t>或）工期延误，并向承包</w:t>
      </w:r>
      <w:r>
        <w:rPr>
          <w:rFonts w:ascii="宋体" w:hAnsi="宋体" w:cs="宋体"/>
          <w:color w:val="000000" w:themeColor="text1"/>
          <w:spacing w:val="1"/>
          <w:sz w:val="24"/>
          <w:szCs w:val="24"/>
          <w:highlight w:val="none"/>
          <w14:textFill>
            <w14:solidFill>
              <w14:schemeClr w14:val="tx1"/>
            </w14:solidFill>
          </w14:textFill>
        </w:rPr>
        <w:t>人支付合理利润。承包人发现发包人提供的上述基准资料</w:t>
      </w:r>
      <w:r>
        <w:rPr>
          <w:rFonts w:ascii="宋体" w:hAnsi="宋体" w:cs="宋体"/>
          <w:color w:val="000000" w:themeColor="text1"/>
          <w:sz w:val="24"/>
          <w:szCs w:val="24"/>
          <w:highlight w:val="none"/>
          <w14:textFill>
            <w14:solidFill>
              <w14:schemeClr w14:val="tx1"/>
            </w14:solidFill>
          </w14:textFill>
        </w:rPr>
        <w:t>存在明显错误或疏忽的，</w:t>
      </w:r>
      <w:r>
        <w:rPr>
          <w:rFonts w:ascii="宋体" w:hAnsi="宋体" w:cs="宋体"/>
          <w:color w:val="000000" w:themeColor="text1"/>
          <w:spacing w:val="-2"/>
          <w:sz w:val="24"/>
          <w:szCs w:val="24"/>
          <w:highlight w:val="none"/>
          <w14:textFill>
            <w14:solidFill>
              <w14:schemeClr w14:val="tx1"/>
            </w14:solidFill>
          </w14:textFill>
        </w:rPr>
        <w:t>应及时通知咨询人。</w:t>
      </w:r>
    </w:p>
    <w:p w14:paraId="01007151">
      <w:pPr>
        <w:spacing w:before="78" w:line="219" w:lineRule="auto"/>
        <w:ind w:left="478"/>
        <w:outlineLvl w:val="2"/>
        <w:rPr>
          <w:rFonts w:ascii="宋体" w:hAnsi="宋体" w:cs="宋体"/>
          <w:color w:val="000000" w:themeColor="text1"/>
          <w:sz w:val="24"/>
          <w:szCs w:val="24"/>
          <w:highlight w:val="none"/>
          <w14:textFill>
            <w14:solidFill>
              <w14:schemeClr w14:val="tx1"/>
            </w14:solidFill>
          </w14:textFill>
        </w:rPr>
      </w:pPr>
      <w:bookmarkStart w:id="129" w:name="bookmark24"/>
      <w:bookmarkEnd w:id="129"/>
      <w:bookmarkStart w:id="130" w:name="bookmark23"/>
      <w:bookmarkEnd w:id="130"/>
      <w:bookmarkStart w:id="131" w:name="_Toc6935"/>
      <w:r>
        <w:rPr>
          <w:rFonts w:eastAsia="Times New Roman"/>
          <w:b/>
          <w:bCs/>
          <w:color w:val="000000" w:themeColor="text1"/>
          <w:spacing w:val="-2"/>
          <w:sz w:val="24"/>
          <w:szCs w:val="24"/>
          <w:highlight w:val="none"/>
          <w14:textFill>
            <w14:solidFill>
              <w14:schemeClr w14:val="tx1"/>
            </w14:solidFill>
          </w14:textFill>
        </w:rPr>
        <w:t xml:space="preserve">9.  </w:t>
      </w:r>
      <w:r>
        <w:rPr>
          <w:rFonts w:ascii="宋体" w:hAnsi="宋体" w:cs="宋体"/>
          <w:b/>
          <w:bCs/>
          <w:color w:val="000000" w:themeColor="text1"/>
          <w:spacing w:val="-2"/>
          <w:sz w:val="24"/>
          <w:szCs w:val="24"/>
          <w:highlight w:val="none"/>
          <w14:textFill>
            <w14:solidFill>
              <w14:schemeClr w14:val="tx1"/>
            </w14:solidFill>
          </w14:textFill>
        </w:rPr>
        <w:t>养护作业安全、治安保卫和环境保护</w:t>
      </w:r>
      <w:bookmarkEnd w:id="131"/>
    </w:p>
    <w:p w14:paraId="101875CB">
      <w:pPr>
        <w:spacing w:before="260" w:line="219" w:lineRule="auto"/>
        <w:ind w:left="478"/>
        <w:outlineLvl w:val="3"/>
        <w:rPr>
          <w:rFonts w:ascii="宋体" w:hAnsi="宋体" w:cs="宋体"/>
          <w:color w:val="000000" w:themeColor="text1"/>
          <w:sz w:val="24"/>
          <w:szCs w:val="24"/>
          <w:highlight w:val="none"/>
          <w14:textFill>
            <w14:solidFill>
              <w14:schemeClr w14:val="tx1"/>
            </w14:solidFill>
          </w14:textFill>
        </w:rPr>
      </w:pPr>
      <w:r>
        <w:rPr>
          <w:rFonts w:eastAsia="Times New Roman"/>
          <w:b/>
          <w:bCs/>
          <w:color w:val="000000" w:themeColor="text1"/>
          <w:spacing w:val="-2"/>
          <w:sz w:val="24"/>
          <w:szCs w:val="24"/>
          <w:highlight w:val="none"/>
          <w14:textFill>
            <w14:solidFill>
              <w14:schemeClr w14:val="tx1"/>
            </w14:solidFill>
          </w14:textFill>
        </w:rPr>
        <w:t xml:space="preserve">9.1  </w:t>
      </w:r>
      <w:r>
        <w:rPr>
          <w:rFonts w:ascii="宋体" w:hAnsi="宋体" w:cs="宋体"/>
          <w:b/>
          <w:bCs/>
          <w:color w:val="000000" w:themeColor="text1"/>
          <w:spacing w:val="-2"/>
          <w:sz w:val="24"/>
          <w:szCs w:val="24"/>
          <w:highlight w:val="none"/>
          <w14:textFill>
            <w14:solidFill>
              <w14:schemeClr w14:val="tx1"/>
            </w14:solidFill>
          </w14:textFill>
        </w:rPr>
        <w:t>发包人的养护作业安全责任</w:t>
      </w:r>
    </w:p>
    <w:p w14:paraId="5457E3EC">
      <w:pPr>
        <w:spacing w:before="124" w:line="264" w:lineRule="auto"/>
        <w:ind w:left="29" w:right="148" w:firstLine="451"/>
        <w:rPr>
          <w:rFonts w:ascii="宋体" w:hAnsi="宋体" w:cs="宋体"/>
          <w:color w:val="000000" w:themeColor="text1"/>
          <w:sz w:val="24"/>
          <w:szCs w:val="24"/>
          <w:highlight w:val="none"/>
          <w14:textFill>
            <w14:solidFill>
              <w14:schemeClr w14:val="tx1"/>
            </w14:solidFill>
          </w14:textFill>
        </w:rPr>
      </w:pPr>
      <w:r>
        <w:rPr>
          <w:rFonts w:eastAsia="Times New Roman"/>
          <w:color w:val="000000" w:themeColor="text1"/>
          <w:spacing w:val="5"/>
          <w:sz w:val="24"/>
          <w:szCs w:val="24"/>
          <w:highlight w:val="none"/>
          <w14:textFill>
            <w14:solidFill>
              <w14:schemeClr w14:val="tx1"/>
            </w14:solidFill>
          </w14:textFill>
        </w:rPr>
        <w:t>9.1.1</w:t>
      </w:r>
      <w:r>
        <w:rPr>
          <w:rFonts w:eastAsia="Times New Roman"/>
          <w:color w:val="000000" w:themeColor="text1"/>
          <w:spacing w:val="22"/>
          <w:w w:val="101"/>
          <w:sz w:val="24"/>
          <w:szCs w:val="24"/>
          <w:highlight w:val="none"/>
          <w14:textFill>
            <w14:solidFill>
              <w14:schemeClr w14:val="tx1"/>
            </w14:solidFill>
          </w14:textFill>
        </w:rPr>
        <w:t xml:space="preserve"> </w:t>
      </w:r>
      <w:r>
        <w:rPr>
          <w:rFonts w:ascii="宋体" w:hAnsi="宋体" w:cs="宋体"/>
          <w:color w:val="000000" w:themeColor="text1"/>
          <w:spacing w:val="5"/>
          <w:sz w:val="24"/>
          <w:szCs w:val="24"/>
          <w:highlight w:val="none"/>
          <w14:textFill>
            <w14:solidFill>
              <w14:schemeClr w14:val="tx1"/>
            </w14:solidFill>
          </w14:textFill>
        </w:rPr>
        <w:t>发包人应按合同约定履行安全职责，授权咨询人按合同约定的安全工作</w:t>
      </w:r>
      <w:r>
        <w:rPr>
          <w:rFonts w:ascii="宋体" w:hAnsi="宋体" w:cs="宋体"/>
          <w:color w:val="000000" w:themeColor="text1"/>
          <w:spacing w:val="-1"/>
          <w:sz w:val="24"/>
          <w:szCs w:val="24"/>
          <w:highlight w:val="none"/>
          <w14:textFill>
            <w14:solidFill>
              <w14:schemeClr w14:val="tx1"/>
            </w14:solidFill>
          </w14:textFill>
        </w:rPr>
        <w:t>内容监督、检查承包人安全工作的实施，组织承包人和有关单位进行</w:t>
      </w:r>
      <w:r>
        <w:rPr>
          <w:rFonts w:ascii="宋体" w:hAnsi="宋体" w:cs="宋体"/>
          <w:color w:val="000000" w:themeColor="text1"/>
          <w:spacing w:val="-2"/>
          <w:sz w:val="24"/>
          <w:szCs w:val="24"/>
          <w:highlight w:val="none"/>
          <w14:textFill>
            <w14:solidFill>
              <w14:schemeClr w14:val="tx1"/>
            </w14:solidFill>
          </w14:textFill>
        </w:rPr>
        <w:t>安全检查。</w:t>
      </w:r>
    </w:p>
    <w:p w14:paraId="08928131">
      <w:pPr>
        <w:spacing w:before="112" w:line="264" w:lineRule="auto"/>
        <w:ind w:left="3" w:right="148" w:firstLine="476"/>
        <w:rPr>
          <w:rFonts w:ascii="宋体" w:hAnsi="宋体" w:cs="宋体"/>
          <w:color w:val="000000" w:themeColor="text1"/>
          <w:sz w:val="24"/>
          <w:szCs w:val="24"/>
          <w:highlight w:val="none"/>
          <w14:textFill>
            <w14:solidFill>
              <w14:schemeClr w14:val="tx1"/>
            </w14:solidFill>
          </w14:textFill>
        </w:rPr>
      </w:pPr>
      <w:r>
        <w:rPr>
          <w:rFonts w:eastAsia="Times New Roman"/>
          <w:color w:val="000000" w:themeColor="text1"/>
          <w:spacing w:val="5"/>
          <w:sz w:val="24"/>
          <w:szCs w:val="24"/>
          <w:highlight w:val="none"/>
          <w14:textFill>
            <w14:solidFill>
              <w14:schemeClr w14:val="tx1"/>
            </w14:solidFill>
          </w14:textFill>
        </w:rPr>
        <w:t>9.1.2</w:t>
      </w:r>
      <w:r>
        <w:rPr>
          <w:rFonts w:eastAsia="Times New Roman"/>
          <w:color w:val="000000" w:themeColor="text1"/>
          <w:spacing w:val="22"/>
          <w:w w:val="101"/>
          <w:sz w:val="24"/>
          <w:szCs w:val="24"/>
          <w:highlight w:val="none"/>
          <w14:textFill>
            <w14:solidFill>
              <w14:schemeClr w14:val="tx1"/>
            </w14:solidFill>
          </w14:textFill>
        </w:rPr>
        <w:t xml:space="preserve"> </w:t>
      </w:r>
      <w:r>
        <w:rPr>
          <w:rFonts w:ascii="宋体" w:hAnsi="宋体" w:cs="宋体"/>
          <w:color w:val="000000" w:themeColor="text1"/>
          <w:spacing w:val="5"/>
          <w:sz w:val="24"/>
          <w:szCs w:val="24"/>
          <w:highlight w:val="none"/>
          <w14:textFill>
            <w14:solidFill>
              <w14:schemeClr w14:val="tx1"/>
            </w14:solidFill>
          </w14:textFill>
        </w:rPr>
        <w:t>发包人应对其现场管理机构雇佣的全部人员的工伤事故承担责任，但由</w:t>
      </w:r>
      <w:r>
        <w:rPr>
          <w:rFonts w:ascii="宋体" w:hAnsi="宋体" w:cs="宋体"/>
          <w:color w:val="000000" w:themeColor="text1"/>
          <w:spacing w:val="-1"/>
          <w:sz w:val="24"/>
          <w:szCs w:val="24"/>
          <w:highlight w:val="none"/>
          <w14:textFill>
            <w14:solidFill>
              <w14:schemeClr w14:val="tx1"/>
            </w14:solidFill>
          </w14:textFill>
        </w:rPr>
        <w:t>于承包人原因造成发包人人员工伤的，应由承包人承担责任。</w:t>
      </w:r>
    </w:p>
    <w:p w14:paraId="346C986B">
      <w:pPr>
        <w:spacing w:before="115" w:line="263" w:lineRule="auto"/>
        <w:ind w:right="147" w:firstLine="479"/>
        <w:rPr>
          <w:rFonts w:ascii="宋体" w:hAnsi="宋体" w:cs="宋体"/>
          <w:color w:val="000000" w:themeColor="text1"/>
          <w:sz w:val="24"/>
          <w:szCs w:val="24"/>
          <w:highlight w:val="none"/>
          <w14:textFill>
            <w14:solidFill>
              <w14:schemeClr w14:val="tx1"/>
            </w14:solidFill>
          </w14:textFill>
        </w:rPr>
      </w:pPr>
      <w:r>
        <w:rPr>
          <w:rFonts w:eastAsia="Times New Roman"/>
          <w:color w:val="000000" w:themeColor="text1"/>
          <w:spacing w:val="3"/>
          <w:sz w:val="24"/>
          <w:szCs w:val="24"/>
          <w:highlight w:val="none"/>
          <w14:textFill>
            <w14:solidFill>
              <w14:schemeClr w14:val="tx1"/>
            </w14:solidFill>
          </w14:textFill>
        </w:rPr>
        <w:t>9.1.3</w:t>
      </w:r>
      <w:r>
        <w:rPr>
          <w:rFonts w:eastAsia="Times New Roman"/>
          <w:color w:val="000000" w:themeColor="text1"/>
          <w:spacing w:val="21"/>
          <w:w w:val="101"/>
          <w:sz w:val="24"/>
          <w:szCs w:val="24"/>
          <w:highlight w:val="none"/>
          <w14:textFill>
            <w14:solidFill>
              <w14:schemeClr w14:val="tx1"/>
            </w14:solidFill>
          </w14:textFill>
        </w:rPr>
        <w:t xml:space="preserve"> </w:t>
      </w:r>
      <w:r>
        <w:rPr>
          <w:rFonts w:ascii="宋体" w:hAnsi="宋体" w:cs="宋体"/>
          <w:color w:val="000000" w:themeColor="text1"/>
          <w:spacing w:val="3"/>
          <w:sz w:val="24"/>
          <w:szCs w:val="24"/>
          <w:highlight w:val="none"/>
          <w14:textFill>
            <w14:solidFill>
              <w14:schemeClr w14:val="tx1"/>
            </w14:solidFill>
          </w14:textFill>
        </w:rPr>
        <w:t>由于发包人原因在养护作业场地内及其毗邻地带造</w:t>
      </w:r>
      <w:r>
        <w:rPr>
          <w:rFonts w:ascii="宋体" w:hAnsi="宋体" w:cs="宋体"/>
          <w:color w:val="000000" w:themeColor="text1"/>
          <w:spacing w:val="2"/>
          <w:sz w:val="24"/>
          <w:szCs w:val="24"/>
          <w:highlight w:val="none"/>
          <w14:textFill>
            <w14:solidFill>
              <w14:schemeClr w14:val="tx1"/>
            </w14:solidFill>
          </w14:textFill>
        </w:rPr>
        <w:t>成的第三者人身伤亡</w:t>
      </w:r>
      <w:r>
        <w:rPr>
          <w:rFonts w:ascii="宋体" w:hAnsi="宋体" w:cs="宋体"/>
          <w:color w:val="000000" w:themeColor="text1"/>
          <w:spacing w:val="-1"/>
          <w:sz w:val="24"/>
          <w:szCs w:val="24"/>
          <w:highlight w:val="none"/>
          <w14:textFill>
            <w14:solidFill>
              <w14:schemeClr w14:val="tx1"/>
            </w14:solidFill>
          </w14:textFill>
        </w:rPr>
        <w:t>和财产损失，应由发包人负责赔偿。</w:t>
      </w:r>
    </w:p>
    <w:p w14:paraId="683E814B">
      <w:pPr>
        <w:spacing w:before="106" w:line="219" w:lineRule="auto"/>
        <w:ind w:left="478"/>
        <w:outlineLvl w:val="3"/>
        <w:rPr>
          <w:rFonts w:ascii="宋体" w:hAnsi="宋体" w:cs="宋体"/>
          <w:color w:val="000000" w:themeColor="text1"/>
          <w:sz w:val="24"/>
          <w:szCs w:val="24"/>
          <w:highlight w:val="none"/>
          <w14:textFill>
            <w14:solidFill>
              <w14:schemeClr w14:val="tx1"/>
            </w14:solidFill>
          </w14:textFill>
        </w:rPr>
      </w:pPr>
      <w:r>
        <w:rPr>
          <w:rFonts w:eastAsia="Times New Roman"/>
          <w:b/>
          <w:bCs/>
          <w:color w:val="000000" w:themeColor="text1"/>
          <w:spacing w:val="-2"/>
          <w:sz w:val="24"/>
          <w:szCs w:val="24"/>
          <w:highlight w:val="none"/>
          <w14:textFill>
            <w14:solidFill>
              <w14:schemeClr w14:val="tx1"/>
            </w14:solidFill>
          </w14:textFill>
        </w:rPr>
        <w:t xml:space="preserve">9.2  </w:t>
      </w:r>
      <w:r>
        <w:rPr>
          <w:rFonts w:ascii="宋体" w:hAnsi="宋体" w:cs="宋体"/>
          <w:b/>
          <w:bCs/>
          <w:color w:val="000000" w:themeColor="text1"/>
          <w:spacing w:val="-2"/>
          <w:sz w:val="24"/>
          <w:szCs w:val="24"/>
          <w:highlight w:val="none"/>
          <w14:textFill>
            <w14:solidFill>
              <w14:schemeClr w14:val="tx1"/>
            </w14:solidFill>
          </w14:textFill>
        </w:rPr>
        <w:t>承包人的养护作业安全责任</w:t>
      </w:r>
    </w:p>
    <w:p w14:paraId="4490BED6">
      <w:pPr>
        <w:spacing w:before="127" w:line="307" w:lineRule="auto"/>
        <w:ind w:right="145" w:firstLine="480"/>
        <w:rPr>
          <w:rFonts w:ascii="宋体" w:hAnsi="宋体" w:cs="宋体"/>
          <w:color w:val="000000" w:themeColor="text1"/>
          <w:sz w:val="24"/>
          <w:szCs w:val="24"/>
          <w:highlight w:val="none"/>
          <w14:textFill>
            <w14:solidFill>
              <w14:schemeClr w14:val="tx1"/>
            </w14:solidFill>
          </w14:textFill>
        </w:rPr>
      </w:pPr>
      <w:r>
        <w:rPr>
          <w:rFonts w:eastAsia="Times New Roman"/>
          <w:color w:val="000000" w:themeColor="text1"/>
          <w:spacing w:val="4"/>
          <w:sz w:val="24"/>
          <w:szCs w:val="24"/>
          <w:highlight w:val="none"/>
          <w14:textFill>
            <w14:solidFill>
              <w14:schemeClr w14:val="tx1"/>
            </w14:solidFill>
          </w14:textFill>
        </w:rPr>
        <w:t xml:space="preserve">9.2.1  </w:t>
      </w:r>
      <w:r>
        <w:rPr>
          <w:rFonts w:ascii="宋体" w:hAnsi="宋体" w:cs="宋体"/>
          <w:color w:val="000000" w:themeColor="text1"/>
          <w:spacing w:val="4"/>
          <w:sz w:val="24"/>
          <w:szCs w:val="24"/>
          <w:highlight w:val="none"/>
          <w14:textFill>
            <w14:solidFill>
              <w14:schemeClr w14:val="tx1"/>
            </w14:solidFill>
          </w14:textFill>
        </w:rPr>
        <w:t>承包人应按合同约定履行安全职责，严格执行国</w:t>
      </w:r>
      <w:r>
        <w:rPr>
          <w:rFonts w:ascii="宋体" w:hAnsi="宋体" w:cs="宋体"/>
          <w:color w:val="000000" w:themeColor="text1"/>
          <w:spacing w:val="3"/>
          <w:sz w:val="24"/>
          <w:szCs w:val="24"/>
          <w:highlight w:val="none"/>
          <w14:textFill>
            <w14:solidFill>
              <w14:schemeClr w14:val="tx1"/>
            </w14:solidFill>
          </w14:textFill>
        </w:rPr>
        <w:t>家、地方政府有关安全</w:t>
      </w:r>
      <w:r>
        <w:rPr>
          <w:rFonts w:ascii="宋体" w:hAnsi="宋体" w:cs="宋体"/>
          <w:color w:val="000000" w:themeColor="text1"/>
          <w:spacing w:val="1"/>
          <w:sz w:val="24"/>
          <w:szCs w:val="24"/>
          <w:highlight w:val="none"/>
          <w14:textFill>
            <w14:solidFill>
              <w14:schemeClr w14:val="tx1"/>
            </w14:solidFill>
          </w14:textFill>
        </w:rPr>
        <w:t>管理方面的法律、法规、政策文件及技术标准，同时严格</w:t>
      </w:r>
      <w:r>
        <w:rPr>
          <w:rFonts w:ascii="宋体" w:hAnsi="宋体" w:cs="宋体"/>
          <w:color w:val="000000" w:themeColor="text1"/>
          <w:sz w:val="24"/>
          <w:szCs w:val="24"/>
          <w:highlight w:val="none"/>
          <w14:textFill>
            <w14:solidFill>
              <w14:schemeClr w14:val="tx1"/>
            </w14:solidFill>
          </w14:textFill>
        </w:rPr>
        <w:t>执行发包人制定的本项目</w:t>
      </w:r>
      <w:r>
        <w:rPr>
          <w:rFonts w:ascii="宋体" w:hAnsi="宋体" w:cs="宋体"/>
          <w:color w:val="000000" w:themeColor="text1"/>
          <w:spacing w:val="1"/>
          <w:sz w:val="24"/>
          <w:szCs w:val="24"/>
          <w:highlight w:val="none"/>
          <w14:textFill>
            <w14:solidFill>
              <w14:schemeClr w14:val="tx1"/>
            </w14:solidFill>
          </w14:textFill>
        </w:rPr>
        <w:t>安全生产管理方面的规章制度、安全检查程序及安全管理</w:t>
      </w:r>
      <w:r>
        <w:rPr>
          <w:rFonts w:ascii="宋体" w:hAnsi="宋体" w:cs="宋体"/>
          <w:color w:val="000000" w:themeColor="text1"/>
          <w:sz w:val="24"/>
          <w:szCs w:val="24"/>
          <w:highlight w:val="none"/>
          <w14:textFill>
            <w14:solidFill>
              <w14:schemeClr w14:val="tx1"/>
            </w14:solidFill>
          </w14:textFill>
        </w:rPr>
        <w:t>要求，以及咨询人有关安</w:t>
      </w:r>
      <w:r>
        <w:rPr>
          <w:rFonts w:ascii="宋体" w:hAnsi="宋体" w:cs="宋体"/>
          <w:color w:val="000000" w:themeColor="text1"/>
          <w:spacing w:val="-2"/>
          <w:sz w:val="24"/>
          <w:szCs w:val="24"/>
          <w:highlight w:val="none"/>
          <w14:textFill>
            <w14:solidFill>
              <w14:schemeClr w14:val="tx1"/>
            </w14:solidFill>
          </w14:textFill>
        </w:rPr>
        <w:t>全工作的指示。</w:t>
      </w:r>
    </w:p>
    <w:p w14:paraId="551649BC">
      <w:pPr>
        <w:spacing w:before="9" w:line="307" w:lineRule="auto"/>
        <w:ind w:firstLine="480"/>
        <w:rPr>
          <w:rFonts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pacing w:val="2"/>
          <w:sz w:val="24"/>
          <w:szCs w:val="24"/>
          <w:highlight w:val="none"/>
          <w14:textFill>
            <w14:solidFill>
              <w14:schemeClr w14:val="tx1"/>
            </w14:solidFill>
          </w14:textFill>
        </w:rPr>
        <w:t>承包人应根据养护项目的实际安全施工要求，</w:t>
      </w:r>
      <w:r>
        <w:rPr>
          <w:rFonts w:ascii="宋体" w:hAnsi="宋体" w:cs="宋体"/>
          <w:color w:val="000000" w:themeColor="text1"/>
          <w:spacing w:val="1"/>
          <w:sz w:val="24"/>
          <w:szCs w:val="24"/>
          <w:highlight w:val="none"/>
          <w14:textFill>
            <w14:solidFill>
              <w14:schemeClr w14:val="tx1"/>
            </w14:solidFill>
          </w14:textFill>
        </w:rPr>
        <w:t>编制实施性施工安全组织设计，</w:t>
      </w:r>
      <w:r>
        <w:rPr>
          <w:rFonts w:ascii="宋体" w:hAnsi="宋体" w:cs="宋体"/>
          <w:color w:val="000000" w:themeColor="text1"/>
          <w:sz w:val="24"/>
          <w:szCs w:val="24"/>
          <w:highlight w:val="none"/>
          <w14:textFill>
            <w14:solidFill>
              <w14:schemeClr w14:val="tx1"/>
            </w14:solidFill>
          </w14:textFill>
        </w:rPr>
        <w:t>并在签订合同协议书后</w:t>
      </w:r>
      <w:r>
        <w:rPr>
          <w:rFonts w:ascii="宋体" w:hAnsi="宋体" w:cs="宋体"/>
          <w:color w:val="000000" w:themeColor="text1"/>
          <w:spacing w:val="-52"/>
          <w:sz w:val="24"/>
          <w:szCs w:val="24"/>
          <w:highlight w:val="none"/>
          <w14:textFill>
            <w14:solidFill>
              <w14:schemeClr w14:val="tx1"/>
            </w14:solidFill>
          </w14:textFill>
        </w:rPr>
        <w:t xml:space="preserve"> </w:t>
      </w:r>
      <w:r>
        <w:rPr>
          <w:rFonts w:eastAsia="Times New Roman"/>
          <w:color w:val="000000" w:themeColor="text1"/>
          <w:sz w:val="24"/>
          <w:szCs w:val="24"/>
          <w:highlight w:val="none"/>
          <w14:textFill>
            <w14:solidFill>
              <w14:schemeClr w14:val="tx1"/>
            </w14:solidFill>
          </w14:textFill>
        </w:rPr>
        <w:t>7</w:t>
      </w:r>
      <w:r>
        <w:rPr>
          <w:rFonts w:eastAsia="Times New Roman"/>
          <w:color w:val="000000" w:themeColor="text1"/>
          <w:spacing w:val="17"/>
          <w:sz w:val="24"/>
          <w:szCs w:val="24"/>
          <w:highlight w:val="none"/>
          <w14:textFill>
            <w14:solidFill>
              <w14:schemeClr w14:val="tx1"/>
            </w14:solidFill>
          </w14:textFill>
        </w:rPr>
        <w:t xml:space="preserve"> </w:t>
      </w:r>
      <w:r>
        <w:rPr>
          <w:rFonts w:ascii="宋体" w:hAnsi="宋体" w:cs="宋体"/>
          <w:color w:val="000000" w:themeColor="text1"/>
          <w:sz w:val="24"/>
          <w:szCs w:val="24"/>
          <w:highlight w:val="none"/>
          <w14:textFill>
            <w14:solidFill>
              <w14:schemeClr w14:val="tx1"/>
            </w14:solidFill>
          </w14:textFill>
        </w:rPr>
        <w:t>天内，报咨询人和发包人批准。该实施性施工安全组织设</w:t>
      </w:r>
      <w:r>
        <w:rPr>
          <w:rFonts w:ascii="宋体" w:hAnsi="宋体" w:cs="宋体"/>
          <w:color w:val="000000" w:themeColor="text1"/>
          <w:spacing w:val="1"/>
          <w:sz w:val="24"/>
          <w:szCs w:val="24"/>
          <w:highlight w:val="none"/>
          <w14:textFill>
            <w14:solidFill>
              <w14:schemeClr w14:val="tx1"/>
            </w14:solidFill>
          </w14:textFill>
        </w:rPr>
        <w:t>计包括（但不限于）施工安全保障体系，交通安全保障方案，安全生产责任制度，安全生产管理规章制度，安全防护施工方案，养护安全作</w:t>
      </w:r>
      <w:r>
        <w:rPr>
          <w:rFonts w:ascii="宋体" w:hAnsi="宋体" w:cs="宋体"/>
          <w:color w:val="000000" w:themeColor="text1"/>
          <w:sz w:val="24"/>
          <w:szCs w:val="24"/>
          <w:highlight w:val="none"/>
          <w14:textFill>
            <w14:solidFill>
              <w14:schemeClr w14:val="tx1"/>
            </w14:solidFill>
          </w14:textFill>
        </w:rPr>
        <w:t>业方案，施工现场临时用</w:t>
      </w:r>
      <w:r>
        <w:rPr>
          <w:rFonts w:ascii="宋体" w:hAnsi="宋体" w:cs="宋体"/>
          <w:color w:val="000000" w:themeColor="text1"/>
          <w:spacing w:val="1"/>
          <w:sz w:val="24"/>
          <w:szCs w:val="24"/>
          <w:highlight w:val="none"/>
          <w14:textFill>
            <w14:solidFill>
              <w14:schemeClr w14:val="tx1"/>
            </w14:solidFill>
          </w14:textFill>
        </w:rPr>
        <w:t>电方案，施工安全风险评估，安全预控及保证措施方案，</w:t>
      </w:r>
      <w:r>
        <w:rPr>
          <w:rFonts w:ascii="宋体" w:hAnsi="宋体" w:cs="宋体"/>
          <w:color w:val="000000" w:themeColor="text1"/>
          <w:sz w:val="24"/>
          <w:szCs w:val="24"/>
          <w:highlight w:val="none"/>
          <w14:textFill>
            <w14:solidFill>
              <w14:schemeClr w14:val="tx1"/>
            </w14:solidFill>
          </w14:textFill>
        </w:rPr>
        <w:t>应急预案，安全标识、警</w:t>
      </w:r>
      <w:r>
        <w:rPr>
          <w:rFonts w:ascii="宋体" w:hAnsi="宋体" w:cs="宋体"/>
          <w:color w:val="000000" w:themeColor="text1"/>
          <w:spacing w:val="-2"/>
          <w:sz w:val="24"/>
          <w:szCs w:val="24"/>
          <w:highlight w:val="none"/>
          <w14:textFill>
            <w14:solidFill>
              <w14:schemeClr w14:val="tx1"/>
            </w14:solidFill>
          </w14:textFill>
        </w:rPr>
        <w:t>示和围护方案等。对影响安全的重要工序和危险性较大的工程应编制专项施工方案，</w:t>
      </w:r>
      <w:r>
        <w:rPr>
          <w:rFonts w:ascii="宋体" w:hAnsi="宋体" w:cs="宋体"/>
          <w:color w:val="000000" w:themeColor="text1"/>
          <w:spacing w:val="1"/>
          <w:sz w:val="24"/>
          <w:szCs w:val="24"/>
          <w:highlight w:val="none"/>
          <w14:textFill>
            <w14:solidFill>
              <w14:schemeClr w14:val="tx1"/>
            </w14:solidFill>
          </w14:textFill>
        </w:rPr>
        <w:t>并附安全验算结果，经承包人技术负责人签名并报咨询人</w:t>
      </w:r>
      <w:r>
        <w:rPr>
          <w:rFonts w:ascii="宋体" w:hAnsi="宋体" w:cs="宋体"/>
          <w:color w:val="000000" w:themeColor="text1"/>
          <w:sz w:val="24"/>
          <w:szCs w:val="24"/>
          <w:highlight w:val="none"/>
          <w14:textFill>
            <w14:solidFill>
              <w14:schemeClr w14:val="tx1"/>
            </w14:solidFill>
          </w14:textFill>
        </w:rPr>
        <w:t>和发包人批准后实施，由</w:t>
      </w:r>
      <w:r>
        <w:rPr>
          <w:rFonts w:ascii="宋体" w:hAnsi="宋体" w:cs="宋体"/>
          <w:color w:val="000000" w:themeColor="text1"/>
          <w:spacing w:val="-1"/>
          <w:sz w:val="24"/>
          <w:szCs w:val="24"/>
          <w:highlight w:val="none"/>
          <w14:textFill>
            <w14:solidFill>
              <w14:schemeClr w14:val="tx1"/>
            </w14:solidFill>
          </w14:textFill>
        </w:rPr>
        <w:t>专职安全生产管理人员进行现场监督。</w:t>
      </w:r>
    </w:p>
    <w:p w14:paraId="4A53E95E">
      <w:pPr>
        <w:spacing w:before="1" w:line="307" w:lineRule="auto"/>
        <w:ind w:left="1" w:firstLine="487"/>
        <w:rPr>
          <w:rFonts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pacing w:val="-2"/>
          <w:sz w:val="24"/>
          <w:szCs w:val="24"/>
          <w:highlight w:val="none"/>
          <w14:textFill>
            <w14:solidFill>
              <w14:schemeClr w14:val="tx1"/>
            </w14:solidFill>
          </w14:textFill>
        </w:rPr>
        <w:t>咨询人和发包人在检查中发现有安全问题或有违反安全管理</w:t>
      </w:r>
      <w:r>
        <w:rPr>
          <w:rFonts w:ascii="宋体" w:hAnsi="宋体" w:cs="宋体"/>
          <w:color w:val="000000" w:themeColor="text1"/>
          <w:spacing w:val="-3"/>
          <w:sz w:val="24"/>
          <w:szCs w:val="24"/>
          <w:highlight w:val="none"/>
          <w14:textFill>
            <w14:solidFill>
              <w14:schemeClr w14:val="tx1"/>
            </w14:solidFill>
          </w14:textFill>
        </w:rPr>
        <w:t>规章制度的情况时，</w:t>
      </w:r>
      <w:r>
        <w:rPr>
          <w:rFonts w:ascii="宋体" w:hAnsi="宋体" w:cs="宋体"/>
          <w:color w:val="000000" w:themeColor="text1"/>
          <w:spacing w:val="-1"/>
          <w:sz w:val="24"/>
          <w:szCs w:val="24"/>
          <w:highlight w:val="none"/>
          <w14:textFill>
            <w14:solidFill>
              <w14:schemeClr w14:val="tx1"/>
            </w14:solidFill>
          </w14:textFill>
        </w:rPr>
        <w:t>可视为承包人违约，应按第</w:t>
      </w:r>
      <w:r>
        <w:rPr>
          <w:rFonts w:ascii="宋体" w:hAnsi="宋体" w:cs="宋体"/>
          <w:color w:val="000000" w:themeColor="text1"/>
          <w:spacing w:val="-49"/>
          <w:sz w:val="24"/>
          <w:szCs w:val="24"/>
          <w:highlight w:val="none"/>
          <w14:textFill>
            <w14:solidFill>
              <w14:schemeClr w14:val="tx1"/>
            </w14:solidFill>
          </w14:textFill>
        </w:rPr>
        <w:t xml:space="preserve"> </w:t>
      </w:r>
      <w:r>
        <w:rPr>
          <w:rFonts w:eastAsia="Times New Roman"/>
          <w:color w:val="000000" w:themeColor="text1"/>
          <w:spacing w:val="-1"/>
          <w:sz w:val="24"/>
          <w:szCs w:val="24"/>
          <w:highlight w:val="none"/>
          <w14:textFill>
            <w14:solidFill>
              <w14:schemeClr w14:val="tx1"/>
            </w14:solidFill>
          </w14:textFill>
        </w:rPr>
        <w:t xml:space="preserve">22.1 </w:t>
      </w:r>
      <w:r>
        <w:rPr>
          <w:rFonts w:ascii="宋体" w:hAnsi="宋体" w:cs="宋体"/>
          <w:color w:val="000000" w:themeColor="text1"/>
          <w:spacing w:val="-1"/>
          <w:sz w:val="24"/>
          <w:szCs w:val="24"/>
          <w:highlight w:val="none"/>
          <w14:textFill>
            <w14:solidFill>
              <w14:schemeClr w14:val="tx1"/>
            </w14:solidFill>
          </w14:textFill>
        </w:rPr>
        <w:t>款的约定办理。</w:t>
      </w:r>
    </w:p>
    <w:p w14:paraId="67173B79">
      <w:pPr>
        <w:spacing w:line="278" w:lineRule="auto"/>
        <w:ind w:right="145" w:firstLine="480"/>
        <w:rPr>
          <w:rFonts w:ascii="宋体" w:hAnsi="宋体" w:cs="宋体"/>
          <w:color w:val="000000" w:themeColor="text1"/>
          <w:sz w:val="24"/>
          <w:szCs w:val="24"/>
          <w:highlight w:val="none"/>
          <w14:textFill>
            <w14:solidFill>
              <w14:schemeClr w14:val="tx1"/>
            </w14:solidFill>
          </w14:textFill>
        </w:rPr>
      </w:pPr>
      <w:r>
        <w:rPr>
          <w:rFonts w:eastAsia="Times New Roman"/>
          <w:color w:val="000000" w:themeColor="text1"/>
          <w:spacing w:val="4"/>
          <w:sz w:val="24"/>
          <w:szCs w:val="24"/>
          <w:highlight w:val="none"/>
          <w14:textFill>
            <w14:solidFill>
              <w14:schemeClr w14:val="tx1"/>
            </w14:solidFill>
          </w14:textFill>
        </w:rPr>
        <w:t xml:space="preserve">9.2.2  </w:t>
      </w:r>
      <w:r>
        <w:rPr>
          <w:rFonts w:ascii="宋体" w:hAnsi="宋体" w:cs="宋体"/>
          <w:color w:val="000000" w:themeColor="text1"/>
          <w:spacing w:val="4"/>
          <w:sz w:val="24"/>
          <w:szCs w:val="24"/>
          <w:highlight w:val="none"/>
          <w14:textFill>
            <w14:solidFill>
              <w14:schemeClr w14:val="tx1"/>
            </w14:solidFill>
          </w14:textFill>
        </w:rPr>
        <w:t>承包人应加强养护作业安全管理，特别应加强对</w:t>
      </w:r>
      <w:r>
        <w:rPr>
          <w:rFonts w:ascii="宋体" w:hAnsi="宋体" w:cs="宋体"/>
          <w:color w:val="000000" w:themeColor="text1"/>
          <w:spacing w:val="3"/>
          <w:sz w:val="24"/>
          <w:szCs w:val="24"/>
          <w:highlight w:val="none"/>
          <w14:textFill>
            <w14:solidFill>
              <w14:schemeClr w14:val="tx1"/>
            </w14:solidFill>
          </w14:textFill>
        </w:rPr>
        <w:t>易燃、易爆材料、火工</w:t>
      </w:r>
      <w:r>
        <w:rPr>
          <w:rFonts w:ascii="宋体" w:hAnsi="宋体" w:cs="宋体"/>
          <w:color w:val="000000" w:themeColor="text1"/>
          <w:spacing w:val="1"/>
          <w:sz w:val="24"/>
          <w:szCs w:val="24"/>
          <w:highlight w:val="none"/>
          <w14:textFill>
            <w14:solidFill>
              <w14:schemeClr w14:val="tx1"/>
            </w14:solidFill>
          </w14:textFill>
        </w:rPr>
        <w:t>器材、有毒与腐蚀性材料和其他危险品的管理，以及对爆</w:t>
      </w:r>
      <w:r>
        <w:rPr>
          <w:rFonts w:ascii="宋体" w:hAnsi="宋体" w:cs="宋体"/>
          <w:color w:val="000000" w:themeColor="text1"/>
          <w:sz w:val="24"/>
          <w:szCs w:val="24"/>
          <w:highlight w:val="none"/>
          <w14:textFill>
            <w14:solidFill>
              <w14:schemeClr w14:val="tx1"/>
            </w14:solidFill>
          </w14:textFill>
        </w:rPr>
        <w:t>破作业和地下工程施工等</w:t>
      </w:r>
      <w:r>
        <w:rPr>
          <w:rFonts w:ascii="宋体" w:hAnsi="宋体" w:cs="宋体"/>
          <w:color w:val="000000" w:themeColor="text1"/>
          <w:spacing w:val="-2"/>
          <w:sz w:val="24"/>
          <w:szCs w:val="24"/>
          <w:highlight w:val="none"/>
          <w14:textFill>
            <w14:solidFill>
              <w14:schemeClr w14:val="tx1"/>
            </w14:solidFill>
          </w14:textFill>
        </w:rPr>
        <w:t>危险作业的管理。</w:t>
      </w:r>
    </w:p>
    <w:p w14:paraId="0854EBB7">
      <w:pPr>
        <w:spacing w:before="116" w:line="278" w:lineRule="auto"/>
        <w:ind w:right="145" w:firstLine="479"/>
        <w:rPr>
          <w:rFonts w:ascii="宋体" w:hAnsi="宋体" w:cs="宋体"/>
          <w:color w:val="000000" w:themeColor="text1"/>
          <w:sz w:val="24"/>
          <w:szCs w:val="24"/>
          <w:highlight w:val="none"/>
          <w14:textFill>
            <w14:solidFill>
              <w14:schemeClr w14:val="tx1"/>
            </w14:solidFill>
          </w14:textFill>
        </w:rPr>
      </w:pPr>
      <w:r>
        <w:rPr>
          <w:rFonts w:eastAsia="Times New Roman"/>
          <w:color w:val="000000" w:themeColor="text1"/>
          <w:spacing w:val="4"/>
          <w:sz w:val="24"/>
          <w:szCs w:val="24"/>
          <w:highlight w:val="none"/>
          <w14:textFill>
            <w14:solidFill>
              <w14:schemeClr w14:val="tx1"/>
            </w14:solidFill>
          </w14:textFill>
        </w:rPr>
        <w:t xml:space="preserve">9.2.3  </w:t>
      </w:r>
      <w:r>
        <w:rPr>
          <w:rFonts w:ascii="宋体" w:hAnsi="宋体" w:cs="宋体"/>
          <w:color w:val="000000" w:themeColor="text1"/>
          <w:spacing w:val="4"/>
          <w:sz w:val="24"/>
          <w:szCs w:val="24"/>
          <w:highlight w:val="none"/>
          <w14:textFill>
            <w14:solidFill>
              <w14:schemeClr w14:val="tx1"/>
            </w14:solidFill>
          </w14:textFill>
        </w:rPr>
        <w:t>承包人应严格按照国家安全标准制定养护作业安</w:t>
      </w:r>
      <w:r>
        <w:rPr>
          <w:rFonts w:ascii="宋体" w:hAnsi="宋体" w:cs="宋体"/>
          <w:color w:val="000000" w:themeColor="text1"/>
          <w:spacing w:val="3"/>
          <w:sz w:val="24"/>
          <w:szCs w:val="24"/>
          <w:highlight w:val="none"/>
          <w14:textFill>
            <w14:solidFill>
              <w14:schemeClr w14:val="tx1"/>
            </w14:solidFill>
          </w14:textFill>
        </w:rPr>
        <w:t>全操作规程，配备必要</w:t>
      </w:r>
      <w:r>
        <w:rPr>
          <w:rFonts w:ascii="宋体" w:hAnsi="宋体" w:cs="宋体"/>
          <w:color w:val="000000" w:themeColor="text1"/>
          <w:spacing w:val="1"/>
          <w:sz w:val="24"/>
          <w:szCs w:val="24"/>
          <w:highlight w:val="none"/>
          <w14:textFill>
            <w14:solidFill>
              <w14:schemeClr w14:val="tx1"/>
            </w14:solidFill>
          </w14:textFill>
        </w:rPr>
        <w:t>的安全生产和劳动保护设施，加强对承包人人员的安全</w:t>
      </w:r>
      <w:r>
        <w:rPr>
          <w:rFonts w:ascii="宋体" w:hAnsi="宋体" w:cs="宋体"/>
          <w:color w:val="000000" w:themeColor="text1"/>
          <w:sz w:val="24"/>
          <w:szCs w:val="24"/>
          <w:highlight w:val="none"/>
          <w14:textFill>
            <w14:solidFill>
              <w14:schemeClr w14:val="tx1"/>
            </w14:solidFill>
          </w14:textFill>
        </w:rPr>
        <w:t>教育，并发放安全工作手册</w:t>
      </w:r>
      <w:r>
        <w:rPr>
          <w:rFonts w:ascii="宋体" w:hAnsi="宋体" w:cs="宋体"/>
          <w:color w:val="000000" w:themeColor="text1"/>
          <w:spacing w:val="-2"/>
          <w:sz w:val="24"/>
          <w:szCs w:val="24"/>
          <w:highlight w:val="none"/>
          <w14:textFill>
            <w14:solidFill>
              <w14:schemeClr w14:val="tx1"/>
            </w14:solidFill>
          </w14:textFill>
        </w:rPr>
        <w:t>和劳动保护用具。</w:t>
      </w:r>
    </w:p>
    <w:p w14:paraId="6B196E3C">
      <w:pPr>
        <w:spacing w:before="116" w:line="278" w:lineRule="auto"/>
        <w:ind w:right="145" w:firstLine="480"/>
        <w:rPr>
          <w:rFonts w:ascii="宋体" w:hAnsi="宋体" w:cs="宋体"/>
          <w:color w:val="000000" w:themeColor="text1"/>
          <w:sz w:val="24"/>
          <w:szCs w:val="24"/>
          <w:highlight w:val="none"/>
          <w14:textFill>
            <w14:solidFill>
              <w14:schemeClr w14:val="tx1"/>
            </w14:solidFill>
          </w14:textFill>
        </w:rPr>
      </w:pPr>
      <w:r>
        <w:rPr>
          <w:rFonts w:eastAsia="Times New Roman"/>
          <w:color w:val="000000" w:themeColor="text1"/>
          <w:spacing w:val="4"/>
          <w:sz w:val="24"/>
          <w:szCs w:val="24"/>
          <w:highlight w:val="none"/>
          <w14:textFill>
            <w14:solidFill>
              <w14:schemeClr w14:val="tx1"/>
            </w14:solidFill>
          </w14:textFill>
        </w:rPr>
        <w:t xml:space="preserve">9.2.4  </w:t>
      </w:r>
      <w:r>
        <w:rPr>
          <w:rFonts w:ascii="宋体" w:hAnsi="宋体" w:cs="宋体"/>
          <w:color w:val="000000" w:themeColor="text1"/>
          <w:spacing w:val="4"/>
          <w:sz w:val="24"/>
          <w:szCs w:val="24"/>
          <w:highlight w:val="none"/>
          <w14:textFill>
            <w14:solidFill>
              <w14:schemeClr w14:val="tx1"/>
            </w14:solidFill>
          </w14:textFill>
        </w:rPr>
        <w:t>承包人应按咨询人的指示制定应对灾害的应急预案，报</w:t>
      </w:r>
      <w:r>
        <w:rPr>
          <w:rFonts w:ascii="宋体" w:hAnsi="宋体" w:cs="宋体"/>
          <w:color w:val="000000" w:themeColor="text1"/>
          <w:spacing w:val="3"/>
          <w:sz w:val="24"/>
          <w:szCs w:val="24"/>
          <w:highlight w:val="none"/>
          <w14:textFill>
            <w14:solidFill>
              <w14:schemeClr w14:val="tx1"/>
            </w14:solidFill>
          </w14:textFill>
        </w:rPr>
        <w:t>送咨询人审批。</w:t>
      </w:r>
      <w:r>
        <w:rPr>
          <w:rFonts w:ascii="宋体" w:hAnsi="宋体" w:cs="宋体"/>
          <w:color w:val="000000" w:themeColor="text1"/>
          <w:spacing w:val="1"/>
          <w:sz w:val="24"/>
          <w:szCs w:val="24"/>
          <w:highlight w:val="none"/>
          <w14:textFill>
            <w14:solidFill>
              <w14:schemeClr w14:val="tx1"/>
            </w14:solidFill>
          </w14:textFill>
        </w:rPr>
        <w:t>承包人还应按预案做好安全检查，配置必要的救助物资和</w:t>
      </w:r>
      <w:r>
        <w:rPr>
          <w:rFonts w:ascii="宋体" w:hAnsi="宋体" w:cs="宋体"/>
          <w:color w:val="000000" w:themeColor="text1"/>
          <w:sz w:val="24"/>
          <w:szCs w:val="24"/>
          <w:highlight w:val="none"/>
          <w14:textFill>
            <w14:solidFill>
              <w14:schemeClr w14:val="tx1"/>
            </w14:solidFill>
          </w14:textFill>
        </w:rPr>
        <w:t>器材，切实保护好有关人</w:t>
      </w:r>
      <w:r>
        <w:rPr>
          <w:rFonts w:ascii="宋体" w:hAnsi="宋体" w:cs="宋体"/>
          <w:color w:val="000000" w:themeColor="text1"/>
          <w:spacing w:val="-1"/>
          <w:sz w:val="24"/>
          <w:szCs w:val="24"/>
          <w:highlight w:val="none"/>
          <w14:textFill>
            <w14:solidFill>
              <w14:schemeClr w14:val="tx1"/>
            </w14:solidFill>
          </w14:textFill>
        </w:rPr>
        <w:t>员的人身和财产安全。</w:t>
      </w:r>
    </w:p>
    <w:p w14:paraId="00DB30B7">
      <w:pPr>
        <w:spacing w:before="117" w:line="263" w:lineRule="auto"/>
        <w:ind w:left="45" w:right="145" w:firstLine="434"/>
        <w:rPr>
          <w:rFonts w:ascii="宋体" w:hAnsi="宋体" w:cs="宋体"/>
          <w:color w:val="000000" w:themeColor="text1"/>
          <w:sz w:val="24"/>
          <w:szCs w:val="24"/>
          <w:highlight w:val="none"/>
          <w14:textFill>
            <w14:solidFill>
              <w14:schemeClr w14:val="tx1"/>
            </w14:solidFill>
          </w14:textFill>
        </w:rPr>
      </w:pPr>
      <w:r>
        <w:rPr>
          <w:rFonts w:eastAsia="Times New Roman"/>
          <w:color w:val="000000" w:themeColor="text1"/>
          <w:spacing w:val="3"/>
          <w:sz w:val="24"/>
          <w:szCs w:val="24"/>
          <w:highlight w:val="none"/>
          <w14:textFill>
            <w14:solidFill>
              <w14:schemeClr w14:val="tx1"/>
            </w14:solidFill>
          </w14:textFill>
        </w:rPr>
        <w:t>9.2.5</w:t>
      </w:r>
      <w:r>
        <w:rPr>
          <w:rFonts w:eastAsia="Times New Roman"/>
          <w:color w:val="000000" w:themeColor="text1"/>
          <w:spacing w:val="33"/>
          <w:w w:val="101"/>
          <w:sz w:val="24"/>
          <w:szCs w:val="24"/>
          <w:highlight w:val="none"/>
          <w14:textFill>
            <w14:solidFill>
              <w14:schemeClr w14:val="tx1"/>
            </w14:solidFill>
          </w14:textFill>
        </w:rPr>
        <w:t xml:space="preserve"> </w:t>
      </w:r>
      <w:r>
        <w:rPr>
          <w:rFonts w:ascii="宋体" w:hAnsi="宋体" w:cs="宋体"/>
          <w:color w:val="000000" w:themeColor="text1"/>
          <w:spacing w:val="3"/>
          <w:sz w:val="24"/>
          <w:szCs w:val="24"/>
          <w:highlight w:val="none"/>
          <w14:textFill>
            <w14:solidFill>
              <w14:schemeClr w14:val="tx1"/>
            </w14:solidFill>
          </w14:textFill>
        </w:rPr>
        <w:t>安全生产费用按照专用合同条款约定的金额在工程量清单</w:t>
      </w:r>
      <w:r>
        <w:rPr>
          <w:rFonts w:ascii="宋体" w:hAnsi="宋体" w:cs="宋体"/>
          <w:color w:val="000000" w:themeColor="text1"/>
          <w:spacing w:val="-27"/>
          <w:sz w:val="24"/>
          <w:szCs w:val="24"/>
          <w:highlight w:val="none"/>
          <w14:textFill>
            <w14:solidFill>
              <w14:schemeClr w14:val="tx1"/>
            </w14:solidFill>
          </w14:textFill>
        </w:rPr>
        <w:t xml:space="preserve"> </w:t>
      </w:r>
      <w:r>
        <w:rPr>
          <w:rFonts w:eastAsia="Times New Roman"/>
          <w:color w:val="000000" w:themeColor="text1"/>
          <w:spacing w:val="3"/>
          <w:sz w:val="24"/>
          <w:szCs w:val="24"/>
          <w:highlight w:val="none"/>
          <w14:textFill>
            <w14:solidFill>
              <w14:schemeClr w14:val="tx1"/>
            </w14:solidFill>
          </w14:textFill>
        </w:rPr>
        <w:t>100</w:t>
      </w:r>
      <w:r>
        <w:rPr>
          <w:rFonts w:eastAsia="Times New Roman"/>
          <w:color w:val="000000" w:themeColor="text1"/>
          <w:spacing w:val="25"/>
          <w:sz w:val="24"/>
          <w:szCs w:val="24"/>
          <w:highlight w:val="none"/>
          <w14:textFill>
            <w14:solidFill>
              <w14:schemeClr w14:val="tx1"/>
            </w14:solidFill>
          </w14:textFill>
        </w:rPr>
        <w:t xml:space="preserve"> </w:t>
      </w:r>
      <w:r>
        <w:rPr>
          <w:rFonts w:ascii="宋体" w:hAnsi="宋体" w:cs="宋体"/>
          <w:color w:val="000000" w:themeColor="text1"/>
          <w:spacing w:val="3"/>
          <w:sz w:val="24"/>
          <w:szCs w:val="24"/>
          <w:highlight w:val="none"/>
          <w14:textFill>
            <w14:solidFill>
              <w14:schemeClr w14:val="tx1"/>
            </w14:solidFill>
          </w14:textFill>
        </w:rPr>
        <w:t>章相关子</w:t>
      </w:r>
      <w:r>
        <w:rPr>
          <w:rFonts w:ascii="宋体" w:hAnsi="宋体" w:cs="宋体"/>
          <w:color w:val="000000" w:themeColor="text1"/>
          <w:spacing w:val="-1"/>
          <w:sz w:val="24"/>
          <w:szCs w:val="24"/>
          <w:highlight w:val="none"/>
          <w14:textFill>
            <w14:solidFill>
              <w14:schemeClr w14:val="tx1"/>
            </w14:solidFill>
          </w14:textFill>
        </w:rPr>
        <w:t>目中计取。安全生产费用应用于施工安全防护用具及设施的采购和更新、安全施工</w:t>
      </w:r>
      <w:bookmarkStart w:id="132" w:name="bookmark220"/>
      <w:bookmarkEnd w:id="132"/>
      <w:r>
        <w:rPr>
          <w:rFonts w:ascii="宋体" w:hAnsi="宋体" w:cs="宋体"/>
          <w:color w:val="000000" w:themeColor="text1"/>
          <w:spacing w:val="1"/>
          <w:sz w:val="24"/>
          <w:szCs w:val="24"/>
          <w:highlight w:val="none"/>
          <w14:textFill>
            <w14:solidFill>
              <w14:schemeClr w14:val="tx1"/>
            </w14:solidFill>
          </w14:textFill>
        </w:rPr>
        <w:t>措施的落实、安全生产条件的改善，不得挪作他用。如承</w:t>
      </w:r>
      <w:r>
        <w:rPr>
          <w:rFonts w:ascii="宋体" w:hAnsi="宋体" w:cs="宋体"/>
          <w:color w:val="000000" w:themeColor="text1"/>
          <w:sz w:val="24"/>
          <w:szCs w:val="24"/>
          <w:highlight w:val="none"/>
          <w14:textFill>
            <w14:solidFill>
              <w14:schemeClr w14:val="tx1"/>
            </w14:solidFill>
          </w14:textFill>
        </w:rPr>
        <w:t>包人在此基础上增加安全</w:t>
      </w:r>
      <w:r>
        <w:rPr>
          <w:rFonts w:ascii="宋体" w:hAnsi="宋体" w:cs="宋体"/>
          <w:color w:val="000000" w:themeColor="text1"/>
          <w:spacing w:val="1"/>
          <w:sz w:val="24"/>
          <w:szCs w:val="24"/>
          <w:highlight w:val="none"/>
          <w14:textFill>
            <w14:solidFill>
              <w14:schemeClr w14:val="tx1"/>
            </w14:solidFill>
          </w14:textFill>
        </w:rPr>
        <w:t>生产费用以满足项目养护作业需要，则承包人应在本项目工</w:t>
      </w:r>
      <w:r>
        <w:rPr>
          <w:rFonts w:ascii="宋体" w:hAnsi="宋体" w:cs="宋体"/>
          <w:color w:val="000000" w:themeColor="text1"/>
          <w:sz w:val="24"/>
          <w:szCs w:val="24"/>
          <w:highlight w:val="none"/>
          <w14:textFill>
            <w14:solidFill>
              <w14:schemeClr w14:val="tx1"/>
            </w14:solidFill>
          </w14:textFill>
        </w:rPr>
        <w:t>程量清单其他相关子目</w:t>
      </w:r>
      <w:r>
        <w:rPr>
          <w:rFonts w:ascii="宋体" w:hAnsi="宋体" w:cs="宋体"/>
          <w:color w:val="000000" w:themeColor="text1"/>
          <w:spacing w:val="1"/>
          <w:sz w:val="24"/>
          <w:szCs w:val="24"/>
          <w:highlight w:val="none"/>
          <w14:textFill>
            <w14:solidFill>
              <w14:schemeClr w14:val="tx1"/>
            </w14:solidFill>
          </w14:textFill>
        </w:rPr>
        <w:t>的单价或总价中予以考虑，发包人不再另行支付。因采取合</w:t>
      </w:r>
      <w:r>
        <w:rPr>
          <w:rFonts w:ascii="宋体" w:hAnsi="宋体" w:cs="宋体"/>
          <w:color w:val="000000" w:themeColor="text1"/>
          <w:sz w:val="24"/>
          <w:szCs w:val="24"/>
          <w:highlight w:val="none"/>
          <w14:textFill>
            <w14:solidFill>
              <w14:schemeClr w14:val="tx1"/>
            </w14:solidFill>
          </w14:textFill>
        </w:rPr>
        <w:t>同未约定的特殊防护措</w:t>
      </w:r>
      <w:r>
        <w:rPr>
          <w:rFonts w:ascii="宋体" w:hAnsi="宋体" w:cs="宋体"/>
          <w:color w:val="000000" w:themeColor="text1"/>
          <w:spacing w:val="-1"/>
          <w:sz w:val="24"/>
          <w:szCs w:val="24"/>
          <w:highlight w:val="none"/>
          <w14:textFill>
            <w14:solidFill>
              <w14:schemeClr w14:val="tx1"/>
            </w14:solidFill>
          </w14:textFill>
        </w:rPr>
        <w:t>施增加的费用，由咨询人按第</w:t>
      </w:r>
      <w:r>
        <w:rPr>
          <w:rFonts w:ascii="宋体" w:hAnsi="宋体" w:cs="宋体"/>
          <w:color w:val="000000" w:themeColor="text1"/>
          <w:spacing w:val="-46"/>
          <w:sz w:val="24"/>
          <w:szCs w:val="24"/>
          <w:highlight w:val="none"/>
          <w14:textFill>
            <w14:solidFill>
              <w14:schemeClr w14:val="tx1"/>
            </w14:solidFill>
          </w14:textFill>
        </w:rPr>
        <w:t xml:space="preserve"> </w:t>
      </w:r>
      <w:r>
        <w:rPr>
          <w:rFonts w:eastAsia="Times New Roman"/>
          <w:color w:val="000000" w:themeColor="text1"/>
          <w:spacing w:val="-1"/>
          <w:sz w:val="24"/>
          <w:szCs w:val="24"/>
          <w:highlight w:val="none"/>
          <w14:textFill>
            <w14:solidFill>
              <w14:schemeClr w14:val="tx1"/>
            </w14:solidFill>
          </w14:textFill>
        </w:rPr>
        <w:t xml:space="preserve">3.5 </w:t>
      </w:r>
      <w:r>
        <w:rPr>
          <w:rFonts w:ascii="宋体" w:hAnsi="宋体" w:cs="宋体"/>
          <w:color w:val="000000" w:themeColor="text1"/>
          <w:spacing w:val="-1"/>
          <w:sz w:val="24"/>
          <w:szCs w:val="24"/>
          <w:highlight w:val="none"/>
          <w14:textFill>
            <w14:solidFill>
              <w14:schemeClr w14:val="tx1"/>
            </w14:solidFill>
          </w14:textFill>
        </w:rPr>
        <w:t>款商定或确定。</w:t>
      </w:r>
    </w:p>
    <w:p w14:paraId="4827815A">
      <w:pPr>
        <w:spacing w:before="2" w:line="262" w:lineRule="auto"/>
        <w:ind w:right="2" w:firstLine="480"/>
        <w:rPr>
          <w:rFonts w:ascii="宋体" w:hAnsi="宋体" w:cs="宋体"/>
          <w:color w:val="000000" w:themeColor="text1"/>
          <w:sz w:val="24"/>
          <w:szCs w:val="24"/>
          <w:highlight w:val="none"/>
          <w14:textFill>
            <w14:solidFill>
              <w14:schemeClr w14:val="tx1"/>
            </w14:solidFill>
          </w14:textFill>
        </w:rPr>
      </w:pPr>
      <w:r>
        <w:rPr>
          <w:rFonts w:eastAsia="Times New Roman"/>
          <w:color w:val="000000" w:themeColor="text1"/>
          <w:spacing w:val="4"/>
          <w:sz w:val="24"/>
          <w:szCs w:val="24"/>
          <w:highlight w:val="none"/>
          <w14:textFill>
            <w14:solidFill>
              <w14:schemeClr w14:val="tx1"/>
            </w14:solidFill>
          </w14:textFill>
        </w:rPr>
        <w:t xml:space="preserve">9.2.6  </w:t>
      </w:r>
      <w:r>
        <w:rPr>
          <w:rFonts w:ascii="宋体" w:hAnsi="宋体" w:cs="宋体"/>
          <w:color w:val="000000" w:themeColor="text1"/>
          <w:spacing w:val="4"/>
          <w:sz w:val="24"/>
          <w:szCs w:val="24"/>
          <w:highlight w:val="none"/>
          <w14:textFill>
            <w14:solidFill>
              <w14:schemeClr w14:val="tx1"/>
            </w14:solidFill>
          </w14:textFill>
        </w:rPr>
        <w:t>承包人应对其履行合同所雇佣的全部人员，包括</w:t>
      </w:r>
      <w:r>
        <w:rPr>
          <w:rFonts w:ascii="宋体" w:hAnsi="宋体" w:cs="宋体"/>
          <w:color w:val="000000" w:themeColor="text1"/>
          <w:spacing w:val="3"/>
          <w:sz w:val="24"/>
          <w:szCs w:val="24"/>
          <w:highlight w:val="none"/>
          <w14:textFill>
            <w14:solidFill>
              <w14:schemeClr w14:val="tx1"/>
            </w14:solidFill>
          </w14:textFill>
        </w:rPr>
        <w:t>分包人人员的工伤事故</w:t>
      </w:r>
      <w:r>
        <w:rPr>
          <w:rFonts w:ascii="宋体" w:hAnsi="宋体" w:cs="宋体"/>
          <w:color w:val="000000" w:themeColor="text1"/>
          <w:sz w:val="24"/>
          <w:szCs w:val="24"/>
          <w:highlight w:val="none"/>
          <w14:textFill>
            <w14:solidFill>
              <w14:schemeClr w14:val="tx1"/>
            </w14:solidFill>
          </w14:textFill>
        </w:rPr>
        <w:t>承担责任，但由于发包人原因造成承包人人员工伤事故的</w:t>
      </w:r>
      <w:r>
        <w:rPr>
          <w:rFonts w:ascii="宋体" w:hAnsi="宋体" w:cs="宋体"/>
          <w:color w:val="000000" w:themeColor="text1"/>
          <w:spacing w:val="-1"/>
          <w:sz w:val="24"/>
          <w:szCs w:val="24"/>
          <w:highlight w:val="none"/>
          <w14:textFill>
            <w14:solidFill>
              <w14:schemeClr w14:val="tx1"/>
            </w14:solidFill>
          </w14:textFill>
        </w:rPr>
        <w:t>，应由发包人承担责任。</w:t>
      </w:r>
    </w:p>
    <w:p w14:paraId="0907402A">
      <w:pPr>
        <w:spacing w:before="115" w:line="264" w:lineRule="auto"/>
        <w:ind w:left="1" w:right="2" w:firstLine="479"/>
        <w:rPr>
          <w:rFonts w:ascii="宋体" w:hAnsi="宋体" w:cs="宋体"/>
          <w:color w:val="000000" w:themeColor="text1"/>
          <w:sz w:val="24"/>
          <w:szCs w:val="24"/>
          <w:highlight w:val="none"/>
          <w14:textFill>
            <w14:solidFill>
              <w14:schemeClr w14:val="tx1"/>
            </w14:solidFill>
          </w14:textFill>
        </w:rPr>
      </w:pPr>
      <w:r>
        <w:rPr>
          <w:rFonts w:eastAsia="Times New Roman"/>
          <w:color w:val="000000" w:themeColor="text1"/>
          <w:spacing w:val="3"/>
          <w:sz w:val="24"/>
          <w:szCs w:val="24"/>
          <w:highlight w:val="none"/>
          <w14:textFill>
            <w14:solidFill>
              <w14:schemeClr w14:val="tx1"/>
            </w14:solidFill>
          </w14:textFill>
        </w:rPr>
        <w:t>9.2.7</w:t>
      </w:r>
      <w:r>
        <w:rPr>
          <w:rFonts w:eastAsia="Times New Roman"/>
          <w:color w:val="000000" w:themeColor="text1"/>
          <w:spacing w:val="21"/>
          <w:w w:val="101"/>
          <w:sz w:val="24"/>
          <w:szCs w:val="24"/>
          <w:highlight w:val="none"/>
          <w14:textFill>
            <w14:solidFill>
              <w14:schemeClr w14:val="tx1"/>
            </w14:solidFill>
          </w14:textFill>
        </w:rPr>
        <w:t xml:space="preserve">  </w:t>
      </w:r>
      <w:r>
        <w:rPr>
          <w:rFonts w:ascii="宋体" w:hAnsi="宋体" w:cs="宋体"/>
          <w:color w:val="000000" w:themeColor="text1"/>
          <w:spacing w:val="3"/>
          <w:sz w:val="24"/>
          <w:szCs w:val="24"/>
          <w:highlight w:val="none"/>
          <w14:textFill>
            <w14:solidFill>
              <w14:schemeClr w14:val="tx1"/>
            </w14:solidFill>
          </w14:textFill>
        </w:rPr>
        <w:t>由于承包人原因在养护作业场地内及其毗邻地带造</w:t>
      </w:r>
      <w:r>
        <w:rPr>
          <w:rFonts w:ascii="宋体" w:hAnsi="宋体" w:cs="宋体"/>
          <w:color w:val="000000" w:themeColor="text1"/>
          <w:spacing w:val="2"/>
          <w:sz w:val="24"/>
          <w:szCs w:val="24"/>
          <w:highlight w:val="none"/>
          <w14:textFill>
            <w14:solidFill>
              <w14:schemeClr w14:val="tx1"/>
            </w14:solidFill>
          </w14:textFill>
        </w:rPr>
        <w:t>成的第三者人员伤亡</w:t>
      </w:r>
      <w:r>
        <w:rPr>
          <w:rFonts w:ascii="宋体" w:hAnsi="宋体" w:cs="宋体"/>
          <w:color w:val="000000" w:themeColor="text1"/>
          <w:spacing w:val="-1"/>
          <w:sz w:val="24"/>
          <w:szCs w:val="24"/>
          <w:highlight w:val="none"/>
          <w14:textFill>
            <w14:solidFill>
              <w14:schemeClr w14:val="tx1"/>
            </w14:solidFill>
          </w14:textFill>
        </w:rPr>
        <w:t>和财产损失，由承包人负责赔偿。</w:t>
      </w:r>
    </w:p>
    <w:p w14:paraId="730953F4">
      <w:pPr>
        <w:spacing w:before="111" w:line="279" w:lineRule="auto"/>
        <w:ind w:left="1" w:firstLine="479"/>
        <w:rPr>
          <w:rFonts w:ascii="宋体" w:hAnsi="宋体" w:cs="宋体"/>
          <w:color w:val="000000" w:themeColor="text1"/>
          <w:sz w:val="24"/>
          <w:szCs w:val="24"/>
          <w:highlight w:val="none"/>
          <w14:textFill>
            <w14:solidFill>
              <w14:schemeClr w14:val="tx1"/>
            </w14:solidFill>
          </w14:textFill>
        </w:rPr>
      </w:pPr>
      <w:r>
        <w:rPr>
          <w:rFonts w:eastAsia="Times New Roman"/>
          <w:color w:val="000000" w:themeColor="text1"/>
          <w:spacing w:val="4"/>
          <w:sz w:val="24"/>
          <w:szCs w:val="24"/>
          <w:highlight w:val="none"/>
          <w14:textFill>
            <w14:solidFill>
              <w14:schemeClr w14:val="tx1"/>
            </w14:solidFill>
          </w14:textFill>
        </w:rPr>
        <w:t xml:space="preserve">9.2.8  </w:t>
      </w:r>
      <w:r>
        <w:rPr>
          <w:rFonts w:ascii="宋体" w:hAnsi="宋体" w:cs="宋体"/>
          <w:color w:val="000000" w:themeColor="text1"/>
          <w:spacing w:val="4"/>
          <w:sz w:val="24"/>
          <w:szCs w:val="24"/>
          <w:highlight w:val="none"/>
          <w14:textFill>
            <w14:solidFill>
              <w14:schemeClr w14:val="tx1"/>
            </w14:solidFill>
          </w14:textFill>
        </w:rPr>
        <w:t>承包人应充分关注和保障所有在现场工作的人员</w:t>
      </w:r>
      <w:r>
        <w:rPr>
          <w:rFonts w:ascii="宋体" w:hAnsi="宋体" w:cs="宋体"/>
          <w:color w:val="000000" w:themeColor="text1"/>
          <w:spacing w:val="3"/>
          <w:sz w:val="24"/>
          <w:szCs w:val="24"/>
          <w:highlight w:val="none"/>
          <w14:textFill>
            <w14:solidFill>
              <w14:schemeClr w14:val="tx1"/>
            </w14:solidFill>
          </w14:textFill>
        </w:rPr>
        <w:t>的安全，按专用合同条</w:t>
      </w:r>
      <w:r>
        <w:rPr>
          <w:rFonts w:ascii="宋体" w:hAnsi="宋体" w:cs="宋体"/>
          <w:color w:val="000000" w:themeColor="text1"/>
          <w:spacing w:val="1"/>
          <w:sz w:val="24"/>
          <w:szCs w:val="24"/>
          <w:highlight w:val="none"/>
          <w14:textFill>
            <w14:solidFill>
              <w14:schemeClr w14:val="tx1"/>
            </w14:solidFill>
          </w14:textFill>
        </w:rPr>
        <w:t>款约定的数量和条件在养护作业场地配置专职安全生产</w:t>
      </w:r>
      <w:r>
        <w:rPr>
          <w:rFonts w:ascii="宋体" w:hAnsi="宋体" w:cs="宋体"/>
          <w:color w:val="000000" w:themeColor="text1"/>
          <w:sz w:val="24"/>
          <w:szCs w:val="24"/>
          <w:highlight w:val="none"/>
          <w14:textFill>
            <w14:solidFill>
              <w14:schemeClr w14:val="tx1"/>
            </w14:solidFill>
          </w14:textFill>
        </w:rPr>
        <w:t>管理人员；对所有施工机具设备和高空作业设备均应定期检查，并有专职安全</w:t>
      </w:r>
      <w:r>
        <w:rPr>
          <w:rFonts w:ascii="宋体" w:hAnsi="宋体" w:cs="宋体"/>
          <w:color w:val="000000" w:themeColor="text1"/>
          <w:spacing w:val="-1"/>
          <w:sz w:val="24"/>
          <w:szCs w:val="24"/>
          <w:highlight w:val="none"/>
          <w14:textFill>
            <w14:solidFill>
              <w14:schemeClr w14:val="tx1"/>
            </w14:solidFill>
          </w14:textFill>
        </w:rPr>
        <w:t>生产管理人员的签名记录。</w:t>
      </w:r>
    </w:p>
    <w:p w14:paraId="242C1EA6">
      <w:pPr>
        <w:spacing w:before="115" w:line="293" w:lineRule="auto"/>
        <w:ind w:left="2" w:firstLine="478"/>
        <w:rPr>
          <w:rFonts w:ascii="宋体" w:hAnsi="宋体" w:cs="宋体"/>
          <w:color w:val="000000" w:themeColor="text1"/>
          <w:sz w:val="24"/>
          <w:szCs w:val="24"/>
          <w:highlight w:val="none"/>
          <w14:textFill>
            <w14:solidFill>
              <w14:schemeClr w14:val="tx1"/>
            </w14:solidFill>
          </w14:textFill>
        </w:rPr>
      </w:pPr>
      <w:r>
        <w:rPr>
          <w:rFonts w:eastAsia="Times New Roman"/>
          <w:color w:val="000000" w:themeColor="text1"/>
          <w:spacing w:val="4"/>
          <w:sz w:val="24"/>
          <w:szCs w:val="24"/>
          <w:highlight w:val="none"/>
          <w14:textFill>
            <w14:solidFill>
              <w14:schemeClr w14:val="tx1"/>
            </w14:solidFill>
          </w14:textFill>
        </w:rPr>
        <w:t xml:space="preserve">9.2.9  </w:t>
      </w:r>
      <w:r>
        <w:rPr>
          <w:rFonts w:ascii="宋体" w:hAnsi="宋体" w:cs="宋体"/>
          <w:color w:val="000000" w:themeColor="text1"/>
          <w:spacing w:val="4"/>
          <w:sz w:val="24"/>
          <w:szCs w:val="24"/>
          <w:highlight w:val="none"/>
          <w14:textFill>
            <w14:solidFill>
              <w14:schemeClr w14:val="tx1"/>
            </w14:solidFill>
          </w14:textFill>
        </w:rPr>
        <w:t>承包人应办理养护路段作业的有关许可手续，并</w:t>
      </w:r>
      <w:r>
        <w:rPr>
          <w:rFonts w:ascii="宋体" w:hAnsi="宋体" w:cs="宋体"/>
          <w:color w:val="000000" w:themeColor="text1"/>
          <w:spacing w:val="3"/>
          <w:sz w:val="24"/>
          <w:szCs w:val="24"/>
          <w:highlight w:val="none"/>
          <w14:textFill>
            <w14:solidFill>
              <w14:schemeClr w14:val="tx1"/>
            </w14:solidFill>
          </w14:textFill>
        </w:rPr>
        <w:t>服从和配合路政与交警</w:t>
      </w:r>
      <w:r>
        <w:rPr>
          <w:rFonts w:ascii="宋体" w:hAnsi="宋体" w:cs="宋体"/>
          <w:color w:val="000000" w:themeColor="text1"/>
          <w:spacing w:val="1"/>
          <w:sz w:val="24"/>
          <w:szCs w:val="24"/>
          <w:highlight w:val="none"/>
          <w14:textFill>
            <w14:solidFill>
              <w14:schemeClr w14:val="tx1"/>
            </w14:solidFill>
          </w14:textFill>
        </w:rPr>
        <w:t>部门的统一监管。承包人应根据路政和交警部门的要</w:t>
      </w:r>
      <w:r>
        <w:rPr>
          <w:rFonts w:ascii="宋体" w:hAnsi="宋体" w:cs="宋体"/>
          <w:color w:val="000000" w:themeColor="text1"/>
          <w:sz w:val="24"/>
          <w:szCs w:val="24"/>
          <w:highlight w:val="none"/>
          <w14:textFill>
            <w14:solidFill>
              <w14:schemeClr w14:val="tx1"/>
            </w14:solidFill>
          </w14:textFill>
        </w:rPr>
        <w:t>求和现场作业需求，编制交通</w:t>
      </w:r>
      <w:r>
        <w:rPr>
          <w:rFonts w:ascii="宋体" w:hAnsi="宋体" w:cs="宋体"/>
          <w:color w:val="000000" w:themeColor="text1"/>
          <w:spacing w:val="1"/>
          <w:sz w:val="24"/>
          <w:szCs w:val="24"/>
          <w:highlight w:val="none"/>
          <w14:textFill>
            <w14:solidFill>
              <w14:schemeClr w14:val="tx1"/>
            </w14:solidFill>
          </w14:textFill>
        </w:rPr>
        <w:t>组织方案和养护安全作业方案，并按发包人及有关行</w:t>
      </w:r>
      <w:r>
        <w:rPr>
          <w:rFonts w:ascii="宋体" w:hAnsi="宋体" w:cs="宋体"/>
          <w:color w:val="000000" w:themeColor="text1"/>
          <w:sz w:val="24"/>
          <w:szCs w:val="24"/>
          <w:highlight w:val="none"/>
          <w14:textFill>
            <w14:solidFill>
              <w14:schemeClr w14:val="tx1"/>
            </w14:solidFill>
          </w14:textFill>
        </w:rPr>
        <w:t>政主管部门批准的交通组织方</w:t>
      </w:r>
      <w:r>
        <w:rPr>
          <w:rFonts w:ascii="宋体" w:hAnsi="宋体" w:cs="宋体"/>
          <w:color w:val="000000" w:themeColor="text1"/>
          <w:spacing w:val="1"/>
          <w:sz w:val="24"/>
          <w:szCs w:val="24"/>
          <w:highlight w:val="none"/>
          <w14:textFill>
            <w14:solidFill>
              <w14:schemeClr w14:val="tx1"/>
            </w14:solidFill>
          </w14:textFill>
        </w:rPr>
        <w:t>案设置交通安全标志、标牌、护栏、隔离等交通安全</w:t>
      </w:r>
      <w:r>
        <w:rPr>
          <w:rFonts w:ascii="宋体" w:hAnsi="宋体" w:cs="宋体"/>
          <w:color w:val="000000" w:themeColor="text1"/>
          <w:sz w:val="24"/>
          <w:szCs w:val="24"/>
          <w:highlight w:val="none"/>
          <w14:textFill>
            <w14:solidFill>
              <w14:schemeClr w14:val="tx1"/>
            </w14:solidFill>
          </w14:textFill>
        </w:rPr>
        <w:t>防护设施，在执行过程中，应</w:t>
      </w:r>
      <w:r>
        <w:rPr>
          <w:rFonts w:ascii="宋体" w:hAnsi="宋体" w:cs="宋体"/>
          <w:color w:val="000000" w:themeColor="text1"/>
          <w:spacing w:val="1"/>
          <w:sz w:val="24"/>
          <w:szCs w:val="24"/>
          <w:highlight w:val="none"/>
          <w14:textFill>
            <w14:solidFill>
              <w14:schemeClr w14:val="tx1"/>
            </w14:solidFill>
          </w14:textFill>
        </w:rPr>
        <w:t>按照执行效果实时作出调整，安排应急处理设备或设</w:t>
      </w:r>
      <w:r>
        <w:rPr>
          <w:rFonts w:ascii="宋体" w:hAnsi="宋体" w:cs="宋体"/>
          <w:color w:val="000000" w:themeColor="text1"/>
          <w:sz w:val="24"/>
          <w:szCs w:val="24"/>
          <w:highlight w:val="none"/>
          <w14:textFill>
            <w14:solidFill>
              <w14:schemeClr w14:val="tx1"/>
            </w14:solidFill>
          </w14:textFill>
        </w:rPr>
        <w:t>施，确保其他影响道路的信息</w:t>
      </w:r>
      <w:r>
        <w:rPr>
          <w:rFonts w:ascii="宋体" w:hAnsi="宋体" w:cs="宋体"/>
          <w:color w:val="000000" w:themeColor="text1"/>
          <w:spacing w:val="-2"/>
          <w:sz w:val="24"/>
          <w:szCs w:val="24"/>
          <w:highlight w:val="none"/>
          <w14:textFill>
            <w14:solidFill>
              <w14:schemeClr w14:val="tx1"/>
            </w14:solidFill>
          </w14:textFill>
        </w:rPr>
        <w:t>准确、安全畅通。</w:t>
      </w:r>
    </w:p>
    <w:p w14:paraId="1ED51411">
      <w:pPr>
        <w:spacing w:before="110" w:line="286" w:lineRule="auto"/>
        <w:ind w:firstLine="480"/>
        <w:rPr>
          <w:rFonts w:ascii="宋体" w:hAnsi="宋体" w:cs="宋体"/>
          <w:color w:val="000000" w:themeColor="text1"/>
          <w:sz w:val="24"/>
          <w:szCs w:val="24"/>
          <w:highlight w:val="none"/>
          <w14:textFill>
            <w14:solidFill>
              <w14:schemeClr w14:val="tx1"/>
            </w14:solidFill>
          </w14:textFill>
        </w:rPr>
      </w:pPr>
      <w:r>
        <w:rPr>
          <w:rFonts w:eastAsia="Times New Roman"/>
          <w:color w:val="000000" w:themeColor="text1"/>
          <w:spacing w:val="1"/>
          <w:sz w:val="24"/>
          <w:szCs w:val="24"/>
          <w:highlight w:val="none"/>
          <w14:textFill>
            <w14:solidFill>
              <w14:schemeClr w14:val="tx1"/>
            </w14:solidFill>
          </w14:textFill>
        </w:rPr>
        <w:t xml:space="preserve">9.2.10  </w:t>
      </w:r>
      <w:r>
        <w:rPr>
          <w:rFonts w:ascii="宋体" w:hAnsi="宋体" w:cs="宋体"/>
          <w:color w:val="000000" w:themeColor="text1"/>
          <w:spacing w:val="1"/>
          <w:sz w:val="24"/>
          <w:szCs w:val="24"/>
          <w:highlight w:val="none"/>
          <w14:textFill>
            <w14:solidFill>
              <w14:schemeClr w14:val="tx1"/>
            </w14:solidFill>
          </w14:textFill>
        </w:rPr>
        <w:t>在整个养护作业过程中对承包人</w:t>
      </w:r>
      <w:r>
        <w:rPr>
          <w:rFonts w:ascii="宋体" w:hAnsi="宋体" w:cs="宋体"/>
          <w:color w:val="000000" w:themeColor="text1"/>
          <w:sz w:val="24"/>
          <w:szCs w:val="24"/>
          <w:highlight w:val="none"/>
          <w14:textFill>
            <w14:solidFill>
              <w14:schemeClr w14:val="tx1"/>
            </w14:solidFill>
          </w14:textFill>
        </w:rPr>
        <w:t>采取的安全措施，发包人和咨询人有权</w:t>
      </w:r>
      <w:r>
        <w:rPr>
          <w:rFonts w:ascii="宋体" w:hAnsi="宋体" w:cs="宋体"/>
          <w:color w:val="000000" w:themeColor="text1"/>
          <w:spacing w:val="1"/>
          <w:sz w:val="24"/>
          <w:szCs w:val="24"/>
          <w:highlight w:val="none"/>
          <w14:textFill>
            <w14:solidFill>
              <w14:schemeClr w14:val="tx1"/>
            </w14:solidFill>
          </w14:textFill>
        </w:rPr>
        <w:t>监督，并向承包人提出整改要求。如果由于承包人未能对</w:t>
      </w:r>
      <w:r>
        <w:rPr>
          <w:rFonts w:ascii="宋体" w:hAnsi="宋体" w:cs="宋体"/>
          <w:color w:val="000000" w:themeColor="text1"/>
          <w:sz w:val="24"/>
          <w:szCs w:val="24"/>
          <w:highlight w:val="none"/>
          <w14:textFill>
            <w14:solidFill>
              <w14:schemeClr w14:val="tx1"/>
            </w14:solidFill>
          </w14:textFill>
        </w:rPr>
        <w:t>其负责的上述事项采取各</w:t>
      </w:r>
      <w:r>
        <w:rPr>
          <w:rFonts w:ascii="宋体" w:hAnsi="宋体" w:cs="宋体"/>
          <w:color w:val="000000" w:themeColor="text1"/>
          <w:spacing w:val="1"/>
          <w:sz w:val="24"/>
          <w:szCs w:val="24"/>
          <w:highlight w:val="none"/>
          <w14:textFill>
            <w14:solidFill>
              <w14:schemeClr w14:val="tx1"/>
            </w14:solidFill>
          </w14:textFill>
        </w:rPr>
        <w:t>种必要的措施而导致或发生与此有关的人身伤亡、罚款、</w:t>
      </w:r>
      <w:r>
        <w:rPr>
          <w:rFonts w:ascii="宋体" w:hAnsi="宋体" w:cs="宋体"/>
          <w:color w:val="000000" w:themeColor="text1"/>
          <w:sz w:val="24"/>
          <w:szCs w:val="24"/>
          <w:highlight w:val="none"/>
          <w14:textFill>
            <w14:solidFill>
              <w14:schemeClr w14:val="tx1"/>
            </w14:solidFill>
          </w14:textFill>
        </w:rPr>
        <w:t>索赔、损失补偿、诉讼费</w:t>
      </w:r>
      <w:r>
        <w:rPr>
          <w:rFonts w:ascii="宋体" w:hAnsi="宋体" w:cs="宋体"/>
          <w:color w:val="000000" w:themeColor="text1"/>
          <w:spacing w:val="-1"/>
          <w:sz w:val="24"/>
          <w:szCs w:val="24"/>
          <w:highlight w:val="none"/>
          <w14:textFill>
            <w14:solidFill>
              <w14:schemeClr w14:val="tx1"/>
            </w14:solidFill>
          </w14:textFill>
        </w:rPr>
        <w:t>用及其他一切责任应由承包人负责。</w:t>
      </w:r>
    </w:p>
    <w:p w14:paraId="722F8985">
      <w:pPr>
        <w:spacing w:before="106" w:line="220" w:lineRule="auto"/>
        <w:ind w:left="479"/>
        <w:outlineLvl w:val="3"/>
        <w:rPr>
          <w:rFonts w:ascii="宋体" w:hAnsi="宋体" w:cs="宋体"/>
          <w:color w:val="000000" w:themeColor="text1"/>
          <w:sz w:val="24"/>
          <w:szCs w:val="24"/>
          <w:highlight w:val="none"/>
          <w14:textFill>
            <w14:solidFill>
              <w14:schemeClr w14:val="tx1"/>
            </w14:solidFill>
          </w14:textFill>
        </w:rPr>
      </w:pPr>
      <w:r>
        <w:rPr>
          <w:rFonts w:eastAsia="Times New Roman"/>
          <w:b/>
          <w:bCs/>
          <w:color w:val="000000" w:themeColor="text1"/>
          <w:spacing w:val="-5"/>
          <w:sz w:val="24"/>
          <w:szCs w:val="24"/>
          <w:highlight w:val="none"/>
          <w14:textFill>
            <w14:solidFill>
              <w14:schemeClr w14:val="tx1"/>
            </w14:solidFill>
          </w14:textFill>
        </w:rPr>
        <w:t>9.3</w:t>
      </w:r>
      <w:r>
        <w:rPr>
          <w:rFonts w:eastAsia="Times New Roman"/>
          <w:b/>
          <w:bCs/>
          <w:color w:val="000000" w:themeColor="text1"/>
          <w:spacing w:val="9"/>
          <w:sz w:val="24"/>
          <w:szCs w:val="24"/>
          <w:highlight w:val="none"/>
          <w14:textFill>
            <w14:solidFill>
              <w14:schemeClr w14:val="tx1"/>
            </w14:solidFill>
          </w14:textFill>
        </w:rPr>
        <w:t xml:space="preserve">  </w:t>
      </w:r>
      <w:r>
        <w:rPr>
          <w:rFonts w:ascii="宋体" w:hAnsi="宋体" w:cs="宋体"/>
          <w:b/>
          <w:bCs/>
          <w:color w:val="000000" w:themeColor="text1"/>
          <w:spacing w:val="-5"/>
          <w:sz w:val="24"/>
          <w:szCs w:val="24"/>
          <w:highlight w:val="none"/>
          <w14:textFill>
            <w14:solidFill>
              <w14:schemeClr w14:val="tx1"/>
            </w14:solidFill>
          </w14:textFill>
        </w:rPr>
        <w:t>治安保卫</w:t>
      </w:r>
    </w:p>
    <w:p w14:paraId="3B74968E">
      <w:pPr>
        <w:spacing w:before="125" w:line="263" w:lineRule="auto"/>
        <w:ind w:left="3" w:right="2" w:firstLine="477"/>
        <w:rPr>
          <w:rFonts w:ascii="宋体" w:hAnsi="宋体" w:cs="宋体"/>
          <w:color w:val="000000" w:themeColor="text1"/>
          <w:sz w:val="24"/>
          <w:szCs w:val="24"/>
          <w:highlight w:val="none"/>
          <w14:textFill>
            <w14:solidFill>
              <w14:schemeClr w14:val="tx1"/>
            </w14:solidFill>
          </w14:textFill>
        </w:rPr>
      </w:pPr>
      <w:r>
        <w:rPr>
          <w:rFonts w:eastAsia="Times New Roman"/>
          <w:color w:val="000000" w:themeColor="text1"/>
          <w:spacing w:val="4"/>
          <w:sz w:val="24"/>
          <w:szCs w:val="24"/>
          <w:highlight w:val="none"/>
          <w14:textFill>
            <w14:solidFill>
              <w14:schemeClr w14:val="tx1"/>
            </w14:solidFill>
          </w14:textFill>
        </w:rPr>
        <w:t xml:space="preserve">9.3.1  </w:t>
      </w:r>
      <w:r>
        <w:rPr>
          <w:rFonts w:ascii="宋体" w:hAnsi="宋体" w:cs="宋体"/>
          <w:color w:val="000000" w:themeColor="text1"/>
          <w:spacing w:val="4"/>
          <w:sz w:val="24"/>
          <w:szCs w:val="24"/>
          <w:highlight w:val="none"/>
          <w14:textFill>
            <w14:solidFill>
              <w14:schemeClr w14:val="tx1"/>
            </w14:solidFill>
          </w14:textFill>
        </w:rPr>
        <w:t>承包人应负责维护养护作业场地的社会治安，做</w:t>
      </w:r>
      <w:r>
        <w:rPr>
          <w:rFonts w:ascii="宋体" w:hAnsi="宋体" w:cs="宋体"/>
          <w:color w:val="000000" w:themeColor="text1"/>
          <w:spacing w:val="3"/>
          <w:sz w:val="24"/>
          <w:szCs w:val="24"/>
          <w:highlight w:val="none"/>
          <w14:textFill>
            <w14:solidFill>
              <w14:schemeClr w14:val="tx1"/>
            </w14:solidFill>
          </w14:textFill>
        </w:rPr>
        <w:t>好其管辖区的治安保卫</w:t>
      </w:r>
      <w:r>
        <w:rPr>
          <w:rFonts w:ascii="宋体" w:hAnsi="宋体" w:cs="宋体"/>
          <w:color w:val="000000" w:themeColor="text1"/>
          <w:spacing w:val="-5"/>
          <w:sz w:val="24"/>
          <w:szCs w:val="24"/>
          <w:highlight w:val="none"/>
          <w14:textFill>
            <w14:solidFill>
              <w14:schemeClr w14:val="tx1"/>
            </w14:solidFill>
          </w14:textFill>
        </w:rPr>
        <w:t>工作。</w:t>
      </w:r>
    </w:p>
    <w:p w14:paraId="4AD312E4">
      <w:pPr>
        <w:spacing w:before="113" w:line="286" w:lineRule="auto"/>
        <w:ind w:firstLine="481"/>
        <w:rPr>
          <w:rFonts w:ascii="宋体" w:hAnsi="宋体" w:cs="宋体"/>
          <w:color w:val="000000" w:themeColor="text1"/>
          <w:sz w:val="24"/>
          <w:szCs w:val="24"/>
          <w:highlight w:val="none"/>
          <w14:textFill>
            <w14:solidFill>
              <w14:schemeClr w14:val="tx1"/>
            </w14:solidFill>
          </w14:textFill>
        </w:rPr>
      </w:pPr>
      <w:r>
        <w:rPr>
          <w:rFonts w:eastAsia="Times New Roman"/>
          <w:color w:val="000000" w:themeColor="text1"/>
          <w:spacing w:val="4"/>
          <w:sz w:val="24"/>
          <w:szCs w:val="24"/>
          <w:highlight w:val="none"/>
          <w14:textFill>
            <w14:solidFill>
              <w14:schemeClr w14:val="tx1"/>
            </w14:solidFill>
          </w14:textFill>
        </w:rPr>
        <w:t xml:space="preserve">9.3.2  </w:t>
      </w:r>
      <w:r>
        <w:rPr>
          <w:rFonts w:ascii="宋体" w:hAnsi="宋体" w:cs="宋体"/>
          <w:color w:val="000000" w:themeColor="text1"/>
          <w:spacing w:val="4"/>
          <w:sz w:val="24"/>
          <w:szCs w:val="24"/>
          <w:highlight w:val="none"/>
          <w14:textFill>
            <w14:solidFill>
              <w14:schemeClr w14:val="tx1"/>
            </w14:solidFill>
          </w14:textFill>
        </w:rPr>
        <w:t>除合同另有约定外，承包人应负责编制应对突发治安事</w:t>
      </w:r>
      <w:r>
        <w:rPr>
          <w:rFonts w:ascii="宋体" w:hAnsi="宋体" w:cs="宋体"/>
          <w:color w:val="000000" w:themeColor="text1"/>
          <w:spacing w:val="3"/>
          <w:sz w:val="24"/>
          <w:szCs w:val="24"/>
          <w:highlight w:val="none"/>
          <w14:textFill>
            <w14:solidFill>
              <w14:schemeClr w14:val="tx1"/>
            </w14:solidFill>
          </w14:textFill>
        </w:rPr>
        <w:t>件的应急预案。</w:t>
      </w:r>
      <w:r>
        <w:rPr>
          <w:rFonts w:ascii="宋体" w:hAnsi="宋体" w:cs="宋体"/>
          <w:color w:val="000000" w:themeColor="text1"/>
          <w:spacing w:val="1"/>
          <w:sz w:val="24"/>
          <w:szCs w:val="24"/>
          <w:highlight w:val="none"/>
          <w14:textFill>
            <w14:solidFill>
              <w14:schemeClr w14:val="tx1"/>
            </w14:solidFill>
          </w14:textFill>
        </w:rPr>
        <w:t>在养护作业过程中发生治安事件的，承包人应立即向发包人</w:t>
      </w:r>
      <w:r>
        <w:rPr>
          <w:rFonts w:ascii="宋体" w:hAnsi="宋体" w:cs="宋体"/>
          <w:color w:val="000000" w:themeColor="text1"/>
          <w:sz w:val="24"/>
          <w:szCs w:val="24"/>
          <w:highlight w:val="none"/>
          <w14:textFill>
            <w14:solidFill>
              <w14:schemeClr w14:val="tx1"/>
            </w14:solidFill>
          </w14:textFill>
        </w:rPr>
        <w:t>和公安部门报告。承包</w:t>
      </w:r>
      <w:r>
        <w:rPr>
          <w:rFonts w:ascii="宋体" w:hAnsi="宋体" w:cs="宋体"/>
          <w:color w:val="000000" w:themeColor="text1"/>
          <w:spacing w:val="1"/>
          <w:sz w:val="24"/>
          <w:szCs w:val="24"/>
          <w:highlight w:val="none"/>
          <w14:textFill>
            <w14:solidFill>
              <w14:schemeClr w14:val="tx1"/>
            </w14:solidFill>
          </w14:textFill>
        </w:rPr>
        <w:t>人应积极协助当地有关部门采取措施平息事态，防止事态扩</w:t>
      </w:r>
      <w:r>
        <w:rPr>
          <w:rFonts w:ascii="宋体" w:hAnsi="宋体" w:cs="宋体"/>
          <w:color w:val="000000" w:themeColor="text1"/>
          <w:sz w:val="24"/>
          <w:szCs w:val="24"/>
          <w:highlight w:val="none"/>
          <w14:textFill>
            <w14:solidFill>
              <w14:schemeClr w14:val="tx1"/>
            </w14:solidFill>
          </w14:textFill>
        </w:rPr>
        <w:t>大，尽量减少财产损失</w:t>
      </w:r>
      <w:r>
        <w:rPr>
          <w:rFonts w:ascii="宋体" w:hAnsi="宋体" w:cs="宋体"/>
          <w:color w:val="000000" w:themeColor="text1"/>
          <w:spacing w:val="-2"/>
          <w:sz w:val="24"/>
          <w:szCs w:val="24"/>
          <w:highlight w:val="none"/>
          <w14:textFill>
            <w14:solidFill>
              <w14:schemeClr w14:val="tx1"/>
            </w14:solidFill>
          </w14:textFill>
        </w:rPr>
        <w:t>和避免人员伤亡。</w:t>
      </w:r>
    </w:p>
    <w:p w14:paraId="631B5CFD">
      <w:pPr>
        <w:spacing w:before="106" w:line="220" w:lineRule="auto"/>
        <w:ind w:left="479"/>
        <w:outlineLvl w:val="3"/>
        <w:rPr>
          <w:rFonts w:ascii="宋体" w:hAnsi="宋体" w:cs="宋体"/>
          <w:color w:val="000000" w:themeColor="text1"/>
          <w:sz w:val="24"/>
          <w:szCs w:val="24"/>
          <w:highlight w:val="none"/>
          <w14:textFill>
            <w14:solidFill>
              <w14:schemeClr w14:val="tx1"/>
            </w14:solidFill>
          </w14:textFill>
        </w:rPr>
      </w:pPr>
      <w:r>
        <w:rPr>
          <w:rFonts w:eastAsia="Times New Roman"/>
          <w:b/>
          <w:bCs/>
          <w:color w:val="000000" w:themeColor="text1"/>
          <w:spacing w:val="-2"/>
          <w:sz w:val="24"/>
          <w:szCs w:val="24"/>
          <w:highlight w:val="none"/>
          <w14:textFill>
            <w14:solidFill>
              <w14:schemeClr w14:val="tx1"/>
            </w14:solidFill>
          </w14:textFill>
        </w:rPr>
        <w:t xml:space="preserve">9.4  </w:t>
      </w:r>
      <w:r>
        <w:rPr>
          <w:rFonts w:ascii="宋体" w:hAnsi="宋体" w:cs="宋体"/>
          <w:b/>
          <w:bCs/>
          <w:color w:val="000000" w:themeColor="text1"/>
          <w:spacing w:val="-2"/>
          <w:sz w:val="24"/>
          <w:szCs w:val="24"/>
          <w:highlight w:val="none"/>
          <w14:textFill>
            <w14:solidFill>
              <w14:schemeClr w14:val="tx1"/>
            </w14:solidFill>
          </w14:textFill>
        </w:rPr>
        <w:t>环境保护</w:t>
      </w:r>
    </w:p>
    <w:p w14:paraId="04A452B2">
      <w:pPr>
        <w:spacing w:before="120" w:line="279" w:lineRule="auto"/>
        <w:ind w:firstLine="480"/>
        <w:rPr>
          <w:rFonts w:ascii="宋体" w:hAnsi="宋体" w:cs="宋体"/>
          <w:color w:val="000000" w:themeColor="text1"/>
          <w:sz w:val="24"/>
          <w:szCs w:val="24"/>
          <w:highlight w:val="none"/>
          <w14:textFill>
            <w14:solidFill>
              <w14:schemeClr w14:val="tx1"/>
            </w14:solidFill>
          </w14:textFill>
        </w:rPr>
      </w:pPr>
      <w:r>
        <w:rPr>
          <w:rFonts w:eastAsia="Times New Roman"/>
          <w:color w:val="000000" w:themeColor="text1"/>
          <w:spacing w:val="4"/>
          <w:sz w:val="24"/>
          <w:szCs w:val="24"/>
          <w:highlight w:val="none"/>
          <w14:textFill>
            <w14:solidFill>
              <w14:schemeClr w14:val="tx1"/>
            </w14:solidFill>
          </w14:textFill>
        </w:rPr>
        <w:t xml:space="preserve">9.4.1  </w:t>
      </w:r>
      <w:r>
        <w:rPr>
          <w:rFonts w:ascii="宋体" w:hAnsi="宋体" w:cs="宋体"/>
          <w:color w:val="000000" w:themeColor="text1"/>
          <w:spacing w:val="4"/>
          <w:sz w:val="24"/>
          <w:szCs w:val="24"/>
          <w:highlight w:val="none"/>
          <w14:textFill>
            <w14:solidFill>
              <w14:schemeClr w14:val="tx1"/>
            </w14:solidFill>
          </w14:textFill>
        </w:rPr>
        <w:t>承包人在项目实施过程中，应遵守有关环境保护</w:t>
      </w:r>
      <w:r>
        <w:rPr>
          <w:rFonts w:ascii="宋体" w:hAnsi="宋体" w:cs="宋体"/>
          <w:color w:val="000000" w:themeColor="text1"/>
          <w:spacing w:val="3"/>
          <w:sz w:val="24"/>
          <w:szCs w:val="24"/>
          <w:highlight w:val="none"/>
          <w14:textFill>
            <w14:solidFill>
              <w14:schemeClr w14:val="tx1"/>
            </w14:solidFill>
          </w14:textFill>
        </w:rPr>
        <w:t>的法律，履行合同约定</w:t>
      </w:r>
      <w:r>
        <w:rPr>
          <w:rFonts w:ascii="宋体" w:hAnsi="宋体" w:cs="宋体"/>
          <w:color w:val="000000" w:themeColor="text1"/>
          <w:spacing w:val="1"/>
          <w:sz w:val="24"/>
          <w:szCs w:val="24"/>
          <w:highlight w:val="none"/>
          <w14:textFill>
            <w14:solidFill>
              <w14:schemeClr w14:val="tx1"/>
            </w14:solidFill>
          </w14:textFill>
        </w:rPr>
        <w:t>的环境保护义务，并对违反法律和合同约定义务所造成的</w:t>
      </w:r>
      <w:r>
        <w:rPr>
          <w:rFonts w:ascii="宋体" w:hAnsi="宋体" w:cs="宋体"/>
          <w:color w:val="000000" w:themeColor="text1"/>
          <w:sz w:val="24"/>
          <w:szCs w:val="24"/>
          <w:highlight w:val="none"/>
          <w14:textFill>
            <w14:solidFill>
              <w14:schemeClr w14:val="tx1"/>
            </w14:solidFill>
          </w14:textFill>
        </w:rPr>
        <w:t>环境破坏、人身伤害和财</w:t>
      </w:r>
      <w:r>
        <w:rPr>
          <w:rFonts w:ascii="宋体" w:hAnsi="宋体" w:cs="宋体"/>
          <w:color w:val="000000" w:themeColor="text1"/>
          <w:spacing w:val="-2"/>
          <w:sz w:val="24"/>
          <w:szCs w:val="24"/>
          <w:highlight w:val="none"/>
          <w14:textFill>
            <w14:solidFill>
              <w14:schemeClr w14:val="tx1"/>
            </w14:solidFill>
          </w14:textFill>
        </w:rPr>
        <w:t>产损失负责。</w:t>
      </w:r>
    </w:p>
    <w:p w14:paraId="1720A5F2">
      <w:pPr>
        <w:spacing w:before="114" w:line="264" w:lineRule="auto"/>
        <w:ind w:right="2" w:firstLine="480"/>
        <w:rPr>
          <w:color w:val="000000" w:themeColor="text1"/>
          <w:highlight w:val="none"/>
          <w14:textFill>
            <w14:solidFill>
              <w14:schemeClr w14:val="tx1"/>
            </w14:solidFill>
          </w14:textFill>
        </w:rPr>
      </w:pPr>
      <w:r>
        <w:rPr>
          <w:rFonts w:eastAsia="Times New Roman"/>
          <w:color w:val="000000" w:themeColor="text1"/>
          <w:spacing w:val="4"/>
          <w:sz w:val="24"/>
          <w:szCs w:val="24"/>
          <w:highlight w:val="none"/>
          <w14:textFill>
            <w14:solidFill>
              <w14:schemeClr w14:val="tx1"/>
            </w14:solidFill>
          </w14:textFill>
        </w:rPr>
        <w:t xml:space="preserve">9.4.2  </w:t>
      </w:r>
      <w:r>
        <w:rPr>
          <w:rFonts w:ascii="宋体" w:hAnsi="宋体" w:cs="宋体"/>
          <w:color w:val="000000" w:themeColor="text1"/>
          <w:spacing w:val="4"/>
          <w:sz w:val="24"/>
          <w:szCs w:val="24"/>
          <w:highlight w:val="none"/>
          <w14:textFill>
            <w14:solidFill>
              <w14:schemeClr w14:val="tx1"/>
            </w14:solidFill>
          </w14:textFill>
        </w:rPr>
        <w:t>承包人应按合同约定的环保工作内容，编制施工</w:t>
      </w:r>
      <w:r>
        <w:rPr>
          <w:rFonts w:ascii="宋体" w:hAnsi="宋体" w:cs="宋体"/>
          <w:color w:val="000000" w:themeColor="text1"/>
          <w:spacing w:val="3"/>
          <w:sz w:val="24"/>
          <w:szCs w:val="24"/>
          <w:highlight w:val="none"/>
          <w14:textFill>
            <w14:solidFill>
              <w14:schemeClr w14:val="tx1"/>
            </w14:solidFill>
          </w14:textFill>
        </w:rPr>
        <w:t>环保措施计划，报送咨</w:t>
      </w:r>
      <w:r>
        <w:rPr>
          <w:rFonts w:ascii="宋体" w:hAnsi="宋体" w:cs="宋体"/>
          <w:color w:val="000000" w:themeColor="text1"/>
          <w:spacing w:val="-2"/>
          <w:sz w:val="24"/>
          <w:szCs w:val="24"/>
          <w:highlight w:val="none"/>
          <w14:textFill>
            <w14:solidFill>
              <w14:schemeClr w14:val="tx1"/>
            </w14:solidFill>
          </w14:textFill>
        </w:rPr>
        <w:t>询人审批。</w:t>
      </w:r>
    </w:p>
    <w:p w14:paraId="355AC78A">
      <w:pPr>
        <w:spacing w:before="78" w:line="286" w:lineRule="auto"/>
        <w:ind w:firstLine="482"/>
        <w:rPr>
          <w:rFonts w:ascii="宋体" w:hAnsi="宋体" w:cs="宋体"/>
          <w:color w:val="000000" w:themeColor="text1"/>
          <w:sz w:val="24"/>
          <w:szCs w:val="24"/>
          <w:highlight w:val="none"/>
          <w14:textFill>
            <w14:solidFill>
              <w14:schemeClr w14:val="tx1"/>
            </w14:solidFill>
          </w14:textFill>
        </w:rPr>
      </w:pPr>
      <w:r>
        <w:rPr>
          <w:rFonts w:eastAsia="Times New Roman"/>
          <w:color w:val="000000" w:themeColor="text1"/>
          <w:spacing w:val="4"/>
          <w:sz w:val="24"/>
          <w:szCs w:val="24"/>
          <w:highlight w:val="none"/>
          <w14:textFill>
            <w14:solidFill>
              <w14:schemeClr w14:val="tx1"/>
            </w14:solidFill>
          </w14:textFill>
        </w:rPr>
        <w:t xml:space="preserve">9.4.3  </w:t>
      </w:r>
      <w:r>
        <w:rPr>
          <w:rFonts w:ascii="宋体" w:hAnsi="宋体" w:cs="宋体"/>
          <w:color w:val="000000" w:themeColor="text1"/>
          <w:spacing w:val="4"/>
          <w:sz w:val="24"/>
          <w:szCs w:val="24"/>
          <w:highlight w:val="none"/>
          <w14:textFill>
            <w14:solidFill>
              <w14:schemeClr w14:val="tx1"/>
            </w14:solidFill>
          </w14:textFill>
        </w:rPr>
        <w:t>承包人应按照批准的施工环保措施计划有序地堆放和处</w:t>
      </w:r>
      <w:r>
        <w:rPr>
          <w:rFonts w:ascii="宋体" w:hAnsi="宋体" w:cs="宋体"/>
          <w:color w:val="000000" w:themeColor="text1"/>
          <w:spacing w:val="3"/>
          <w:sz w:val="24"/>
          <w:szCs w:val="24"/>
          <w:highlight w:val="none"/>
          <w14:textFill>
            <w14:solidFill>
              <w14:schemeClr w14:val="tx1"/>
            </w14:solidFill>
          </w14:textFill>
        </w:rPr>
        <w:t>理施工废弃物，</w:t>
      </w:r>
      <w:r>
        <w:rPr>
          <w:rFonts w:ascii="宋体" w:hAnsi="宋体" w:cs="宋体"/>
          <w:color w:val="000000" w:themeColor="text1"/>
          <w:spacing w:val="1"/>
          <w:sz w:val="24"/>
          <w:szCs w:val="24"/>
          <w:highlight w:val="none"/>
          <w14:textFill>
            <w14:solidFill>
              <w14:schemeClr w14:val="tx1"/>
            </w14:solidFill>
          </w14:textFill>
        </w:rPr>
        <w:t>避免对环境造成破坏。因承包人任意堆放或弃置施工废弃物造</w:t>
      </w:r>
      <w:r>
        <w:rPr>
          <w:rFonts w:ascii="宋体" w:hAnsi="宋体" w:cs="宋体"/>
          <w:color w:val="000000" w:themeColor="text1"/>
          <w:sz w:val="24"/>
          <w:szCs w:val="24"/>
          <w:highlight w:val="none"/>
          <w14:textFill>
            <w14:solidFill>
              <w14:schemeClr w14:val="tx1"/>
            </w14:solidFill>
          </w14:textFill>
        </w:rPr>
        <w:t>成妨碍公共交通、影</w:t>
      </w:r>
      <w:r>
        <w:rPr>
          <w:rFonts w:ascii="宋体" w:hAnsi="宋体" w:cs="宋体"/>
          <w:color w:val="000000" w:themeColor="text1"/>
          <w:spacing w:val="1"/>
          <w:sz w:val="24"/>
          <w:szCs w:val="24"/>
          <w:highlight w:val="none"/>
          <w14:textFill>
            <w14:solidFill>
              <w14:schemeClr w14:val="tx1"/>
            </w14:solidFill>
          </w14:textFill>
        </w:rPr>
        <w:t>响城镇居民生活、降低河流行洪能力、危及居民安全、破坏周</w:t>
      </w:r>
      <w:r>
        <w:rPr>
          <w:rFonts w:ascii="宋体" w:hAnsi="宋体" w:cs="宋体"/>
          <w:color w:val="000000" w:themeColor="text1"/>
          <w:sz w:val="24"/>
          <w:szCs w:val="24"/>
          <w:highlight w:val="none"/>
          <w14:textFill>
            <w14:solidFill>
              <w14:schemeClr w14:val="tx1"/>
            </w14:solidFill>
          </w14:textFill>
        </w:rPr>
        <w:t>边环境，或者影响其</w:t>
      </w:r>
      <w:r>
        <w:rPr>
          <w:rFonts w:ascii="宋体" w:hAnsi="宋体" w:cs="宋体"/>
          <w:color w:val="000000" w:themeColor="text1"/>
          <w:spacing w:val="-1"/>
          <w:sz w:val="24"/>
          <w:szCs w:val="24"/>
          <w:highlight w:val="none"/>
          <w14:textFill>
            <w14:solidFill>
              <w14:schemeClr w14:val="tx1"/>
            </w14:solidFill>
          </w14:textFill>
        </w:rPr>
        <w:t>他承包人施工等后果的，承包人应承担责任。</w:t>
      </w:r>
    </w:p>
    <w:p w14:paraId="11562FF2">
      <w:pPr>
        <w:spacing w:before="115" w:line="263" w:lineRule="auto"/>
        <w:ind w:right="2" w:firstLine="481"/>
        <w:rPr>
          <w:rFonts w:ascii="宋体" w:hAnsi="宋体" w:cs="宋体"/>
          <w:color w:val="000000" w:themeColor="text1"/>
          <w:sz w:val="24"/>
          <w:szCs w:val="24"/>
          <w:highlight w:val="none"/>
          <w14:textFill>
            <w14:solidFill>
              <w14:schemeClr w14:val="tx1"/>
            </w14:solidFill>
          </w14:textFill>
        </w:rPr>
      </w:pPr>
      <w:r>
        <w:rPr>
          <w:rFonts w:eastAsia="Times New Roman"/>
          <w:color w:val="000000" w:themeColor="text1"/>
          <w:spacing w:val="4"/>
          <w:sz w:val="24"/>
          <w:szCs w:val="24"/>
          <w:highlight w:val="none"/>
          <w14:textFill>
            <w14:solidFill>
              <w14:schemeClr w14:val="tx1"/>
            </w14:solidFill>
          </w14:textFill>
        </w:rPr>
        <w:t xml:space="preserve">9.4.4  </w:t>
      </w:r>
      <w:r>
        <w:rPr>
          <w:rFonts w:ascii="宋体" w:hAnsi="宋体" w:cs="宋体"/>
          <w:color w:val="000000" w:themeColor="text1"/>
          <w:spacing w:val="4"/>
          <w:sz w:val="24"/>
          <w:szCs w:val="24"/>
          <w:highlight w:val="none"/>
          <w14:textFill>
            <w14:solidFill>
              <w14:schemeClr w14:val="tx1"/>
            </w14:solidFill>
          </w14:textFill>
        </w:rPr>
        <w:t>承包人应按国家饮用水管理标准定期对饮用水源</w:t>
      </w:r>
      <w:r>
        <w:rPr>
          <w:rFonts w:ascii="宋体" w:hAnsi="宋体" w:cs="宋体"/>
          <w:color w:val="000000" w:themeColor="text1"/>
          <w:spacing w:val="3"/>
          <w:sz w:val="24"/>
          <w:szCs w:val="24"/>
          <w:highlight w:val="none"/>
          <w14:textFill>
            <w14:solidFill>
              <w14:schemeClr w14:val="tx1"/>
            </w14:solidFill>
          </w14:textFill>
        </w:rPr>
        <w:t>进行监测，防止养护作</w:t>
      </w:r>
      <w:r>
        <w:rPr>
          <w:rFonts w:ascii="宋体" w:hAnsi="宋体" w:cs="宋体"/>
          <w:color w:val="000000" w:themeColor="text1"/>
          <w:spacing w:val="-1"/>
          <w:sz w:val="24"/>
          <w:szCs w:val="24"/>
          <w:highlight w:val="none"/>
          <w14:textFill>
            <w14:solidFill>
              <w14:schemeClr w14:val="tx1"/>
            </w14:solidFill>
          </w14:textFill>
        </w:rPr>
        <w:t>业活动污染饮用水源。</w:t>
      </w:r>
    </w:p>
    <w:p w14:paraId="5D94A8FF">
      <w:pPr>
        <w:spacing w:before="115" w:line="264" w:lineRule="auto"/>
        <w:ind w:left="1" w:right="60" w:firstLine="480"/>
        <w:rPr>
          <w:rFonts w:ascii="宋体" w:hAnsi="宋体" w:cs="宋体"/>
          <w:color w:val="000000" w:themeColor="text1"/>
          <w:sz w:val="24"/>
          <w:szCs w:val="24"/>
          <w:highlight w:val="none"/>
          <w14:textFill>
            <w14:solidFill>
              <w14:schemeClr w14:val="tx1"/>
            </w14:solidFill>
          </w14:textFill>
        </w:rPr>
      </w:pPr>
      <w:r>
        <w:rPr>
          <w:rFonts w:eastAsia="Times New Roman"/>
          <w:color w:val="000000" w:themeColor="text1"/>
          <w:spacing w:val="2"/>
          <w:sz w:val="24"/>
          <w:szCs w:val="24"/>
          <w:highlight w:val="none"/>
          <w14:textFill>
            <w14:solidFill>
              <w14:schemeClr w14:val="tx1"/>
            </w14:solidFill>
          </w14:textFill>
        </w:rPr>
        <w:t xml:space="preserve">9.4.5  </w:t>
      </w:r>
      <w:r>
        <w:rPr>
          <w:rFonts w:ascii="宋体" w:hAnsi="宋体" w:cs="宋体"/>
          <w:color w:val="000000" w:themeColor="text1"/>
          <w:spacing w:val="2"/>
          <w:sz w:val="24"/>
          <w:szCs w:val="24"/>
          <w:highlight w:val="none"/>
          <w14:textFill>
            <w14:solidFill>
              <w14:schemeClr w14:val="tx1"/>
            </w14:solidFill>
          </w14:textFill>
        </w:rPr>
        <w:t>承包人应按合同约定，加强对噪声、粉尘、废气、废水和废油的控制，</w:t>
      </w:r>
      <w:r>
        <w:rPr>
          <w:rFonts w:ascii="宋体" w:hAnsi="宋体" w:cs="宋体"/>
          <w:color w:val="000000" w:themeColor="text1"/>
          <w:sz w:val="24"/>
          <w:szCs w:val="24"/>
          <w:highlight w:val="none"/>
          <w14:textFill>
            <w14:solidFill>
              <w14:schemeClr w14:val="tx1"/>
            </w14:solidFill>
          </w14:textFill>
        </w:rPr>
        <w:t>努力降低噪声，控制粉尘和废气浓度，做好废</w:t>
      </w:r>
      <w:r>
        <w:rPr>
          <w:rFonts w:ascii="宋体" w:hAnsi="宋体" w:cs="宋体"/>
          <w:color w:val="000000" w:themeColor="text1"/>
          <w:spacing w:val="-1"/>
          <w:sz w:val="24"/>
          <w:szCs w:val="24"/>
          <w:highlight w:val="none"/>
          <w14:textFill>
            <w14:solidFill>
              <w14:schemeClr w14:val="tx1"/>
            </w14:solidFill>
          </w14:textFill>
        </w:rPr>
        <w:t>水和废油的治理和排放。</w:t>
      </w:r>
    </w:p>
    <w:p w14:paraId="66247B54">
      <w:pPr>
        <w:spacing w:before="111" w:line="279" w:lineRule="auto"/>
        <w:ind w:left="1" w:firstLine="480"/>
        <w:rPr>
          <w:rFonts w:ascii="宋体" w:hAnsi="宋体" w:cs="宋体"/>
          <w:color w:val="000000" w:themeColor="text1"/>
          <w:sz w:val="24"/>
          <w:szCs w:val="24"/>
          <w:highlight w:val="none"/>
          <w14:textFill>
            <w14:solidFill>
              <w14:schemeClr w14:val="tx1"/>
            </w14:solidFill>
          </w14:textFill>
        </w:rPr>
      </w:pPr>
      <w:r>
        <w:rPr>
          <w:rFonts w:eastAsia="Times New Roman"/>
          <w:color w:val="000000" w:themeColor="text1"/>
          <w:spacing w:val="6"/>
          <w:sz w:val="24"/>
          <w:szCs w:val="24"/>
          <w:highlight w:val="none"/>
          <w14:textFill>
            <w14:solidFill>
              <w14:schemeClr w14:val="tx1"/>
            </w14:solidFill>
          </w14:textFill>
        </w:rPr>
        <w:t xml:space="preserve">9.4.6 </w:t>
      </w:r>
      <w:r>
        <w:rPr>
          <w:rFonts w:ascii="宋体" w:hAnsi="宋体" w:cs="宋体"/>
          <w:color w:val="000000" w:themeColor="text1"/>
          <w:spacing w:val="6"/>
          <w:sz w:val="24"/>
          <w:szCs w:val="24"/>
          <w:highlight w:val="none"/>
          <w14:textFill>
            <w14:solidFill>
              <w14:schemeClr w14:val="tx1"/>
            </w14:solidFill>
          </w14:textFill>
        </w:rPr>
        <w:t>在养护作业期间，承包人应随时</w:t>
      </w:r>
      <w:r>
        <w:rPr>
          <w:rFonts w:ascii="宋体" w:hAnsi="宋体" w:cs="宋体"/>
          <w:color w:val="000000" w:themeColor="text1"/>
          <w:spacing w:val="5"/>
          <w:sz w:val="24"/>
          <w:szCs w:val="24"/>
          <w:highlight w:val="none"/>
          <w14:textFill>
            <w14:solidFill>
              <w14:schemeClr w14:val="tx1"/>
            </w14:solidFill>
          </w14:textFill>
        </w:rPr>
        <w:t>保持现场整洁，养护作业设备和材料、</w:t>
      </w:r>
      <w:r>
        <w:rPr>
          <w:rFonts w:ascii="宋体" w:hAnsi="宋体" w:cs="宋体"/>
          <w:color w:val="000000" w:themeColor="text1"/>
          <w:spacing w:val="1"/>
          <w:sz w:val="24"/>
          <w:szCs w:val="24"/>
          <w:highlight w:val="none"/>
          <w14:textFill>
            <w14:solidFill>
              <w14:schemeClr w14:val="tx1"/>
            </w14:solidFill>
          </w14:textFill>
        </w:rPr>
        <w:t>工程设备应整齐妥善存放和储存，废料与垃圾及不再需要</w:t>
      </w:r>
      <w:r>
        <w:rPr>
          <w:rFonts w:ascii="宋体" w:hAnsi="宋体" w:cs="宋体"/>
          <w:color w:val="000000" w:themeColor="text1"/>
          <w:sz w:val="24"/>
          <w:szCs w:val="24"/>
          <w:highlight w:val="none"/>
          <w14:textFill>
            <w14:solidFill>
              <w14:schemeClr w14:val="tx1"/>
            </w14:solidFill>
          </w14:textFill>
        </w:rPr>
        <w:t>的临时设施应及时从现场</w:t>
      </w:r>
      <w:r>
        <w:rPr>
          <w:rFonts w:ascii="宋体" w:hAnsi="宋体" w:cs="宋体"/>
          <w:color w:val="000000" w:themeColor="text1"/>
          <w:spacing w:val="-2"/>
          <w:sz w:val="24"/>
          <w:szCs w:val="24"/>
          <w:highlight w:val="none"/>
          <w14:textFill>
            <w14:solidFill>
              <w14:schemeClr w14:val="tx1"/>
            </w14:solidFill>
          </w14:textFill>
        </w:rPr>
        <w:t>清除、拆除并运走。</w:t>
      </w:r>
    </w:p>
    <w:p w14:paraId="52E1100A">
      <w:pPr>
        <w:spacing w:before="113" w:line="279" w:lineRule="auto"/>
        <w:ind w:firstLine="481"/>
        <w:rPr>
          <w:rFonts w:ascii="宋体" w:hAnsi="宋体" w:cs="宋体"/>
          <w:color w:val="000000" w:themeColor="text1"/>
          <w:sz w:val="24"/>
          <w:szCs w:val="24"/>
          <w:highlight w:val="none"/>
          <w14:textFill>
            <w14:solidFill>
              <w14:schemeClr w14:val="tx1"/>
            </w14:solidFill>
          </w14:textFill>
        </w:rPr>
      </w:pPr>
      <w:r>
        <w:rPr>
          <w:rFonts w:eastAsia="Times New Roman"/>
          <w:color w:val="000000" w:themeColor="text1"/>
          <w:spacing w:val="4"/>
          <w:sz w:val="24"/>
          <w:szCs w:val="24"/>
          <w:highlight w:val="none"/>
          <w14:textFill>
            <w14:solidFill>
              <w14:schemeClr w14:val="tx1"/>
            </w14:solidFill>
          </w14:textFill>
        </w:rPr>
        <w:t xml:space="preserve">9.4.7  </w:t>
      </w:r>
      <w:r>
        <w:rPr>
          <w:rFonts w:ascii="宋体" w:hAnsi="宋体" w:cs="宋体"/>
          <w:color w:val="000000" w:themeColor="text1"/>
          <w:spacing w:val="4"/>
          <w:sz w:val="24"/>
          <w:szCs w:val="24"/>
          <w:highlight w:val="none"/>
          <w14:textFill>
            <w14:solidFill>
              <w14:schemeClr w14:val="tx1"/>
            </w14:solidFill>
          </w14:textFill>
        </w:rPr>
        <w:t>承包人应在养护作业场地设置完善的排水措施，</w:t>
      </w:r>
      <w:r>
        <w:rPr>
          <w:rFonts w:ascii="宋体" w:hAnsi="宋体" w:cs="宋体"/>
          <w:color w:val="000000" w:themeColor="text1"/>
          <w:spacing w:val="3"/>
          <w:sz w:val="24"/>
          <w:szCs w:val="24"/>
          <w:highlight w:val="none"/>
          <w14:textFill>
            <w14:solidFill>
              <w14:schemeClr w14:val="tx1"/>
            </w14:solidFill>
          </w14:textFill>
        </w:rPr>
        <w:t>养护作业形成的坡面应</w:t>
      </w:r>
      <w:r>
        <w:rPr>
          <w:rFonts w:ascii="宋体" w:hAnsi="宋体" w:cs="宋体"/>
          <w:color w:val="000000" w:themeColor="text1"/>
          <w:spacing w:val="1"/>
          <w:sz w:val="24"/>
          <w:szCs w:val="24"/>
          <w:highlight w:val="none"/>
          <w14:textFill>
            <w14:solidFill>
              <w14:schemeClr w14:val="tx1"/>
            </w14:solidFill>
          </w14:textFill>
        </w:rPr>
        <w:t>及时修整并采取防止水土流失的工程措施，在养护作业过程</w:t>
      </w:r>
      <w:r>
        <w:rPr>
          <w:rFonts w:ascii="宋体" w:hAnsi="宋体" w:cs="宋体"/>
          <w:color w:val="000000" w:themeColor="text1"/>
          <w:sz w:val="24"/>
          <w:szCs w:val="24"/>
          <w:highlight w:val="none"/>
          <w14:textFill>
            <w14:solidFill>
              <w14:schemeClr w14:val="tx1"/>
            </w14:solidFill>
          </w14:textFill>
        </w:rPr>
        <w:t>中要尽可能减少对生态</w:t>
      </w:r>
      <w:r>
        <w:rPr>
          <w:rFonts w:ascii="宋体" w:hAnsi="宋体" w:cs="宋体"/>
          <w:color w:val="000000" w:themeColor="text1"/>
          <w:spacing w:val="-3"/>
          <w:sz w:val="24"/>
          <w:szCs w:val="24"/>
          <w:highlight w:val="none"/>
          <w14:textFill>
            <w14:solidFill>
              <w14:schemeClr w14:val="tx1"/>
            </w14:solidFill>
          </w14:textFill>
        </w:rPr>
        <w:t>的破坏。</w:t>
      </w:r>
    </w:p>
    <w:p w14:paraId="683783B3">
      <w:pPr>
        <w:spacing w:before="110" w:line="286" w:lineRule="auto"/>
        <w:ind w:left="1" w:firstLine="480"/>
        <w:rPr>
          <w:rFonts w:ascii="宋体" w:hAnsi="宋体" w:cs="宋体"/>
          <w:color w:val="000000" w:themeColor="text1"/>
          <w:sz w:val="24"/>
          <w:szCs w:val="24"/>
          <w:highlight w:val="none"/>
          <w14:textFill>
            <w14:solidFill>
              <w14:schemeClr w14:val="tx1"/>
            </w14:solidFill>
          </w14:textFill>
        </w:rPr>
      </w:pPr>
      <w:r>
        <w:rPr>
          <w:rFonts w:eastAsia="Times New Roman"/>
          <w:color w:val="000000" w:themeColor="text1"/>
          <w:spacing w:val="4"/>
          <w:sz w:val="24"/>
          <w:szCs w:val="24"/>
          <w:highlight w:val="none"/>
          <w14:textFill>
            <w14:solidFill>
              <w14:schemeClr w14:val="tx1"/>
            </w14:solidFill>
          </w14:textFill>
        </w:rPr>
        <w:t xml:space="preserve">9.4.8  </w:t>
      </w:r>
      <w:r>
        <w:rPr>
          <w:rFonts w:ascii="宋体" w:hAnsi="宋体" w:cs="宋体"/>
          <w:color w:val="000000" w:themeColor="text1"/>
          <w:spacing w:val="4"/>
          <w:sz w:val="24"/>
          <w:szCs w:val="24"/>
          <w:highlight w:val="none"/>
          <w14:textFill>
            <w14:solidFill>
              <w14:schemeClr w14:val="tx1"/>
            </w14:solidFill>
          </w14:textFill>
        </w:rPr>
        <w:t>在整个养护作业过程中对承包人采取的环境保护</w:t>
      </w:r>
      <w:r>
        <w:rPr>
          <w:rFonts w:ascii="宋体" w:hAnsi="宋体" w:cs="宋体"/>
          <w:color w:val="000000" w:themeColor="text1"/>
          <w:spacing w:val="3"/>
          <w:sz w:val="24"/>
          <w:szCs w:val="24"/>
          <w:highlight w:val="none"/>
          <w14:textFill>
            <w14:solidFill>
              <w14:schemeClr w14:val="tx1"/>
            </w14:solidFill>
          </w14:textFill>
        </w:rPr>
        <w:t>措施，发包人和咨询人</w:t>
      </w:r>
      <w:r>
        <w:rPr>
          <w:rFonts w:ascii="宋体" w:hAnsi="宋体" w:cs="宋体"/>
          <w:color w:val="000000" w:themeColor="text1"/>
          <w:spacing w:val="1"/>
          <w:sz w:val="24"/>
          <w:szCs w:val="24"/>
          <w:highlight w:val="none"/>
          <w14:textFill>
            <w14:solidFill>
              <w14:schemeClr w14:val="tx1"/>
            </w14:solidFill>
          </w14:textFill>
        </w:rPr>
        <w:t>有权监督，并向承包人提出整改要求。如果由于承包人未</w:t>
      </w:r>
      <w:r>
        <w:rPr>
          <w:rFonts w:ascii="宋体" w:hAnsi="宋体" w:cs="宋体"/>
          <w:color w:val="000000" w:themeColor="text1"/>
          <w:sz w:val="24"/>
          <w:szCs w:val="24"/>
          <w:highlight w:val="none"/>
          <w14:textFill>
            <w14:solidFill>
              <w14:schemeClr w14:val="tx1"/>
            </w14:solidFill>
          </w14:textFill>
        </w:rPr>
        <w:t>能对其负责的上述事项采</w:t>
      </w:r>
      <w:r>
        <w:rPr>
          <w:rFonts w:ascii="宋体" w:hAnsi="宋体" w:cs="宋体"/>
          <w:color w:val="000000" w:themeColor="text1"/>
          <w:spacing w:val="1"/>
          <w:sz w:val="24"/>
          <w:szCs w:val="24"/>
          <w:highlight w:val="none"/>
          <w14:textFill>
            <w14:solidFill>
              <w14:schemeClr w14:val="tx1"/>
            </w14:solidFill>
          </w14:textFill>
        </w:rPr>
        <w:t>取各种必要的措施而导致或发生与此有关的人身伤亡、罚</w:t>
      </w:r>
      <w:r>
        <w:rPr>
          <w:rFonts w:ascii="宋体" w:hAnsi="宋体" w:cs="宋体"/>
          <w:color w:val="000000" w:themeColor="text1"/>
          <w:sz w:val="24"/>
          <w:szCs w:val="24"/>
          <w:highlight w:val="none"/>
          <w14:textFill>
            <w14:solidFill>
              <w14:schemeClr w14:val="tx1"/>
            </w14:solidFill>
          </w14:textFill>
        </w:rPr>
        <w:t>款、索赔、损失补偿、诉</w:t>
      </w:r>
      <w:r>
        <w:rPr>
          <w:rFonts w:ascii="宋体" w:hAnsi="宋体" w:cs="宋体"/>
          <w:color w:val="000000" w:themeColor="text1"/>
          <w:spacing w:val="-1"/>
          <w:sz w:val="24"/>
          <w:szCs w:val="24"/>
          <w:highlight w:val="none"/>
          <w14:textFill>
            <w14:solidFill>
              <w14:schemeClr w14:val="tx1"/>
            </w14:solidFill>
          </w14:textFill>
        </w:rPr>
        <w:t>讼费用及其他一切责任应由承包人负责。</w:t>
      </w:r>
    </w:p>
    <w:p w14:paraId="44028A2E">
      <w:pPr>
        <w:spacing w:before="106" w:line="220" w:lineRule="auto"/>
        <w:ind w:left="480"/>
        <w:outlineLvl w:val="3"/>
        <w:rPr>
          <w:rFonts w:ascii="宋体" w:hAnsi="宋体" w:cs="宋体"/>
          <w:color w:val="000000" w:themeColor="text1"/>
          <w:sz w:val="24"/>
          <w:szCs w:val="24"/>
          <w:highlight w:val="none"/>
          <w14:textFill>
            <w14:solidFill>
              <w14:schemeClr w14:val="tx1"/>
            </w14:solidFill>
          </w14:textFill>
        </w:rPr>
      </w:pPr>
      <w:r>
        <w:rPr>
          <w:rFonts w:eastAsia="Times New Roman"/>
          <w:b/>
          <w:bCs/>
          <w:color w:val="000000" w:themeColor="text1"/>
          <w:spacing w:val="-2"/>
          <w:sz w:val="24"/>
          <w:szCs w:val="24"/>
          <w:highlight w:val="none"/>
          <w14:textFill>
            <w14:solidFill>
              <w14:schemeClr w14:val="tx1"/>
            </w14:solidFill>
          </w14:textFill>
        </w:rPr>
        <w:t xml:space="preserve">9.5  </w:t>
      </w:r>
      <w:r>
        <w:rPr>
          <w:rFonts w:ascii="宋体" w:hAnsi="宋体" w:cs="宋体"/>
          <w:b/>
          <w:bCs/>
          <w:color w:val="000000" w:themeColor="text1"/>
          <w:spacing w:val="-2"/>
          <w:sz w:val="24"/>
          <w:szCs w:val="24"/>
          <w:highlight w:val="none"/>
          <w14:textFill>
            <w14:solidFill>
              <w14:schemeClr w14:val="tx1"/>
            </w14:solidFill>
          </w14:textFill>
        </w:rPr>
        <w:t>事故处理</w:t>
      </w:r>
    </w:p>
    <w:p w14:paraId="1A0A4BA9">
      <w:pPr>
        <w:spacing w:before="124" w:line="308" w:lineRule="auto"/>
        <w:ind w:left="1" w:firstLine="480"/>
        <w:rPr>
          <w:rFonts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pacing w:val="1"/>
          <w:sz w:val="24"/>
          <w:szCs w:val="24"/>
          <w:highlight w:val="none"/>
          <w14:textFill>
            <w14:solidFill>
              <w14:schemeClr w14:val="tx1"/>
            </w14:solidFill>
          </w14:textFill>
        </w:rPr>
        <w:t>养护作业过程中发生事故的，承包人应立即通知咨询人</w:t>
      </w:r>
      <w:r>
        <w:rPr>
          <w:rFonts w:ascii="宋体" w:hAnsi="宋体" w:cs="宋体"/>
          <w:color w:val="000000" w:themeColor="text1"/>
          <w:sz w:val="24"/>
          <w:szCs w:val="24"/>
          <w:highlight w:val="none"/>
          <w14:textFill>
            <w14:solidFill>
              <w14:schemeClr w14:val="tx1"/>
            </w14:solidFill>
          </w14:textFill>
        </w:rPr>
        <w:t>，咨询人应立即通知发</w:t>
      </w:r>
      <w:r>
        <w:rPr>
          <w:rFonts w:ascii="宋体" w:hAnsi="宋体" w:cs="宋体"/>
          <w:color w:val="000000" w:themeColor="text1"/>
          <w:spacing w:val="1"/>
          <w:sz w:val="24"/>
          <w:szCs w:val="24"/>
          <w:highlight w:val="none"/>
          <w14:textFill>
            <w14:solidFill>
              <w14:schemeClr w14:val="tx1"/>
            </w14:solidFill>
          </w14:textFill>
        </w:rPr>
        <w:t>包人。发包人和承包人应立即组织人员和设备进行紧急抢</w:t>
      </w:r>
      <w:r>
        <w:rPr>
          <w:rFonts w:ascii="宋体" w:hAnsi="宋体" w:cs="宋体"/>
          <w:color w:val="000000" w:themeColor="text1"/>
          <w:sz w:val="24"/>
          <w:szCs w:val="24"/>
          <w:highlight w:val="none"/>
          <w14:textFill>
            <w14:solidFill>
              <w14:schemeClr w14:val="tx1"/>
            </w14:solidFill>
          </w14:textFill>
        </w:rPr>
        <w:t>救和抢修，减少人员伤亡</w:t>
      </w:r>
      <w:r>
        <w:rPr>
          <w:rFonts w:ascii="宋体" w:hAnsi="宋体" w:cs="宋体"/>
          <w:color w:val="000000" w:themeColor="text1"/>
          <w:spacing w:val="1"/>
          <w:sz w:val="24"/>
          <w:szCs w:val="24"/>
          <w:highlight w:val="none"/>
          <w14:textFill>
            <w14:solidFill>
              <w14:schemeClr w14:val="tx1"/>
            </w14:solidFill>
          </w14:textFill>
        </w:rPr>
        <w:t>和财产损失，防止事故扩大，并保护事故现场。需要移动</w:t>
      </w:r>
      <w:r>
        <w:rPr>
          <w:rFonts w:ascii="宋体" w:hAnsi="宋体" w:cs="宋体"/>
          <w:color w:val="000000" w:themeColor="text1"/>
          <w:sz w:val="24"/>
          <w:szCs w:val="24"/>
          <w:highlight w:val="none"/>
          <w14:textFill>
            <w14:solidFill>
              <w14:schemeClr w14:val="tx1"/>
            </w14:solidFill>
          </w14:textFill>
        </w:rPr>
        <w:t>现场物品时，应作出标记</w:t>
      </w:r>
      <w:r>
        <w:rPr>
          <w:rFonts w:ascii="宋体" w:hAnsi="宋体" w:cs="宋体"/>
          <w:color w:val="000000" w:themeColor="text1"/>
          <w:spacing w:val="1"/>
          <w:sz w:val="24"/>
          <w:szCs w:val="24"/>
          <w:highlight w:val="none"/>
          <w14:textFill>
            <w14:solidFill>
              <w14:schemeClr w14:val="tx1"/>
            </w14:solidFill>
          </w14:textFill>
        </w:rPr>
        <w:t>和书面记录，妥善保管有关证据。发包人和承包人应按国</w:t>
      </w:r>
      <w:r>
        <w:rPr>
          <w:rFonts w:ascii="宋体" w:hAnsi="宋体" w:cs="宋体"/>
          <w:color w:val="000000" w:themeColor="text1"/>
          <w:sz w:val="24"/>
          <w:szCs w:val="24"/>
          <w:highlight w:val="none"/>
          <w14:textFill>
            <w14:solidFill>
              <w14:schemeClr w14:val="tx1"/>
            </w14:solidFill>
          </w14:textFill>
        </w:rPr>
        <w:t>家有关规定，及时如实地</w:t>
      </w:r>
      <w:r>
        <w:rPr>
          <w:rFonts w:ascii="宋体" w:hAnsi="宋体" w:cs="宋体"/>
          <w:color w:val="000000" w:themeColor="text1"/>
          <w:spacing w:val="-1"/>
          <w:sz w:val="24"/>
          <w:szCs w:val="24"/>
          <w:highlight w:val="none"/>
          <w14:textFill>
            <w14:solidFill>
              <w14:schemeClr w14:val="tx1"/>
            </w14:solidFill>
          </w14:textFill>
        </w:rPr>
        <w:t>向有关部门报告事故发生的情况，以及正在采取的紧急措施等。</w:t>
      </w:r>
    </w:p>
    <w:p w14:paraId="37D73F69">
      <w:pPr>
        <w:spacing w:before="310" w:line="220" w:lineRule="auto"/>
        <w:ind w:left="488"/>
        <w:outlineLvl w:val="2"/>
        <w:rPr>
          <w:rFonts w:ascii="宋体" w:hAnsi="宋体" w:cs="宋体"/>
          <w:color w:val="000000" w:themeColor="text1"/>
          <w:sz w:val="24"/>
          <w:szCs w:val="24"/>
          <w:highlight w:val="none"/>
          <w14:textFill>
            <w14:solidFill>
              <w14:schemeClr w14:val="tx1"/>
            </w14:solidFill>
          </w14:textFill>
        </w:rPr>
      </w:pPr>
      <w:bookmarkStart w:id="133" w:name="bookmark25"/>
      <w:bookmarkEnd w:id="133"/>
      <w:bookmarkStart w:id="134" w:name="bookmark26"/>
      <w:bookmarkEnd w:id="134"/>
      <w:bookmarkStart w:id="135" w:name="_Toc1417"/>
      <w:r>
        <w:rPr>
          <w:rFonts w:eastAsia="Times New Roman"/>
          <w:b/>
          <w:bCs/>
          <w:color w:val="000000" w:themeColor="text1"/>
          <w:spacing w:val="-3"/>
          <w:sz w:val="24"/>
          <w:szCs w:val="24"/>
          <w:highlight w:val="none"/>
          <w14:textFill>
            <w14:solidFill>
              <w14:schemeClr w14:val="tx1"/>
            </w14:solidFill>
          </w14:textFill>
        </w:rPr>
        <w:t xml:space="preserve">10.  </w:t>
      </w:r>
      <w:r>
        <w:rPr>
          <w:rFonts w:ascii="宋体" w:hAnsi="宋体" w:cs="宋体"/>
          <w:b/>
          <w:bCs/>
          <w:color w:val="000000" w:themeColor="text1"/>
          <w:spacing w:val="-3"/>
          <w:sz w:val="24"/>
          <w:szCs w:val="24"/>
          <w:highlight w:val="none"/>
          <w14:textFill>
            <w14:solidFill>
              <w14:schemeClr w14:val="tx1"/>
            </w14:solidFill>
          </w14:textFill>
        </w:rPr>
        <w:t>进度计划</w:t>
      </w:r>
      <w:bookmarkEnd w:id="135"/>
    </w:p>
    <w:p w14:paraId="2A283B37">
      <w:pPr>
        <w:spacing w:before="258" w:line="220" w:lineRule="auto"/>
        <w:ind w:left="488"/>
        <w:outlineLvl w:val="3"/>
        <w:rPr>
          <w:rFonts w:ascii="宋体" w:hAnsi="宋体" w:cs="宋体"/>
          <w:color w:val="000000" w:themeColor="text1"/>
          <w:sz w:val="24"/>
          <w:szCs w:val="24"/>
          <w:highlight w:val="none"/>
          <w14:textFill>
            <w14:solidFill>
              <w14:schemeClr w14:val="tx1"/>
            </w14:solidFill>
          </w14:textFill>
        </w:rPr>
      </w:pPr>
      <w:r>
        <w:rPr>
          <w:rFonts w:eastAsia="Times New Roman"/>
          <w:b/>
          <w:bCs/>
          <w:color w:val="000000" w:themeColor="text1"/>
          <w:spacing w:val="-3"/>
          <w:sz w:val="24"/>
          <w:szCs w:val="24"/>
          <w:highlight w:val="none"/>
          <w14:textFill>
            <w14:solidFill>
              <w14:schemeClr w14:val="tx1"/>
            </w14:solidFill>
          </w14:textFill>
        </w:rPr>
        <w:t xml:space="preserve">10.1  </w:t>
      </w:r>
      <w:r>
        <w:rPr>
          <w:rFonts w:ascii="宋体" w:hAnsi="宋体" w:cs="宋体"/>
          <w:b/>
          <w:bCs/>
          <w:color w:val="000000" w:themeColor="text1"/>
          <w:spacing w:val="-3"/>
          <w:sz w:val="24"/>
          <w:szCs w:val="24"/>
          <w:highlight w:val="none"/>
          <w14:textFill>
            <w14:solidFill>
              <w14:schemeClr w14:val="tx1"/>
            </w14:solidFill>
          </w14:textFill>
        </w:rPr>
        <w:t>合同进度计划</w:t>
      </w:r>
    </w:p>
    <w:p w14:paraId="1C1CFB6A">
      <w:pPr>
        <w:spacing w:before="125" w:line="306" w:lineRule="auto"/>
        <w:ind w:left="1" w:firstLine="480"/>
        <w:rPr>
          <w:rFonts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承包人应在签订合同协议书后</w:t>
      </w:r>
      <w:r>
        <w:rPr>
          <w:rFonts w:ascii="宋体" w:hAnsi="宋体" w:cs="宋体"/>
          <w:color w:val="000000" w:themeColor="text1"/>
          <w:spacing w:val="-51"/>
          <w:sz w:val="24"/>
          <w:szCs w:val="24"/>
          <w:highlight w:val="none"/>
          <w14:textFill>
            <w14:solidFill>
              <w14:schemeClr w14:val="tx1"/>
            </w14:solidFill>
          </w14:textFill>
        </w:rPr>
        <w:t xml:space="preserve"> </w:t>
      </w:r>
      <w:r>
        <w:rPr>
          <w:rFonts w:eastAsia="Times New Roman"/>
          <w:color w:val="000000" w:themeColor="text1"/>
          <w:sz w:val="24"/>
          <w:szCs w:val="24"/>
          <w:highlight w:val="none"/>
          <w14:textFill>
            <w14:solidFill>
              <w14:schemeClr w14:val="tx1"/>
            </w14:solidFill>
          </w14:textFill>
        </w:rPr>
        <w:t>7</w:t>
      </w:r>
      <w:r>
        <w:rPr>
          <w:rFonts w:eastAsia="Times New Roman"/>
          <w:color w:val="000000" w:themeColor="text1"/>
          <w:spacing w:val="17"/>
          <w:sz w:val="24"/>
          <w:szCs w:val="24"/>
          <w:highlight w:val="none"/>
          <w14:textFill>
            <w14:solidFill>
              <w14:schemeClr w14:val="tx1"/>
            </w14:solidFill>
          </w14:textFill>
        </w:rPr>
        <w:t xml:space="preserve"> </w:t>
      </w:r>
      <w:r>
        <w:rPr>
          <w:rFonts w:ascii="宋体" w:hAnsi="宋体" w:cs="宋体"/>
          <w:color w:val="000000" w:themeColor="text1"/>
          <w:sz w:val="24"/>
          <w:szCs w:val="24"/>
          <w:highlight w:val="none"/>
          <w14:textFill>
            <w14:solidFill>
              <w14:schemeClr w14:val="tx1"/>
            </w14:solidFill>
          </w14:textFill>
        </w:rPr>
        <w:t>天内向咨询人报送详细的养护作业计划</w:t>
      </w:r>
      <w:r>
        <w:rPr>
          <w:rFonts w:ascii="宋体" w:hAnsi="宋体" w:cs="宋体"/>
          <w:color w:val="000000" w:themeColor="text1"/>
          <w:spacing w:val="-1"/>
          <w:sz w:val="24"/>
          <w:szCs w:val="24"/>
          <w:highlight w:val="none"/>
          <w14:textFill>
            <w14:solidFill>
              <w14:schemeClr w14:val="tx1"/>
            </w14:solidFill>
          </w14:textFill>
        </w:rPr>
        <w:t>和养护</w:t>
      </w:r>
      <w:r>
        <w:rPr>
          <w:rFonts w:ascii="宋体" w:hAnsi="宋体" w:cs="宋体"/>
          <w:color w:val="000000" w:themeColor="text1"/>
          <w:sz w:val="24"/>
          <w:szCs w:val="24"/>
          <w:highlight w:val="none"/>
          <w14:textFill>
            <w14:solidFill>
              <w14:schemeClr w14:val="tx1"/>
            </w14:solidFill>
          </w14:textFill>
        </w:rPr>
        <w:t>作业方案说明，养护作业方案说明的内容见专用合同条款。咨询人应在</w:t>
      </w:r>
      <w:r>
        <w:rPr>
          <w:rFonts w:ascii="宋体" w:hAnsi="宋体" w:cs="宋体"/>
          <w:color w:val="000000" w:themeColor="text1"/>
          <w:spacing w:val="-37"/>
          <w:sz w:val="24"/>
          <w:szCs w:val="24"/>
          <w:highlight w:val="none"/>
          <w14:textFill>
            <w14:solidFill>
              <w14:schemeClr w14:val="tx1"/>
            </w14:solidFill>
          </w14:textFill>
        </w:rPr>
        <w:t xml:space="preserve"> </w:t>
      </w:r>
      <w:r>
        <w:rPr>
          <w:rFonts w:eastAsia="Times New Roman"/>
          <w:color w:val="000000" w:themeColor="text1"/>
          <w:sz w:val="24"/>
          <w:szCs w:val="24"/>
          <w:highlight w:val="none"/>
          <w14:textFill>
            <w14:solidFill>
              <w14:schemeClr w14:val="tx1"/>
            </w14:solidFill>
          </w14:textFill>
        </w:rPr>
        <w:t xml:space="preserve">7 </w:t>
      </w:r>
      <w:r>
        <w:rPr>
          <w:rFonts w:ascii="宋体" w:hAnsi="宋体" w:cs="宋体"/>
          <w:color w:val="000000" w:themeColor="text1"/>
          <w:sz w:val="24"/>
          <w:szCs w:val="24"/>
          <w:highlight w:val="none"/>
          <w14:textFill>
            <w14:solidFill>
              <w14:schemeClr w14:val="tx1"/>
            </w14:solidFill>
          </w14:textFill>
        </w:rPr>
        <w:t>天内对承</w:t>
      </w:r>
      <w:r>
        <w:rPr>
          <w:rFonts w:ascii="宋体" w:hAnsi="宋体" w:cs="宋体"/>
          <w:color w:val="000000" w:themeColor="text1"/>
          <w:spacing w:val="1"/>
          <w:sz w:val="24"/>
          <w:szCs w:val="24"/>
          <w:highlight w:val="none"/>
          <w14:textFill>
            <w14:solidFill>
              <w14:schemeClr w14:val="tx1"/>
            </w14:solidFill>
          </w14:textFill>
        </w:rPr>
        <w:t>包人养护作业计划和养护作业方案说明予以批复或提出修</w:t>
      </w:r>
      <w:r>
        <w:rPr>
          <w:rFonts w:ascii="宋体" w:hAnsi="宋体" w:cs="宋体"/>
          <w:color w:val="000000" w:themeColor="text1"/>
          <w:sz w:val="24"/>
          <w:szCs w:val="24"/>
          <w:highlight w:val="none"/>
          <w14:textFill>
            <w14:solidFill>
              <w14:schemeClr w14:val="tx1"/>
            </w14:solidFill>
          </w14:textFill>
        </w:rPr>
        <w:t>改意见，否则该计划视为</w:t>
      </w:r>
      <w:r>
        <w:rPr>
          <w:rFonts w:ascii="宋体" w:hAnsi="宋体" w:cs="宋体"/>
          <w:color w:val="000000" w:themeColor="text1"/>
          <w:spacing w:val="1"/>
          <w:sz w:val="24"/>
          <w:szCs w:val="24"/>
          <w:highlight w:val="none"/>
          <w14:textFill>
            <w14:solidFill>
              <w14:schemeClr w14:val="tx1"/>
            </w14:solidFill>
          </w14:textFill>
        </w:rPr>
        <w:t>已得到批准。经咨询人批准的养护作业计划称合同进</w:t>
      </w:r>
      <w:r>
        <w:rPr>
          <w:rFonts w:ascii="宋体" w:hAnsi="宋体" w:cs="宋体"/>
          <w:color w:val="000000" w:themeColor="text1"/>
          <w:sz w:val="24"/>
          <w:szCs w:val="24"/>
          <w:highlight w:val="none"/>
          <w14:textFill>
            <w14:solidFill>
              <w14:schemeClr w14:val="tx1"/>
            </w14:solidFill>
          </w14:textFill>
        </w:rPr>
        <w:t>度计划，是控制项目养护进度</w:t>
      </w:r>
      <w:r>
        <w:rPr>
          <w:rFonts w:ascii="宋体" w:hAnsi="宋体" w:cs="宋体"/>
          <w:color w:val="000000" w:themeColor="text1"/>
          <w:spacing w:val="-3"/>
          <w:sz w:val="24"/>
          <w:szCs w:val="24"/>
          <w:highlight w:val="none"/>
          <w14:textFill>
            <w14:solidFill>
              <w14:schemeClr w14:val="tx1"/>
            </w14:solidFill>
          </w14:textFill>
        </w:rPr>
        <w:t>的依据。</w:t>
      </w:r>
    </w:p>
    <w:p w14:paraId="39043ECF">
      <w:pPr>
        <w:spacing w:before="1" w:line="219" w:lineRule="auto"/>
        <w:ind w:left="488"/>
        <w:outlineLvl w:val="3"/>
        <w:rPr>
          <w:rFonts w:ascii="宋体" w:hAnsi="宋体" w:cs="宋体"/>
          <w:color w:val="000000" w:themeColor="text1"/>
          <w:sz w:val="24"/>
          <w:szCs w:val="24"/>
          <w:highlight w:val="none"/>
          <w14:textFill>
            <w14:solidFill>
              <w14:schemeClr w14:val="tx1"/>
            </w14:solidFill>
          </w14:textFill>
        </w:rPr>
      </w:pPr>
      <w:r>
        <w:rPr>
          <w:rFonts w:eastAsia="Times New Roman"/>
          <w:b/>
          <w:bCs/>
          <w:color w:val="000000" w:themeColor="text1"/>
          <w:spacing w:val="-3"/>
          <w:sz w:val="24"/>
          <w:szCs w:val="24"/>
          <w:highlight w:val="none"/>
          <w14:textFill>
            <w14:solidFill>
              <w14:schemeClr w14:val="tx1"/>
            </w14:solidFill>
          </w14:textFill>
        </w:rPr>
        <w:t xml:space="preserve">10.2  </w:t>
      </w:r>
      <w:r>
        <w:rPr>
          <w:rFonts w:ascii="宋体" w:hAnsi="宋体" w:cs="宋体"/>
          <w:b/>
          <w:bCs/>
          <w:color w:val="000000" w:themeColor="text1"/>
          <w:spacing w:val="-3"/>
          <w:sz w:val="24"/>
          <w:szCs w:val="24"/>
          <w:highlight w:val="none"/>
          <w14:textFill>
            <w14:solidFill>
              <w14:schemeClr w14:val="tx1"/>
            </w14:solidFill>
          </w14:textFill>
        </w:rPr>
        <w:t>合同进度计划的修订</w:t>
      </w:r>
    </w:p>
    <w:p w14:paraId="53465C2C">
      <w:pPr>
        <w:spacing w:before="126" w:line="219" w:lineRule="auto"/>
        <w:ind w:right="9"/>
        <w:jc w:val="right"/>
        <w:rPr>
          <w:color w:val="000000" w:themeColor="text1"/>
          <w:highlight w:val="none"/>
          <w14:textFill>
            <w14:solidFill>
              <w14:schemeClr w14:val="tx1"/>
            </w14:solidFill>
          </w14:textFill>
        </w:rPr>
      </w:pPr>
      <w:r>
        <w:rPr>
          <w:rFonts w:ascii="宋体" w:hAnsi="宋体" w:cs="宋体"/>
          <w:color w:val="000000" w:themeColor="text1"/>
          <w:spacing w:val="4"/>
          <w:sz w:val="24"/>
          <w:szCs w:val="24"/>
          <w:highlight w:val="none"/>
          <w14:textFill>
            <w14:solidFill>
              <w14:schemeClr w14:val="tx1"/>
            </w14:solidFill>
          </w14:textFill>
        </w:rPr>
        <w:t>不论何种原因造成养护作业的实际进度与第</w:t>
      </w:r>
      <w:r>
        <w:rPr>
          <w:rFonts w:ascii="宋体" w:hAnsi="宋体" w:cs="宋体"/>
          <w:color w:val="000000" w:themeColor="text1"/>
          <w:spacing w:val="-12"/>
          <w:sz w:val="24"/>
          <w:szCs w:val="24"/>
          <w:highlight w:val="none"/>
          <w14:textFill>
            <w14:solidFill>
              <w14:schemeClr w14:val="tx1"/>
            </w14:solidFill>
          </w14:textFill>
        </w:rPr>
        <w:t xml:space="preserve"> </w:t>
      </w:r>
      <w:r>
        <w:rPr>
          <w:rFonts w:eastAsia="Times New Roman"/>
          <w:color w:val="000000" w:themeColor="text1"/>
          <w:spacing w:val="4"/>
          <w:sz w:val="24"/>
          <w:szCs w:val="24"/>
          <w:highlight w:val="none"/>
          <w14:textFill>
            <w14:solidFill>
              <w14:schemeClr w14:val="tx1"/>
            </w14:solidFill>
          </w14:textFill>
        </w:rPr>
        <w:t xml:space="preserve">10.1 </w:t>
      </w:r>
      <w:r>
        <w:rPr>
          <w:rFonts w:ascii="宋体" w:hAnsi="宋体" w:cs="宋体"/>
          <w:color w:val="000000" w:themeColor="text1"/>
          <w:spacing w:val="4"/>
          <w:sz w:val="24"/>
          <w:szCs w:val="24"/>
          <w:highlight w:val="none"/>
          <w14:textFill>
            <w14:solidFill>
              <w14:schemeClr w14:val="tx1"/>
            </w14:solidFill>
          </w14:textFill>
        </w:rPr>
        <w:t>款的合同进度计划不符时，</w:t>
      </w:r>
    </w:p>
    <w:p w14:paraId="0EF735F8">
      <w:pPr>
        <w:spacing w:before="78" w:line="306" w:lineRule="auto"/>
        <w:ind w:right="164"/>
        <w:rPr>
          <w:rFonts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pacing w:val="1"/>
          <w:sz w:val="24"/>
          <w:szCs w:val="24"/>
          <w:highlight w:val="none"/>
          <w14:textFill>
            <w14:solidFill>
              <w14:schemeClr w14:val="tx1"/>
            </w14:solidFill>
          </w14:textFill>
        </w:rPr>
        <w:t>承包人可以在专用合同条款约定的期限内向咨询人提交修</w:t>
      </w:r>
      <w:r>
        <w:rPr>
          <w:rFonts w:ascii="宋体" w:hAnsi="宋体" w:cs="宋体"/>
          <w:color w:val="000000" w:themeColor="text1"/>
          <w:sz w:val="24"/>
          <w:szCs w:val="24"/>
          <w:highlight w:val="none"/>
          <w14:textFill>
            <w14:solidFill>
              <w14:schemeClr w14:val="tx1"/>
            </w14:solidFill>
          </w14:textFill>
        </w:rPr>
        <w:t>订合同进度计划的申请报</w:t>
      </w:r>
      <w:r>
        <w:rPr>
          <w:rFonts w:ascii="宋体" w:hAnsi="宋体" w:cs="宋体"/>
          <w:color w:val="000000" w:themeColor="text1"/>
          <w:spacing w:val="1"/>
          <w:sz w:val="24"/>
          <w:szCs w:val="24"/>
          <w:highlight w:val="none"/>
          <w14:textFill>
            <w14:solidFill>
              <w14:schemeClr w14:val="tx1"/>
            </w14:solidFill>
          </w14:textFill>
        </w:rPr>
        <w:t>告，并附有关措施和相关资料，报咨询人审批；咨询人也</w:t>
      </w:r>
      <w:r>
        <w:rPr>
          <w:rFonts w:ascii="宋体" w:hAnsi="宋体" w:cs="宋体"/>
          <w:color w:val="000000" w:themeColor="text1"/>
          <w:sz w:val="24"/>
          <w:szCs w:val="24"/>
          <w:highlight w:val="none"/>
          <w14:textFill>
            <w14:solidFill>
              <w14:schemeClr w14:val="tx1"/>
            </w14:solidFill>
          </w14:textFill>
        </w:rPr>
        <w:t>可以直接向承包人作出修</w:t>
      </w:r>
      <w:r>
        <w:rPr>
          <w:rFonts w:ascii="宋体" w:hAnsi="宋体" w:cs="宋体"/>
          <w:color w:val="000000" w:themeColor="text1"/>
          <w:spacing w:val="1"/>
          <w:sz w:val="24"/>
          <w:szCs w:val="24"/>
          <w:highlight w:val="none"/>
          <w14:textFill>
            <w14:solidFill>
              <w14:schemeClr w14:val="tx1"/>
            </w14:solidFill>
          </w14:textFill>
        </w:rPr>
        <w:t>订合同进度计划的指示，承包人应按该指示修订合同进度</w:t>
      </w:r>
      <w:r>
        <w:rPr>
          <w:rFonts w:ascii="宋体" w:hAnsi="宋体" w:cs="宋体"/>
          <w:color w:val="000000" w:themeColor="text1"/>
          <w:sz w:val="24"/>
          <w:szCs w:val="24"/>
          <w:highlight w:val="none"/>
          <w14:textFill>
            <w14:solidFill>
              <w14:schemeClr w14:val="tx1"/>
            </w14:solidFill>
          </w14:textFill>
        </w:rPr>
        <w:t>计划，报咨询人审批。咨询人应在专用合同条款约定的期限内批复。咨询人在批</w:t>
      </w:r>
      <w:r>
        <w:rPr>
          <w:rFonts w:ascii="宋体" w:hAnsi="宋体" w:cs="宋体"/>
          <w:color w:val="000000" w:themeColor="text1"/>
          <w:spacing w:val="-1"/>
          <w:sz w:val="24"/>
          <w:szCs w:val="24"/>
          <w:highlight w:val="none"/>
          <w14:textFill>
            <w14:solidFill>
              <w14:schemeClr w14:val="tx1"/>
            </w14:solidFill>
          </w14:textFill>
        </w:rPr>
        <w:t>复前应获得发包人同意。</w:t>
      </w:r>
    </w:p>
    <w:p w14:paraId="661B16BB">
      <w:pPr>
        <w:spacing w:line="219" w:lineRule="auto"/>
        <w:ind w:left="487"/>
        <w:outlineLvl w:val="3"/>
        <w:rPr>
          <w:rFonts w:ascii="宋体" w:hAnsi="宋体" w:cs="宋体"/>
          <w:color w:val="000000" w:themeColor="text1"/>
          <w:sz w:val="24"/>
          <w:szCs w:val="24"/>
          <w:highlight w:val="none"/>
          <w14:textFill>
            <w14:solidFill>
              <w14:schemeClr w14:val="tx1"/>
            </w14:solidFill>
          </w14:textFill>
        </w:rPr>
      </w:pPr>
      <w:r>
        <w:rPr>
          <w:rFonts w:eastAsia="Times New Roman"/>
          <w:b/>
          <w:bCs/>
          <w:color w:val="000000" w:themeColor="text1"/>
          <w:spacing w:val="-3"/>
          <w:sz w:val="24"/>
          <w:szCs w:val="24"/>
          <w:highlight w:val="none"/>
          <w14:textFill>
            <w14:solidFill>
              <w14:schemeClr w14:val="tx1"/>
            </w14:solidFill>
          </w14:textFill>
        </w:rPr>
        <w:t xml:space="preserve">10.3  </w:t>
      </w:r>
      <w:r>
        <w:rPr>
          <w:rFonts w:ascii="宋体" w:hAnsi="宋体" w:cs="宋体"/>
          <w:b/>
          <w:bCs/>
          <w:color w:val="000000" w:themeColor="text1"/>
          <w:spacing w:val="-3"/>
          <w:sz w:val="24"/>
          <w:szCs w:val="24"/>
          <w:highlight w:val="none"/>
          <w14:textFill>
            <w14:solidFill>
              <w14:schemeClr w14:val="tx1"/>
            </w14:solidFill>
          </w14:textFill>
        </w:rPr>
        <w:t>年度作业计划</w:t>
      </w:r>
    </w:p>
    <w:p w14:paraId="1FEFD273">
      <w:pPr>
        <w:spacing w:before="121" w:line="305" w:lineRule="auto"/>
        <w:ind w:right="164" w:firstLine="480"/>
        <w:rPr>
          <w:rFonts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pacing w:val="1"/>
          <w:sz w:val="24"/>
          <w:szCs w:val="24"/>
          <w:highlight w:val="none"/>
          <w14:textFill>
            <w14:solidFill>
              <w14:schemeClr w14:val="tx1"/>
            </w14:solidFill>
          </w14:textFill>
        </w:rPr>
        <w:t>承包人应按专用合同条款约定的期限和内容，向咨询人提</w:t>
      </w:r>
      <w:r>
        <w:rPr>
          <w:rFonts w:ascii="宋体" w:hAnsi="宋体" w:cs="宋体"/>
          <w:color w:val="000000" w:themeColor="text1"/>
          <w:sz w:val="24"/>
          <w:szCs w:val="24"/>
          <w:highlight w:val="none"/>
          <w14:textFill>
            <w14:solidFill>
              <w14:schemeClr w14:val="tx1"/>
            </w14:solidFill>
          </w14:textFill>
        </w:rPr>
        <w:t>交下一年度的养护作</w:t>
      </w:r>
      <w:r>
        <w:rPr>
          <w:rFonts w:ascii="宋体" w:hAnsi="宋体" w:cs="宋体"/>
          <w:color w:val="000000" w:themeColor="text1"/>
          <w:spacing w:val="-3"/>
          <w:sz w:val="24"/>
          <w:szCs w:val="24"/>
          <w:highlight w:val="none"/>
          <w14:textFill>
            <w14:solidFill>
              <w14:schemeClr w14:val="tx1"/>
            </w14:solidFill>
          </w14:textFill>
        </w:rPr>
        <w:t>业计划。</w:t>
      </w:r>
    </w:p>
    <w:p w14:paraId="786EC3D9">
      <w:pPr>
        <w:spacing w:before="1" w:line="220" w:lineRule="auto"/>
        <w:ind w:left="487"/>
        <w:outlineLvl w:val="3"/>
        <w:rPr>
          <w:rFonts w:ascii="宋体" w:hAnsi="宋体" w:cs="宋体"/>
          <w:color w:val="000000" w:themeColor="text1"/>
          <w:sz w:val="24"/>
          <w:szCs w:val="24"/>
          <w:highlight w:val="none"/>
          <w14:textFill>
            <w14:solidFill>
              <w14:schemeClr w14:val="tx1"/>
            </w14:solidFill>
          </w14:textFill>
        </w:rPr>
      </w:pPr>
      <w:r>
        <w:rPr>
          <w:rFonts w:eastAsia="Times New Roman"/>
          <w:b/>
          <w:bCs/>
          <w:color w:val="000000" w:themeColor="text1"/>
          <w:spacing w:val="-3"/>
          <w:sz w:val="24"/>
          <w:szCs w:val="24"/>
          <w:highlight w:val="none"/>
          <w14:textFill>
            <w14:solidFill>
              <w14:schemeClr w14:val="tx1"/>
            </w14:solidFill>
          </w14:textFill>
        </w:rPr>
        <w:t xml:space="preserve">10.4  </w:t>
      </w:r>
      <w:r>
        <w:rPr>
          <w:rFonts w:ascii="宋体" w:hAnsi="宋体" w:cs="宋体"/>
          <w:b/>
          <w:bCs/>
          <w:color w:val="000000" w:themeColor="text1"/>
          <w:spacing w:val="-3"/>
          <w:sz w:val="24"/>
          <w:szCs w:val="24"/>
          <w:highlight w:val="none"/>
          <w14:textFill>
            <w14:solidFill>
              <w14:schemeClr w14:val="tx1"/>
            </w14:solidFill>
          </w14:textFill>
        </w:rPr>
        <w:t>合同用款计划</w:t>
      </w:r>
    </w:p>
    <w:p w14:paraId="4A22E807">
      <w:pPr>
        <w:spacing w:before="119" w:line="310" w:lineRule="auto"/>
        <w:ind w:right="164" w:firstLine="480"/>
        <w:rPr>
          <w:rFonts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承包人应在签订本合同协议书后</w:t>
      </w:r>
      <w:r>
        <w:rPr>
          <w:rFonts w:ascii="宋体" w:hAnsi="宋体" w:cs="宋体"/>
          <w:color w:val="000000" w:themeColor="text1"/>
          <w:spacing w:val="-37"/>
          <w:sz w:val="24"/>
          <w:szCs w:val="24"/>
          <w:highlight w:val="none"/>
          <w14:textFill>
            <w14:solidFill>
              <w14:schemeClr w14:val="tx1"/>
            </w14:solidFill>
          </w14:textFill>
        </w:rPr>
        <w:t xml:space="preserve"> </w:t>
      </w:r>
      <w:r>
        <w:rPr>
          <w:rFonts w:eastAsia="Times New Roman"/>
          <w:color w:val="000000" w:themeColor="text1"/>
          <w:sz w:val="24"/>
          <w:szCs w:val="24"/>
          <w:highlight w:val="none"/>
          <w14:textFill>
            <w14:solidFill>
              <w14:schemeClr w14:val="tx1"/>
            </w14:solidFill>
          </w14:textFill>
        </w:rPr>
        <w:t xml:space="preserve">7 </w:t>
      </w:r>
      <w:r>
        <w:rPr>
          <w:rFonts w:ascii="宋体" w:hAnsi="宋体" w:cs="宋体"/>
          <w:color w:val="000000" w:themeColor="text1"/>
          <w:sz w:val="24"/>
          <w:szCs w:val="24"/>
          <w:highlight w:val="none"/>
          <w14:textFill>
            <w14:solidFill>
              <w14:schemeClr w14:val="tx1"/>
            </w14:solidFill>
          </w14:textFill>
        </w:rPr>
        <w:t>天内，向咨询人提交按合同约定承包人有权</w:t>
      </w:r>
      <w:r>
        <w:rPr>
          <w:rFonts w:ascii="宋体" w:hAnsi="宋体" w:cs="宋体"/>
          <w:color w:val="000000" w:themeColor="text1"/>
          <w:spacing w:val="1"/>
          <w:sz w:val="24"/>
          <w:szCs w:val="24"/>
          <w:highlight w:val="none"/>
          <w14:textFill>
            <w14:solidFill>
              <w14:schemeClr w14:val="tx1"/>
            </w14:solidFill>
          </w14:textFill>
        </w:rPr>
        <w:t>得到支付的详细的合同用款计划，以备咨询人查阅。如果咨</w:t>
      </w:r>
      <w:r>
        <w:rPr>
          <w:rFonts w:ascii="宋体" w:hAnsi="宋体" w:cs="宋体"/>
          <w:color w:val="000000" w:themeColor="text1"/>
          <w:sz w:val="24"/>
          <w:szCs w:val="24"/>
          <w:highlight w:val="none"/>
          <w14:textFill>
            <w14:solidFill>
              <w14:schemeClr w14:val="tx1"/>
            </w14:solidFill>
          </w14:textFill>
        </w:rPr>
        <w:t>询人提出要求，承包人</w:t>
      </w:r>
      <w:r>
        <w:rPr>
          <w:rFonts w:ascii="宋体" w:hAnsi="宋体" w:cs="宋体"/>
          <w:color w:val="000000" w:themeColor="text1"/>
          <w:spacing w:val="-1"/>
          <w:sz w:val="24"/>
          <w:szCs w:val="24"/>
          <w:highlight w:val="none"/>
          <w14:textFill>
            <w14:solidFill>
              <w14:schemeClr w14:val="tx1"/>
            </w14:solidFill>
          </w14:textFill>
        </w:rPr>
        <w:t>还应提交修订的合同用款计划。</w:t>
      </w:r>
    </w:p>
    <w:p w14:paraId="39114CDB">
      <w:pPr>
        <w:spacing w:before="304" w:line="221" w:lineRule="auto"/>
        <w:ind w:left="487"/>
        <w:outlineLvl w:val="2"/>
        <w:rPr>
          <w:rFonts w:ascii="宋体" w:hAnsi="宋体" w:cs="宋体"/>
          <w:color w:val="000000" w:themeColor="text1"/>
          <w:sz w:val="24"/>
          <w:szCs w:val="24"/>
          <w:highlight w:val="none"/>
          <w14:textFill>
            <w14:solidFill>
              <w14:schemeClr w14:val="tx1"/>
            </w14:solidFill>
          </w14:textFill>
        </w:rPr>
      </w:pPr>
      <w:bookmarkStart w:id="136" w:name="bookmark27"/>
      <w:bookmarkEnd w:id="136"/>
      <w:bookmarkStart w:id="137" w:name="bookmark28"/>
      <w:bookmarkEnd w:id="137"/>
      <w:bookmarkStart w:id="138" w:name="_Toc7456"/>
      <w:r>
        <w:rPr>
          <w:rFonts w:eastAsia="Times New Roman"/>
          <w:b/>
          <w:bCs/>
          <w:color w:val="000000" w:themeColor="text1"/>
          <w:spacing w:val="-3"/>
          <w:sz w:val="24"/>
          <w:szCs w:val="24"/>
          <w:highlight w:val="none"/>
          <w14:textFill>
            <w14:solidFill>
              <w14:schemeClr w14:val="tx1"/>
            </w14:solidFill>
          </w14:textFill>
        </w:rPr>
        <w:t xml:space="preserve">11.  </w:t>
      </w:r>
      <w:r>
        <w:rPr>
          <w:rFonts w:ascii="宋体" w:hAnsi="宋体" w:cs="宋体"/>
          <w:b/>
          <w:bCs/>
          <w:color w:val="000000" w:themeColor="text1"/>
          <w:spacing w:val="-3"/>
          <w:sz w:val="24"/>
          <w:szCs w:val="24"/>
          <w:highlight w:val="none"/>
          <w14:textFill>
            <w14:solidFill>
              <w14:schemeClr w14:val="tx1"/>
            </w14:solidFill>
          </w14:textFill>
        </w:rPr>
        <w:t>开工和交工</w:t>
      </w:r>
      <w:bookmarkEnd w:id="138"/>
    </w:p>
    <w:p w14:paraId="6FFBB105">
      <w:pPr>
        <w:spacing w:before="258" w:line="221" w:lineRule="auto"/>
        <w:ind w:left="487"/>
        <w:outlineLvl w:val="3"/>
        <w:rPr>
          <w:rFonts w:ascii="宋体" w:hAnsi="宋体" w:cs="宋体"/>
          <w:color w:val="000000" w:themeColor="text1"/>
          <w:sz w:val="24"/>
          <w:szCs w:val="24"/>
          <w:highlight w:val="none"/>
          <w14:textFill>
            <w14:solidFill>
              <w14:schemeClr w14:val="tx1"/>
            </w14:solidFill>
          </w14:textFill>
        </w:rPr>
      </w:pPr>
      <w:r>
        <w:rPr>
          <w:rFonts w:eastAsia="Times New Roman"/>
          <w:b/>
          <w:bCs/>
          <w:color w:val="000000" w:themeColor="text1"/>
          <w:spacing w:val="-6"/>
          <w:sz w:val="24"/>
          <w:szCs w:val="24"/>
          <w:highlight w:val="none"/>
          <w14:textFill>
            <w14:solidFill>
              <w14:schemeClr w14:val="tx1"/>
            </w14:solidFill>
          </w14:textFill>
        </w:rPr>
        <w:t>11.1</w:t>
      </w:r>
      <w:r>
        <w:rPr>
          <w:rFonts w:eastAsia="Times New Roman"/>
          <w:b/>
          <w:bCs/>
          <w:color w:val="000000" w:themeColor="text1"/>
          <w:spacing w:val="7"/>
          <w:sz w:val="24"/>
          <w:szCs w:val="24"/>
          <w:highlight w:val="none"/>
          <w14:textFill>
            <w14:solidFill>
              <w14:schemeClr w14:val="tx1"/>
            </w14:solidFill>
          </w14:textFill>
        </w:rPr>
        <w:t xml:space="preserve">  </w:t>
      </w:r>
      <w:r>
        <w:rPr>
          <w:rFonts w:ascii="宋体" w:hAnsi="宋体" w:cs="宋体"/>
          <w:b/>
          <w:bCs/>
          <w:color w:val="000000" w:themeColor="text1"/>
          <w:spacing w:val="-6"/>
          <w:sz w:val="24"/>
          <w:szCs w:val="24"/>
          <w:highlight w:val="none"/>
          <w14:textFill>
            <w14:solidFill>
              <w14:schemeClr w14:val="tx1"/>
            </w14:solidFill>
          </w14:textFill>
        </w:rPr>
        <w:t>开工</w:t>
      </w:r>
    </w:p>
    <w:p w14:paraId="64514D87">
      <w:pPr>
        <w:spacing w:before="123" w:line="278" w:lineRule="auto"/>
        <w:ind w:firstLine="498"/>
        <w:rPr>
          <w:rFonts w:ascii="宋体" w:hAnsi="宋体" w:cs="宋体"/>
          <w:color w:val="000000" w:themeColor="text1"/>
          <w:sz w:val="24"/>
          <w:szCs w:val="24"/>
          <w:highlight w:val="none"/>
          <w14:textFill>
            <w14:solidFill>
              <w14:schemeClr w14:val="tx1"/>
            </w14:solidFill>
          </w14:textFill>
        </w:rPr>
      </w:pPr>
      <w:r>
        <w:rPr>
          <w:rFonts w:eastAsia="Times New Roman"/>
          <w:color w:val="000000" w:themeColor="text1"/>
          <w:sz w:val="24"/>
          <w:szCs w:val="24"/>
          <w:highlight w:val="none"/>
          <w14:textFill>
            <w14:solidFill>
              <w14:schemeClr w14:val="tx1"/>
            </w14:solidFill>
          </w14:textFill>
        </w:rPr>
        <w:t xml:space="preserve">11.1.1  </w:t>
      </w:r>
      <w:r>
        <w:rPr>
          <w:rFonts w:ascii="宋体" w:hAnsi="宋体" w:cs="宋体"/>
          <w:color w:val="000000" w:themeColor="text1"/>
          <w:sz w:val="24"/>
          <w:szCs w:val="24"/>
          <w:highlight w:val="none"/>
          <w14:textFill>
            <w14:solidFill>
              <w14:schemeClr w14:val="tx1"/>
            </w14:solidFill>
          </w14:textFill>
        </w:rPr>
        <w:t>咨询人应在开工日期</w:t>
      </w:r>
      <w:r>
        <w:rPr>
          <w:rFonts w:ascii="宋体" w:hAnsi="宋体" w:cs="宋体"/>
          <w:color w:val="000000" w:themeColor="text1"/>
          <w:spacing w:val="-51"/>
          <w:sz w:val="24"/>
          <w:szCs w:val="24"/>
          <w:highlight w:val="none"/>
          <w14:textFill>
            <w14:solidFill>
              <w14:schemeClr w14:val="tx1"/>
            </w14:solidFill>
          </w14:textFill>
        </w:rPr>
        <w:t xml:space="preserve"> </w:t>
      </w:r>
      <w:r>
        <w:rPr>
          <w:rFonts w:eastAsia="Times New Roman"/>
          <w:color w:val="000000" w:themeColor="text1"/>
          <w:sz w:val="24"/>
          <w:szCs w:val="24"/>
          <w:highlight w:val="none"/>
          <w14:textFill>
            <w14:solidFill>
              <w14:schemeClr w14:val="tx1"/>
            </w14:solidFill>
          </w14:textFill>
        </w:rPr>
        <w:t xml:space="preserve">7 </w:t>
      </w:r>
      <w:r>
        <w:rPr>
          <w:rFonts w:ascii="宋体" w:hAnsi="宋体" w:cs="宋体"/>
          <w:color w:val="000000" w:themeColor="text1"/>
          <w:sz w:val="24"/>
          <w:szCs w:val="24"/>
          <w:highlight w:val="none"/>
          <w14:textFill>
            <w14:solidFill>
              <w14:schemeClr w14:val="tx1"/>
            </w14:solidFill>
          </w14:textFill>
        </w:rPr>
        <w:t>天前向承包人发出开工通知。咨询人</w:t>
      </w:r>
      <w:r>
        <w:rPr>
          <w:rFonts w:ascii="宋体" w:hAnsi="宋体" w:cs="宋体"/>
          <w:color w:val="000000" w:themeColor="text1"/>
          <w:spacing w:val="-1"/>
          <w:sz w:val="24"/>
          <w:szCs w:val="24"/>
          <w:highlight w:val="none"/>
          <w14:textFill>
            <w14:solidFill>
              <w14:schemeClr w14:val="tx1"/>
            </w14:solidFill>
          </w14:textFill>
        </w:rPr>
        <w:t>在发出开工通知前应获得发包人同意。工期自咨询人发出的开工</w:t>
      </w:r>
      <w:r>
        <w:rPr>
          <w:rFonts w:ascii="宋体" w:hAnsi="宋体" w:cs="宋体"/>
          <w:color w:val="000000" w:themeColor="text1"/>
          <w:spacing w:val="-2"/>
          <w:sz w:val="24"/>
          <w:szCs w:val="24"/>
          <w:highlight w:val="none"/>
          <w14:textFill>
            <w14:solidFill>
              <w14:schemeClr w14:val="tx1"/>
            </w14:solidFill>
          </w14:textFill>
        </w:rPr>
        <w:t>通知中载明的开工日期起计算。</w:t>
      </w:r>
      <w:r>
        <w:rPr>
          <w:rFonts w:ascii="宋体" w:hAnsi="宋体" w:cs="宋体"/>
          <w:color w:val="000000" w:themeColor="text1"/>
          <w:spacing w:val="-1"/>
          <w:sz w:val="24"/>
          <w:szCs w:val="24"/>
          <w:highlight w:val="none"/>
          <w14:textFill>
            <w14:solidFill>
              <w14:schemeClr w14:val="tx1"/>
            </w14:solidFill>
          </w14:textFill>
        </w:rPr>
        <w:t>承包人应在开工日期后尽快实施养护项目。</w:t>
      </w:r>
    </w:p>
    <w:p w14:paraId="48F19A8C">
      <w:pPr>
        <w:spacing w:before="115" w:line="286" w:lineRule="auto"/>
        <w:ind w:left="1" w:right="164" w:firstLine="497"/>
        <w:rPr>
          <w:rFonts w:ascii="宋体" w:hAnsi="宋体" w:cs="宋体"/>
          <w:color w:val="000000" w:themeColor="text1"/>
          <w:sz w:val="24"/>
          <w:szCs w:val="24"/>
          <w:highlight w:val="none"/>
          <w14:textFill>
            <w14:solidFill>
              <w14:schemeClr w14:val="tx1"/>
            </w14:solidFill>
          </w14:textFill>
        </w:rPr>
      </w:pPr>
      <w:r>
        <w:rPr>
          <w:rFonts w:eastAsia="Times New Roman"/>
          <w:color w:val="000000" w:themeColor="text1"/>
          <w:spacing w:val="-2"/>
          <w:sz w:val="24"/>
          <w:szCs w:val="24"/>
          <w:highlight w:val="none"/>
          <w14:textFill>
            <w14:solidFill>
              <w14:schemeClr w14:val="tx1"/>
            </w14:solidFill>
          </w14:textFill>
        </w:rPr>
        <w:t xml:space="preserve">11.1.2  </w:t>
      </w:r>
      <w:r>
        <w:rPr>
          <w:rFonts w:ascii="宋体" w:hAnsi="宋体" w:cs="宋体"/>
          <w:color w:val="000000" w:themeColor="text1"/>
          <w:spacing w:val="-2"/>
          <w:sz w:val="24"/>
          <w:szCs w:val="24"/>
          <w:highlight w:val="none"/>
          <w14:textFill>
            <w14:solidFill>
              <w14:schemeClr w14:val="tx1"/>
            </w14:solidFill>
          </w14:textFill>
        </w:rPr>
        <w:t>承包人应按第</w:t>
      </w:r>
      <w:r>
        <w:rPr>
          <w:rFonts w:ascii="宋体" w:hAnsi="宋体" w:cs="宋体"/>
          <w:color w:val="000000" w:themeColor="text1"/>
          <w:spacing w:val="-30"/>
          <w:sz w:val="24"/>
          <w:szCs w:val="24"/>
          <w:highlight w:val="none"/>
          <w14:textFill>
            <w14:solidFill>
              <w14:schemeClr w14:val="tx1"/>
            </w14:solidFill>
          </w14:textFill>
        </w:rPr>
        <w:t xml:space="preserve"> </w:t>
      </w:r>
      <w:r>
        <w:rPr>
          <w:rFonts w:eastAsia="Times New Roman"/>
          <w:color w:val="000000" w:themeColor="text1"/>
          <w:spacing w:val="-2"/>
          <w:sz w:val="24"/>
          <w:szCs w:val="24"/>
          <w:highlight w:val="none"/>
          <w14:textFill>
            <w14:solidFill>
              <w14:schemeClr w14:val="tx1"/>
            </w14:solidFill>
          </w14:textFill>
        </w:rPr>
        <w:t xml:space="preserve">10.1 </w:t>
      </w:r>
      <w:r>
        <w:rPr>
          <w:rFonts w:ascii="宋体" w:hAnsi="宋体" w:cs="宋体"/>
          <w:color w:val="000000" w:themeColor="text1"/>
          <w:spacing w:val="-2"/>
          <w:sz w:val="24"/>
          <w:szCs w:val="24"/>
          <w:highlight w:val="none"/>
          <w14:textFill>
            <w14:solidFill>
              <w14:schemeClr w14:val="tx1"/>
            </w14:solidFill>
          </w14:textFill>
        </w:rPr>
        <w:t>款约定的合同进度计划，向咨询人提交开工报审表，</w:t>
      </w:r>
      <w:r>
        <w:rPr>
          <w:rFonts w:ascii="宋体" w:hAnsi="宋体" w:cs="宋体"/>
          <w:color w:val="000000" w:themeColor="text1"/>
          <w:spacing w:val="1"/>
          <w:sz w:val="24"/>
          <w:szCs w:val="24"/>
          <w:highlight w:val="none"/>
          <w14:textFill>
            <w14:solidFill>
              <w14:schemeClr w14:val="tx1"/>
            </w14:solidFill>
          </w14:textFill>
        </w:rPr>
        <w:t>经咨询人审批后执行。开工报审表应详细说明按合同进</w:t>
      </w:r>
      <w:r>
        <w:rPr>
          <w:rFonts w:ascii="宋体" w:hAnsi="宋体" w:cs="宋体"/>
          <w:color w:val="000000" w:themeColor="text1"/>
          <w:sz w:val="24"/>
          <w:szCs w:val="24"/>
          <w:highlight w:val="none"/>
          <w14:textFill>
            <w14:solidFill>
              <w14:schemeClr w14:val="tx1"/>
            </w14:solidFill>
          </w14:textFill>
        </w:rPr>
        <w:t>度计划正常实施养护作业所</w:t>
      </w:r>
      <w:r>
        <w:rPr>
          <w:rFonts w:ascii="宋体" w:hAnsi="宋体" w:cs="宋体"/>
          <w:color w:val="000000" w:themeColor="text1"/>
          <w:spacing w:val="1"/>
          <w:sz w:val="24"/>
          <w:szCs w:val="24"/>
          <w:highlight w:val="none"/>
          <w14:textFill>
            <w14:solidFill>
              <w14:schemeClr w14:val="tx1"/>
            </w14:solidFill>
          </w14:textFill>
        </w:rPr>
        <w:t>需的施工道路、临时设施、材料设备、养护人员等施工</w:t>
      </w:r>
      <w:r>
        <w:rPr>
          <w:rFonts w:ascii="宋体" w:hAnsi="宋体" w:cs="宋体"/>
          <w:color w:val="000000" w:themeColor="text1"/>
          <w:sz w:val="24"/>
          <w:szCs w:val="24"/>
          <w:highlight w:val="none"/>
          <w14:textFill>
            <w14:solidFill>
              <w14:schemeClr w14:val="tx1"/>
            </w14:solidFill>
          </w14:textFill>
        </w:rPr>
        <w:t>组织措施的落实情况以及养</w:t>
      </w:r>
      <w:r>
        <w:rPr>
          <w:rFonts w:ascii="宋体" w:hAnsi="宋体" w:cs="宋体"/>
          <w:color w:val="000000" w:themeColor="text1"/>
          <w:spacing w:val="-2"/>
          <w:sz w:val="24"/>
          <w:szCs w:val="24"/>
          <w:highlight w:val="none"/>
          <w14:textFill>
            <w14:solidFill>
              <w14:schemeClr w14:val="tx1"/>
            </w14:solidFill>
          </w14:textFill>
        </w:rPr>
        <w:t>护项目的进度安排。</w:t>
      </w:r>
    </w:p>
    <w:p w14:paraId="1A62F768">
      <w:pPr>
        <w:spacing w:before="102" w:line="221" w:lineRule="auto"/>
        <w:ind w:left="487"/>
        <w:outlineLvl w:val="3"/>
        <w:rPr>
          <w:rFonts w:ascii="宋体" w:hAnsi="宋体" w:cs="宋体"/>
          <w:color w:val="000000" w:themeColor="text1"/>
          <w:sz w:val="24"/>
          <w:szCs w:val="24"/>
          <w:highlight w:val="none"/>
          <w14:textFill>
            <w14:solidFill>
              <w14:schemeClr w14:val="tx1"/>
            </w14:solidFill>
          </w14:textFill>
        </w:rPr>
      </w:pPr>
      <w:r>
        <w:rPr>
          <w:rFonts w:eastAsia="Times New Roman"/>
          <w:b/>
          <w:bCs/>
          <w:color w:val="000000" w:themeColor="text1"/>
          <w:spacing w:val="-6"/>
          <w:sz w:val="24"/>
          <w:szCs w:val="24"/>
          <w:highlight w:val="none"/>
          <w14:textFill>
            <w14:solidFill>
              <w14:schemeClr w14:val="tx1"/>
            </w14:solidFill>
          </w14:textFill>
        </w:rPr>
        <w:t>11.2</w:t>
      </w:r>
      <w:r>
        <w:rPr>
          <w:rFonts w:eastAsia="Times New Roman"/>
          <w:b/>
          <w:bCs/>
          <w:color w:val="000000" w:themeColor="text1"/>
          <w:spacing w:val="7"/>
          <w:sz w:val="24"/>
          <w:szCs w:val="24"/>
          <w:highlight w:val="none"/>
          <w14:textFill>
            <w14:solidFill>
              <w14:schemeClr w14:val="tx1"/>
            </w14:solidFill>
          </w14:textFill>
        </w:rPr>
        <w:t xml:space="preserve">  </w:t>
      </w:r>
      <w:r>
        <w:rPr>
          <w:rFonts w:ascii="宋体" w:hAnsi="宋体" w:cs="宋体"/>
          <w:b/>
          <w:bCs/>
          <w:color w:val="000000" w:themeColor="text1"/>
          <w:spacing w:val="-6"/>
          <w:sz w:val="24"/>
          <w:szCs w:val="24"/>
          <w:highlight w:val="none"/>
          <w14:textFill>
            <w14:solidFill>
              <w14:schemeClr w14:val="tx1"/>
            </w14:solidFill>
          </w14:textFill>
        </w:rPr>
        <w:t>交工</w:t>
      </w:r>
    </w:p>
    <w:p w14:paraId="59CDC28E">
      <w:pPr>
        <w:spacing w:before="123" w:line="304" w:lineRule="auto"/>
        <w:ind w:left="3" w:right="164" w:firstLine="477"/>
        <w:rPr>
          <w:rFonts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pacing w:val="3"/>
          <w:sz w:val="24"/>
          <w:szCs w:val="24"/>
          <w:highlight w:val="none"/>
          <w14:textFill>
            <w14:solidFill>
              <w14:schemeClr w14:val="tx1"/>
            </w14:solidFill>
          </w14:textFill>
        </w:rPr>
        <w:t>承包人应在第</w:t>
      </w:r>
      <w:r>
        <w:rPr>
          <w:rFonts w:ascii="宋体" w:hAnsi="宋体" w:cs="宋体"/>
          <w:color w:val="000000" w:themeColor="text1"/>
          <w:spacing w:val="-25"/>
          <w:sz w:val="24"/>
          <w:szCs w:val="24"/>
          <w:highlight w:val="none"/>
          <w14:textFill>
            <w14:solidFill>
              <w14:schemeClr w14:val="tx1"/>
            </w14:solidFill>
          </w14:textFill>
        </w:rPr>
        <w:t xml:space="preserve"> </w:t>
      </w:r>
      <w:r>
        <w:rPr>
          <w:rFonts w:eastAsia="Times New Roman"/>
          <w:color w:val="000000" w:themeColor="text1"/>
          <w:spacing w:val="3"/>
          <w:sz w:val="24"/>
          <w:szCs w:val="24"/>
          <w:highlight w:val="none"/>
          <w14:textFill>
            <w14:solidFill>
              <w14:schemeClr w14:val="tx1"/>
            </w14:solidFill>
          </w14:textFill>
        </w:rPr>
        <w:t xml:space="preserve">1.1.4.3 </w:t>
      </w:r>
      <w:r>
        <w:rPr>
          <w:rFonts w:ascii="宋体" w:hAnsi="宋体" w:cs="宋体"/>
          <w:color w:val="000000" w:themeColor="text1"/>
          <w:spacing w:val="3"/>
          <w:sz w:val="24"/>
          <w:szCs w:val="24"/>
          <w:highlight w:val="none"/>
          <w14:textFill>
            <w14:solidFill>
              <w14:schemeClr w14:val="tx1"/>
            </w14:solidFill>
          </w14:textFill>
        </w:rPr>
        <w:t>目约定的期限内完成养护项目工作。实</w:t>
      </w:r>
      <w:r>
        <w:rPr>
          <w:rFonts w:ascii="宋体" w:hAnsi="宋体" w:cs="宋体"/>
          <w:color w:val="000000" w:themeColor="text1"/>
          <w:spacing w:val="2"/>
          <w:sz w:val="24"/>
          <w:szCs w:val="24"/>
          <w:highlight w:val="none"/>
          <w14:textFill>
            <w14:solidFill>
              <w14:schemeClr w14:val="tx1"/>
            </w14:solidFill>
          </w14:textFill>
        </w:rPr>
        <w:t>际交工日期在交</w:t>
      </w:r>
      <w:r>
        <w:rPr>
          <w:rFonts w:ascii="宋体" w:hAnsi="宋体" w:cs="宋体"/>
          <w:color w:val="000000" w:themeColor="text1"/>
          <w:spacing w:val="-2"/>
          <w:sz w:val="24"/>
          <w:szCs w:val="24"/>
          <w:highlight w:val="none"/>
          <w14:textFill>
            <w14:solidFill>
              <w14:schemeClr w14:val="tx1"/>
            </w14:solidFill>
          </w14:textFill>
        </w:rPr>
        <w:t>工验收证书中写明。</w:t>
      </w:r>
    </w:p>
    <w:p w14:paraId="1CE89417">
      <w:pPr>
        <w:spacing w:line="220" w:lineRule="auto"/>
        <w:ind w:left="487"/>
        <w:outlineLvl w:val="3"/>
        <w:rPr>
          <w:rFonts w:ascii="宋体" w:hAnsi="宋体" w:cs="宋体"/>
          <w:color w:val="000000" w:themeColor="text1"/>
          <w:sz w:val="24"/>
          <w:szCs w:val="24"/>
          <w:highlight w:val="none"/>
          <w14:textFill>
            <w14:solidFill>
              <w14:schemeClr w14:val="tx1"/>
            </w14:solidFill>
          </w14:textFill>
        </w:rPr>
      </w:pPr>
      <w:r>
        <w:rPr>
          <w:rFonts w:eastAsia="Times New Roman"/>
          <w:b/>
          <w:bCs/>
          <w:color w:val="000000" w:themeColor="text1"/>
          <w:spacing w:val="-2"/>
          <w:sz w:val="24"/>
          <w:szCs w:val="24"/>
          <w:highlight w:val="none"/>
          <w14:textFill>
            <w14:solidFill>
              <w14:schemeClr w14:val="tx1"/>
            </w14:solidFill>
          </w14:textFill>
        </w:rPr>
        <w:t xml:space="preserve">11.3  </w:t>
      </w:r>
      <w:r>
        <w:rPr>
          <w:rFonts w:ascii="宋体" w:hAnsi="宋体" w:cs="宋体"/>
          <w:b/>
          <w:bCs/>
          <w:color w:val="000000" w:themeColor="text1"/>
          <w:spacing w:val="-2"/>
          <w:sz w:val="24"/>
          <w:szCs w:val="24"/>
          <w:highlight w:val="none"/>
          <w14:textFill>
            <w14:solidFill>
              <w14:schemeClr w14:val="tx1"/>
            </w14:solidFill>
          </w14:textFill>
        </w:rPr>
        <w:t>发包人引起的工期延误</w:t>
      </w:r>
    </w:p>
    <w:p w14:paraId="67F82048">
      <w:pPr>
        <w:spacing w:before="123" w:line="308" w:lineRule="auto"/>
        <w:ind w:left="2" w:right="164" w:firstLine="477"/>
        <w:rPr>
          <w:rFonts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pacing w:val="1"/>
          <w:sz w:val="24"/>
          <w:szCs w:val="24"/>
          <w:highlight w:val="none"/>
          <w14:textFill>
            <w14:solidFill>
              <w14:schemeClr w14:val="tx1"/>
            </w14:solidFill>
          </w14:textFill>
        </w:rPr>
        <w:t>在履行合同过程中，由于发包人的下列原因造成工期延误的</w:t>
      </w:r>
      <w:r>
        <w:rPr>
          <w:rFonts w:ascii="宋体" w:hAnsi="宋体" w:cs="宋体"/>
          <w:color w:val="000000" w:themeColor="text1"/>
          <w:sz w:val="24"/>
          <w:szCs w:val="24"/>
          <w:highlight w:val="none"/>
          <w14:textFill>
            <w14:solidFill>
              <w14:schemeClr w14:val="tx1"/>
            </w14:solidFill>
          </w14:textFill>
        </w:rPr>
        <w:t>，承包人有权要求</w:t>
      </w:r>
      <w:r>
        <w:rPr>
          <w:rFonts w:ascii="宋体" w:hAnsi="宋体" w:cs="宋体"/>
          <w:color w:val="000000" w:themeColor="text1"/>
          <w:spacing w:val="1"/>
          <w:sz w:val="24"/>
          <w:szCs w:val="24"/>
          <w:highlight w:val="none"/>
          <w14:textFill>
            <w14:solidFill>
              <w14:schemeClr w14:val="tx1"/>
            </w14:solidFill>
          </w14:textFill>
        </w:rPr>
        <w:t>发包人延长工期和（或）增加费用，并支付合理利润</w:t>
      </w:r>
      <w:r>
        <w:rPr>
          <w:rFonts w:ascii="宋体" w:hAnsi="宋体" w:cs="宋体"/>
          <w:color w:val="000000" w:themeColor="text1"/>
          <w:sz w:val="24"/>
          <w:szCs w:val="24"/>
          <w:highlight w:val="none"/>
          <w14:textFill>
            <w14:solidFill>
              <w14:schemeClr w14:val="tx1"/>
            </w14:solidFill>
          </w14:textFill>
        </w:rPr>
        <w:t>。需要修订合同进度计划的，</w:t>
      </w:r>
      <w:r>
        <w:rPr>
          <w:rFonts w:ascii="宋体" w:hAnsi="宋体" w:cs="宋体"/>
          <w:color w:val="000000" w:themeColor="text1"/>
          <w:spacing w:val="-3"/>
          <w:sz w:val="24"/>
          <w:szCs w:val="24"/>
          <w:highlight w:val="none"/>
          <w14:textFill>
            <w14:solidFill>
              <w14:schemeClr w14:val="tx1"/>
            </w14:solidFill>
          </w14:textFill>
        </w:rPr>
        <w:t>按照第</w:t>
      </w:r>
      <w:r>
        <w:rPr>
          <w:rFonts w:ascii="宋体" w:hAnsi="宋体" w:cs="宋体"/>
          <w:color w:val="000000" w:themeColor="text1"/>
          <w:spacing w:val="-28"/>
          <w:sz w:val="24"/>
          <w:szCs w:val="24"/>
          <w:highlight w:val="none"/>
          <w14:textFill>
            <w14:solidFill>
              <w14:schemeClr w14:val="tx1"/>
            </w14:solidFill>
          </w14:textFill>
        </w:rPr>
        <w:t xml:space="preserve"> </w:t>
      </w:r>
      <w:r>
        <w:rPr>
          <w:rFonts w:eastAsia="Times New Roman"/>
          <w:color w:val="000000" w:themeColor="text1"/>
          <w:spacing w:val="-3"/>
          <w:sz w:val="24"/>
          <w:szCs w:val="24"/>
          <w:highlight w:val="none"/>
          <w14:textFill>
            <w14:solidFill>
              <w14:schemeClr w14:val="tx1"/>
            </w14:solidFill>
          </w14:textFill>
        </w:rPr>
        <w:t xml:space="preserve">10.2 </w:t>
      </w:r>
      <w:r>
        <w:rPr>
          <w:rFonts w:ascii="宋体" w:hAnsi="宋体" w:cs="宋体"/>
          <w:color w:val="000000" w:themeColor="text1"/>
          <w:spacing w:val="-3"/>
          <w:sz w:val="24"/>
          <w:szCs w:val="24"/>
          <w:highlight w:val="none"/>
          <w14:textFill>
            <w14:solidFill>
              <w14:schemeClr w14:val="tx1"/>
            </w14:solidFill>
          </w14:textFill>
        </w:rPr>
        <w:t>款的约定办理。</w:t>
      </w:r>
    </w:p>
    <w:p w14:paraId="2A87DEB3">
      <w:pPr>
        <w:spacing w:before="1" w:line="219" w:lineRule="auto"/>
        <w:ind w:left="492"/>
        <w:rPr>
          <w:rFonts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pacing w:val="-2"/>
          <w:sz w:val="24"/>
          <w:szCs w:val="24"/>
          <w:highlight w:val="none"/>
          <w14:textFill>
            <w14:solidFill>
              <w14:schemeClr w14:val="tx1"/>
            </w14:solidFill>
          </w14:textFill>
        </w:rPr>
        <w:t>（</w:t>
      </w:r>
      <w:r>
        <w:rPr>
          <w:rFonts w:eastAsia="Times New Roman"/>
          <w:color w:val="000000" w:themeColor="text1"/>
          <w:spacing w:val="-2"/>
          <w:sz w:val="24"/>
          <w:szCs w:val="24"/>
          <w:highlight w:val="none"/>
          <w14:textFill>
            <w14:solidFill>
              <w14:schemeClr w14:val="tx1"/>
            </w14:solidFill>
          </w14:textFill>
        </w:rPr>
        <w:t>1</w:t>
      </w:r>
      <w:r>
        <w:rPr>
          <w:rFonts w:ascii="宋体" w:hAnsi="宋体" w:cs="宋体"/>
          <w:color w:val="000000" w:themeColor="text1"/>
          <w:spacing w:val="-2"/>
          <w:sz w:val="24"/>
          <w:szCs w:val="24"/>
          <w:highlight w:val="none"/>
          <w14:textFill>
            <w14:solidFill>
              <w14:schemeClr w14:val="tx1"/>
            </w14:solidFill>
          </w14:textFill>
        </w:rPr>
        <w:t>）增加合同工作内容；</w:t>
      </w:r>
    </w:p>
    <w:p w14:paraId="09E04580">
      <w:pPr>
        <w:spacing w:before="116" w:line="219" w:lineRule="auto"/>
        <w:ind w:left="492"/>
        <w:rPr>
          <w:rFonts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pacing w:val="-1"/>
          <w:sz w:val="24"/>
          <w:szCs w:val="24"/>
          <w:highlight w:val="none"/>
          <w14:textFill>
            <w14:solidFill>
              <w14:schemeClr w14:val="tx1"/>
            </w14:solidFill>
          </w14:textFill>
        </w:rPr>
        <w:t>（</w:t>
      </w:r>
      <w:r>
        <w:rPr>
          <w:rFonts w:eastAsia="Times New Roman"/>
          <w:color w:val="000000" w:themeColor="text1"/>
          <w:spacing w:val="-1"/>
          <w:sz w:val="24"/>
          <w:szCs w:val="24"/>
          <w:highlight w:val="none"/>
          <w14:textFill>
            <w14:solidFill>
              <w14:schemeClr w14:val="tx1"/>
            </w14:solidFill>
          </w14:textFill>
        </w:rPr>
        <w:t>2</w:t>
      </w:r>
      <w:r>
        <w:rPr>
          <w:rFonts w:ascii="宋体" w:hAnsi="宋体" w:cs="宋体"/>
          <w:color w:val="000000" w:themeColor="text1"/>
          <w:spacing w:val="-1"/>
          <w:sz w:val="24"/>
          <w:szCs w:val="24"/>
          <w:highlight w:val="none"/>
          <w14:textFill>
            <w14:solidFill>
              <w14:schemeClr w14:val="tx1"/>
            </w14:solidFill>
          </w14:textFill>
        </w:rPr>
        <w:t>）改变合同中任何一项工作的质量要求或其他特性；</w:t>
      </w:r>
    </w:p>
    <w:p w14:paraId="1E26D5B3">
      <w:pPr>
        <w:spacing w:before="115" w:line="219" w:lineRule="auto"/>
        <w:ind w:left="492"/>
        <w:rPr>
          <w:rFonts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pacing w:val="-1"/>
          <w:sz w:val="24"/>
          <w:szCs w:val="24"/>
          <w:highlight w:val="none"/>
          <w14:textFill>
            <w14:solidFill>
              <w14:schemeClr w14:val="tx1"/>
            </w14:solidFill>
          </w14:textFill>
        </w:rPr>
        <w:t>（</w:t>
      </w:r>
      <w:r>
        <w:rPr>
          <w:rFonts w:eastAsia="Times New Roman"/>
          <w:color w:val="000000" w:themeColor="text1"/>
          <w:spacing w:val="-1"/>
          <w:sz w:val="24"/>
          <w:szCs w:val="24"/>
          <w:highlight w:val="none"/>
          <w14:textFill>
            <w14:solidFill>
              <w14:schemeClr w14:val="tx1"/>
            </w14:solidFill>
          </w14:textFill>
        </w:rPr>
        <w:t>3</w:t>
      </w:r>
      <w:r>
        <w:rPr>
          <w:rFonts w:ascii="宋体" w:hAnsi="宋体" w:cs="宋体"/>
          <w:color w:val="000000" w:themeColor="text1"/>
          <w:spacing w:val="-1"/>
          <w:sz w:val="24"/>
          <w:szCs w:val="24"/>
          <w:highlight w:val="none"/>
          <w14:textFill>
            <w14:solidFill>
              <w14:schemeClr w14:val="tx1"/>
            </w14:solidFill>
          </w14:textFill>
        </w:rPr>
        <w:t>）发包人迟延提供材料、工程设备或变更交货地点的；</w:t>
      </w:r>
    </w:p>
    <w:p w14:paraId="1310C40B">
      <w:pPr>
        <w:spacing w:before="114" w:line="219" w:lineRule="auto"/>
        <w:ind w:left="492"/>
        <w:rPr>
          <w:rFonts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pacing w:val="-1"/>
          <w:sz w:val="24"/>
          <w:szCs w:val="24"/>
          <w:highlight w:val="none"/>
          <w14:textFill>
            <w14:solidFill>
              <w14:schemeClr w14:val="tx1"/>
            </w14:solidFill>
          </w14:textFill>
        </w:rPr>
        <w:t>（</w:t>
      </w:r>
      <w:r>
        <w:rPr>
          <w:rFonts w:eastAsia="Times New Roman"/>
          <w:color w:val="000000" w:themeColor="text1"/>
          <w:spacing w:val="-1"/>
          <w:sz w:val="24"/>
          <w:szCs w:val="24"/>
          <w:highlight w:val="none"/>
          <w14:textFill>
            <w14:solidFill>
              <w14:schemeClr w14:val="tx1"/>
            </w14:solidFill>
          </w14:textFill>
        </w:rPr>
        <w:t>4</w:t>
      </w:r>
      <w:r>
        <w:rPr>
          <w:rFonts w:ascii="宋体" w:hAnsi="宋体" w:cs="宋体"/>
          <w:color w:val="000000" w:themeColor="text1"/>
          <w:spacing w:val="-1"/>
          <w:sz w:val="24"/>
          <w:szCs w:val="24"/>
          <w:highlight w:val="none"/>
          <w14:textFill>
            <w14:solidFill>
              <w14:schemeClr w14:val="tx1"/>
            </w14:solidFill>
          </w14:textFill>
        </w:rPr>
        <w:t>）因发包人原因导致的暂停实施养护作业；</w:t>
      </w:r>
    </w:p>
    <w:p w14:paraId="58584DF4">
      <w:pPr>
        <w:spacing w:before="116" w:line="219" w:lineRule="auto"/>
        <w:ind w:left="492"/>
        <w:rPr>
          <w:rFonts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pacing w:val="-3"/>
          <w:sz w:val="24"/>
          <w:szCs w:val="24"/>
          <w:highlight w:val="none"/>
          <w14:textFill>
            <w14:solidFill>
              <w14:schemeClr w14:val="tx1"/>
            </w14:solidFill>
          </w14:textFill>
        </w:rPr>
        <w:t>（</w:t>
      </w:r>
      <w:r>
        <w:rPr>
          <w:rFonts w:eastAsia="Times New Roman"/>
          <w:color w:val="000000" w:themeColor="text1"/>
          <w:spacing w:val="-3"/>
          <w:sz w:val="24"/>
          <w:szCs w:val="24"/>
          <w:highlight w:val="none"/>
          <w14:textFill>
            <w14:solidFill>
              <w14:schemeClr w14:val="tx1"/>
            </w14:solidFill>
          </w14:textFill>
        </w:rPr>
        <w:t>5</w:t>
      </w:r>
      <w:r>
        <w:rPr>
          <w:rFonts w:ascii="宋体" w:hAnsi="宋体" w:cs="宋体"/>
          <w:color w:val="000000" w:themeColor="text1"/>
          <w:spacing w:val="-3"/>
          <w:sz w:val="24"/>
          <w:szCs w:val="24"/>
          <w:highlight w:val="none"/>
          <w14:textFill>
            <w14:solidFill>
              <w14:schemeClr w14:val="tx1"/>
            </w14:solidFill>
          </w14:textFill>
        </w:rPr>
        <w:t>）提供图纸延误；</w:t>
      </w:r>
    </w:p>
    <w:p w14:paraId="588703C0">
      <w:pPr>
        <w:spacing w:before="117" w:line="219" w:lineRule="auto"/>
        <w:ind w:left="492"/>
        <w:rPr>
          <w:rFonts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pacing w:val="-1"/>
          <w:sz w:val="24"/>
          <w:szCs w:val="24"/>
          <w:highlight w:val="none"/>
          <w14:textFill>
            <w14:solidFill>
              <w14:schemeClr w14:val="tx1"/>
            </w14:solidFill>
          </w14:textFill>
        </w:rPr>
        <w:t>（</w:t>
      </w:r>
      <w:r>
        <w:rPr>
          <w:rFonts w:eastAsia="Times New Roman"/>
          <w:color w:val="000000" w:themeColor="text1"/>
          <w:spacing w:val="-1"/>
          <w:sz w:val="24"/>
          <w:szCs w:val="24"/>
          <w:highlight w:val="none"/>
          <w14:textFill>
            <w14:solidFill>
              <w14:schemeClr w14:val="tx1"/>
            </w14:solidFill>
          </w14:textFill>
        </w:rPr>
        <w:t>6</w:t>
      </w:r>
      <w:r>
        <w:rPr>
          <w:rFonts w:ascii="宋体" w:hAnsi="宋体" w:cs="宋体"/>
          <w:color w:val="000000" w:themeColor="text1"/>
          <w:spacing w:val="-1"/>
          <w:sz w:val="24"/>
          <w:szCs w:val="24"/>
          <w:highlight w:val="none"/>
          <w14:textFill>
            <w14:solidFill>
              <w14:schemeClr w14:val="tx1"/>
            </w14:solidFill>
          </w14:textFill>
        </w:rPr>
        <w:t>）未按合同约定及时支付预付款、进度款；</w:t>
      </w:r>
    </w:p>
    <w:p w14:paraId="26D9784D">
      <w:pPr>
        <w:spacing w:before="78" w:line="220" w:lineRule="auto"/>
        <w:ind w:left="492"/>
        <w:rPr>
          <w:rFonts w:ascii="宋体" w:hAnsi="宋体" w:cs="宋体"/>
          <w:color w:val="000000" w:themeColor="text1"/>
          <w:sz w:val="24"/>
          <w:szCs w:val="24"/>
          <w:highlight w:val="none"/>
          <w14:textFill>
            <w14:solidFill>
              <w14:schemeClr w14:val="tx1"/>
            </w14:solidFill>
          </w14:textFill>
        </w:rPr>
      </w:pPr>
      <w:bookmarkStart w:id="139" w:name="bookmark221"/>
      <w:bookmarkEnd w:id="139"/>
      <w:r>
        <w:rPr>
          <w:rFonts w:ascii="宋体" w:hAnsi="宋体" w:cs="宋体"/>
          <w:color w:val="000000" w:themeColor="text1"/>
          <w:spacing w:val="-2"/>
          <w:sz w:val="24"/>
          <w:szCs w:val="24"/>
          <w:highlight w:val="none"/>
          <w14:textFill>
            <w14:solidFill>
              <w14:schemeClr w14:val="tx1"/>
            </w14:solidFill>
          </w14:textFill>
        </w:rPr>
        <w:t>（</w:t>
      </w:r>
      <w:r>
        <w:rPr>
          <w:rFonts w:eastAsia="Times New Roman"/>
          <w:color w:val="000000" w:themeColor="text1"/>
          <w:spacing w:val="-2"/>
          <w:sz w:val="24"/>
          <w:szCs w:val="24"/>
          <w:highlight w:val="none"/>
          <w14:textFill>
            <w14:solidFill>
              <w14:schemeClr w14:val="tx1"/>
            </w14:solidFill>
          </w14:textFill>
        </w:rPr>
        <w:t>7</w:t>
      </w:r>
      <w:r>
        <w:rPr>
          <w:rFonts w:ascii="宋体" w:hAnsi="宋体" w:cs="宋体"/>
          <w:color w:val="000000" w:themeColor="text1"/>
          <w:spacing w:val="-2"/>
          <w:sz w:val="24"/>
          <w:szCs w:val="24"/>
          <w:highlight w:val="none"/>
          <w14:textFill>
            <w14:solidFill>
              <w14:schemeClr w14:val="tx1"/>
            </w14:solidFill>
          </w14:textFill>
        </w:rPr>
        <w:t>）发包人造成工期延误的其他原因。</w:t>
      </w:r>
    </w:p>
    <w:p w14:paraId="096473D2">
      <w:pPr>
        <w:spacing w:before="113" w:line="304" w:lineRule="auto"/>
        <w:ind w:left="1" w:firstLine="496"/>
        <w:rPr>
          <w:rFonts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即使由于上述原因造成工期延误，如果受影响的工作并非处在养护作业进度网</w:t>
      </w:r>
      <w:r>
        <w:rPr>
          <w:rFonts w:ascii="宋体" w:hAnsi="宋体" w:cs="宋体"/>
          <w:color w:val="000000" w:themeColor="text1"/>
          <w:spacing w:val="-1"/>
          <w:sz w:val="24"/>
          <w:szCs w:val="24"/>
          <w:highlight w:val="none"/>
          <w14:textFill>
            <w14:solidFill>
              <w14:schemeClr w14:val="tx1"/>
            </w14:solidFill>
          </w14:textFill>
        </w:rPr>
        <w:t>络计划的关键线路上，则承包人无权要求延长总工期。</w:t>
      </w:r>
    </w:p>
    <w:p w14:paraId="7D77C569">
      <w:pPr>
        <w:spacing w:line="219" w:lineRule="auto"/>
        <w:ind w:left="487"/>
        <w:outlineLvl w:val="3"/>
        <w:rPr>
          <w:rFonts w:ascii="宋体" w:hAnsi="宋体" w:cs="宋体"/>
          <w:color w:val="000000" w:themeColor="text1"/>
          <w:sz w:val="24"/>
          <w:szCs w:val="24"/>
          <w:highlight w:val="none"/>
          <w14:textFill>
            <w14:solidFill>
              <w14:schemeClr w14:val="tx1"/>
            </w14:solidFill>
          </w14:textFill>
        </w:rPr>
      </w:pPr>
      <w:r>
        <w:rPr>
          <w:rFonts w:eastAsia="Times New Roman"/>
          <w:b/>
          <w:bCs/>
          <w:color w:val="000000" w:themeColor="text1"/>
          <w:spacing w:val="-3"/>
          <w:sz w:val="24"/>
          <w:szCs w:val="24"/>
          <w:highlight w:val="none"/>
          <w14:textFill>
            <w14:solidFill>
              <w14:schemeClr w14:val="tx1"/>
            </w14:solidFill>
          </w14:textFill>
        </w:rPr>
        <w:t xml:space="preserve">11.4 </w:t>
      </w:r>
      <w:r>
        <w:rPr>
          <w:rFonts w:ascii="宋体" w:hAnsi="宋体" w:cs="宋体"/>
          <w:b/>
          <w:bCs/>
          <w:color w:val="000000" w:themeColor="text1"/>
          <w:spacing w:val="-3"/>
          <w:sz w:val="24"/>
          <w:szCs w:val="24"/>
          <w:highlight w:val="none"/>
          <w14:textFill>
            <w14:solidFill>
              <w14:schemeClr w14:val="tx1"/>
            </w14:solidFill>
          </w14:textFill>
        </w:rPr>
        <w:t>异常恶劣的气候条件</w:t>
      </w:r>
    </w:p>
    <w:p w14:paraId="32F54AE7">
      <w:pPr>
        <w:spacing w:before="124" w:line="304" w:lineRule="auto"/>
        <w:ind w:firstLine="510"/>
        <w:rPr>
          <w:rFonts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由于出现专用合同条款约定的异常恶劣的气候条件导致工期延误的，</w:t>
      </w:r>
      <w:r>
        <w:rPr>
          <w:rFonts w:ascii="宋体" w:hAnsi="宋体" w:cs="宋体"/>
          <w:color w:val="000000" w:themeColor="text1"/>
          <w:spacing w:val="-1"/>
          <w:sz w:val="24"/>
          <w:szCs w:val="24"/>
          <w:highlight w:val="none"/>
          <w14:textFill>
            <w14:solidFill>
              <w14:schemeClr w14:val="tx1"/>
            </w14:solidFill>
          </w14:textFill>
        </w:rPr>
        <w:t>承包人有权要求发包人延长工期。</w:t>
      </w:r>
    </w:p>
    <w:p w14:paraId="62B6B5D9">
      <w:pPr>
        <w:spacing w:before="1" w:line="219" w:lineRule="auto"/>
        <w:ind w:left="487"/>
        <w:outlineLvl w:val="3"/>
        <w:rPr>
          <w:rFonts w:ascii="宋体" w:hAnsi="宋体" w:cs="宋体"/>
          <w:color w:val="000000" w:themeColor="text1"/>
          <w:sz w:val="24"/>
          <w:szCs w:val="24"/>
          <w:highlight w:val="none"/>
          <w14:textFill>
            <w14:solidFill>
              <w14:schemeClr w14:val="tx1"/>
            </w14:solidFill>
          </w14:textFill>
        </w:rPr>
      </w:pPr>
      <w:r>
        <w:rPr>
          <w:rFonts w:eastAsia="Times New Roman"/>
          <w:b/>
          <w:bCs/>
          <w:color w:val="000000" w:themeColor="text1"/>
          <w:spacing w:val="-2"/>
          <w:sz w:val="24"/>
          <w:szCs w:val="24"/>
          <w:highlight w:val="none"/>
          <w14:textFill>
            <w14:solidFill>
              <w14:schemeClr w14:val="tx1"/>
            </w14:solidFill>
          </w14:textFill>
        </w:rPr>
        <w:t xml:space="preserve">11.5  </w:t>
      </w:r>
      <w:r>
        <w:rPr>
          <w:rFonts w:ascii="宋体" w:hAnsi="宋体" w:cs="宋体"/>
          <w:b/>
          <w:bCs/>
          <w:color w:val="000000" w:themeColor="text1"/>
          <w:spacing w:val="-2"/>
          <w:sz w:val="24"/>
          <w:szCs w:val="24"/>
          <w:highlight w:val="none"/>
          <w14:textFill>
            <w14:solidFill>
              <w14:schemeClr w14:val="tx1"/>
            </w14:solidFill>
          </w14:textFill>
        </w:rPr>
        <w:t>承包人引起的工期延误</w:t>
      </w:r>
    </w:p>
    <w:p w14:paraId="33906C5A">
      <w:pPr>
        <w:spacing w:before="122" w:line="307" w:lineRule="auto"/>
        <w:ind w:firstLine="510"/>
        <w:rPr>
          <w:rFonts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由于承包人原因，未能按合同进度计划完成工作，或咨询人认为承包</w:t>
      </w:r>
      <w:r>
        <w:rPr>
          <w:rFonts w:ascii="宋体" w:hAnsi="宋体" w:cs="宋体"/>
          <w:color w:val="000000" w:themeColor="text1"/>
          <w:spacing w:val="-1"/>
          <w:sz w:val="24"/>
          <w:szCs w:val="24"/>
          <w:highlight w:val="none"/>
          <w14:textFill>
            <w14:solidFill>
              <w14:schemeClr w14:val="tx1"/>
            </w14:solidFill>
          </w14:textFill>
        </w:rPr>
        <w:t>人养护作</w:t>
      </w:r>
      <w:r>
        <w:rPr>
          <w:rFonts w:ascii="宋体" w:hAnsi="宋体" w:cs="宋体"/>
          <w:color w:val="000000" w:themeColor="text1"/>
          <w:spacing w:val="1"/>
          <w:sz w:val="24"/>
          <w:szCs w:val="24"/>
          <w:highlight w:val="none"/>
          <w14:textFill>
            <w14:solidFill>
              <w14:schemeClr w14:val="tx1"/>
            </w14:solidFill>
          </w14:textFill>
        </w:rPr>
        <w:t>业进度不能满足合同工期要求的，承包人应采取措施加快进</w:t>
      </w:r>
      <w:r>
        <w:rPr>
          <w:rFonts w:ascii="宋体" w:hAnsi="宋体" w:cs="宋体"/>
          <w:color w:val="000000" w:themeColor="text1"/>
          <w:sz w:val="24"/>
          <w:szCs w:val="24"/>
          <w:highlight w:val="none"/>
          <w14:textFill>
            <w14:solidFill>
              <w14:schemeClr w14:val="tx1"/>
            </w14:solidFill>
          </w14:textFill>
        </w:rPr>
        <w:t>度，并承担加快进度所</w:t>
      </w:r>
      <w:r>
        <w:rPr>
          <w:rFonts w:ascii="宋体" w:hAnsi="宋体" w:cs="宋体"/>
          <w:color w:val="000000" w:themeColor="text1"/>
          <w:spacing w:val="1"/>
          <w:sz w:val="24"/>
          <w:szCs w:val="24"/>
          <w:highlight w:val="none"/>
          <w14:textFill>
            <w14:solidFill>
              <w14:schemeClr w14:val="tx1"/>
            </w14:solidFill>
          </w14:textFill>
        </w:rPr>
        <w:t>增加的费用。由于承包人原因造成工期延误，承包人应</w:t>
      </w:r>
      <w:r>
        <w:rPr>
          <w:rFonts w:ascii="宋体" w:hAnsi="宋体" w:cs="宋体"/>
          <w:color w:val="000000" w:themeColor="text1"/>
          <w:sz w:val="24"/>
          <w:szCs w:val="24"/>
          <w:highlight w:val="none"/>
          <w14:textFill>
            <w14:solidFill>
              <w14:schemeClr w14:val="tx1"/>
            </w14:solidFill>
          </w14:textFill>
        </w:rPr>
        <w:t>支付逾期交工违约金。逾期</w:t>
      </w:r>
      <w:r>
        <w:rPr>
          <w:rFonts w:ascii="宋体" w:hAnsi="宋体" w:cs="宋体"/>
          <w:color w:val="000000" w:themeColor="text1"/>
          <w:spacing w:val="1"/>
          <w:sz w:val="24"/>
          <w:szCs w:val="24"/>
          <w:highlight w:val="none"/>
          <w14:textFill>
            <w14:solidFill>
              <w14:schemeClr w14:val="tx1"/>
            </w14:solidFill>
          </w14:textFill>
        </w:rPr>
        <w:t>交工违约金的计算方法在专用合同条款中约定，时间自预定</w:t>
      </w:r>
      <w:r>
        <w:rPr>
          <w:rFonts w:ascii="宋体" w:hAnsi="宋体" w:cs="宋体"/>
          <w:color w:val="000000" w:themeColor="text1"/>
          <w:sz w:val="24"/>
          <w:szCs w:val="24"/>
          <w:highlight w:val="none"/>
          <w14:textFill>
            <w14:solidFill>
              <w14:schemeClr w14:val="tx1"/>
            </w14:solidFill>
          </w14:textFill>
        </w:rPr>
        <w:t>的交工日期起至交工验</w:t>
      </w:r>
      <w:r>
        <w:rPr>
          <w:rFonts w:ascii="宋体" w:hAnsi="宋体" w:cs="宋体"/>
          <w:color w:val="000000" w:themeColor="text1"/>
          <w:spacing w:val="3"/>
          <w:sz w:val="24"/>
          <w:szCs w:val="24"/>
          <w:highlight w:val="none"/>
          <w14:textFill>
            <w14:solidFill>
              <w14:schemeClr w14:val="tx1"/>
            </w14:solidFill>
          </w14:textFill>
        </w:rPr>
        <w:t>收证书中写明的实际交工日期止（扣除已批准的延长工期</w:t>
      </w:r>
      <w:r>
        <w:rPr>
          <w:rFonts w:ascii="宋体" w:hAnsi="宋体" w:cs="宋体"/>
          <w:color w:val="000000" w:themeColor="text1"/>
          <w:spacing w:val="-38"/>
          <w:sz w:val="24"/>
          <w:szCs w:val="24"/>
          <w:highlight w:val="none"/>
          <w14:textFill>
            <w14:solidFill>
              <w14:schemeClr w14:val="tx1"/>
            </w14:solidFill>
          </w14:textFill>
        </w:rPr>
        <w:t>），</w:t>
      </w:r>
      <w:r>
        <w:rPr>
          <w:rFonts w:ascii="宋体" w:hAnsi="宋体" w:cs="宋体"/>
          <w:color w:val="000000" w:themeColor="text1"/>
          <w:spacing w:val="3"/>
          <w:sz w:val="24"/>
          <w:szCs w:val="24"/>
          <w:highlight w:val="none"/>
          <w14:textFill>
            <w14:solidFill>
              <w14:schemeClr w14:val="tx1"/>
            </w14:solidFill>
          </w14:textFill>
        </w:rPr>
        <w:t>按天计算。逾期交工</w:t>
      </w:r>
      <w:r>
        <w:rPr>
          <w:rFonts w:ascii="宋体" w:hAnsi="宋体" w:cs="宋体"/>
          <w:color w:val="000000" w:themeColor="text1"/>
          <w:spacing w:val="1"/>
          <w:sz w:val="24"/>
          <w:szCs w:val="24"/>
          <w:highlight w:val="none"/>
          <w14:textFill>
            <w14:solidFill>
              <w14:schemeClr w14:val="tx1"/>
            </w14:solidFill>
          </w14:textFill>
        </w:rPr>
        <w:t>违约金累计金额最高不超过专用合同条款中写明的限额。发</w:t>
      </w:r>
      <w:r>
        <w:rPr>
          <w:rFonts w:ascii="宋体" w:hAnsi="宋体" w:cs="宋体"/>
          <w:color w:val="000000" w:themeColor="text1"/>
          <w:sz w:val="24"/>
          <w:szCs w:val="24"/>
          <w:highlight w:val="none"/>
          <w14:textFill>
            <w14:solidFill>
              <w14:schemeClr w14:val="tx1"/>
            </w14:solidFill>
          </w14:textFill>
        </w:rPr>
        <w:t>包人可以从应付或到期</w:t>
      </w:r>
      <w:r>
        <w:rPr>
          <w:rFonts w:ascii="宋体" w:hAnsi="宋体" w:cs="宋体"/>
          <w:color w:val="000000" w:themeColor="text1"/>
          <w:spacing w:val="1"/>
          <w:sz w:val="24"/>
          <w:szCs w:val="24"/>
          <w:highlight w:val="none"/>
          <w14:textFill>
            <w14:solidFill>
              <w14:schemeClr w14:val="tx1"/>
            </w14:solidFill>
          </w14:textFill>
        </w:rPr>
        <w:t>应付给承包人的任何款项中或采用其他方法扣除此违约金。</w:t>
      </w:r>
      <w:r>
        <w:rPr>
          <w:rFonts w:ascii="宋体" w:hAnsi="宋体" w:cs="宋体"/>
          <w:color w:val="000000" w:themeColor="text1"/>
          <w:sz w:val="24"/>
          <w:szCs w:val="24"/>
          <w:highlight w:val="none"/>
          <w14:textFill>
            <w14:solidFill>
              <w14:schemeClr w14:val="tx1"/>
            </w14:solidFill>
          </w14:textFill>
        </w:rPr>
        <w:t>承包人支付逾期交工违</w:t>
      </w:r>
      <w:r>
        <w:rPr>
          <w:rFonts w:ascii="宋体" w:hAnsi="宋体" w:cs="宋体"/>
          <w:color w:val="000000" w:themeColor="text1"/>
          <w:spacing w:val="-1"/>
          <w:sz w:val="24"/>
          <w:szCs w:val="24"/>
          <w:highlight w:val="none"/>
          <w14:textFill>
            <w14:solidFill>
              <w14:schemeClr w14:val="tx1"/>
            </w14:solidFill>
          </w14:textFill>
        </w:rPr>
        <w:t>约金，不免除承包人完成养护项目及修补缺陷的义务。</w:t>
      </w:r>
    </w:p>
    <w:p w14:paraId="60F7B27C">
      <w:pPr>
        <w:spacing w:line="220" w:lineRule="auto"/>
        <w:ind w:left="487"/>
        <w:outlineLvl w:val="3"/>
        <w:rPr>
          <w:rFonts w:ascii="宋体" w:hAnsi="宋体" w:cs="宋体"/>
          <w:color w:val="000000" w:themeColor="text1"/>
          <w:sz w:val="24"/>
          <w:szCs w:val="24"/>
          <w:highlight w:val="none"/>
          <w14:textFill>
            <w14:solidFill>
              <w14:schemeClr w14:val="tx1"/>
            </w14:solidFill>
          </w14:textFill>
        </w:rPr>
      </w:pPr>
      <w:r>
        <w:rPr>
          <w:rFonts w:eastAsia="Times New Roman"/>
          <w:b/>
          <w:bCs/>
          <w:color w:val="000000" w:themeColor="text1"/>
          <w:spacing w:val="-3"/>
          <w:sz w:val="24"/>
          <w:szCs w:val="24"/>
          <w:highlight w:val="none"/>
          <w14:textFill>
            <w14:solidFill>
              <w14:schemeClr w14:val="tx1"/>
            </w14:solidFill>
          </w14:textFill>
        </w:rPr>
        <w:t xml:space="preserve">11.6  </w:t>
      </w:r>
      <w:r>
        <w:rPr>
          <w:rFonts w:ascii="宋体" w:hAnsi="宋体" w:cs="宋体"/>
          <w:b/>
          <w:bCs/>
          <w:color w:val="000000" w:themeColor="text1"/>
          <w:spacing w:val="-3"/>
          <w:sz w:val="24"/>
          <w:szCs w:val="24"/>
          <w:highlight w:val="none"/>
          <w14:textFill>
            <w14:solidFill>
              <w14:schemeClr w14:val="tx1"/>
            </w14:solidFill>
          </w14:textFill>
        </w:rPr>
        <w:t>工作时间的限制</w:t>
      </w:r>
    </w:p>
    <w:p w14:paraId="585FCEAF">
      <w:pPr>
        <w:spacing w:before="126" w:line="307" w:lineRule="auto"/>
        <w:ind w:left="1" w:firstLine="479"/>
        <w:rPr>
          <w:rFonts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pacing w:val="1"/>
          <w:sz w:val="24"/>
          <w:szCs w:val="24"/>
          <w:highlight w:val="none"/>
          <w14:textFill>
            <w14:solidFill>
              <w14:schemeClr w14:val="tx1"/>
            </w14:solidFill>
          </w14:textFill>
        </w:rPr>
        <w:t>承包人在夜间或国家规定的节假日进行养护作业，应向咨</w:t>
      </w:r>
      <w:r>
        <w:rPr>
          <w:rFonts w:ascii="宋体" w:hAnsi="宋体" w:cs="宋体"/>
          <w:color w:val="000000" w:themeColor="text1"/>
          <w:sz w:val="24"/>
          <w:szCs w:val="24"/>
          <w:highlight w:val="none"/>
          <w14:textFill>
            <w14:solidFill>
              <w14:schemeClr w14:val="tx1"/>
            </w14:solidFill>
          </w14:textFill>
        </w:rPr>
        <w:t>询人报告，以便咨询</w:t>
      </w:r>
      <w:r>
        <w:rPr>
          <w:rFonts w:ascii="宋体" w:hAnsi="宋体" w:cs="宋体"/>
          <w:color w:val="000000" w:themeColor="text1"/>
          <w:spacing w:val="1"/>
          <w:sz w:val="24"/>
          <w:szCs w:val="24"/>
          <w:highlight w:val="none"/>
          <w14:textFill>
            <w14:solidFill>
              <w14:schemeClr w14:val="tx1"/>
            </w14:solidFill>
          </w14:textFill>
        </w:rPr>
        <w:t>人履行监督管理职责和义务。为抢救生命或保护财产，</w:t>
      </w:r>
      <w:r>
        <w:rPr>
          <w:rFonts w:ascii="宋体" w:hAnsi="宋体" w:cs="宋体"/>
          <w:color w:val="000000" w:themeColor="text1"/>
          <w:sz w:val="24"/>
          <w:szCs w:val="24"/>
          <w:highlight w:val="none"/>
          <w14:textFill>
            <w14:solidFill>
              <w14:schemeClr w14:val="tx1"/>
            </w14:solidFill>
          </w14:textFill>
        </w:rPr>
        <w:t>或为养护项目的安全、质量</w:t>
      </w:r>
      <w:r>
        <w:rPr>
          <w:rFonts w:ascii="宋体" w:hAnsi="宋体" w:cs="宋体"/>
          <w:color w:val="000000" w:themeColor="text1"/>
          <w:spacing w:val="1"/>
          <w:sz w:val="24"/>
          <w:szCs w:val="24"/>
          <w:highlight w:val="none"/>
          <w14:textFill>
            <w14:solidFill>
              <w14:schemeClr w14:val="tx1"/>
            </w14:solidFill>
          </w14:textFill>
        </w:rPr>
        <w:t>而不可避免地短暂作业，则不必事先向咨询人报告。但</w:t>
      </w:r>
      <w:r>
        <w:rPr>
          <w:rFonts w:ascii="宋体" w:hAnsi="宋体" w:cs="宋体"/>
          <w:color w:val="000000" w:themeColor="text1"/>
          <w:sz w:val="24"/>
          <w:szCs w:val="24"/>
          <w:highlight w:val="none"/>
          <w14:textFill>
            <w14:solidFill>
              <w14:schemeClr w14:val="tx1"/>
            </w14:solidFill>
          </w14:textFill>
        </w:rPr>
        <w:t>承包人应在事后立即向咨询</w:t>
      </w:r>
      <w:r>
        <w:rPr>
          <w:rFonts w:ascii="宋体" w:hAnsi="宋体" w:cs="宋体"/>
          <w:color w:val="000000" w:themeColor="text1"/>
          <w:spacing w:val="-3"/>
          <w:sz w:val="24"/>
          <w:szCs w:val="24"/>
          <w:highlight w:val="none"/>
          <w14:textFill>
            <w14:solidFill>
              <w14:schemeClr w14:val="tx1"/>
            </w14:solidFill>
          </w14:textFill>
        </w:rPr>
        <w:t>人报告。</w:t>
      </w:r>
    </w:p>
    <w:p w14:paraId="5E74F42E">
      <w:pPr>
        <w:spacing w:before="1" w:line="218" w:lineRule="auto"/>
        <w:ind w:left="481"/>
        <w:rPr>
          <w:rFonts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pacing w:val="-1"/>
          <w:sz w:val="24"/>
          <w:szCs w:val="24"/>
          <w:highlight w:val="none"/>
          <w14:textFill>
            <w14:solidFill>
              <w14:schemeClr w14:val="tx1"/>
            </w14:solidFill>
          </w14:textFill>
        </w:rPr>
        <w:t>本款约定不适用于习惯上或养护项目本身要求实行连续生产的作业。</w:t>
      </w:r>
    </w:p>
    <w:p w14:paraId="0C25ECB2">
      <w:pPr>
        <w:spacing w:before="79" w:line="219" w:lineRule="auto"/>
        <w:ind w:left="487"/>
        <w:outlineLvl w:val="2"/>
        <w:rPr>
          <w:rFonts w:ascii="宋体" w:hAnsi="宋体" w:cs="宋体"/>
          <w:color w:val="000000" w:themeColor="text1"/>
          <w:sz w:val="24"/>
          <w:szCs w:val="24"/>
          <w:highlight w:val="none"/>
          <w14:textFill>
            <w14:solidFill>
              <w14:schemeClr w14:val="tx1"/>
            </w14:solidFill>
          </w14:textFill>
        </w:rPr>
      </w:pPr>
      <w:bookmarkStart w:id="140" w:name="bookmark30"/>
      <w:bookmarkEnd w:id="140"/>
      <w:bookmarkStart w:id="141" w:name="bookmark29"/>
      <w:bookmarkEnd w:id="141"/>
      <w:bookmarkStart w:id="142" w:name="_Toc28488"/>
      <w:r>
        <w:rPr>
          <w:rFonts w:eastAsia="Times New Roman"/>
          <w:b/>
          <w:bCs/>
          <w:color w:val="000000" w:themeColor="text1"/>
          <w:spacing w:val="-6"/>
          <w:sz w:val="24"/>
          <w:szCs w:val="24"/>
          <w:highlight w:val="none"/>
          <w14:textFill>
            <w14:solidFill>
              <w14:schemeClr w14:val="tx1"/>
            </w14:solidFill>
          </w14:textFill>
        </w:rPr>
        <w:t>12.</w:t>
      </w:r>
      <w:r>
        <w:rPr>
          <w:rFonts w:eastAsia="Times New Roman"/>
          <w:b/>
          <w:bCs/>
          <w:color w:val="000000" w:themeColor="text1"/>
          <w:spacing w:val="12"/>
          <w:sz w:val="24"/>
          <w:szCs w:val="24"/>
          <w:highlight w:val="none"/>
          <w14:textFill>
            <w14:solidFill>
              <w14:schemeClr w14:val="tx1"/>
            </w14:solidFill>
          </w14:textFill>
        </w:rPr>
        <w:t xml:space="preserve">  </w:t>
      </w:r>
      <w:r>
        <w:rPr>
          <w:rFonts w:ascii="宋体" w:hAnsi="宋体" w:cs="宋体"/>
          <w:b/>
          <w:bCs/>
          <w:color w:val="000000" w:themeColor="text1"/>
          <w:spacing w:val="-6"/>
          <w:sz w:val="24"/>
          <w:szCs w:val="24"/>
          <w:highlight w:val="none"/>
          <w14:textFill>
            <w14:solidFill>
              <w14:schemeClr w14:val="tx1"/>
            </w14:solidFill>
          </w14:textFill>
        </w:rPr>
        <w:t>暂停养护作业</w:t>
      </w:r>
      <w:bookmarkEnd w:id="142"/>
    </w:p>
    <w:p w14:paraId="77040736">
      <w:pPr>
        <w:spacing w:before="260" w:line="219" w:lineRule="auto"/>
        <w:ind w:left="487"/>
        <w:outlineLvl w:val="3"/>
        <w:rPr>
          <w:rFonts w:ascii="宋体" w:hAnsi="宋体" w:cs="宋体"/>
          <w:color w:val="000000" w:themeColor="text1"/>
          <w:sz w:val="24"/>
          <w:szCs w:val="24"/>
          <w:highlight w:val="none"/>
          <w14:textFill>
            <w14:solidFill>
              <w14:schemeClr w14:val="tx1"/>
            </w14:solidFill>
          </w14:textFill>
        </w:rPr>
      </w:pPr>
      <w:r>
        <w:rPr>
          <w:rFonts w:eastAsia="Times New Roman"/>
          <w:b/>
          <w:bCs/>
          <w:color w:val="000000" w:themeColor="text1"/>
          <w:spacing w:val="-3"/>
          <w:sz w:val="24"/>
          <w:szCs w:val="24"/>
          <w:highlight w:val="none"/>
          <w14:textFill>
            <w14:solidFill>
              <w14:schemeClr w14:val="tx1"/>
            </w14:solidFill>
          </w14:textFill>
        </w:rPr>
        <w:t xml:space="preserve">12.1  </w:t>
      </w:r>
      <w:r>
        <w:rPr>
          <w:rFonts w:ascii="宋体" w:hAnsi="宋体" w:cs="宋体"/>
          <w:b/>
          <w:bCs/>
          <w:color w:val="000000" w:themeColor="text1"/>
          <w:spacing w:val="-3"/>
          <w:sz w:val="24"/>
          <w:szCs w:val="24"/>
          <w:highlight w:val="none"/>
          <w14:textFill>
            <w14:solidFill>
              <w14:schemeClr w14:val="tx1"/>
            </w14:solidFill>
          </w14:textFill>
        </w:rPr>
        <w:t>承包人暂停养护作业的责任</w:t>
      </w:r>
    </w:p>
    <w:p w14:paraId="3F347332">
      <w:pPr>
        <w:spacing w:before="126" w:line="219" w:lineRule="auto"/>
        <w:ind w:left="499"/>
        <w:rPr>
          <w:rFonts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pacing w:val="-1"/>
          <w:sz w:val="24"/>
          <w:szCs w:val="24"/>
          <w:highlight w:val="none"/>
          <w14:textFill>
            <w14:solidFill>
              <w14:schemeClr w14:val="tx1"/>
            </w14:solidFill>
          </w14:textFill>
        </w:rPr>
        <w:t>因下列暂停养护作业增加的费用和（或）工期延误由承包人承担：</w:t>
      </w:r>
    </w:p>
    <w:p w14:paraId="4C142EC5">
      <w:pPr>
        <w:spacing w:before="113" w:line="219" w:lineRule="auto"/>
        <w:ind w:left="492"/>
        <w:rPr>
          <w:rFonts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pacing w:val="-2"/>
          <w:sz w:val="24"/>
          <w:szCs w:val="24"/>
          <w:highlight w:val="none"/>
          <w14:textFill>
            <w14:solidFill>
              <w14:schemeClr w14:val="tx1"/>
            </w14:solidFill>
          </w14:textFill>
        </w:rPr>
        <w:t>（</w:t>
      </w:r>
      <w:r>
        <w:rPr>
          <w:rFonts w:eastAsia="Times New Roman"/>
          <w:color w:val="000000" w:themeColor="text1"/>
          <w:spacing w:val="-2"/>
          <w:sz w:val="24"/>
          <w:szCs w:val="24"/>
          <w:highlight w:val="none"/>
          <w14:textFill>
            <w14:solidFill>
              <w14:schemeClr w14:val="tx1"/>
            </w14:solidFill>
          </w14:textFill>
        </w:rPr>
        <w:t>1</w:t>
      </w:r>
      <w:r>
        <w:rPr>
          <w:rFonts w:ascii="宋体" w:hAnsi="宋体" w:cs="宋体"/>
          <w:color w:val="000000" w:themeColor="text1"/>
          <w:spacing w:val="-2"/>
          <w:sz w:val="24"/>
          <w:szCs w:val="24"/>
          <w:highlight w:val="none"/>
          <w14:textFill>
            <w14:solidFill>
              <w14:schemeClr w14:val="tx1"/>
            </w14:solidFill>
          </w14:textFill>
        </w:rPr>
        <w:t>）承包人违约引起的暂停养护作业；</w:t>
      </w:r>
    </w:p>
    <w:p w14:paraId="79AD1C42">
      <w:pPr>
        <w:spacing w:before="116" w:line="219" w:lineRule="auto"/>
        <w:ind w:left="492"/>
        <w:rPr>
          <w:rFonts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pacing w:val="-1"/>
          <w:sz w:val="24"/>
          <w:szCs w:val="24"/>
          <w:highlight w:val="none"/>
          <w14:textFill>
            <w14:solidFill>
              <w14:schemeClr w14:val="tx1"/>
            </w14:solidFill>
          </w14:textFill>
        </w:rPr>
        <w:t>（</w:t>
      </w:r>
      <w:r>
        <w:rPr>
          <w:rFonts w:eastAsia="Times New Roman"/>
          <w:color w:val="000000" w:themeColor="text1"/>
          <w:spacing w:val="-1"/>
          <w:sz w:val="24"/>
          <w:szCs w:val="24"/>
          <w:highlight w:val="none"/>
          <w14:textFill>
            <w14:solidFill>
              <w14:schemeClr w14:val="tx1"/>
            </w14:solidFill>
          </w14:textFill>
        </w:rPr>
        <w:t>2</w:t>
      </w:r>
      <w:r>
        <w:rPr>
          <w:rFonts w:ascii="宋体" w:hAnsi="宋体" w:cs="宋体"/>
          <w:color w:val="000000" w:themeColor="text1"/>
          <w:spacing w:val="-1"/>
          <w:sz w:val="24"/>
          <w:szCs w:val="24"/>
          <w:highlight w:val="none"/>
          <w14:textFill>
            <w14:solidFill>
              <w14:schemeClr w14:val="tx1"/>
            </w14:solidFill>
          </w14:textFill>
        </w:rPr>
        <w:t>）由于承包人原因为合理作业和安全保障所必需的暂停养护作业；</w:t>
      </w:r>
    </w:p>
    <w:p w14:paraId="784F8A38">
      <w:pPr>
        <w:spacing w:before="117" w:line="219" w:lineRule="auto"/>
        <w:ind w:left="492"/>
        <w:rPr>
          <w:rFonts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pacing w:val="-2"/>
          <w:sz w:val="24"/>
          <w:szCs w:val="24"/>
          <w:highlight w:val="none"/>
          <w14:textFill>
            <w14:solidFill>
              <w14:schemeClr w14:val="tx1"/>
            </w14:solidFill>
          </w14:textFill>
        </w:rPr>
        <w:t>（</w:t>
      </w:r>
      <w:r>
        <w:rPr>
          <w:rFonts w:eastAsia="Times New Roman"/>
          <w:color w:val="000000" w:themeColor="text1"/>
          <w:spacing w:val="-2"/>
          <w:sz w:val="24"/>
          <w:szCs w:val="24"/>
          <w:highlight w:val="none"/>
          <w14:textFill>
            <w14:solidFill>
              <w14:schemeClr w14:val="tx1"/>
            </w14:solidFill>
          </w14:textFill>
        </w:rPr>
        <w:t>3</w:t>
      </w:r>
      <w:r>
        <w:rPr>
          <w:rFonts w:ascii="宋体" w:hAnsi="宋体" w:cs="宋体"/>
          <w:color w:val="000000" w:themeColor="text1"/>
          <w:spacing w:val="-2"/>
          <w:sz w:val="24"/>
          <w:szCs w:val="24"/>
          <w:highlight w:val="none"/>
          <w14:textFill>
            <w14:solidFill>
              <w14:schemeClr w14:val="tx1"/>
            </w14:solidFill>
          </w14:textFill>
        </w:rPr>
        <w:t>）承包人擅自暂停的养护作业；</w:t>
      </w:r>
    </w:p>
    <w:p w14:paraId="49F92912">
      <w:pPr>
        <w:spacing w:before="113" w:line="219" w:lineRule="auto"/>
        <w:ind w:left="492"/>
        <w:rPr>
          <w:rFonts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pacing w:val="-2"/>
          <w:sz w:val="24"/>
          <w:szCs w:val="24"/>
          <w:highlight w:val="none"/>
          <w14:textFill>
            <w14:solidFill>
              <w14:schemeClr w14:val="tx1"/>
            </w14:solidFill>
          </w14:textFill>
        </w:rPr>
        <w:t>（</w:t>
      </w:r>
      <w:r>
        <w:rPr>
          <w:rFonts w:eastAsia="Times New Roman"/>
          <w:color w:val="000000" w:themeColor="text1"/>
          <w:spacing w:val="-2"/>
          <w:sz w:val="24"/>
          <w:szCs w:val="24"/>
          <w:highlight w:val="none"/>
          <w14:textFill>
            <w14:solidFill>
              <w14:schemeClr w14:val="tx1"/>
            </w14:solidFill>
          </w14:textFill>
        </w:rPr>
        <w:t>4</w:t>
      </w:r>
      <w:r>
        <w:rPr>
          <w:rFonts w:ascii="宋体" w:hAnsi="宋体" w:cs="宋体"/>
          <w:color w:val="000000" w:themeColor="text1"/>
          <w:spacing w:val="-2"/>
          <w:sz w:val="24"/>
          <w:szCs w:val="24"/>
          <w:highlight w:val="none"/>
          <w14:textFill>
            <w14:solidFill>
              <w14:schemeClr w14:val="tx1"/>
            </w14:solidFill>
          </w14:textFill>
        </w:rPr>
        <w:t>）承包人其他原因引起的暂停养护作业；</w:t>
      </w:r>
    </w:p>
    <w:p w14:paraId="0F592940">
      <w:pPr>
        <w:spacing w:before="116" w:line="264" w:lineRule="auto"/>
        <w:ind w:left="5" w:firstLine="486"/>
        <w:rPr>
          <w:rFonts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pacing w:val="1"/>
          <w:sz w:val="24"/>
          <w:szCs w:val="24"/>
          <w:highlight w:val="none"/>
          <w14:textFill>
            <w14:solidFill>
              <w14:schemeClr w14:val="tx1"/>
            </w14:solidFill>
          </w14:textFill>
        </w:rPr>
        <w:t>（</w:t>
      </w:r>
      <w:r>
        <w:rPr>
          <w:rFonts w:eastAsia="Times New Roman"/>
          <w:color w:val="000000" w:themeColor="text1"/>
          <w:spacing w:val="1"/>
          <w:sz w:val="24"/>
          <w:szCs w:val="24"/>
          <w:highlight w:val="none"/>
          <w14:textFill>
            <w14:solidFill>
              <w14:schemeClr w14:val="tx1"/>
            </w14:solidFill>
          </w14:textFill>
        </w:rPr>
        <w:t>5</w:t>
      </w:r>
      <w:r>
        <w:rPr>
          <w:rFonts w:ascii="宋体" w:hAnsi="宋体" w:cs="宋体"/>
          <w:color w:val="000000" w:themeColor="text1"/>
          <w:spacing w:val="1"/>
          <w:sz w:val="24"/>
          <w:szCs w:val="24"/>
          <w:highlight w:val="none"/>
          <w14:textFill>
            <w14:solidFill>
              <w14:schemeClr w14:val="tx1"/>
            </w14:solidFill>
          </w14:textFill>
        </w:rPr>
        <w:t>）现场气候条件导致的必要暂停（第</w:t>
      </w:r>
      <w:r>
        <w:rPr>
          <w:rFonts w:ascii="宋体" w:hAnsi="宋体" w:cs="宋体"/>
          <w:color w:val="000000" w:themeColor="text1"/>
          <w:spacing w:val="-23"/>
          <w:sz w:val="24"/>
          <w:szCs w:val="24"/>
          <w:highlight w:val="none"/>
          <w14:textFill>
            <w14:solidFill>
              <w14:schemeClr w14:val="tx1"/>
            </w14:solidFill>
          </w14:textFill>
        </w:rPr>
        <w:t xml:space="preserve"> </w:t>
      </w:r>
      <w:r>
        <w:rPr>
          <w:rFonts w:eastAsia="Times New Roman"/>
          <w:color w:val="000000" w:themeColor="text1"/>
          <w:spacing w:val="1"/>
          <w:sz w:val="24"/>
          <w:szCs w:val="24"/>
          <w:highlight w:val="none"/>
          <w14:textFill>
            <w14:solidFill>
              <w14:schemeClr w14:val="tx1"/>
            </w14:solidFill>
          </w14:textFill>
        </w:rPr>
        <w:t xml:space="preserve">11.4 </w:t>
      </w:r>
      <w:r>
        <w:rPr>
          <w:rFonts w:ascii="宋体" w:hAnsi="宋体" w:cs="宋体"/>
          <w:color w:val="000000" w:themeColor="text1"/>
          <w:spacing w:val="1"/>
          <w:sz w:val="24"/>
          <w:szCs w:val="24"/>
          <w:highlight w:val="none"/>
          <w14:textFill>
            <w14:solidFill>
              <w14:schemeClr w14:val="tx1"/>
            </w14:solidFill>
          </w14:textFill>
        </w:rPr>
        <w:t>款约定的异常恶劣的气候条件除</w:t>
      </w:r>
      <w:r>
        <w:rPr>
          <w:rFonts w:ascii="宋体" w:hAnsi="宋体" w:cs="宋体"/>
          <w:color w:val="000000" w:themeColor="text1"/>
          <w:spacing w:val="-15"/>
          <w:sz w:val="24"/>
          <w:szCs w:val="24"/>
          <w:highlight w:val="none"/>
          <w14:textFill>
            <w14:solidFill>
              <w14:schemeClr w14:val="tx1"/>
            </w14:solidFill>
          </w14:textFill>
        </w:rPr>
        <w:t>外</w:t>
      </w:r>
      <w:r>
        <w:rPr>
          <w:rFonts w:ascii="宋体" w:hAnsi="宋体" w:cs="宋体"/>
          <w:color w:val="000000" w:themeColor="text1"/>
          <w:spacing w:val="-45"/>
          <w:sz w:val="24"/>
          <w:szCs w:val="24"/>
          <w:highlight w:val="none"/>
          <w14:textFill>
            <w14:solidFill>
              <w14:schemeClr w14:val="tx1"/>
            </w14:solidFill>
          </w14:textFill>
        </w:rPr>
        <w:t>）；</w:t>
      </w:r>
    </w:p>
    <w:p w14:paraId="2CAB74F7">
      <w:pPr>
        <w:spacing w:before="113" w:line="219" w:lineRule="auto"/>
        <w:ind w:left="492"/>
        <w:rPr>
          <w:rFonts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pacing w:val="-1"/>
          <w:sz w:val="24"/>
          <w:szCs w:val="24"/>
          <w:highlight w:val="none"/>
          <w14:textFill>
            <w14:solidFill>
              <w14:schemeClr w14:val="tx1"/>
            </w14:solidFill>
          </w14:textFill>
        </w:rPr>
        <w:t>（</w:t>
      </w:r>
      <w:r>
        <w:rPr>
          <w:rFonts w:eastAsia="Times New Roman"/>
          <w:color w:val="000000" w:themeColor="text1"/>
          <w:spacing w:val="-1"/>
          <w:sz w:val="24"/>
          <w:szCs w:val="24"/>
          <w:highlight w:val="none"/>
          <w14:textFill>
            <w14:solidFill>
              <w14:schemeClr w14:val="tx1"/>
            </w14:solidFill>
          </w14:textFill>
        </w:rPr>
        <w:t>6</w:t>
      </w:r>
      <w:r>
        <w:rPr>
          <w:rFonts w:ascii="宋体" w:hAnsi="宋体" w:cs="宋体"/>
          <w:color w:val="000000" w:themeColor="text1"/>
          <w:spacing w:val="-1"/>
          <w:sz w:val="24"/>
          <w:szCs w:val="24"/>
          <w:highlight w:val="none"/>
          <w14:textFill>
            <w14:solidFill>
              <w14:schemeClr w14:val="tx1"/>
            </w14:solidFill>
          </w14:textFill>
        </w:rPr>
        <w:t>）专用合同条款约定的由承包人承担的其他暂停养护作业。</w:t>
      </w:r>
    </w:p>
    <w:p w14:paraId="41DB7B20">
      <w:pPr>
        <w:spacing w:before="107" w:line="219" w:lineRule="auto"/>
        <w:ind w:left="487"/>
        <w:outlineLvl w:val="3"/>
        <w:rPr>
          <w:rFonts w:ascii="宋体" w:hAnsi="宋体" w:cs="宋体"/>
          <w:color w:val="000000" w:themeColor="text1"/>
          <w:sz w:val="24"/>
          <w:szCs w:val="24"/>
          <w:highlight w:val="none"/>
          <w14:textFill>
            <w14:solidFill>
              <w14:schemeClr w14:val="tx1"/>
            </w14:solidFill>
          </w14:textFill>
        </w:rPr>
      </w:pPr>
      <w:r>
        <w:rPr>
          <w:rFonts w:eastAsia="Times New Roman"/>
          <w:b/>
          <w:bCs/>
          <w:color w:val="000000" w:themeColor="text1"/>
          <w:spacing w:val="-3"/>
          <w:sz w:val="24"/>
          <w:szCs w:val="24"/>
          <w:highlight w:val="none"/>
          <w14:textFill>
            <w14:solidFill>
              <w14:schemeClr w14:val="tx1"/>
            </w14:solidFill>
          </w14:textFill>
        </w:rPr>
        <w:t xml:space="preserve">12.2  </w:t>
      </w:r>
      <w:r>
        <w:rPr>
          <w:rFonts w:ascii="宋体" w:hAnsi="宋体" w:cs="宋体"/>
          <w:b/>
          <w:bCs/>
          <w:color w:val="000000" w:themeColor="text1"/>
          <w:spacing w:val="-3"/>
          <w:sz w:val="24"/>
          <w:szCs w:val="24"/>
          <w:highlight w:val="none"/>
          <w14:textFill>
            <w14:solidFill>
              <w14:schemeClr w14:val="tx1"/>
            </w14:solidFill>
          </w14:textFill>
        </w:rPr>
        <w:t>发包人暂停养护作业的责任</w:t>
      </w:r>
    </w:p>
    <w:p w14:paraId="12990CF4">
      <w:pPr>
        <w:spacing w:before="125" w:line="219" w:lineRule="auto"/>
        <w:jc w:val="right"/>
        <w:rPr>
          <w:color w:val="000000" w:themeColor="text1"/>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由于发包人原因引起的暂停养护作业造成工期延误的，承包人有权要</w:t>
      </w:r>
      <w:r>
        <w:rPr>
          <w:rFonts w:ascii="宋体" w:hAnsi="宋体" w:cs="宋体"/>
          <w:color w:val="000000" w:themeColor="text1"/>
          <w:spacing w:val="-1"/>
          <w:sz w:val="24"/>
          <w:szCs w:val="24"/>
          <w:highlight w:val="none"/>
          <w14:textFill>
            <w14:solidFill>
              <w14:schemeClr w14:val="tx1"/>
            </w14:solidFill>
          </w14:textFill>
        </w:rPr>
        <w:t>求发包人</w:t>
      </w:r>
    </w:p>
    <w:p w14:paraId="5BC6CABF">
      <w:pPr>
        <w:pStyle w:val="21"/>
        <w:spacing w:line="246" w:lineRule="auto"/>
        <w:rPr>
          <w:color w:val="000000" w:themeColor="text1"/>
          <w:highlight w:val="none"/>
          <w14:textFill>
            <w14:solidFill>
              <w14:schemeClr w14:val="tx1"/>
            </w14:solidFill>
          </w14:textFill>
        </w:rPr>
      </w:pPr>
    </w:p>
    <w:p w14:paraId="0A1AC3B3">
      <w:pPr>
        <w:spacing w:before="78" w:line="219" w:lineRule="auto"/>
        <w:ind w:left="1"/>
        <w:rPr>
          <w:rFonts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pacing w:val="-1"/>
          <w:sz w:val="24"/>
          <w:szCs w:val="24"/>
          <w:highlight w:val="none"/>
          <w14:textFill>
            <w14:solidFill>
              <w14:schemeClr w14:val="tx1"/>
            </w14:solidFill>
          </w14:textFill>
        </w:rPr>
        <w:t>延长工期和（或）增加费用，并支付合理利润。</w:t>
      </w:r>
    </w:p>
    <w:p w14:paraId="4EC88A29">
      <w:pPr>
        <w:spacing w:before="106" w:line="219" w:lineRule="auto"/>
        <w:ind w:left="487"/>
        <w:outlineLvl w:val="3"/>
        <w:rPr>
          <w:rFonts w:ascii="宋体" w:hAnsi="宋体" w:cs="宋体"/>
          <w:color w:val="000000" w:themeColor="text1"/>
          <w:sz w:val="24"/>
          <w:szCs w:val="24"/>
          <w:highlight w:val="none"/>
          <w14:textFill>
            <w14:solidFill>
              <w14:schemeClr w14:val="tx1"/>
            </w14:solidFill>
          </w14:textFill>
        </w:rPr>
      </w:pPr>
      <w:bookmarkStart w:id="143" w:name="bookmark222"/>
      <w:bookmarkEnd w:id="143"/>
      <w:r>
        <w:rPr>
          <w:rFonts w:eastAsia="Times New Roman"/>
          <w:b/>
          <w:bCs/>
          <w:color w:val="000000" w:themeColor="text1"/>
          <w:spacing w:val="-2"/>
          <w:sz w:val="24"/>
          <w:szCs w:val="24"/>
          <w:highlight w:val="none"/>
          <w14:textFill>
            <w14:solidFill>
              <w14:schemeClr w14:val="tx1"/>
            </w14:solidFill>
          </w14:textFill>
        </w:rPr>
        <w:t xml:space="preserve">12.3  </w:t>
      </w:r>
      <w:r>
        <w:rPr>
          <w:rFonts w:ascii="宋体" w:hAnsi="宋体" w:cs="宋体"/>
          <w:b/>
          <w:bCs/>
          <w:color w:val="000000" w:themeColor="text1"/>
          <w:spacing w:val="-2"/>
          <w:sz w:val="24"/>
          <w:szCs w:val="24"/>
          <w:highlight w:val="none"/>
          <w14:textFill>
            <w14:solidFill>
              <w14:schemeClr w14:val="tx1"/>
            </w14:solidFill>
          </w14:textFill>
        </w:rPr>
        <w:t>咨询人暂停养护作业指示</w:t>
      </w:r>
    </w:p>
    <w:p w14:paraId="0CB813F2">
      <w:pPr>
        <w:spacing w:before="124" w:line="278" w:lineRule="auto"/>
        <w:ind w:right="25" w:firstLine="499"/>
        <w:rPr>
          <w:rFonts w:ascii="宋体" w:hAnsi="宋体" w:cs="宋体"/>
          <w:color w:val="000000" w:themeColor="text1"/>
          <w:sz w:val="24"/>
          <w:szCs w:val="24"/>
          <w:highlight w:val="none"/>
          <w14:textFill>
            <w14:solidFill>
              <w14:schemeClr w14:val="tx1"/>
            </w14:solidFill>
          </w14:textFill>
        </w:rPr>
      </w:pPr>
      <w:r>
        <w:rPr>
          <w:rFonts w:eastAsia="Times New Roman"/>
          <w:color w:val="000000" w:themeColor="text1"/>
          <w:sz w:val="24"/>
          <w:szCs w:val="24"/>
          <w:highlight w:val="none"/>
          <w14:textFill>
            <w14:solidFill>
              <w14:schemeClr w14:val="tx1"/>
            </w14:solidFill>
          </w14:textFill>
        </w:rPr>
        <w:t xml:space="preserve">12.3.1  </w:t>
      </w:r>
      <w:r>
        <w:rPr>
          <w:rFonts w:ascii="宋体" w:hAnsi="宋体" w:cs="宋体"/>
          <w:color w:val="000000" w:themeColor="text1"/>
          <w:sz w:val="24"/>
          <w:szCs w:val="24"/>
          <w:highlight w:val="none"/>
          <w14:textFill>
            <w14:solidFill>
              <w14:schemeClr w14:val="tx1"/>
            </w14:solidFill>
          </w14:textFill>
        </w:rPr>
        <w:t>咨询人认为有必要时，可向承包人作出暂停养护作业的指示，承包人应</w:t>
      </w:r>
      <w:r>
        <w:rPr>
          <w:rFonts w:ascii="宋体" w:hAnsi="宋体" w:cs="宋体"/>
          <w:color w:val="000000" w:themeColor="text1"/>
          <w:spacing w:val="1"/>
          <w:sz w:val="24"/>
          <w:szCs w:val="24"/>
          <w:highlight w:val="none"/>
          <w14:textFill>
            <w14:solidFill>
              <w14:schemeClr w14:val="tx1"/>
            </w14:solidFill>
          </w14:textFill>
        </w:rPr>
        <w:t>按咨询人指示暂停养护作业。不论由于何种原因引起的暂停</w:t>
      </w:r>
      <w:r>
        <w:rPr>
          <w:rFonts w:ascii="宋体" w:hAnsi="宋体" w:cs="宋体"/>
          <w:color w:val="000000" w:themeColor="text1"/>
          <w:sz w:val="24"/>
          <w:szCs w:val="24"/>
          <w:highlight w:val="none"/>
          <w14:textFill>
            <w14:solidFill>
              <w14:schemeClr w14:val="tx1"/>
            </w14:solidFill>
          </w14:textFill>
        </w:rPr>
        <w:t>养护作业，暂停养护作</w:t>
      </w:r>
      <w:r>
        <w:rPr>
          <w:rFonts w:ascii="宋体" w:hAnsi="宋体" w:cs="宋体"/>
          <w:color w:val="000000" w:themeColor="text1"/>
          <w:spacing w:val="-1"/>
          <w:sz w:val="24"/>
          <w:szCs w:val="24"/>
          <w:highlight w:val="none"/>
          <w14:textFill>
            <w14:solidFill>
              <w14:schemeClr w14:val="tx1"/>
            </w14:solidFill>
          </w14:textFill>
        </w:rPr>
        <w:t>业期间承包人应负责妥善保护养护项目并提供安全保障。</w:t>
      </w:r>
    </w:p>
    <w:p w14:paraId="668E8C56">
      <w:pPr>
        <w:spacing w:before="112" w:line="286" w:lineRule="auto"/>
        <w:ind w:firstLine="499"/>
        <w:rPr>
          <w:rFonts w:ascii="宋体" w:hAnsi="宋体" w:cs="宋体"/>
          <w:color w:val="000000" w:themeColor="text1"/>
          <w:sz w:val="24"/>
          <w:szCs w:val="24"/>
          <w:highlight w:val="none"/>
          <w14:textFill>
            <w14:solidFill>
              <w14:schemeClr w14:val="tx1"/>
            </w14:solidFill>
          </w14:textFill>
        </w:rPr>
      </w:pPr>
      <w:r>
        <w:rPr>
          <w:rFonts w:eastAsia="Times New Roman"/>
          <w:color w:val="000000" w:themeColor="text1"/>
          <w:spacing w:val="-1"/>
          <w:sz w:val="24"/>
          <w:szCs w:val="24"/>
          <w:highlight w:val="none"/>
          <w14:textFill>
            <w14:solidFill>
              <w14:schemeClr w14:val="tx1"/>
            </w14:solidFill>
          </w14:textFill>
        </w:rPr>
        <w:t>12.3.2</w:t>
      </w:r>
      <w:r>
        <w:rPr>
          <w:rFonts w:eastAsia="Times New Roman"/>
          <w:color w:val="000000" w:themeColor="text1"/>
          <w:spacing w:val="20"/>
          <w:w w:val="101"/>
          <w:sz w:val="24"/>
          <w:szCs w:val="24"/>
          <w:highlight w:val="none"/>
          <w14:textFill>
            <w14:solidFill>
              <w14:schemeClr w14:val="tx1"/>
            </w14:solidFill>
          </w14:textFill>
        </w:rPr>
        <w:t xml:space="preserve">  </w:t>
      </w:r>
      <w:r>
        <w:rPr>
          <w:rFonts w:ascii="宋体" w:hAnsi="宋体" w:cs="宋体"/>
          <w:color w:val="000000" w:themeColor="text1"/>
          <w:spacing w:val="-1"/>
          <w:sz w:val="24"/>
          <w:szCs w:val="24"/>
          <w:highlight w:val="none"/>
          <w14:textFill>
            <w14:solidFill>
              <w14:schemeClr w14:val="tx1"/>
            </w14:solidFill>
          </w14:textFill>
        </w:rPr>
        <w:t>由于发包人的原因发生暂停养护作业的紧急情况，且咨询人未及时下达</w:t>
      </w:r>
      <w:r>
        <w:rPr>
          <w:rFonts w:ascii="宋体" w:hAnsi="宋体" w:cs="宋体"/>
          <w:color w:val="000000" w:themeColor="text1"/>
          <w:spacing w:val="1"/>
          <w:sz w:val="24"/>
          <w:szCs w:val="24"/>
          <w:highlight w:val="none"/>
          <w14:textFill>
            <w14:solidFill>
              <w14:schemeClr w14:val="tx1"/>
            </w14:solidFill>
          </w14:textFill>
        </w:rPr>
        <w:t>暂停养护作业指示的，承包人可先暂停养护作业，并及时向</w:t>
      </w:r>
      <w:r>
        <w:rPr>
          <w:rFonts w:ascii="宋体" w:hAnsi="宋体" w:cs="宋体"/>
          <w:color w:val="000000" w:themeColor="text1"/>
          <w:sz w:val="24"/>
          <w:szCs w:val="24"/>
          <w:highlight w:val="none"/>
          <w14:textFill>
            <w14:solidFill>
              <w14:schemeClr w14:val="tx1"/>
            </w14:solidFill>
          </w14:textFill>
        </w:rPr>
        <w:t>咨询人提出暂停养护作</w:t>
      </w:r>
      <w:r>
        <w:rPr>
          <w:rFonts w:ascii="宋体" w:hAnsi="宋体" w:cs="宋体"/>
          <w:color w:val="000000" w:themeColor="text1"/>
          <w:spacing w:val="-2"/>
          <w:sz w:val="24"/>
          <w:szCs w:val="24"/>
          <w:highlight w:val="none"/>
          <w14:textFill>
            <w14:solidFill>
              <w14:schemeClr w14:val="tx1"/>
            </w14:solidFill>
          </w14:textFill>
        </w:rPr>
        <w:t>业的书面请求。咨询人应在接到书面请求后的</w:t>
      </w:r>
      <w:r>
        <w:rPr>
          <w:rFonts w:ascii="宋体" w:hAnsi="宋体" w:cs="宋体"/>
          <w:color w:val="000000" w:themeColor="text1"/>
          <w:spacing w:val="-55"/>
          <w:sz w:val="24"/>
          <w:szCs w:val="24"/>
          <w:highlight w:val="none"/>
          <w14:textFill>
            <w14:solidFill>
              <w14:schemeClr w14:val="tx1"/>
            </w14:solidFill>
          </w14:textFill>
        </w:rPr>
        <w:t xml:space="preserve"> </w:t>
      </w:r>
      <w:r>
        <w:rPr>
          <w:rFonts w:eastAsia="Times New Roman"/>
          <w:color w:val="000000" w:themeColor="text1"/>
          <w:spacing w:val="-2"/>
          <w:sz w:val="24"/>
          <w:szCs w:val="24"/>
          <w:highlight w:val="none"/>
          <w14:textFill>
            <w14:solidFill>
              <w14:schemeClr w14:val="tx1"/>
            </w14:solidFill>
          </w14:textFill>
        </w:rPr>
        <w:t>24</w:t>
      </w:r>
      <w:r>
        <w:rPr>
          <w:rFonts w:eastAsia="Times New Roman"/>
          <w:color w:val="000000" w:themeColor="text1"/>
          <w:spacing w:val="16"/>
          <w:sz w:val="24"/>
          <w:szCs w:val="24"/>
          <w:highlight w:val="none"/>
          <w14:textFill>
            <w14:solidFill>
              <w14:schemeClr w14:val="tx1"/>
            </w14:solidFill>
          </w14:textFill>
        </w:rPr>
        <w:t xml:space="preserve"> </w:t>
      </w:r>
      <w:r>
        <w:rPr>
          <w:rFonts w:ascii="宋体" w:hAnsi="宋体" w:cs="宋体"/>
          <w:color w:val="000000" w:themeColor="text1"/>
          <w:spacing w:val="-3"/>
          <w:sz w:val="24"/>
          <w:szCs w:val="24"/>
          <w:highlight w:val="none"/>
          <w14:textFill>
            <w14:solidFill>
              <w14:schemeClr w14:val="tx1"/>
            </w14:solidFill>
          </w14:textFill>
        </w:rPr>
        <w:t>小时内予以答复，逾期未答复的，</w:t>
      </w:r>
      <w:r>
        <w:rPr>
          <w:rFonts w:ascii="宋体" w:hAnsi="宋体" w:cs="宋体"/>
          <w:color w:val="000000" w:themeColor="text1"/>
          <w:spacing w:val="-1"/>
          <w:sz w:val="24"/>
          <w:szCs w:val="24"/>
          <w:highlight w:val="none"/>
          <w14:textFill>
            <w14:solidFill>
              <w14:schemeClr w14:val="tx1"/>
            </w14:solidFill>
          </w14:textFill>
        </w:rPr>
        <w:t>视为同意承包人的暂停养护作业请求。</w:t>
      </w:r>
    </w:p>
    <w:p w14:paraId="282C9C2E">
      <w:pPr>
        <w:spacing w:before="106" w:line="219" w:lineRule="auto"/>
        <w:ind w:left="487"/>
        <w:outlineLvl w:val="3"/>
        <w:rPr>
          <w:rFonts w:ascii="宋体" w:hAnsi="宋体" w:cs="宋体"/>
          <w:color w:val="000000" w:themeColor="text1"/>
          <w:sz w:val="24"/>
          <w:szCs w:val="24"/>
          <w:highlight w:val="none"/>
          <w14:textFill>
            <w14:solidFill>
              <w14:schemeClr w14:val="tx1"/>
            </w14:solidFill>
          </w14:textFill>
        </w:rPr>
      </w:pPr>
      <w:r>
        <w:rPr>
          <w:rFonts w:eastAsia="Times New Roman"/>
          <w:b/>
          <w:bCs/>
          <w:color w:val="000000" w:themeColor="text1"/>
          <w:spacing w:val="-2"/>
          <w:sz w:val="24"/>
          <w:szCs w:val="24"/>
          <w:highlight w:val="none"/>
          <w14:textFill>
            <w14:solidFill>
              <w14:schemeClr w14:val="tx1"/>
            </w14:solidFill>
          </w14:textFill>
        </w:rPr>
        <w:t xml:space="preserve">12.4  </w:t>
      </w:r>
      <w:r>
        <w:rPr>
          <w:rFonts w:ascii="宋体" w:hAnsi="宋体" w:cs="宋体"/>
          <w:b/>
          <w:bCs/>
          <w:color w:val="000000" w:themeColor="text1"/>
          <w:spacing w:val="-2"/>
          <w:sz w:val="24"/>
          <w:szCs w:val="24"/>
          <w:highlight w:val="none"/>
          <w14:textFill>
            <w14:solidFill>
              <w14:schemeClr w14:val="tx1"/>
            </w14:solidFill>
          </w14:textFill>
        </w:rPr>
        <w:t>暂停养护作业后的复工</w:t>
      </w:r>
    </w:p>
    <w:p w14:paraId="1413A5DC">
      <w:pPr>
        <w:spacing w:before="125" w:line="278" w:lineRule="auto"/>
        <w:ind w:left="3" w:right="25" w:firstLine="495"/>
        <w:rPr>
          <w:rFonts w:ascii="宋体" w:hAnsi="宋体" w:cs="宋体"/>
          <w:color w:val="000000" w:themeColor="text1"/>
          <w:sz w:val="24"/>
          <w:szCs w:val="24"/>
          <w:highlight w:val="none"/>
          <w14:textFill>
            <w14:solidFill>
              <w14:schemeClr w14:val="tx1"/>
            </w14:solidFill>
          </w14:textFill>
        </w:rPr>
      </w:pPr>
      <w:r>
        <w:rPr>
          <w:rFonts w:eastAsia="Times New Roman"/>
          <w:color w:val="000000" w:themeColor="text1"/>
          <w:spacing w:val="1"/>
          <w:sz w:val="24"/>
          <w:szCs w:val="24"/>
          <w:highlight w:val="none"/>
          <w14:textFill>
            <w14:solidFill>
              <w14:schemeClr w14:val="tx1"/>
            </w14:solidFill>
          </w14:textFill>
        </w:rPr>
        <w:t>12.4.1</w:t>
      </w:r>
      <w:r>
        <w:rPr>
          <w:rFonts w:eastAsia="Times New Roman"/>
          <w:color w:val="000000" w:themeColor="text1"/>
          <w:spacing w:val="27"/>
          <w:sz w:val="24"/>
          <w:szCs w:val="24"/>
          <w:highlight w:val="none"/>
          <w14:textFill>
            <w14:solidFill>
              <w14:schemeClr w14:val="tx1"/>
            </w14:solidFill>
          </w14:textFill>
        </w:rPr>
        <w:t xml:space="preserve"> </w:t>
      </w:r>
      <w:r>
        <w:rPr>
          <w:rFonts w:ascii="宋体" w:hAnsi="宋体" w:cs="宋体"/>
          <w:color w:val="000000" w:themeColor="text1"/>
          <w:spacing w:val="1"/>
          <w:sz w:val="24"/>
          <w:szCs w:val="24"/>
          <w:highlight w:val="none"/>
          <w14:textFill>
            <w14:solidFill>
              <w14:schemeClr w14:val="tx1"/>
            </w14:solidFill>
          </w14:textFill>
        </w:rPr>
        <w:t>暂停养护作业后，咨询人应与发包人和承包人协商，采取有效措施积极消除暂停养护作业的影响。当工程具备复工条件时</w:t>
      </w:r>
      <w:r>
        <w:rPr>
          <w:rFonts w:ascii="宋体" w:hAnsi="宋体" w:cs="宋体"/>
          <w:color w:val="000000" w:themeColor="text1"/>
          <w:sz w:val="24"/>
          <w:szCs w:val="24"/>
          <w:highlight w:val="none"/>
          <w14:textFill>
            <w14:solidFill>
              <w14:schemeClr w14:val="tx1"/>
            </w14:solidFill>
          </w14:textFill>
        </w:rPr>
        <w:t>，咨询人应立即向承包人发出复</w:t>
      </w:r>
      <w:r>
        <w:rPr>
          <w:rFonts w:ascii="宋体" w:hAnsi="宋体" w:cs="宋体"/>
          <w:color w:val="000000" w:themeColor="text1"/>
          <w:spacing w:val="-1"/>
          <w:sz w:val="24"/>
          <w:szCs w:val="24"/>
          <w:highlight w:val="none"/>
          <w14:textFill>
            <w14:solidFill>
              <w14:schemeClr w14:val="tx1"/>
            </w14:solidFill>
          </w14:textFill>
        </w:rPr>
        <w:t>工通知。承包人收到复工通知后，应在咨询人指定的期限内复工。</w:t>
      </w:r>
    </w:p>
    <w:p w14:paraId="728D795F">
      <w:pPr>
        <w:spacing w:before="116" w:line="278" w:lineRule="auto"/>
        <w:ind w:left="1" w:right="25" w:firstLine="497"/>
        <w:rPr>
          <w:rFonts w:ascii="宋体" w:hAnsi="宋体" w:cs="宋体"/>
          <w:color w:val="000000" w:themeColor="text1"/>
          <w:sz w:val="24"/>
          <w:szCs w:val="24"/>
          <w:highlight w:val="none"/>
          <w14:textFill>
            <w14:solidFill>
              <w14:schemeClr w14:val="tx1"/>
            </w14:solidFill>
          </w14:textFill>
        </w:rPr>
      </w:pPr>
      <w:r>
        <w:rPr>
          <w:rFonts w:eastAsia="Times New Roman"/>
          <w:color w:val="000000" w:themeColor="text1"/>
          <w:spacing w:val="2"/>
          <w:sz w:val="24"/>
          <w:szCs w:val="24"/>
          <w:highlight w:val="none"/>
          <w14:textFill>
            <w14:solidFill>
              <w14:schemeClr w14:val="tx1"/>
            </w14:solidFill>
          </w14:textFill>
        </w:rPr>
        <w:t xml:space="preserve">12.4.2 </w:t>
      </w:r>
      <w:r>
        <w:rPr>
          <w:rFonts w:ascii="宋体" w:hAnsi="宋体" w:cs="宋体"/>
          <w:color w:val="000000" w:themeColor="text1"/>
          <w:spacing w:val="2"/>
          <w:sz w:val="24"/>
          <w:szCs w:val="24"/>
          <w:highlight w:val="none"/>
          <w14:textFill>
            <w14:solidFill>
              <w14:schemeClr w14:val="tx1"/>
            </w14:solidFill>
          </w14:textFill>
        </w:rPr>
        <w:t>承包人无故拖延和拒绝复工的，由此增加的</w:t>
      </w:r>
      <w:r>
        <w:rPr>
          <w:rFonts w:ascii="宋体" w:hAnsi="宋体" w:cs="宋体"/>
          <w:color w:val="000000" w:themeColor="text1"/>
          <w:spacing w:val="1"/>
          <w:sz w:val="24"/>
          <w:szCs w:val="24"/>
          <w:highlight w:val="none"/>
          <w14:textFill>
            <w14:solidFill>
              <w14:schemeClr w14:val="tx1"/>
            </w14:solidFill>
          </w14:textFill>
        </w:rPr>
        <w:t>费用和工期延误由承包人承担；因发包人原因无法按时复工的，承包人有权要求发</w:t>
      </w:r>
      <w:r>
        <w:rPr>
          <w:rFonts w:ascii="宋体" w:hAnsi="宋体" w:cs="宋体"/>
          <w:color w:val="000000" w:themeColor="text1"/>
          <w:sz w:val="24"/>
          <w:szCs w:val="24"/>
          <w:highlight w:val="none"/>
          <w14:textFill>
            <w14:solidFill>
              <w14:schemeClr w14:val="tx1"/>
            </w14:solidFill>
          </w14:textFill>
        </w:rPr>
        <w:t>包人延长工期和（或）增加</w:t>
      </w:r>
      <w:r>
        <w:rPr>
          <w:rFonts w:ascii="宋体" w:hAnsi="宋体" w:cs="宋体"/>
          <w:color w:val="000000" w:themeColor="text1"/>
          <w:spacing w:val="-1"/>
          <w:sz w:val="24"/>
          <w:szCs w:val="24"/>
          <w:highlight w:val="none"/>
          <w14:textFill>
            <w14:solidFill>
              <w14:schemeClr w14:val="tx1"/>
            </w14:solidFill>
          </w14:textFill>
        </w:rPr>
        <w:t>费用，并支付合理利润。</w:t>
      </w:r>
    </w:p>
    <w:p w14:paraId="674DC48C">
      <w:pPr>
        <w:spacing w:before="106" w:line="219" w:lineRule="auto"/>
        <w:ind w:left="487"/>
        <w:outlineLvl w:val="3"/>
        <w:rPr>
          <w:rFonts w:ascii="宋体" w:hAnsi="宋体" w:cs="宋体"/>
          <w:color w:val="000000" w:themeColor="text1"/>
          <w:sz w:val="24"/>
          <w:szCs w:val="24"/>
          <w:highlight w:val="none"/>
          <w14:textFill>
            <w14:solidFill>
              <w14:schemeClr w14:val="tx1"/>
            </w14:solidFill>
          </w14:textFill>
        </w:rPr>
      </w:pPr>
      <w:r>
        <w:rPr>
          <w:rFonts w:eastAsia="Times New Roman"/>
          <w:b/>
          <w:bCs/>
          <w:color w:val="000000" w:themeColor="text1"/>
          <w:spacing w:val="-4"/>
          <w:sz w:val="24"/>
          <w:szCs w:val="24"/>
          <w:highlight w:val="none"/>
          <w14:textFill>
            <w14:solidFill>
              <w14:schemeClr w14:val="tx1"/>
            </w14:solidFill>
          </w14:textFill>
        </w:rPr>
        <w:t xml:space="preserve">12.5  </w:t>
      </w:r>
      <w:r>
        <w:rPr>
          <w:rFonts w:ascii="宋体" w:hAnsi="宋体" w:cs="宋体"/>
          <w:b/>
          <w:bCs/>
          <w:color w:val="000000" w:themeColor="text1"/>
          <w:spacing w:val="-4"/>
          <w:sz w:val="24"/>
          <w:szCs w:val="24"/>
          <w:highlight w:val="none"/>
          <w14:textFill>
            <w14:solidFill>
              <w14:schemeClr w14:val="tx1"/>
            </w14:solidFill>
          </w14:textFill>
        </w:rPr>
        <w:t>暂停养护作业持续</w:t>
      </w:r>
      <w:r>
        <w:rPr>
          <w:rFonts w:ascii="宋体" w:hAnsi="宋体" w:cs="宋体"/>
          <w:color w:val="000000" w:themeColor="text1"/>
          <w:spacing w:val="-34"/>
          <w:sz w:val="24"/>
          <w:szCs w:val="24"/>
          <w:highlight w:val="none"/>
          <w14:textFill>
            <w14:solidFill>
              <w14:schemeClr w14:val="tx1"/>
            </w14:solidFill>
          </w14:textFill>
        </w:rPr>
        <w:t xml:space="preserve"> </w:t>
      </w:r>
      <w:r>
        <w:rPr>
          <w:rFonts w:eastAsia="Times New Roman"/>
          <w:b/>
          <w:bCs/>
          <w:color w:val="000000" w:themeColor="text1"/>
          <w:spacing w:val="-4"/>
          <w:sz w:val="24"/>
          <w:szCs w:val="24"/>
          <w:highlight w:val="none"/>
          <w14:textFill>
            <w14:solidFill>
              <w14:schemeClr w14:val="tx1"/>
            </w14:solidFill>
          </w14:textFill>
        </w:rPr>
        <w:t>14</w:t>
      </w:r>
      <w:r>
        <w:rPr>
          <w:rFonts w:eastAsia="Times New Roman"/>
          <w:b/>
          <w:bCs/>
          <w:color w:val="000000" w:themeColor="text1"/>
          <w:spacing w:val="15"/>
          <w:sz w:val="24"/>
          <w:szCs w:val="24"/>
          <w:highlight w:val="none"/>
          <w14:textFill>
            <w14:solidFill>
              <w14:schemeClr w14:val="tx1"/>
            </w14:solidFill>
          </w14:textFill>
        </w:rPr>
        <w:t xml:space="preserve"> </w:t>
      </w:r>
      <w:r>
        <w:rPr>
          <w:rFonts w:ascii="宋体" w:hAnsi="宋体" w:cs="宋体"/>
          <w:b/>
          <w:bCs/>
          <w:color w:val="000000" w:themeColor="text1"/>
          <w:spacing w:val="-4"/>
          <w:sz w:val="24"/>
          <w:szCs w:val="24"/>
          <w:highlight w:val="none"/>
          <w14:textFill>
            <w14:solidFill>
              <w14:schemeClr w14:val="tx1"/>
            </w14:solidFill>
          </w14:textFill>
        </w:rPr>
        <w:t>天以上</w:t>
      </w:r>
    </w:p>
    <w:p w14:paraId="15FF074C">
      <w:pPr>
        <w:spacing w:before="122" w:line="310" w:lineRule="auto"/>
        <w:ind w:left="1" w:right="25" w:firstLine="508"/>
        <w:rPr>
          <w:rFonts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由于承包人责任引起的暂停养护作业，如承包人在收到咨询人暂停养</w:t>
      </w:r>
      <w:r>
        <w:rPr>
          <w:rFonts w:ascii="宋体" w:hAnsi="宋体" w:cs="宋体"/>
          <w:color w:val="000000" w:themeColor="text1"/>
          <w:spacing w:val="-1"/>
          <w:sz w:val="24"/>
          <w:szCs w:val="24"/>
          <w:highlight w:val="none"/>
          <w14:textFill>
            <w14:solidFill>
              <w14:schemeClr w14:val="tx1"/>
            </w14:solidFill>
          </w14:textFill>
        </w:rPr>
        <w:t>护作业指</w:t>
      </w:r>
      <w:r>
        <w:rPr>
          <w:rFonts w:ascii="宋体" w:hAnsi="宋体" w:cs="宋体"/>
          <w:color w:val="000000" w:themeColor="text1"/>
          <w:spacing w:val="3"/>
          <w:sz w:val="24"/>
          <w:szCs w:val="24"/>
          <w:highlight w:val="none"/>
          <w14:textFill>
            <w14:solidFill>
              <w14:schemeClr w14:val="tx1"/>
            </w14:solidFill>
          </w14:textFill>
        </w:rPr>
        <w:t>示后</w:t>
      </w:r>
      <w:r>
        <w:rPr>
          <w:rFonts w:ascii="宋体" w:hAnsi="宋体" w:cs="宋体"/>
          <w:color w:val="000000" w:themeColor="text1"/>
          <w:spacing w:val="-27"/>
          <w:sz w:val="24"/>
          <w:szCs w:val="24"/>
          <w:highlight w:val="none"/>
          <w14:textFill>
            <w14:solidFill>
              <w14:schemeClr w14:val="tx1"/>
            </w14:solidFill>
          </w14:textFill>
        </w:rPr>
        <w:t xml:space="preserve"> </w:t>
      </w:r>
      <w:r>
        <w:rPr>
          <w:rFonts w:eastAsia="Times New Roman"/>
          <w:color w:val="000000" w:themeColor="text1"/>
          <w:spacing w:val="3"/>
          <w:sz w:val="24"/>
          <w:szCs w:val="24"/>
          <w:highlight w:val="none"/>
          <w14:textFill>
            <w14:solidFill>
              <w14:schemeClr w14:val="tx1"/>
            </w14:solidFill>
          </w14:textFill>
        </w:rPr>
        <w:t>14</w:t>
      </w:r>
      <w:r>
        <w:rPr>
          <w:rFonts w:eastAsia="Times New Roman"/>
          <w:color w:val="000000" w:themeColor="text1"/>
          <w:spacing w:val="17"/>
          <w:sz w:val="24"/>
          <w:szCs w:val="24"/>
          <w:highlight w:val="none"/>
          <w14:textFill>
            <w14:solidFill>
              <w14:schemeClr w14:val="tx1"/>
            </w14:solidFill>
          </w14:textFill>
        </w:rPr>
        <w:t xml:space="preserve"> </w:t>
      </w:r>
      <w:r>
        <w:rPr>
          <w:rFonts w:ascii="宋体" w:hAnsi="宋体" w:cs="宋体"/>
          <w:color w:val="000000" w:themeColor="text1"/>
          <w:spacing w:val="3"/>
          <w:sz w:val="24"/>
          <w:szCs w:val="24"/>
          <w:highlight w:val="none"/>
          <w14:textFill>
            <w14:solidFill>
              <w14:schemeClr w14:val="tx1"/>
            </w14:solidFill>
          </w14:textFill>
        </w:rPr>
        <w:t>天内不认真采取有效的复工措施，造</w:t>
      </w:r>
      <w:r>
        <w:rPr>
          <w:rFonts w:ascii="宋体" w:hAnsi="宋体" w:cs="宋体"/>
          <w:color w:val="000000" w:themeColor="text1"/>
          <w:spacing w:val="2"/>
          <w:sz w:val="24"/>
          <w:szCs w:val="24"/>
          <w:highlight w:val="none"/>
          <w14:textFill>
            <w14:solidFill>
              <w14:schemeClr w14:val="tx1"/>
            </w14:solidFill>
          </w14:textFill>
        </w:rPr>
        <w:t>成工期延误，可视为承包人违约，应</w:t>
      </w:r>
      <w:r>
        <w:rPr>
          <w:rFonts w:ascii="宋体" w:hAnsi="宋体" w:cs="宋体"/>
          <w:color w:val="000000" w:themeColor="text1"/>
          <w:spacing w:val="-2"/>
          <w:sz w:val="24"/>
          <w:szCs w:val="24"/>
          <w:highlight w:val="none"/>
          <w14:textFill>
            <w14:solidFill>
              <w14:schemeClr w14:val="tx1"/>
            </w14:solidFill>
          </w14:textFill>
        </w:rPr>
        <w:t>按第</w:t>
      </w:r>
      <w:r>
        <w:rPr>
          <w:rFonts w:ascii="宋体" w:hAnsi="宋体" w:cs="宋体"/>
          <w:color w:val="000000" w:themeColor="text1"/>
          <w:spacing w:val="-44"/>
          <w:sz w:val="24"/>
          <w:szCs w:val="24"/>
          <w:highlight w:val="none"/>
          <w14:textFill>
            <w14:solidFill>
              <w14:schemeClr w14:val="tx1"/>
            </w14:solidFill>
          </w14:textFill>
        </w:rPr>
        <w:t xml:space="preserve"> </w:t>
      </w:r>
      <w:r>
        <w:rPr>
          <w:rFonts w:eastAsia="Times New Roman"/>
          <w:color w:val="000000" w:themeColor="text1"/>
          <w:spacing w:val="-2"/>
          <w:sz w:val="24"/>
          <w:szCs w:val="24"/>
          <w:highlight w:val="none"/>
          <w14:textFill>
            <w14:solidFill>
              <w14:schemeClr w14:val="tx1"/>
            </w14:solidFill>
          </w14:textFill>
        </w:rPr>
        <w:t xml:space="preserve">22.1 </w:t>
      </w:r>
      <w:r>
        <w:rPr>
          <w:rFonts w:ascii="宋体" w:hAnsi="宋体" w:cs="宋体"/>
          <w:color w:val="000000" w:themeColor="text1"/>
          <w:spacing w:val="-2"/>
          <w:sz w:val="24"/>
          <w:szCs w:val="24"/>
          <w:highlight w:val="none"/>
          <w14:textFill>
            <w14:solidFill>
              <w14:schemeClr w14:val="tx1"/>
            </w14:solidFill>
          </w14:textFill>
        </w:rPr>
        <w:t>款的约定办理。</w:t>
      </w:r>
    </w:p>
    <w:p w14:paraId="4981CDF1">
      <w:pPr>
        <w:spacing w:before="304" w:line="219" w:lineRule="auto"/>
        <w:ind w:left="487"/>
        <w:outlineLvl w:val="2"/>
        <w:rPr>
          <w:rFonts w:ascii="宋体" w:hAnsi="宋体" w:cs="宋体"/>
          <w:color w:val="000000" w:themeColor="text1"/>
          <w:sz w:val="24"/>
          <w:szCs w:val="24"/>
          <w:highlight w:val="none"/>
          <w14:textFill>
            <w14:solidFill>
              <w14:schemeClr w14:val="tx1"/>
            </w14:solidFill>
          </w14:textFill>
        </w:rPr>
      </w:pPr>
      <w:bookmarkStart w:id="144" w:name="bookmark32"/>
      <w:bookmarkEnd w:id="144"/>
      <w:bookmarkStart w:id="145" w:name="bookmark31"/>
      <w:bookmarkEnd w:id="145"/>
      <w:bookmarkStart w:id="146" w:name="_Toc5369"/>
      <w:r>
        <w:rPr>
          <w:rFonts w:eastAsia="Times New Roman"/>
          <w:b/>
          <w:bCs/>
          <w:color w:val="000000" w:themeColor="text1"/>
          <w:spacing w:val="-6"/>
          <w:sz w:val="24"/>
          <w:szCs w:val="24"/>
          <w:highlight w:val="none"/>
          <w14:textFill>
            <w14:solidFill>
              <w14:schemeClr w14:val="tx1"/>
            </w14:solidFill>
          </w14:textFill>
        </w:rPr>
        <w:t>13.</w:t>
      </w:r>
      <w:r>
        <w:rPr>
          <w:rFonts w:eastAsia="Times New Roman"/>
          <w:b/>
          <w:bCs/>
          <w:color w:val="000000" w:themeColor="text1"/>
          <w:spacing w:val="7"/>
          <w:sz w:val="24"/>
          <w:szCs w:val="24"/>
          <w:highlight w:val="none"/>
          <w14:textFill>
            <w14:solidFill>
              <w14:schemeClr w14:val="tx1"/>
            </w14:solidFill>
          </w14:textFill>
        </w:rPr>
        <w:t xml:space="preserve">  </w:t>
      </w:r>
      <w:r>
        <w:rPr>
          <w:rFonts w:ascii="宋体" w:hAnsi="宋体" w:cs="宋体"/>
          <w:b/>
          <w:bCs/>
          <w:color w:val="000000" w:themeColor="text1"/>
          <w:spacing w:val="-6"/>
          <w:sz w:val="24"/>
          <w:szCs w:val="24"/>
          <w:highlight w:val="none"/>
          <w14:textFill>
            <w14:solidFill>
              <w14:schemeClr w14:val="tx1"/>
            </w14:solidFill>
          </w14:textFill>
        </w:rPr>
        <w:t>养护质量</w:t>
      </w:r>
      <w:bookmarkEnd w:id="146"/>
    </w:p>
    <w:p w14:paraId="250C1A6D">
      <w:pPr>
        <w:spacing w:before="261" w:line="219" w:lineRule="auto"/>
        <w:ind w:left="487"/>
        <w:outlineLvl w:val="3"/>
        <w:rPr>
          <w:rFonts w:ascii="宋体" w:hAnsi="宋体" w:cs="宋体"/>
          <w:color w:val="000000" w:themeColor="text1"/>
          <w:sz w:val="24"/>
          <w:szCs w:val="24"/>
          <w:highlight w:val="none"/>
          <w14:textFill>
            <w14:solidFill>
              <w14:schemeClr w14:val="tx1"/>
            </w14:solidFill>
          </w14:textFill>
        </w:rPr>
      </w:pPr>
      <w:r>
        <w:rPr>
          <w:rFonts w:eastAsia="Times New Roman"/>
          <w:b/>
          <w:bCs/>
          <w:color w:val="000000" w:themeColor="text1"/>
          <w:spacing w:val="-3"/>
          <w:sz w:val="24"/>
          <w:szCs w:val="24"/>
          <w:highlight w:val="none"/>
          <w14:textFill>
            <w14:solidFill>
              <w14:schemeClr w14:val="tx1"/>
            </w14:solidFill>
          </w14:textFill>
        </w:rPr>
        <w:t xml:space="preserve">13.1  </w:t>
      </w:r>
      <w:r>
        <w:rPr>
          <w:rFonts w:ascii="宋体" w:hAnsi="宋体" w:cs="宋体"/>
          <w:b/>
          <w:bCs/>
          <w:color w:val="000000" w:themeColor="text1"/>
          <w:spacing w:val="-3"/>
          <w:sz w:val="24"/>
          <w:szCs w:val="24"/>
          <w:highlight w:val="none"/>
          <w14:textFill>
            <w14:solidFill>
              <w14:schemeClr w14:val="tx1"/>
            </w14:solidFill>
          </w14:textFill>
        </w:rPr>
        <w:t>养护质量要求</w:t>
      </w:r>
    </w:p>
    <w:p w14:paraId="43A16015">
      <w:pPr>
        <w:spacing w:before="124" w:line="264" w:lineRule="auto"/>
        <w:ind w:left="2" w:right="28" w:firstLine="496"/>
        <w:rPr>
          <w:rFonts w:ascii="宋体" w:hAnsi="宋体" w:cs="宋体"/>
          <w:color w:val="000000" w:themeColor="text1"/>
          <w:sz w:val="24"/>
          <w:szCs w:val="24"/>
          <w:highlight w:val="none"/>
          <w14:textFill>
            <w14:solidFill>
              <w14:schemeClr w14:val="tx1"/>
            </w14:solidFill>
          </w14:textFill>
        </w:rPr>
      </w:pPr>
      <w:r>
        <w:rPr>
          <w:rFonts w:eastAsia="Times New Roman"/>
          <w:color w:val="000000" w:themeColor="text1"/>
          <w:sz w:val="24"/>
          <w:szCs w:val="24"/>
          <w:highlight w:val="none"/>
          <w14:textFill>
            <w14:solidFill>
              <w14:schemeClr w14:val="tx1"/>
            </w14:solidFill>
          </w14:textFill>
        </w:rPr>
        <w:t xml:space="preserve">13.1.1  </w:t>
      </w:r>
      <w:r>
        <w:rPr>
          <w:rFonts w:ascii="宋体" w:hAnsi="宋体" w:cs="宋体"/>
          <w:color w:val="000000" w:themeColor="text1"/>
          <w:sz w:val="24"/>
          <w:szCs w:val="24"/>
          <w:highlight w:val="none"/>
          <w14:textFill>
            <w14:solidFill>
              <w14:schemeClr w14:val="tx1"/>
            </w14:solidFill>
          </w14:textFill>
        </w:rPr>
        <w:t>养护项目质量验收应合格并符合技术规范、国家和行业相关质量检验标</w:t>
      </w:r>
      <w:r>
        <w:rPr>
          <w:rFonts w:ascii="宋体" w:hAnsi="宋体" w:cs="宋体"/>
          <w:color w:val="000000" w:themeColor="text1"/>
          <w:spacing w:val="-2"/>
          <w:sz w:val="24"/>
          <w:szCs w:val="24"/>
          <w:highlight w:val="none"/>
          <w14:textFill>
            <w14:solidFill>
              <w14:schemeClr w14:val="tx1"/>
            </w14:solidFill>
          </w14:textFill>
        </w:rPr>
        <w:t>准及设计文件的要求。</w:t>
      </w:r>
    </w:p>
    <w:p w14:paraId="30E5F276">
      <w:pPr>
        <w:spacing w:before="112" w:line="279" w:lineRule="auto"/>
        <w:ind w:right="25" w:firstLine="498"/>
        <w:rPr>
          <w:rFonts w:ascii="宋体" w:hAnsi="宋体" w:cs="宋体"/>
          <w:color w:val="000000" w:themeColor="text1"/>
          <w:sz w:val="24"/>
          <w:szCs w:val="24"/>
          <w:highlight w:val="none"/>
          <w14:textFill>
            <w14:solidFill>
              <w14:schemeClr w14:val="tx1"/>
            </w14:solidFill>
          </w14:textFill>
        </w:rPr>
      </w:pPr>
      <w:r>
        <w:rPr>
          <w:rFonts w:eastAsia="Times New Roman"/>
          <w:color w:val="000000" w:themeColor="text1"/>
          <w:sz w:val="24"/>
          <w:szCs w:val="24"/>
          <w:highlight w:val="none"/>
          <w14:textFill>
            <w14:solidFill>
              <w14:schemeClr w14:val="tx1"/>
            </w14:solidFill>
          </w14:textFill>
        </w:rPr>
        <w:t xml:space="preserve">13.1.2  </w:t>
      </w:r>
      <w:r>
        <w:rPr>
          <w:rFonts w:ascii="宋体" w:hAnsi="宋体" w:cs="宋体"/>
          <w:color w:val="000000" w:themeColor="text1"/>
          <w:sz w:val="24"/>
          <w:szCs w:val="24"/>
          <w:highlight w:val="none"/>
          <w14:textFill>
            <w14:solidFill>
              <w14:schemeClr w14:val="tx1"/>
            </w14:solidFill>
          </w14:textFill>
        </w:rPr>
        <w:t>因承包人原因造成养护质量达不到合同约定验收标准的，咨询人有权要</w:t>
      </w:r>
      <w:r>
        <w:rPr>
          <w:rFonts w:ascii="宋体" w:hAnsi="宋体" w:cs="宋体"/>
          <w:color w:val="000000" w:themeColor="text1"/>
          <w:spacing w:val="1"/>
          <w:sz w:val="24"/>
          <w:szCs w:val="24"/>
          <w:highlight w:val="none"/>
          <w14:textFill>
            <w14:solidFill>
              <w14:schemeClr w14:val="tx1"/>
            </w14:solidFill>
          </w14:textFill>
        </w:rPr>
        <w:t>求承包人返工直至符合合同要求为止，由此造成的费用增</w:t>
      </w:r>
      <w:r>
        <w:rPr>
          <w:rFonts w:ascii="宋体" w:hAnsi="宋体" w:cs="宋体"/>
          <w:color w:val="000000" w:themeColor="text1"/>
          <w:sz w:val="24"/>
          <w:szCs w:val="24"/>
          <w:highlight w:val="none"/>
          <w14:textFill>
            <w14:solidFill>
              <w14:schemeClr w14:val="tx1"/>
            </w14:solidFill>
          </w14:textFill>
        </w:rPr>
        <w:t>加和（或）工期延误由承</w:t>
      </w:r>
      <w:r>
        <w:rPr>
          <w:rFonts w:ascii="宋体" w:hAnsi="宋体" w:cs="宋体"/>
          <w:color w:val="000000" w:themeColor="text1"/>
          <w:spacing w:val="-2"/>
          <w:sz w:val="24"/>
          <w:szCs w:val="24"/>
          <w:highlight w:val="none"/>
          <w14:textFill>
            <w14:solidFill>
              <w14:schemeClr w14:val="tx1"/>
            </w14:solidFill>
          </w14:textFill>
        </w:rPr>
        <w:t>包人承担。</w:t>
      </w:r>
    </w:p>
    <w:p w14:paraId="103E6291">
      <w:pPr>
        <w:spacing w:before="113" w:line="264" w:lineRule="auto"/>
        <w:ind w:left="30" w:right="28" w:firstLine="469"/>
        <w:rPr>
          <w:rFonts w:ascii="宋体" w:hAnsi="宋体" w:cs="宋体"/>
          <w:color w:val="000000" w:themeColor="text1"/>
          <w:sz w:val="24"/>
          <w:szCs w:val="24"/>
          <w:highlight w:val="none"/>
          <w14:textFill>
            <w14:solidFill>
              <w14:schemeClr w14:val="tx1"/>
            </w14:solidFill>
          </w14:textFill>
        </w:rPr>
      </w:pPr>
      <w:r>
        <w:rPr>
          <w:rFonts w:eastAsia="Times New Roman"/>
          <w:color w:val="000000" w:themeColor="text1"/>
          <w:sz w:val="24"/>
          <w:szCs w:val="24"/>
          <w:highlight w:val="none"/>
          <w14:textFill>
            <w14:solidFill>
              <w14:schemeClr w14:val="tx1"/>
            </w14:solidFill>
          </w14:textFill>
        </w:rPr>
        <w:t xml:space="preserve">13.1.3  </w:t>
      </w:r>
      <w:r>
        <w:rPr>
          <w:rFonts w:ascii="宋体" w:hAnsi="宋体" w:cs="宋体"/>
          <w:color w:val="000000" w:themeColor="text1"/>
          <w:sz w:val="24"/>
          <w:szCs w:val="24"/>
          <w:highlight w:val="none"/>
          <w14:textFill>
            <w14:solidFill>
              <w14:schemeClr w14:val="tx1"/>
            </w14:solidFill>
          </w14:textFill>
        </w:rPr>
        <w:t>因发包人原因造成养护质量达不到合同约定验收标准的，发包人应承担</w:t>
      </w:r>
      <w:r>
        <w:rPr>
          <w:rFonts w:ascii="宋体" w:hAnsi="宋体" w:cs="宋体"/>
          <w:color w:val="000000" w:themeColor="text1"/>
          <w:spacing w:val="-1"/>
          <w:sz w:val="24"/>
          <w:szCs w:val="24"/>
          <w:highlight w:val="none"/>
          <w14:textFill>
            <w14:solidFill>
              <w14:schemeClr w14:val="tx1"/>
            </w14:solidFill>
          </w14:textFill>
        </w:rPr>
        <w:t>由于承包人返工造成的费用增加和（或）工期延误，并支付承包</w:t>
      </w:r>
      <w:r>
        <w:rPr>
          <w:rFonts w:ascii="宋体" w:hAnsi="宋体" w:cs="宋体"/>
          <w:color w:val="000000" w:themeColor="text1"/>
          <w:spacing w:val="-2"/>
          <w:sz w:val="24"/>
          <w:szCs w:val="24"/>
          <w:highlight w:val="none"/>
          <w14:textFill>
            <w14:solidFill>
              <w14:schemeClr w14:val="tx1"/>
            </w14:solidFill>
          </w14:textFill>
        </w:rPr>
        <w:t>人合理利润。</w:t>
      </w:r>
    </w:p>
    <w:p w14:paraId="7222986C">
      <w:pPr>
        <w:spacing w:before="104" w:line="219" w:lineRule="auto"/>
        <w:ind w:left="487"/>
        <w:outlineLvl w:val="3"/>
        <w:rPr>
          <w:rFonts w:ascii="宋体" w:hAnsi="宋体" w:cs="宋体"/>
          <w:color w:val="000000" w:themeColor="text1"/>
          <w:sz w:val="24"/>
          <w:szCs w:val="24"/>
          <w:highlight w:val="none"/>
          <w14:textFill>
            <w14:solidFill>
              <w14:schemeClr w14:val="tx1"/>
            </w14:solidFill>
          </w14:textFill>
        </w:rPr>
      </w:pPr>
      <w:r>
        <w:rPr>
          <w:rFonts w:eastAsia="Times New Roman"/>
          <w:b/>
          <w:bCs/>
          <w:color w:val="000000" w:themeColor="text1"/>
          <w:spacing w:val="-3"/>
          <w:sz w:val="24"/>
          <w:szCs w:val="24"/>
          <w:highlight w:val="none"/>
          <w14:textFill>
            <w14:solidFill>
              <w14:schemeClr w14:val="tx1"/>
            </w14:solidFill>
          </w14:textFill>
        </w:rPr>
        <w:t xml:space="preserve">13.2  </w:t>
      </w:r>
      <w:r>
        <w:rPr>
          <w:rFonts w:ascii="宋体" w:hAnsi="宋体" w:cs="宋体"/>
          <w:b/>
          <w:bCs/>
          <w:color w:val="000000" w:themeColor="text1"/>
          <w:spacing w:val="-3"/>
          <w:sz w:val="24"/>
          <w:szCs w:val="24"/>
          <w:highlight w:val="none"/>
          <w14:textFill>
            <w14:solidFill>
              <w14:schemeClr w14:val="tx1"/>
            </w14:solidFill>
          </w14:textFill>
        </w:rPr>
        <w:t>承包人的质量管理</w:t>
      </w:r>
    </w:p>
    <w:p w14:paraId="780B5CD5">
      <w:pPr>
        <w:spacing w:before="127" w:line="309" w:lineRule="auto"/>
        <w:ind w:left="1" w:right="25" w:firstLine="497"/>
        <w:rPr>
          <w:color w:val="000000" w:themeColor="text1"/>
          <w:highlight w:val="none"/>
          <w14:textFill>
            <w14:solidFill>
              <w14:schemeClr w14:val="tx1"/>
            </w14:solidFill>
          </w14:textFill>
        </w:rPr>
      </w:pPr>
      <w:r>
        <w:rPr>
          <w:rFonts w:eastAsia="Times New Roman"/>
          <w:color w:val="000000" w:themeColor="text1"/>
          <w:sz w:val="24"/>
          <w:szCs w:val="24"/>
          <w:highlight w:val="none"/>
          <w14:textFill>
            <w14:solidFill>
              <w14:schemeClr w14:val="tx1"/>
            </w14:solidFill>
          </w14:textFill>
        </w:rPr>
        <w:t xml:space="preserve">13.2.1  </w:t>
      </w:r>
      <w:r>
        <w:rPr>
          <w:rFonts w:ascii="宋体" w:hAnsi="宋体" w:cs="宋体"/>
          <w:color w:val="000000" w:themeColor="text1"/>
          <w:sz w:val="24"/>
          <w:szCs w:val="24"/>
          <w:highlight w:val="none"/>
          <w14:textFill>
            <w14:solidFill>
              <w14:schemeClr w14:val="tx1"/>
            </w14:solidFill>
          </w14:textFill>
        </w:rPr>
        <w:t>承包人应当建立健全养护质量保证体系，制定质量管理制度，强化养护</w:t>
      </w:r>
      <w:r>
        <w:rPr>
          <w:rFonts w:ascii="宋体" w:hAnsi="宋体" w:cs="宋体"/>
          <w:color w:val="000000" w:themeColor="text1"/>
          <w:spacing w:val="1"/>
          <w:sz w:val="24"/>
          <w:szCs w:val="24"/>
          <w:highlight w:val="none"/>
          <w14:textFill>
            <w14:solidFill>
              <w14:schemeClr w14:val="tx1"/>
            </w14:solidFill>
          </w14:textFill>
        </w:rPr>
        <w:t>项目质量管理措施，完善养护质量目标保障机制；严格</w:t>
      </w:r>
      <w:r>
        <w:rPr>
          <w:rFonts w:ascii="宋体" w:hAnsi="宋体" w:cs="宋体"/>
          <w:color w:val="000000" w:themeColor="text1"/>
          <w:sz w:val="24"/>
          <w:szCs w:val="24"/>
          <w:highlight w:val="none"/>
          <w14:textFill>
            <w14:solidFill>
              <w14:schemeClr w14:val="tx1"/>
            </w14:solidFill>
          </w14:textFill>
        </w:rPr>
        <w:t>遵守国家有关法律、法规和</w:t>
      </w:r>
      <w:r>
        <w:rPr>
          <w:rFonts w:ascii="宋体" w:hAnsi="宋体" w:cs="宋体"/>
          <w:color w:val="000000" w:themeColor="text1"/>
          <w:spacing w:val="1"/>
          <w:sz w:val="24"/>
          <w:szCs w:val="24"/>
          <w:highlight w:val="none"/>
          <w14:textFill>
            <w14:solidFill>
              <w14:schemeClr w14:val="tx1"/>
            </w14:solidFill>
          </w14:textFill>
        </w:rPr>
        <w:t>规章，严格执行公路养护强制性技术标准、各类技术规</w:t>
      </w:r>
      <w:r>
        <w:rPr>
          <w:rFonts w:ascii="宋体" w:hAnsi="宋体" w:cs="宋体"/>
          <w:color w:val="000000" w:themeColor="text1"/>
          <w:sz w:val="24"/>
          <w:szCs w:val="24"/>
          <w:highlight w:val="none"/>
          <w14:textFill>
            <w14:solidFill>
              <w14:schemeClr w14:val="tx1"/>
            </w14:solidFill>
          </w14:textFill>
        </w:rPr>
        <w:t>范及规程，全面履行合同义</w:t>
      </w:r>
    </w:p>
    <w:p w14:paraId="4999ACE4">
      <w:pPr>
        <w:spacing w:before="78" w:line="219" w:lineRule="auto"/>
        <w:ind w:left="2"/>
        <w:rPr>
          <w:rFonts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pacing w:val="-6"/>
          <w:sz w:val="24"/>
          <w:szCs w:val="24"/>
          <w:highlight w:val="none"/>
          <w14:textFill>
            <w14:solidFill>
              <w14:schemeClr w14:val="tx1"/>
            </w14:solidFill>
          </w14:textFill>
        </w:rPr>
        <w:t>务。</w:t>
      </w:r>
    </w:p>
    <w:p w14:paraId="2A819570">
      <w:pPr>
        <w:spacing w:before="113" w:line="286" w:lineRule="auto"/>
        <w:ind w:right="164" w:firstLine="498"/>
        <w:rPr>
          <w:rFonts w:ascii="宋体" w:hAnsi="宋体" w:cs="宋体"/>
          <w:color w:val="000000" w:themeColor="text1"/>
          <w:sz w:val="24"/>
          <w:szCs w:val="24"/>
          <w:highlight w:val="none"/>
          <w14:textFill>
            <w14:solidFill>
              <w14:schemeClr w14:val="tx1"/>
            </w14:solidFill>
          </w14:textFill>
        </w:rPr>
      </w:pPr>
      <w:r>
        <w:rPr>
          <w:rFonts w:eastAsia="Times New Roman"/>
          <w:color w:val="000000" w:themeColor="text1"/>
          <w:sz w:val="24"/>
          <w:szCs w:val="24"/>
          <w:highlight w:val="none"/>
          <w14:textFill>
            <w14:solidFill>
              <w14:schemeClr w14:val="tx1"/>
            </w14:solidFill>
          </w14:textFill>
        </w:rPr>
        <w:t xml:space="preserve">13.2.2  </w:t>
      </w:r>
      <w:r>
        <w:rPr>
          <w:rFonts w:ascii="宋体" w:hAnsi="宋体" w:cs="宋体"/>
          <w:color w:val="000000" w:themeColor="text1"/>
          <w:sz w:val="24"/>
          <w:szCs w:val="24"/>
          <w:highlight w:val="none"/>
          <w14:textFill>
            <w14:solidFill>
              <w14:schemeClr w14:val="tx1"/>
            </w14:solidFill>
          </w14:textFill>
        </w:rPr>
        <w:t>承包人应在养护作业场地设置专门的质量检查机构，配备专职质量检查</w:t>
      </w:r>
      <w:r>
        <w:rPr>
          <w:rFonts w:ascii="宋体" w:hAnsi="宋体" w:cs="宋体"/>
          <w:color w:val="000000" w:themeColor="text1"/>
          <w:spacing w:val="2"/>
          <w:sz w:val="24"/>
          <w:szCs w:val="24"/>
          <w:highlight w:val="none"/>
          <w14:textFill>
            <w14:solidFill>
              <w14:schemeClr w14:val="tx1"/>
            </w14:solidFill>
          </w14:textFill>
        </w:rPr>
        <w:t>人员，建立完善的质量检查制度。承包人应在签订合同协议书后</w:t>
      </w:r>
      <w:r>
        <w:rPr>
          <w:rFonts w:eastAsia="Times New Roman"/>
          <w:color w:val="000000" w:themeColor="text1"/>
          <w:spacing w:val="2"/>
          <w:sz w:val="24"/>
          <w:szCs w:val="24"/>
          <w:highlight w:val="none"/>
          <w14:textFill>
            <w14:solidFill>
              <w14:schemeClr w14:val="tx1"/>
            </w14:solidFill>
          </w14:textFill>
        </w:rPr>
        <w:t xml:space="preserve">7 </w:t>
      </w:r>
      <w:r>
        <w:rPr>
          <w:rFonts w:ascii="宋体" w:hAnsi="宋体" w:cs="宋体"/>
          <w:color w:val="000000" w:themeColor="text1"/>
          <w:spacing w:val="2"/>
          <w:sz w:val="24"/>
          <w:szCs w:val="24"/>
          <w:highlight w:val="none"/>
          <w14:textFill>
            <w14:solidFill>
              <w14:schemeClr w14:val="tx1"/>
            </w14:solidFill>
          </w14:textFill>
        </w:rPr>
        <w:t>天内，提交养护</w:t>
      </w:r>
      <w:r>
        <w:rPr>
          <w:rFonts w:ascii="宋体" w:hAnsi="宋体" w:cs="宋体"/>
          <w:color w:val="000000" w:themeColor="text1"/>
          <w:spacing w:val="1"/>
          <w:sz w:val="24"/>
          <w:szCs w:val="24"/>
          <w:highlight w:val="none"/>
          <w14:textFill>
            <w14:solidFill>
              <w14:schemeClr w14:val="tx1"/>
            </w14:solidFill>
          </w14:textFill>
        </w:rPr>
        <w:t>质量保证措施文件，包括质量检查机构的组织和岗位责任</w:t>
      </w:r>
      <w:r>
        <w:rPr>
          <w:rFonts w:ascii="宋体" w:hAnsi="宋体" w:cs="宋体"/>
          <w:color w:val="000000" w:themeColor="text1"/>
          <w:sz w:val="24"/>
          <w:szCs w:val="24"/>
          <w:highlight w:val="none"/>
          <w14:textFill>
            <w14:solidFill>
              <w14:schemeClr w14:val="tx1"/>
            </w14:solidFill>
          </w14:textFill>
        </w:rPr>
        <w:t>、质检人员的组成、质量</w:t>
      </w:r>
      <w:r>
        <w:rPr>
          <w:rFonts w:ascii="宋体" w:hAnsi="宋体" w:cs="宋体"/>
          <w:color w:val="000000" w:themeColor="text1"/>
          <w:spacing w:val="-1"/>
          <w:sz w:val="24"/>
          <w:szCs w:val="24"/>
          <w:highlight w:val="none"/>
          <w14:textFill>
            <w14:solidFill>
              <w14:schemeClr w14:val="tx1"/>
            </w14:solidFill>
          </w14:textFill>
        </w:rPr>
        <w:t>检查程序和实施细则等，报送咨询人审批。</w:t>
      </w:r>
    </w:p>
    <w:p w14:paraId="31EF2A31">
      <w:pPr>
        <w:spacing w:before="112" w:line="264" w:lineRule="auto"/>
        <w:ind w:right="166" w:firstLine="499"/>
        <w:rPr>
          <w:rFonts w:ascii="宋体" w:hAnsi="宋体" w:cs="宋体"/>
          <w:color w:val="000000" w:themeColor="text1"/>
          <w:sz w:val="24"/>
          <w:szCs w:val="24"/>
          <w:highlight w:val="none"/>
          <w14:textFill>
            <w14:solidFill>
              <w14:schemeClr w14:val="tx1"/>
            </w14:solidFill>
          </w14:textFill>
        </w:rPr>
      </w:pPr>
      <w:r>
        <w:rPr>
          <w:rFonts w:eastAsia="Times New Roman"/>
          <w:color w:val="000000" w:themeColor="text1"/>
          <w:sz w:val="24"/>
          <w:szCs w:val="24"/>
          <w:highlight w:val="none"/>
          <w14:textFill>
            <w14:solidFill>
              <w14:schemeClr w14:val="tx1"/>
            </w14:solidFill>
          </w14:textFill>
        </w:rPr>
        <w:t xml:space="preserve">13.2.3  </w:t>
      </w:r>
      <w:r>
        <w:rPr>
          <w:rFonts w:ascii="宋体" w:hAnsi="宋体" w:cs="宋体"/>
          <w:color w:val="000000" w:themeColor="text1"/>
          <w:sz w:val="24"/>
          <w:szCs w:val="24"/>
          <w:highlight w:val="none"/>
          <w14:textFill>
            <w14:solidFill>
              <w14:schemeClr w14:val="tx1"/>
            </w14:solidFill>
          </w14:textFill>
        </w:rPr>
        <w:t>承包人应加强对养护作业人员的质量教育和技术培训，定期考核养护作</w:t>
      </w:r>
      <w:r>
        <w:rPr>
          <w:rFonts w:ascii="宋体" w:hAnsi="宋体" w:cs="宋体"/>
          <w:color w:val="000000" w:themeColor="text1"/>
          <w:spacing w:val="-1"/>
          <w:sz w:val="24"/>
          <w:szCs w:val="24"/>
          <w:highlight w:val="none"/>
          <w14:textFill>
            <w14:solidFill>
              <w14:schemeClr w14:val="tx1"/>
            </w14:solidFill>
          </w14:textFill>
        </w:rPr>
        <w:t>业人员的劳动技能，严格执行规范和操作规程。</w:t>
      </w:r>
    </w:p>
    <w:p w14:paraId="3EC2793B">
      <w:pPr>
        <w:spacing w:before="115" w:line="278" w:lineRule="auto"/>
        <w:ind w:right="18" w:firstLine="499"/>
        <w:rPr>
          <w:rFonts w:ascii="宋体" w:hAnsi="宋体" w:cs="宋体"/>
          <w:color w:val="000000" w:themeColor="text1"/>
          <w:sz w:val="24"/>
          <w:szCs w:val="24"/>
          <w:highlight w:val="none"/>
          <w14:textFill>
            <w14:solidFill>
              <w14:schemeClr w14:val="tx1"/>
            </w14:solidFill>
          </w14:textFill>
        </w:rPr>
      </w:pPr>
      <w:r>
        <w:rPr>
          <w:rFonts w:eastAsia="Times New Roman"/>
          <w:color w:val="000000" w:themeColor="text1"/>
          <w:spacing w:val="-2"/>
          <w:sz w:val="24"/>
          <w:szCs w:val="24"/>
          <w:highlight w:val="none"/>
          <w14:textFill>
            <w14:solidFill>
              <w14:schemeClr w14:val="tx1"/>
            </w14:solidFill>
          </w14:textFill>
        </w:rPr>
        <w:t xml:space="preserve">13.2.4  </w:t>
      </w:r>
      <w:r>
        <w:rPr>
          <w:rFonts w:ascii="宋体" w:hAnsi="宋体" w:cs="宋体"/>
          <w:color w:val="000000" w:themeColor="text1"/>
          <w:spacing w:val="-2"/>
          <w:sz w:val="24"/>
          <w:szCs w:val="24"/>
          <w:highlight w:val="none"/>
          <w14:textFill>
            <w14:solidFill>
              <w14:schemeClr w14:val="tx1"/>
            </w14:solidFill>
          </w14:textFill>
        </w:rPr>
        <w:t>承包人应当严格按照工程设计图纸、技术规范和合同约</w:t>
      </w:r>
      <w:r>
        <w:rPr>
          <w:rFonts w:ascii="宋体" w:hAnsi="宋体" w:cs="宋体"/>
          <w:color w:val="000000" w:themeColor="text1"/>
          <w:spacing w:val="-3"/>
          <w:sz w:val="24"/>
          <w:szCs w:val="24"/>
          <w:highlight w:val="none"/>
          <w14:textFill>
            <w14:solidFill>
              <w14:schemeClr w14:val="tx1"/>
            </w14:solidFill>
          </w14:textFill>
        </w:rPr>
        <w:t>定实施养护作业，</w:t>
      </w:r>
      <w:r>
        <w:rPr>
          <w:rFonts w:ascii="宋体" w:hAnsi="宋体" w:cs="宋体"/>
          <w:color w:val="000000" w:themeColor="text1"/>
          <w:spacing w:val="1"/>
          <w:sz w:val="24"/>
          <w:szCs w:val="24"/>
          <w:highlight w:val="none"/>
          <w14:textFill>
            <w14:solidFill>
              <w14:schemeClr w14:val="tx1"/>
            </w14:solidFill>
          </w14:textFill>
        </w:rPr>
        <w:t>对原材料、半成品、成品、构件、机电设施和设备等进行检验；对单位养护工程、</w:t>
      </w:r>
      <w:r>
        <w:rPr>
          <w:rFonts w:ascii="宋体" w:hAnsi="宋体" w:cs="宋体"/>
          <w:color w:val="000000" w:themeColor="text1"/>
          <w:sz w:val="24"/>
          <w:szCs w:val="24"/>
          <w:highlight w:val="none"/>
          <w14:textFill>
            <w14:solidFill>
              <w14:schemeClr w14:val="tx1"/>
            </w14:solidFill>
          </w14:textFill>
        </w:rPr>
        <w:t>养护单元进行质量自评。检验或者自评不合格的</w:t>
      </w:r>
      <w:r>
        <w:rPr>
          <w:rFonts w:ascii="宋体" w:hAnsi="宋体" w:cs="宋体"/>
          <w:color w:val="000000" w:themeColor="text1"/>
          <w:spacing w:val="-1"/>
          <w:sz w:val="24"/>
          <w:szCs w:val="24"/>
          <w:highlight w:val="none"/>
          <w14:textFill>
            <w14:solidFill>
              <w14:schemeClr w14:val="tx1"/>
            </w14:solidFill>
          </w14:textFill>
        </w:rPr>
        <w:t>，不得进入下道工序。</w:t>
      </w:r>
    </w:p>
    <w:p w14:paraId="02DE0997">
      <w:pPr>
        <w:spacing w:before="116" w:line="278" w:lineRule="auto"/>
        <w:ind w:right="164" w:firstLine="498"/>
        <w:rPr>
          <w:rFonts w:ascii="宋体" w:hAnsi="宋体" w:cs="宋体"/>
          <w:color w:val="000000" w:themeColor="text1"/>
          <w:sz w:val="24"/>
          <w:szCs w:val="24"/>
          <w:highlight w:val="none"/>
          <w14:textFill>
            <w14:solidFill>
              <w14:schemeClr w14:val="tx1"/>
            </w14:solidFill>
          </w14:textFill>
        </w:rPr>
      </w:pPr>
      <w:r>
        <w:rPr>
          <w:rFonts w:eastAsia="Times New Roman"/>
          <w:color w:val="000000" w:themeColor="text1"/>
          <w:sz w:val="24"/>
          <w:szCs w:val="24"/>
          <w:highlight w:val="none"/>
          <w14:textFill>
            <w14:solidFill>
              <w14:schemeClr w14:val="tx1"/>
            </w14:solidFill>
          </w14:textFill>
        </w:rPr>
        <w:t xml:space="preserve">13.2.5  </w:t>
      </w:r>
      <w:r>
        <w:rPr>
          <w:rFonts w:ascii="宋体" w:hAnsi="宋体" w:cs="宋体"/>
          <w:color w:val="000000" w:themeColor="text1"/>
          <w:sz w:val="24"/>
          <w:szCs w:val="24"/>
          <w:highlight w:val="none"/>
          <w14:textFill>
            <w14:solidFill>
              <w14:schemeClr w14:val="tx1"/>
            </w14:solidFill>
          </w14:textFill>
        </w:rPr>
        <w:t>承包人应当加强养护作业过程质量控制，并形成完整、可追溯的养护质</w:t>
      </w:r>
      <w:r>
        <w:rPr>
          <w:rFonts w:ascii="宋体" w:hAnsi="宋体" w:cs="宋体"/>
          <w:color w:val="000000" w:themeColor="text1"/>
          <w:spacing w:val="1"/>
          <w:sz w:val="24"/>
          <w:szCs w:val="24"/>
          <w:highlight w:val="none"/>
          <w14:textFill>
            <w14:solidFill>
              <w14:schemeClr w14:val="tx1"/>
            </w14:solidFill>
          </w14:textFill>
        </w:rPr>
        <w:t>量管理资料，隐蔽部位作业还应当保留影像资料。对作业</w:t>
      </w:r>
      <w:r>
        <w:rPr>
          <w:rFonts w:ascii="宋体" w:hAnsi="宋体" w:cs="宋体"/>
          <w:color w:val="000000" w:themeColor="text1"/>
          <w:sz w:val="24"/>
          <w:szCs w:val="24"/>
          <w:highlight w:val="none"/>
          <w14:textFill>
            <w14:solidFill>
              <w14:schemeClr w14:val="tx1"/>
            </w14:solidFill>
          </w14:textFill>
        </w:rPr>
        <w:t>中出现的质量问题或者验</w:t>
      </w:r>
      <w:r>
        <w:rPr>
          <w:rFonts w:ascii="宋体" w:hAnsi="宋体" w:cs="宋体"/>
          <w:color w:val="000000" w:themeColor="text1"/>
          <w:spacing w:val="-1"/>
          <w:sz w:val="24"/>
          <w:szCs w:val="24"/>
          <w:highlight w:val="none"/>
          <w14:textFill>
            <w14:solidFill>
              <w14:schemeClr w14:val="tx1"/>
            </w14:solidFill>
          </w14:textFill>
        </w:rPr>
        <w:t>收不合格的养护项目，应当负责返工处理。</w:t>
      </w:r>
    </w:p>
    <w:p w14:paraId="02BAA2CB">
      <w:pPr>
        <w:spacing w:before="114" w:line="293" w:lineRule="auto"/>
        <w:ind w:right="164" w:firstLine="498"/>
        <w:rPr>
          <w:rFonts w:ascii="宋体" w:hAnsi="宋体" w:cs="宋体"/>
          <w:color w:val="000000" w:themeColor="text1"/>
          <w:sz w:val="24"/>
          <w:szCs w:val="24"/>
          <w:highlight w:val="none"/>
          <w14:textFill>
            <w14:solidFill>
              <w14:schemeClr w14:val="tx1"/>
            </w14:solidFill>
          </w14:textFill>
        </w:rPr>
      </w:pPr>
      <w:r>
        <w:rPr>
          <w:rFonts w:eastAsia="Times New Roman"/>
          <w:color w:val="000000" w:themeColor="text1"/>
          <w:sz w:val="24"/>
          <w:szCs w:val="24"/>
          <w:highlight w:val="none"/>
          <w14:textFill>
            <w14:solidFill>
              <w14:schemeClr w14:val="tx1"/>
            </w14:solidFill>
          </w14:textFill>
        </w:rPr>
        <w:t xml:space="preserve">13.2.6  </w:t>
      </w:r>
      <w:r>
        <w:rPr>
          <w:rFonts w:ascii="宋体" w:hAnsi="宋体" w:cs="宋体"/>
          <w:color w:val="000000" w:themeColor="text1"/>
          <w:sz w:val="24"/>
          <w:szCs w:val="24"/>
          <w:highlight w:val="none"/>
          <w14:textFill>
            <w14:solidFill>
              <w14:schemeClr w14:val="tx1"/>
            </w14:solidFill>
          </w14:textFill>
        </w:rPr>
        <w:t>承包人应当设立工地临时试验室，或经咨询人批准后使用其母体试验室</w:t>
      </w:r>
      <w:r>
        <w:rPr>
          <w:rFonts w:ascii="宋体" w:hAnsi="宋体" w:cs="宋体"/>
          <w:color w:val="000000" w:themeColor="text1"/>
          <w:spacing w:val="1"/>
          <w:sz w:val="24"/>
          <w:szCs w:val="24"/>
          <w:highlight w:val="none"/>
          <w14:textFill>
            <w14:solidFill>
              <w14:schemeClr w14:val="tx1"/>
            </w14:solidFill>
          </w14:textFill>
        </w:rPr>
        <w:t>或委托第三方试验室作为工地临时试验室，配齐检测和试</w:t>
      </w:r>
      <w:r>
        <w:rPr>
          <w:rFonts w:ascii="宋体" w:hAnsi="宋体" w:cs="宋体"/>
          <w:color w:val="000000" w:themeColor="text1"/>
          <w:sz w:val="24"/>
          <w:szCs w:val="24"/>
          <w:highlight w:val="none"/>
          <w14:textFill>
            <w14:solidFill>
              <w14:schemeClr w14:val="tx1"/>
            </w14:solidFill>
          </w14:textFill>
        </w:rPr>
        <w:t>验仪器、仪表，及时校正</w:t>
      </w:r>
      <w:r>
        <w:rPr>
          <w:rFonts w:ascii="宋体" w:hAnsi="宋体" w:cs="宋体"/>
          <w:color w:val="000000" w:themeColor="text1"/>
          <w:spacing w:val="1"/>
          <w:sz w:val="24"/>
          <w:szCs w:val="24"/>
          <w:highlight w:val="none"/>
          <w14:textFill>
            <w14:solidFill>
              <w14:schemeClr w14:val="tx1"/>
            </w14:solidFill>
          </w14:textFill>
        </w:rPr>
        <w:t>确保其精度；严格按照养护技术标准、检测规范和规程，</w:t>
      </w:r>
      <w:r>
        <w:rPr>
          <w:rFonts w:ascii="宋体" w:hAnsi="宋体" w:cs="宋体"/>
          <w:color w:val="000000" w:themeColor="text1"/>
          <w:sz w:val="24"/>
          <w:szCs w:val="24"/>
          <w:highlight w:val="none"/>
          <w14:textFill>
            <w14:solidFill>
              <w14:schemeClr w14:val="tx1"/>
            </w14:solidFill>
          </w14:textFill>
        </w:rPr>
        <w:t>在核定的试验检测参数范</w:t>
      </w:r>
      <w:r>
        <w:rPr>
          <w:rFonts w:ascii="宋体" w:hAnsi="宋体" w:cs="宋体"/>
          <w:color w:val="000000" w:themeColor="text1"/>
          <w:spacing w:val="1"/>
          <w:sz w:val="24"/>
          <w:szCs w:val="24"/>
          <w:highlight w:val="none"/>
          <w14:textFill>
            <w14:solidFill>
              <w14:schemeClr w14:val="tx1"/>
            </w14:solidFill>
          </w14:textFill>
        </w:rPr>
        <w:t>围内开展试验检测活动，并确保规范规定的检验、抽检频</w:t>
      </w:r>
      <w:r>
        <w:rPr>
          <w:rFonts w:ascii="宋体" w:hAnsi="宋体" w:cs="宋体"/>
          <w:color w:val="000000" w:themeColor="text1"/>
          <w:sz w:val="24"/>
          <w:szCs w:val="24"/>
          <w:highlight w:val="none"/>
          <w14:textFill>
            <w14:solidFill>
              <w14:schemeClr w14:val="tx1"/>
            </w14:solidFill>
          </w14:textFill>
        </w:rPr>
        <w:t>率。承包人应当对其设立</w:t>
      </w:r>
      <w:r>
        <w:rPr>
          <w:rFonts w:ascii="宋体" w:hAnsi="宋体" w:cs="宋体"/>
          <w:color w:val="000000" w:themeColor="text1"/>
          <w:spacing w:val="1"/>
          <w:sz w:val="24"/>
          <w:szCs w:val="24"/>
          <w:highlight w:val="none"/>
          <w14:textFill>
            <w14:solidFill>
              <w14:schemeClr w14:val="tx1"/>
            </w14:solidFill>
          </w14:textFill>
        </w:rPr>
        <w:t>或委托的工地临时试验室所出具的试验检测数据和报告的</w:t>
      </w:r>
      <w:r>
        <w:rPr>
          <w:rFonts w:ascii="宋体" w:hAnsi="宋体" w:cs="宋体"/>
          <w:color w:val="000000" w:themeColor="text1"/>
          <w:sz w:val="24"/>
          <w:szCs w:val="24"/>
          <w:highlight w:val="none"/>
          <w14:textFill>
            <w14:solidFill>
              <w14:schemeClr w14:val="tx1"/>
            </w14:solidFill>
          </w14:textFill>
        </w:rPr>
        <w:t>真实性、客观性、准确性</w:t>
      </w:r>
      <w:r>
        <w:rPr>
          <w:rFonts w:ascii="宋体" w:hAnsi="宋体" w:cs="宋体"/>
          <w:color w:val="000000" w:themeColor="text1"/>
          <w:spacing w:val="-4"/>
          <w:sz w:val="24"/>
          <w:szCs w:val="24"/>
          <w:highlight w:val="none"/>
          <w14:textFill>
            <w14:solidFill>
              <w14:schemeClr w14:val="tx1"/>
            </w14:solidFill>
          </w14:textFill>
        </w:rPr>
        <w:t>负责。</w:t>
      </w:r>
    </w:p>
    <w:p w14:paraId="49E901D8">
      <w:pPr>
        <w:spacing w:before="107" w:line="219" w:lineRule="auto"/>
        <w:ind w:left="487"/>
        <w:outlineLvl w:val="3"/>
        <w:rPr>
          <w:rFonts w:ascii="宋体" w:hAnsi="宋体" w:cs="宋体"/>
          <w:color w:val="000000" w:themeColor="text1"/>
          <w:sz w:val="24"/>
          <w:szCs w:val="24"/>
          <w:highlight w:val="none"/>
          <w14:textFill>
            <w14:solidFill>
              <w14:schemeClr w14:val="tx1"/>
            </w14:solidFill>
          </w14:textFill>
        </w:rPr>
      </w:pPr>
      <w:r>
        <w:rPr>
          <w:rFonts w:eastAsia="Times New Roman"/>
          <w:b/>
          <w:bCs/>
          <w:color w:val="000000" w:themeColor="text1"/>
          <w:spacing w:val="-3"/>
          <w:sz w:val="24"/>
          <w:szCs w:val="24"/>
          <w:highlight w:val="none"/>
          <w14:textFill>
            <w14:solidFill>
              <w14:schemeClr w14:val="tx1"/>
            </w14:solidFill>
          </w14:textFill>
        </w:rPr>
        <w:t xml:space="preserve">13.3  </w:t>
      </w:r>
      <w:r>
        <w:rPr>
          <w:rFonts w:ascii="宋体" w:hAnsi="宋体" w:cs="宋体"/>
          <w:b/>
          <w:bCs/>
          <w:color w:val="000000" w:themeColor="text1"/>
          <w:spacing w:val="-3"/>
          <w:sz w:val="24"/>
          <w:szCs w:val="24"/>
          <w:highlight w:val="none"/>
          <w14:textFill>
            <w14:solidFill>
              <w14:schemeClr w14:val="tx1"/>
            </w14:solidFill>
          </w14:textFill>
        </w:rPr>
        <w:t>承包人的质量检查</w:t>
      </w:r>
    </w:p>
    <w:p w14:paraId="4A0DB94F">
      <w:pPr>
        <w:spacing w:before="122" w:line="305" w:lineRule="auto"/>
        <w:ind w:right="164" w:firstLine="480"/>
        <w:rPr>
          <w:rFonts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pacing w:val="1"/>
          <w:sz w:val="24"/>
          <w:szCs w:val="24"/>
          <w:highlight w:val="none"/>
          <w14:textFill>
            <w14:solidFill>
              <w14:schemeClr w14:val="tx1"/>
            </w14:solidFill>
          </w14:textFill>
        </w:rPr>
        <w:t>承包人应按合同约定对材料、工程设备以及养护工程的所</w:t>
      </w:r>
      <w:r>
        <w:rPr>
          <w:rFonts w:ascii="宋体" w:hAnsi="宋体" w:cs="宋体"/>
          <w:color w:val="000000" w:themeColor="text1"/>
          <w:sz w:val="24"/>
          <w:szCs w:val="24"/>
          <w:highlight w:val="none"/>
          <w14:textFill>
            <w14:solidFill>
              <w14:schemeClr w14:val="tx1"/>
            </w14:solidFill>
          </w14:textFill>
        </w:rPr>
        <w:t>有部位及其工艺进行全过程的质量检查和检验，并作详细记录，编制质量</w:t>
      </w:r>
      <w:r>
        <w:rPr>
          <w:rFonts w:ascii="宋体" w:hAnsi="宋体" w:cs="宋体"/>
          <w:color w:val="000000" w:themeColor="text1"/>
          <w:spacing w:val="-1"/>
          <w:sz w:val="24"/>
          <w:szCs w:val="24"/>
          <w:highlight w:val="none"/>
          <w14:textFill>
            <w14:solidFill>
              <w14:schemeClr w14:val="tx1"/>
            </w14:solidFill>
          </w14:textFill>
        </w:rPr>
        <w:t>报表，报送咨询人审查。</w:t>
      </w:r>
    </w:p>
    <w:p w14:paraId="612C3D73">
      <w:pPr>
        <w:spacing w:line="219" w:lineRule="auto"/>
        <w:ind w:left="487"/>
        <w:outlineLvl w:val="3"/>
        <w:rPr>
          <w:rFonts w:ascii="宋体" w:hAnsi="宋体" w:cs="宋体"/>
          <w:color w:val="000000" w:themeColor="text1"/>
          <w:sz w:val="24"/>
          <w:szCs w:val="24"/>
          <w:highlight w:val="none"/>
          <w14:textFill>
            <w14:solidFill>
              <w14:schemeClr w14:val="tx1"/>
            </w14:solidFill>
          </w14:textFill>
        </w:rPr>
      </w:pPr>
      <w:r>
        <w:rPr>
          <w:rFonts w:eastAsia="Times New Roman"/>
          <w:b/>
          <w:bCs/>
          <w:color w:val="000000" w:themeColor="text1"/>
          <w:spacing w:val="-3"/>
          <w:sz w:val="24"/>
          <w:szCs w:val="24"/>
          <w:highlight w:val="none"/>
          <w14:textFill>
            <w14:solidFill>
              <w14:schemeClr w14:val="tx1"/>
            </w14:solidFill>
          </w14:textFill>
        </w:rPr>
        <w:t xml:space="preserve">13.4  </w:t>
      </w:r>
      <w:r>
        <w:rPr>
          <w:rFonts w:ascii="宋体" w:hAnsi="宋体" w:cs="宋体"/>
          <w:b/>
          <w:bCs/>
          <w:color w:val="000000" w:themeColor="text1"/>
          <w:spacing w:val="-3"/>
          <w:sz w:val="24"/>
          <w:szCs w:val="24"/>
          <w:highlight w:val="none"/>
          <w14:textFill>
            <w14:solidFill>
              <w14:schemeClr w14:val="tx1"/>
            </w14:solidFill>
          </w14:textFill>
        </w:rPr>
        <w:t>咨询人的质量检查</w:t>
      </w:r>
    </w:p>
    <w:p w14:paraId="64483CB3">
      <w:pPr>
        <w:spacing w:before="121" w:line="308" w:lineRule="auto"/>
        <w:ind w:firstLine="490"/>
        <w:rPr>
          <w:rFonts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pacing w:val="-2"/>
          <w:sz w:val="24"/>
          <w:szCs w:val="24"/>
          <w:highlight w:val="none"/>
          <w14:textFill>
            <w14:solidFill>
              <w14:schemeClr w14:val="tx1"/>
            </w14:solidFill>
          </w14:textFill>
        </w:rPr>
        <w:t>咨询人有权对养护工程的所有部位及其工艺、材料和工程设备进行检查和检验。</w:t>
      </w:r>
      <w:r>
        <w:rPr>
          <w:rFonts w:ascii="宋体" w:hAnsi="宋体" w:cs="宋体"/>
          <w:color w:val="000000" w:themeColor="text1"/>
          <w:spacing w:val="-1"/>
          <w:sz w:val="24"/>
          <w:szCs w:val="24"/>
          <w:highlight w:val="none"/>
          <w14:textFill>
            <w14:solidFill>
              <w14:schemeClr w14:val="tx1"/>
            </w14:solidFill>
          </w14:textFill>
        </w:rPr>
        <w:t>承包人应为咨询人的检查和检验，包括咨询人到养护作</w:t>
      </w:r>
      <w:r>
        <w:rPr>
          <w:rFonts w:ascii="宋体" w:hAnsi="宋体" w:cs="宋体"/>
          <w:color w:val="000000" w:themeColor="text1"/>
          <w:spacing w:val="-2"/>
          <w:sz w:val="24"/>
          <w:szCs w:val="24"/>
          <w:highlight w:val="none"/>
          <w14:textFill>
            <w14:solidFill>
              <w14:schemeClr w14:val="tx1"/>
            </w14:solidFill>
          </w14:textFill>
        </w:rPr>
        <w:t>业场地，或制造、加工地点，</w:t>
      </w:r>
      <w:r>
        <w:rPr>
          <w:rFonts w:ascii="宋体" w:hAnsi="宋体" w:cs="宋体"/>
          <w:color w:val="000000" w:themeColor="text1"/>
          <w:spacing w:val="1"/>
          <w:sz w:val="24"/>
          <w:szCs w:val="24"/>
          <w:highlight w:val="none"/>
          <w14:textFill>
            <w14:solidFill>
              <w14:schemeClr w14:val="tx1"/>
            </w14:solidFill>
          </w14:textFill>
        </w:rPr>
        <w:t>或合同约定的其他地方进行查看和查阅养护作业原始记</w:t>
      </w:r>
      <w:r>
        <w:rPr>
          <w:rFonts w:ascii="宋体" w:hAnsi="宋体" w:cs="宋体"/>
          <w:color w:val="000000" w:themeColor="text1"/>
          <w:sz w:val="24"/>
          <w:szCs w:val="24"/>
          <w:highlight w:val="none"/>
          <w14:textFill>
            <w14:solidFill>
              <w14:schemeClr w14:val="tx1"/>
            </w14:solidFill>
          </w14:textFill>
        </w:rPr>
        <w:t>录提供方便。承包人还应按</w:t>
      </w:r>
      <w:r>
        <w:rPr>
          <w:rFonts w:ascii="宋体" w:hAnsi="宋体" w:cs="宋体"/>
          <w:color w:val="000000" w:themeColor="text1"/>
          <w:spacing w:val="1"/>
          <w:sz w:val="24"/>
          <w:szCs w:val="24"/>
          <w:highlight w:val="none"/>
          <w14:textFill>
            <w14:solidFill>
              <w14:schemeClr w14:val="tx1"/>
            </w14:solidFill>
          </w14:textFill>
        </w:rPr>
        <w:t>咨询人指示，进行养护作业场地取样试验、工程复核测量和</w:t>
      </w:r>
      <w:r>
        <w:rPr>
          <w:rFonts w:ascii="宋体" w:hAnsi="宋体" w:cs="宋体"/>
          <w:color w:val="000000" w:themeColor="text1"/>
          <w:sz w:val="24"/>
          <w:szCs w:val="24"/>
          <w:highlight w:val="none"/>
          <w14:textFill>
            <w14:solidFill>
              <w14:schemeClr w14:val="tx1"/>
            </w14:solidFill>
          </w14:textFill>
        </w:rPr>
        <w:t>设备性能检测，提供试</w:t>
      </w:r>
      <w:r>
        <w:rPr>
          <w:rFonts w:ascii="宋体" w:hAnsi="宋体" w:cs="宋体"/>
          <w:color w:val="000000" w:themeColor="text1"/>
          <w:spacing w:val="1"/>
          <w:sz w:val="24"/>
          <w:szCs w:val="24"/>
          <w:highlight w:val="none"/>
          <w14:textFill>
            <w14:solidFill>
              <w14:schemeClr w14:val="tx1"/>
            </w14:solidFill>
          </w14:textFill>
        </w:rPr>
        <w:t>验样品、提交试验报告和测量成果以及咨询人要求进行的其</w:t>
      </w:r>
      <w:r>
        <w:rPr>
          <w:rFonts w:ascii="宋体" w:hAnsi="宋体" w:cs="宋体"/>
          <w:color w:val="000000" w:themeColor="text1"/>
          <w:sz w:val="24"/>
          <w:szCs w:val="24"/>
          <w:highlight w:val="none"/>
          <w14:textFill>
            <w14:solidFill>
              <w14:schemeClr w14:val="tx1"/>
            </w14:solidFill>
          </w14:textFill>
        </w:rPr>
        <w:t>他工作。咨询人的检查</w:t>
      </w:r>
      <w:r>
        <w:rPr>
          <w:rFonts w:ascii="宋体" w:hAnsi="宋体" w:cs="宋体"/>
          <w:color w:val="000000" w:themeColor="text1"/>
          <w:spacing w:val="-1"/>
          <w:sz w:val="24"/>
          <w:szCs w:val="24"/>
          <w:highlight w:val="none"/>
          <w14:textFill>
            <w14:solidFill>
              <w14:schemeClr w14:val="tx1"/>
            </w14:solidFill>
          </w14:textFill>
        </w:rPr>
        <w:t>和检验，不免除承包人按合同约定应负的责任。</w:t>
      </w:r>
    </w:p>
    <w:p w14:paraId="12A463A9">
      <w:pPr>
        <w:spacing w:before="1" w:line="305" w:lineRule="auto"/>
        <w:ind w:left="1" w:right="164" w:firstLine="488"/>
        <w:rPr>
          <w:rFonts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咨询人可以将材料或工程设备的检查和检验委托给一家独立的具备相应检测资</w:t>
      </w:r>
      <w:r>
        <w:rPr>
          <w:rFonts w:ascii="宋体" w:hAnsi="宋体" w:cs="宋体"/>
          <w:color w:val="000000" w:themeColor="text1"/>
          <w:spacing w:val="1"/>
          <w:sz w:val="24"/>
          <w:szCs w:val="24"/>
          <w:highlight w:val="none"/>
          <w14:textFill>
            <w14:solidFill>
              <w14:schemeClr w14:val="tx1"/>
            </w14:solidFill>
          </w14:textFill>
        </w:rPr>
        <w:t>质资格的单位承担。该独立检验单位的检验结果应视为</w:t>
      </w:r>
      <w:r>
        <w:rPr>
          <w:rFonts w:ascii="宋体" w:hAnsi="宋体" w:cs="宋体"/>
          <w:color w:val="000000" w:themeColor="text1"/>
          <w:sz w:val="24"/>
          <w:szCs w:val="24"/>
          <w:highlight w:val="none"/>
          <w14:textFill>
            <w14:solidFill>
              <w14:schemeClr w14:val="tx1"/>
            </w14:solidFill>
          </w14:textFill>
        </w:rPr>
        <w:t>由咨询人完成。咨询人应至</w:t>
      </w:r>
      <w:r>
        <w:rPr>
          <w:rFonts w:ascii="宋体" w:hAnsi="宋体" w:cs="宋体"/>
          <w:color w:val="000000" w:themeColor="text1"/>
          <w:spacing w:val="-2"/>
          <w:sz w:val="24"/>
          <w:szCs w:val="24"/>
          <w:highlight w:val="none"/>
          <w14:textFill>
            <w14:solidFill>
              <w14:schemeClr w14:val="tx1"/>
            </w14:solidFill>
          </w14:textFill>
        </w:rPr>
        <w:t>少提前</w:t>
      </w:r>
      <w:r>
        <w:rPr>
          <w:rFonts w:ascii="宋体" w:hAnsi="宋体" w:cs="宋体"/>
          <w:color w:val="000000" w:themeColor="text1"/>
          <w:spacing w:val="-36"/>
          <w:sz w:val="24"/>
          <w:szCs w:val="24"/>
          <w:highlight w:val="none"/>
          <w14:textFill>
            <w14:solidFill>
              <w14:schemeClr w14:val="tx1"/>
            </w14:solidFill>
          </w14:textFill>
        </w:rPr>
        <w:t xml:space="preserve"> </w:t>
      </w:r>
      <w:r>
        <w:rPr>
          <w:rFonts w:eastAsia="Times New Roman"/>
          <w:color w:val="000000" w:themeColor="text1"/>
          <w:spacing w:val="-2"/>
          <w:sz w:val="24"/>
          <w:szCs w:val="24"/>
          <w:highlight w:val="none"/>
          <w14:textFill>
            <w14:solidFill>
              <w14:schemeClr w14:val="tx1"/>
            </w14:solidFill>
          </w14:textFill>
        </w:rPr>
        <w:t xml:space="preserve">7 </w:t>
      </w:r>
      <w:r>
        <w:rPr>
          <w:rFonts w:ascii="宋体" w:hAnsi="宋体" w:cs="宋体"/>
          <w:color w:val="000000" w:themeColor="text1"/>
          <w:spacing w:val="-2"/>
          <w:sz w:val="24"/>
          <w:szCs w:val="24"/>
          <w:highlight w:val="none"/>
          <w14:textFill>
            <w14:solidFill>
              <w14:schemeClr w14:val="tx1"/>
            </w14:solidFill>
          </w14:textFill>
        </w:rPr>
        <w:t>天将委托通知书交给承包人。</w:t>
      </w:r>
    </w:p>
    <w:p w14:paraId="678E8351">
      <w:pPr>
        <w:spacing w:line="219" w:lineRule="auto"/>
        <w:ind w:left="487"/>
        <w:outlineLvl w:val="3"/>
        <w:rPr>
          <w:rFonts w:ascii="宋体" w:hAnsi="宋体" w:cs="宋体"/>
          <w:color w:val="000000" w:themeColor="text1"/>
          <w:sz w:val="24"/>
          <w:szCs w:val="24"/>
          <w:highlight w:val="none"/>
          <w14:textFill>
            <w14:solidFill>
              <w14:schemeClr w14:val="tx1"/>
            </w14:solidFill>
          </w14:textFill>
        </w:rPr>
      </w:pPr>
      <w:r>
        <w:rPr>
          <w:rFonts w:eastAsia="Times New Roman"/>
          <w:b/>
          <w:bCs/>
          <w:color w:val="000000" w:themeColor="text1"/>
          <w:spacing w:val="-2"/>
          <w:sz w:val="24"/>
          <w:szCs w:val="24"/>
          <w:highlight w:val="none"/>
          <w14:textFill>
            <w14:solidFill>
              <w14:schemeClr w14:val="tx1"/>
            </w14:solidFill>
          </w14:textFill>
        </w:rPr>
        <w:t xml:space="preserve">13.5  </w:t>
      </w:r>
      <w:r>
        <w:rPr>
          <w:rFonts w:ascii="宋体" w:hAnsi="宋体" w:cs="宋体"/>
          <w:b/>
          <w:bCs/>
          <w:color w:val="000000" w:themeColor="text1"/>
          <w:spacing w:val="-2"/>
          <w:sz w:val="24"/>
          <w:szCs w:val="24"/>
          <w:highlight w:val="none"/>
          <w14:textFill>
            <w14:solidFill>
              <w14:schemeClr w14:val="tx1"/>
            </w14:solidFill>
          </w14:textFill>
        </w:rPr>
        <w:t>隐蔽部位覆盖前的检查</w:t>
      </w:r>
    </w:p>
    <w:p w14:paraId="3F6B2B6D">
      <w:pPr>
        <w:spacing w:before="126" w:line="219" w:lineRule="auto"/>
        <w:ind w:left="482"/>
        <w:rPr>
          <w:color w:val="000000" w:themeColor="text1"/>
          <w:highlight w:val="none"/>
          <w14:textFill>
            <w14:solidFill>
              <w14:schemeClr w14:val="tx1"/>
            </w14:solidFill>
          </w14:textFill>
        </w:rPr>
      </w:pPr>
      <w:r>
        <w:rPr>
          <w:rFonts w:ascii="宋体" w:hAnsi="宋体" w:cs="宋体"/>
          <w:color w:val="000000" w:themeColor="text1"/>
          <w:spacing w:val="1"/>
          <w:sz w:val="24"/>
          <w:szCs w:val="24"/>
          <w:highlight w:val="none"/>
          <w14:textFill>
            <w14:solidFill>
              <w14:schemeClr w14:val="tx1"/>
            </w14:solidFill>
          </w14:textFill>
        </w:rPr>
        <w:t>经承包人自检确认的隐蔽部位具备覆盖条件后，承包</w:t>
      </w:r>
      <w:r>
        <w:rPr>
          <w:rFonts w:ascii="宋体" w:hAnsi="宋体" w:cs="宋体"/>
          <w:color w:val="000000" w:themeColor="text1"/>
          <w:sz w:val="24"/>
          <w:szCs w:val="24"/>
          <w:highlight w:val="none"/>
          <w14:textFill>
            <w14:solidFill>
              <w14:schemeClr w14:val="tx1"/>
            </w14:solidFill>
          </w14:textFill>
        </w:rPr>
        <w:t>人应通知咨询人在约定的</w:t>
      </w:r>
    </w:p>
    <w:p w14:paraId="503D2712">
      <w:pPr>
        <w:spacing w:before="78" w:line="308" w:lineRule="auto"/>
        <w:ind w:firstLine="2"/>
        <w:rPr>
          <w:rFonts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pacing w:val="-2"/>
          <w:sz w:val="24"/>
          <w:szCs w:val="24"/>
          <w:highlight w:val="none"/>
          <w14:textFill>
            <w14:solidFill>
              <w14:schemeClr w14:val="tx1"/>
            </w14:solidFill>
          </w14:textFill>
        </w:rPr>
        <w:t>期限内检查。咨询人应按时到场检查。咨询人未到场检查的，除咨询人另有指示外，</w:t>
      </w:r>
      <w:r>
        <w:rPr>
          <w:rFonts w:ascii="宋体" w:hAnsi="宋体" w:cs="宋体"/>
          <w:color w:val="000000" w:themeColor="text1"/>
          <w:spacing w:val="1"/>
          <w:sz w:val="24"/>
          <w:szCs w:val="24"/>
          <w:highlight w:val="none"/>
          <w14:textFill>
            <w14:solidFill>
              <w14:schemeClr w14:val="tx1"/>
            </w14:solidFill>
          </w14:textFill>
        </w:rPr>
        <w:t>承包人可自行完成覆盖工作。无论咨询人是否到场检查，</w:t>
      </w:r>
      <w:r>
        <w:rPr>
          <w:rFonts w:ascii="宋体" w:hAnsi="宋体" w:cs="宋体"/>
          <w:color w:val="000000" w:themeColor="text1"/>
          <w:sz w:val="24"/>
          <w:szCs w:val="24"/>
          <w:highlight w:val="none"/>
          <w14:textFill>
            <w14:solidFill>
              <w14:schemeClr w14:val="tx1"/>
            </w14:solidFill>
          </w14:textFill>
        </w:rPr>
        <w:t>对已覆盖的隐蔽部位，咨</w:t>
      </w:r>
      <w:r>
        <w:rPr>
          <w:rFonts w:ascii="宋体" w:hAnsi="宋体" w:cs="宋体"/>
          <w:color w:val="000000" w:themeColor="text1"/>
          <w:spacing w:val="1"/>
          <w:sz w:val="24"/>
          <w:szCs w:val="24"/>
          <w:highlight w:val="none"/>
          <w14:textFill>
            <w14:solidFill>
              <w14:schemeClr w14:val="tx1"/>
            </w14:solidFill>
          </w14:textFill>
        </w:rPr>
        <w:t>询人可要求承包人对已覆盖的部位进行钻孔探测或重新检验，承包人应遵照执行，</w:t>
      </w:r>
      <w:r>
        <w:rPr>
          <w:rFonts w:ascii="宋体" w:hAnsi="宋体" w:cs="宋体"/>
          <w:color w:val="000000" w:themeColor="text1"/>
          <w:spacing w:val="-1"/>
          <w:sz w:val="24"/>
          <w:szCs w:val="24"/>
          <w:highlight w:val="none"/>
          <w14:textFill>
            <w14:solidFill>
              <w14:schemeClr w14:val="tx1"/>
            </w14:solidFill>
          </w14:textFill>
        </w:rPr>
        <w:t>并在检验后重新覆盖恢复原状。</w:t>
      </w:r>
    </w:p>
    <w:p w14:paraId="2BB15A95">
      <w:pPr>
        <w:spacing w:before="2" w:line="307" w:lineRule="auto"/>
        <w:ind w:left="1" w:right="145" w:firstLine="480"/>
        <w:rPr>
          <w:rFonts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经检验证明养护质量符合合同要求的，由发包人承担由此增加的费用和（或）</w:t>
      </w:r>
      <w:r>
        <w:rPr>
          <w:rFonts w:ascii="宋体" w:hAnsi="宋体" w:cs="宋体"/>
          <w:color w:val="000000" w:themeColor="text1"/>
          <w:spacing w:val="1"/>
          <w:sz w:val="24"/>
          <w:szCs w:val="24"/>
          <w:highlight w:val="none"/>
          <w14:textFill>
            <w14:solidFill>
              <w14:schemeClr w14:val="tx1"/>
            </w14:solidFill>
          </w14:textFill>
        </w:rPr>
        <w:t>工期延误，并支付承包人合理利润；经检验证明养护质</w:t>
      </w:r>
      <w:r>
        <w:rPr>
          <w:rFonts w:ascii="宋体" w:hAnsi="宋体" w:cs="宋体"/>
          <w:color w:val="000000" w:themeColor="text1"/>
          <w:sz w:val="24"/>
          <w:szCs w:val="24"/>
          <w:highlight w:val="none"/>
          <w14:textFill>
            <w14:solidFill>
              <w14:schemeClr w14:val="tx1"/>
            </w14:solidFill>
          </w14:textFill>
        </w:rPr>
        <w:t>量不符合合同要求的，由此</w:t>
      </w:r>
      <w:r>
        <w:rPr>
          <w:rFonts w:ascii="宋体" w:hAnsi="宋体" w:cs="宋体"/>
          <w:color w:val="000000" w:themeColor="text1"/>
          <w:spacing w:val="-1"/>
          <w:sz w:val="24"/>
          <w:szCs w:val="24"/>
          <w:highlight w:val="none"/>
          <w14:textFill>
            <w14:solidFill>
              <w14:schemeClr w14:val="tx1"/>
            </w14:solidFill>
          </w14:textFill>
        </w:rPr>
        <w:t>增加的费用和（或）工期延误，由承包人承担。</w:t>
      </w:r>
    </w:p>
    <w:p w14:paraId="7F011514">
      <w:pPr>
        <w:spacing w:line="305" w:lineRule="auto"/>
        <w:ind w:left="2" w:right="145" w:firstLine="478"/>
        <w:rPr>
          <w:rFonts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pacing w:val="1"/>
          <w:sz w:val="24"/>
          <w:szCs w:val="24"/>
          <w:highlight w:val="none"/>
          <w14:textFill>
            <w14:solidFill>
              <w14:schemeClr w14:val="tx1"/>
            </w14:solidFill>
          </w14:textFill>
        </w:rPr>
        <w:t>承包人未通知咨询人到场检查，私自将隐蔽部位覆盖的，</w:t>
      </w:r>
      <w:r>
        <w:rPr>
          <w:rFonts w:ascii="宋体" w:hAnsi="宋体" w:cs="宋体"/>
          <w:color w:val="000000" w:themeColor="text1"/>
          <w:sz w:val="24"/>
          <w:szCs w:val="24"/>
          <w:highlight w:val="none"/>
          <w14:textFill>
            <w14:solidFill>
              <w14:schemeClr w14:val="tx1"/>
            </w14:solidFill>
          </w14:textFill>
        </w:rPr>
        <w:t>咨询人有权指示承包</w:t>
      </w:r>
      <w:r>
        <w:rPr>
          <w:rFonts w:ascii="宋体" w:hAnsi="宋体" w:cs="宋体"/>
          <w:color w:val="000000" w:themeColor="text1"/>
          <w:spacing w:val="1"/>
          <w:sz w:val="24"/>
          <w:szCs w:val="24"/>
          <w:highlight w:val="none"/>
          <w14:textFill>
            <w14:solidFill>
              <w14:schemeClr w14:val="tx1"/>
            </w14:solidFill>
          </w14:textFill>
        </w:rPr>
        <w:t>人钻孔探测或揭开检查，无论隐蔽部位质量是否合格</w:t>
      </w:r>
      <w:r>
        <w:rPr>
          <w:rFonts w:ascii="宋体" w:hAnsi="宋体" w:cs="宋体"/>
          <w:color w:val="000000" w:themeColor="text1"/>
          <w:sz w:val="24"/>
          <w:szCs w:val="24"/>
          <w:highlight w:val="none"/>
          <w14:textFill>
            <w14:solidFill>
              <w14:schemeClr w14:val="tx1"/>
            </w14:solidFill>
          </w14:textFill>
        </w:rPr>
        <w:t>，由此增加的费用和（或）工</w:t>
      </w:r>
      <w:r>
        <w:rPr>
          <w:rFonts w:ascii="宋体" w:hAnsi="宋体" w:cs="宋体"/>
          <w:color w:val="000000" w:themeColor="text1"/>
          <w:spacing w:val="-2"/>
          <w:sz w:val="24"/>
          <w:szCs w:val="24"/>
          <w:highlight w:val="none"/>
          <w14:textFill>
            <w14:solidFill>
              <w14:schemeClr w14:val="tx1"/>
            </w14:solidFill>
          </w14:textFill>
        </w:rPr>
        <w:t>期延误由承包人承担。</w:t>
      </w:r>
    </w:p>
    <w:p w14:paraId="49593884">
      <w:pPr>
        <w:spacing w:line="219" w:lineRule="auto"/>
        <w:ind w:left="487"/>
        <w:outlineLvl w:val="3"/>
        <w:rPr>
          <w:rFonts w:ascii="宋体" w:hAnsi="宋体" w:cs="宋体"/>
          <w:color w:val="000000" w:themeColor="text1"/>
          <w:sz w:val="24"/>
          <w:szCs w:val="24"/>
          <w:highlight w:val="none"/>
          <w14:textFill>
            <w14:solidFill>
              <w14:schemeClr w14:val="tx1"/>
            </w14:solidFill>
          </w14:textFill>
        </w:rPr>
      </w:pPr>
      <w:r>
        <w:rPr>
          <w:rFonts w:eastAsia="Times New Roman"/>
          <w:b/>
          <w:bCs/>
          <w:color w:val="000000" w:themeColor="text1"/>
          <w:spacing w:val="-3"/>
          <w:sz w:val="24"/>
          <w:szCs w:val="24"/>
          <w:highlight w:val="none"/>
          <w14:textFill>
            <w14:solidFill>
              <w14:schemeClr w14:val="tx1"/>
            </w14:solidFill>
          </w14:textFill>
        </w:rPr>
        <w:t xml:space="preserve">13.6  </w:t>
      </w:r>
      <w:r>
        <w:rPr>
          <w:rFonts w:ascii="宋体" w:hAnsi="宋体" w:cs="宋体"/>
          <w:b/>
          <w:bCs/>
          <w:color w:val="000000" w:themeColor="text1"/>
          <w:spacing w:val="-3"/>
          <w:sz w:val="24"/>
          <w:szCs w:val="24"/>
          <w:highlight w:val="none"/>
          <w14:textFill>
            <w14:solidFill>
              <w14:schemeClr w14:val="tx1"/>
            </w14:solidFill>
          </w14:textFill>
        </w:rPr>
        <w:t>清除不合格养护工程</w:t>
      </w:r>
    </w:p>
    <w:p w14:paraId="7A27DD8E">
      <w:pPr>
        <w:spacing w:before="122" w:line="308" w:lineRule="auto"/>
        <w:ind w:left="3" w:right="145" w:firstLine="495"/>
        <w:rPr>
          <w:rFonts w:ascii="宋体" w:hAnsi="宋体" w:cs="宋体"/>
          <w:color w:val="000000" w:themeColor="text1"/>
          <w:sz w:val="24"/>
          <w:szCs w:val="24"/>
          <w:highlight w:val="none"/>
          <w14:textFill>
            <w14:solidFill>
              <w14:schemeClr w14:val="tx1"/>
            </w14:solidFill>
          </w14:textFill>
        </w:rPr>
      </w:pPr>
      <w:r>
        <w:rPr>
          <w:rFonts w:eastAsia="Times New Roman"/>
          <w:color w:val="000000" w:themeColor="text1"/>
          <w:spacing w:val="2"/>
          <w:sz w:val="24"/>
          <w:szCs w:val="24"/>
          <w:highlight w:val="none"/>
          <w14:textFill>
            <w14:solidFill>
              <w14:schemeClr w14:val="tx1"/>
            </w14:solidFill>
          </w14:textFill>
        </w:rPr>
        <w:t xml:space="preserve">13.6.1 </w:t>
      </w:r>
      <w:r>
        <w:rPr>
          <w:rFonts w:ascii="宋体" w:hAnsi="宋体" w:cs="宋体"/>
          <w:color w:val="000000" w:themeColor="text1"/>
          <w:spacing w:val="2"/>
          <w:sz w:val="24"/>
          <w:szCs w:val="24"/>
          <w:highlight w:val="none"/>
          <w14:textFill>
            <w14:solidFill>
              <w14:schemeClr w14:val="tx1"/>
            </w14:solidFill>
          </w14:textFill>
        </w:rPr>
        <w:t>承包人使用不合格材料、工程设备，或采用</w:t>
      </w:r>
      <w:r>
        <w:rPr>
          <w:rFonts w:ascii="宋体" w:hAnsi="宋体" w:cs="宋体"/>
          <w:color w:val="000000" w:themeColor="text1"/>
          <w:spacing w:val="1"/>
          <w:sz w:val="24"/>
          <w:szCs w:val="24"/>
          <w:highlight w:val="none"/>
          <w14:textFill>
            <w14:solidFill>
              <w14:schemeClr w14:val="tx1"/>
            </w14:solidFill>
          </w14:textFill>
        </w:rPr>
        <w:t>不适当的工艺，或养护作业不当，造成养护工程质量不合格的，咨询人可以随</w:t>
      </w:r>
      <w:r>
        <w:rPr>
          <w:rFonts w:ascii="宋体" w:hAnsi="宋体" w:cs="宋体"/>
          <w:color w:val="000000" w:themeColor="text1"/>
          <w:sz w:val="24"/>
          <w:szCs w:val="24"/>
          <w:highlight w:val="none"/>
          <w14:textFill>
            <w14:solidFill>
              <w14:schemeClr w14:val="tx1"/>
            </w14:solidFill>
          </w14:textFill>
        </w:rPr>
        <w:t>时发出指示，要求承包人立即采</w:t>
      </w:r>
      <w:r>
        <w:rPr>
          <w:rFonts w:ascii="宋体" w:hAnsi="宋体" w:cs="宋体"/>
          <w:color w:val="000000" w:themeColor="text1"/>
          <w:spacing w:val="1"/>
          <w:sz w:val="24"/>
          <w:szCs w:val="24"/>
          <w:highlight w:val="none"/>
          <w14:textFill>
            <w14:solidFill>
              <w14:schemeClr w14:val="tx1"/>
            </w14:solidFill>
          </w14:textFill>
        </w:rPr>
        <w:t>取措施进行补救，直至达到合同要求的质量标准，</w:t>
      </w:r>
      <w:r>
        <w:rPr>
          <w:rFonts w:ascii="宋体" w:hAnsi="宋体" w:cs="宋体"/>
          <w:color w:val="000000" w:themeColor="text1"/>
          <w:sz w:val="24"/>
          <w:szCs w:val="24"/>
          <w:highlight w:val="none"/>
          <w14:textFill>
            <w14:solidFill>
              <w14:schemeClr w14:val="tx1"/>
            </w14:solidFill>
          </w14:textFill>
        </w:rPr>
        <w:t>由此增加的费用和（或）工期延</w:t>
      </w:r>
      <w:r>
        <w:rPr>
          <w:rFonts w:ascii="宋体" w:hAnsi="宋体" w:cs="宋体"/>
          <w:color w:val="000000" w:themeColor="text1"/>
          <w:spacing w:val="-2"/>
          <w:sz w:val="24"/>
          <w:szCs w:val="24"/>
          <w:highlight w:val="none"/>
          <w14:textFill>
            <w14:solidFill>
              <w14:schemeClr w14:val="tx1"/>
            </w14:solidFill>
          </w14:textFill>
        </w:rPr>
        <w:t>误由承包人承担。</w:t>
      </w:r>
    </w:p>
    <w:p w14:paraId="4493F511">
      <w:pPr>
        <w:spacing w:before="1" w:line="307" w:lineRule="auto"/>
        <w:ind w:left="20" w:right="145" w:firstLine="464"/>
        <w:rPr>
          <w:rFonts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pacing w:val="1"/>
          <w:sz w:val="24"/>
          <w:szCs w:val="24"/>
          <w:highlight w:val="none"/>
          <w14:textFill>
            <w14:solidFill>
              <w14:schemeClr w14:val="tx1"/>
            </w14:solidFill>
          </w14:textFill>
        </w:rPr>
        <w:t>如果承包人未在约定时间内执行咨询人的指示，</w:t>
      </w:r>
      <w:r>
        <w:rPr>
          <w:rFonts w:ascii="宋体" w:hAnsi="宋体" w:cs="宋体"/>
          <w:color w:val="000000" w:themeColor="text1"/>
          <w:sz w:val="24"/>
          <w:szCs w:val="24"/>
          <w:highlight w:val="none"/>
          <w14:textFill>
            <w14:solidFill>
              <w14:schemeClr w14:val="tx1"/>
            </w14:solidFill>
          </w14:textFill>
        </w:rPr>
        <w:t>发包人有权雇用符合资格条件</w:t>
      </w:r>
      <w:r>
        <w:rPr>
          <w:rFonts w:ascii="宋体" w:hAnsi="宋体" w:cs="宋体"/>
          <w:color w:val="000000" w:themeColor="text1"/>
          <w:spacing w:val="-1"/>
          <w:sz w:val="24"/>
          <w:szCs w:val="24"/>
          <w:highlight w:val="none"/>
          <w14:textFill>
            <w14:solidFill>
              <w14:schemeClr w14:val="tx1"/>
            </w14:solidFill>
          </w14:textFill>
        </w:rPr>
        <w:t>的第三方执行，由此增加的费用和（或）工期延误由承包人承</w:t>
      </w:r>
      <w:r>
        <w:rPr>
          <w:rFonts w:ascii="宋体" w:hAnsi="宋体" w:cs="宋体"/>
          <w:color w:val="000000" w:themeColor="text1"/>
          <w:spacing w:val="-2"/>
          <w:sz w:val="24"/>
          <w:szCs w:val="24"/>
          <w:highlight w:val="none"/>
          <w14:textFill>
            <w14:solidFill>
              <w14:schemeClr w14:val="tx1"/>
            </w14:solidFill>
          </w14:textFill>
        </w:rPr>
        <w:t>担。</w:t>
      </w:r>
    </w:p>
    <w:p w14:paraId="05D9B1A8">
      <w:pPr>
        <w:spacing w:before="1" w:line="305" w:lineRule="auto"/>
        <w:ind w:right="145" w:firstLine="498"/>
        <w:rPr>
          <w:rFonts w:ascii="宋体" w:hAnsi="宋体" w:cs="宋体"/>
          <w:color w:val="000000" w:themeColor="text1"/>
          <w:sz w:val="24"/>
          <w:szCs w:val="24"/>
          <w:highlight w:val="none"/>
          <w14:textFill>
            <w14:solidFill>
              <w14:schemeClr w14:val="tx1"/>
            </w14:solidFill>
          </w14:textFill>
        </w:rPr>
      </w:pPr>
      <w:r>
        <w:rPr>
          <w:rFonts w:eastAsia="Times New Roman"/>
          <w:color w:val="000000" w:themeColor="text1"/>
          <w:spacing w:val="1"/>
          <w:sz w:val="24"/>
          <w:szCs w:val="24"/>
          <w:highlight w:val="none"/>
          <w14:textFill>
            <w14:solidFill>
              <w14:schemeClr w14:val="tx1"/>
            </w14:solidFill>
          </w14:textFill>
        </w:rPr>
        <w:t>13.6.2</w:t>
      </w:r>
      <w:r>
        <w:rPr>
          <w:rFonts w:eastAsia="Times New Roman"/>
          <w:color w:val="000000" w:themeColor="text1"/>
          <w:spacing w:val="41"/>
          <w:sz w:val="24"/>
          <w:szCs w:val="24"/>
          <w:highlight w:val="none"/>
          <w14:textFill>
            <w14:solidFill>
              <w14:schemeClr w14:val="tx1"/>
            </w14:solidFill>
          </w14:textFill>
        </w:rPr>
        <w:t xml:space="preserve"> </w:t>
      </w:r>
      <w:r>
        <w:rPr>
          <w:rFonts w:ascii="宋体" w:hAnsi="宋体" w:cs="宋体"/>
          <w:color w:val="000000" w:themeColor="text1"/>
          <w:spacing w:val="1"/>
          <w:sz w:val="24"/>
          <w:szCs w:val="24"/>
          <w:highlight w:val="none"/>
          <w14:textFill>
            <w14:solidFill>
              <w14:schemeClr w14:val="tx1"/>
            </w14:solidFill>
          </w14:textFill>
        </w:rPr>
        <w:t>由于发包人提供的材料或工程设备不合</w:t>
      </w:r>
      <w:r>
        <w:rPr>
          <w:rFonts w:ascii="宋体" w:hAnsi="宋体" w:cs="宋体"/>
          <w:color w:val="000000" w:themeColor="text1"/>
          <w:sz w:val="24"/>
          <w:szCs w:val="24"/>
          <w:highlight w:val="none"/>
          <w14:textFill>
            <w14:solidFill>
              <w14:schemeClr w14:val="tx1"/>
            </w14:solidFill>
          </w14:textFill>
        </w:rPr>
        <w:t>格造成的养护工程不合格，需要</w:t>
      </w:r>
      <w:r>
        <w:rPr>
          <w:rFonts w:ascii="宋体" w:hAnsi="宋体" w:cs="宋体"/>
          <w:color w:val="000000" w:themeColor="text1"/>
          <w:spacing w:val="1"/>
          <w:sz w:val="24"/>
          <w:szCs w:val="24"/>
          <w:highlight w:val="none"/>
          <w14:textFill>
            <w14:solidFill>
              <w14:schemeClr w14:val="tx1"/>
            </w14:solidFill>
          </w14:textFill>
        </w:rPr>
        <w:t>承包人采取措施补救的，发包人应承担由此增加的费用和</w:t>
      </w:r>
      <w:r>
        <w:rPr>
          <w:rFonts w:ascii="宋体" w:hAnsi="宋体" w:cs="宋体"/>
          <w:color w:val="000000" w:themeColor="text1"/>
          <w:sz w:val="24"/>
          <w:szCs w:val="24"/>
          <w:highlight w:val="none"/>
          <w14:textFill>
            <w14:solidFill>
              <w14:schemeClr w14:val="tx1"/>
            </w14:solidFill>
          </w14:textFill>
        </w:rPr>
        <w:t>（或）工期延误，并支付</w:t>
      </w:r>
      <w:r>
        <w:rPr>
          <w:rFonts w:ascii="宋体" w:hAnsi="宋体" w:cs="宋体"/>
          <w:color w:val="000000" w:themeColor="text1"/>
          <w:spacing w:val="-2"/>
          <w:sz w:val="24"/>
          <w:szCs w:val="24"/>
          <w:highlight w:val="none"/>
          <w14:textFill>
            <w14:solidFill>
              <w14:schemeClr w14:val="tx1"/>
            </w14:solidFill>
          </w14:textFill>
        </w:rPr>
        <w:t>承包人合理利润。</w:t>
      </w:r>
    </w:p>
    <w:p w14:paraId="0EFCB2B8">
      <w:pPr>
        <w:spacing w:line="219" w:lineRule="auto"/>
        <w:ind w:left="487"/>
        <w:outlineLvl w:val="3"/>
        <w:rPr>
          <w:rFonts w:ascii="宋体" w:hAnsi="宋体" w:cs="宋体"/>
          <w:color w:val="000000" w:themeColor="text1"/>
          <w:sz w:val="24"/>
          <w:szCs w:val="24"/>
          <w:highlight w:val="none"/>
          <w14:textFill>
            <w14:solidFill>
              <w14:schemeClr w14:val="tx1"/>
            </w14:solidFill>
          </w14:textFill>
        </w:rPr>
      </w:pPr>
      <w:r>
        <w:rPr>
          <w:rFonts w:eastAsia="Times New Roman"/>
          <w:b/>
          <w:bCs/>
          <w:color w:val="000000" w:themeColor="text1"/>
          <w:spacing w:val="-3"/>
          <w:sz w:val="24"/>
          <w:szCs w:val="24"/>
          <w:highlight w:val="none"/>
          <w14:textFill>
            <w14:solidFill>
              <w14:schemeClr w14:val="tx1"/>
            </w14:solidFill>
          </w14:textFill>
        </w:rPr>
        <w:t xml:space="preserve">13.7  </w:t>
      </w:r>
      <w:r>
        <w:rPr>
          <w:rFonts w:ascii="宋体" w:hAnsi="宋体" w:cs="宋体"/>
          <w:b/>
          <w:bCs/>
          <w:color w:val="000000" w:themeColor="text1"/>
          <w:spacing w:val="-3"/>
          <w:sz w:val="24"/>
          <w:szCs w:val="24"/>
          <w:highlight w:val="none"/>
          <w14:textFill>
            <w14:solidFill>
              <w14:schemeClr w14:val="tx1"/>
            </w14:solidFill>
          </w14:textFill>
        </w:rPr>
        <w:t>质量争议的检测</w:t>
      </w:r>
    </w:p>
    <w:p w14:paraId="3E204033">
      <w:pPr>
        <w:spacing w:before="125" w:line="309" w:lineRule="auto"/>
        <w:ind w:right="145" w:firstLine="481"/>
        <w:rPr>
          <w:rFonts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pacing w:val="1"/>
          <w:sz w:val="24"/>
          <w:szCs w:val="24"/>
          <w:highlight w:val="none"/>
          <w14:textFill>
            <w14:solidFill>
              <w14:schemeClr w14:val="tx1"/>
            </w14:solidFill>
          </w14:textFill>
        </w:rPr>
        <w:t>合同当事人对养护质量有争议的，由双方协商确定的具</w:t>
      </w:r>
      <w:r>
        <w:rPr>
          <w:rFonts w:ascii="宋体" w:hAnsi="宋体" w:cs="宋体"/>
          <w:color w:val="000000" w:themeColor="text1"/>
          <w:sz w:val="24"/>
          <w:szCs w:val="24"/>
          <w:highlight w:val="none"/>
          <w14:textFill>
            <w14:solidFill>
              <w14:schemeClr w14:val="tx1"/>
            </w14:solidFill>
          </w14:textFill>
        </w:rPr>
        <w:t>备相应资格的质量检测</w:t>
      </w:r>
      <w:r>
        <w:rPr>
          <w:rFonts w:ascii="宋体" w:hAnsi="宋体" w:cs="宋体"/>
          <w:color w:val="000000" w:themeColor="text1"/>
          <w:spacing w:val="1"/>
          <w:sz w:val="24"/>
          <w:szCs w:val="24"/>
          <w:highlight w:val="none"/>
          <w14:textFill>
            <w14:solidFill>
              <w14:schemeClr w14:val="tx1"/>
            </w14:solidFill>
          </w14:textFill>
        </w:rPr>
        <w:t>机构鉴定，由此产生的费用及因此造成的损失，由责任方承</w:t>
      </w:r>
      <w:r>
        <w:rPr>
          <w:rFonts w:ascii="宋体" w:hAnsi="宋体" w:cs="宋体"/>
          <w:color w:val="000000" w:themeColor="text1"/>
          <w:sz w:val="24"/>
          <w:szCs w:val="24"/>
          <w:highlight w:val="none"/>
          <w14:textFill>
            <w14:solidFill>
              <w14:schemeClr w14:val="tx1"/>
            </w14:solidFill>
          </w14:textFill>
        </w:rPr>
        <w:t>担。合同当事人均有责</w:t>
      </w:r>
      <w:r>
        <w:rPr>
          <w:rFonts w:ascii="宋体" w:hAnsi="宋体" w:cs="宋体"/>
          <w:color w:val="000000" w:themeColor="text1"/>
          <w:spacing w:val="6"/>
          <w:sz w:val="24"/>
          <w:szCs w:val="24"/>
          <w:highlight w:val="none"/>
          <w14:textFill>
            <w14:solidFill>
              <w14:schemeClr w14:val="tx1"/>
            </w14:solidFill>
          </w14:textFill>
        </w:rPr>
        <w:t>任的，由双方根据其责任分别承担。合同当事人无法达成一致的，</w:t>
      </w:r>
      <w:r>
        <w:rPr>
          <w:rFonts w:ascii="宋体" w:hAnsi="宋体" w:cs="宋体"/>
          <w:color w:val="000000" w:themeColor="text1"/>
          <w:spacing w:val="-66"/>
          <w:sz w:val="24"/>
          <w:szCs w:val="24"/>
          <w:highlight w:val="none"/>
          <w14:textFill>
            <w14:solidFill>
              <w14:schemeClr w14:val="tx1"/>
            </w14:solidFill>
          </w14:textFill>
        </w:rPr>
        <w:t xml:space="preserve"> </w:t>
      </w:r>
      <w:r>
        <w:rPr>
          <w:rFonts w:ascii="宋体" w:hAnsi="宋体" w:cs="宋体"/>
          <w:color w:val="000000" w:themeColor="text1"/>
          <w:spacing w:val="6"/>
          <w:sz w:val="24"/>
          <w:szCs w:val="24"/>
          <w:highlight w:val="none"/>
          <w14:textFill>
            <w14:solidFill>
              <w14:schemeClr w14:val="tx1"/>
            </w14:solidFill>
          </w14:textFill>
        </w:rPr>
        <w:t>由咨询人按第</w:t>
      </w:r>
      <w:r>
        <w:rPr>
          <w:rFonts w:eastAsia="Times New Roman"/>
          <w:color w:val="000000" w:themeColor="text1"/>
          <w:spacing w:val="-1"/>
          <w:sz w:val="24"/>
          <w:szCs w:val="24"/>
          <w:highlight w:val="none"/>
          <w14:textFill>
            <w14:solidFill>
              <w14:schemeClr w14:val="tx1"/>
            </w14:solidFill>
          </w14:textFill>
        </w:rPr>
        <w:t xml:space="preserve">3.5 </w:t>
      </w:r>
      <w:r>
        <w:rPr>
          <w:rFonts w:ascii="宋体" w:hAnsi="宋体" w:cs="宋体"/>
          <w:color w:val="000000" w:themeColor="text1"/>
          <w:spacing w:val="-1"/>
          <w:sz w:val="24"/>
          <w:szCs w:val="24"/>
          <w:highlight w:val="none"/>
          <w14:textFill>
            <w14:solidFill>
              <w14:schemeClr w14:val="tx1"/>
            </w14:solidFill>
          </w14:textFill>
        </w:rPr>
        <w:t>款商定或确定。</w:t>
      </w:r>
    </w:p>
    <w:p w14:paraId="6F7F896F">
      <w:pPr>
        <w:spacing w:before="304" w:line="219" w:lineRule="auto"/>
        <w:ind w:left="487"/>
        <w:outlineLvl w:val="2"/>
        <w:rPr>
          <w:rFonts w:ascii="宋体" w:hAnsi="宋体" w:cs="宋体"/>
          <w:color w:val="000000" w:themeColor="text1"/>
          <w:sz w:val="24"/>
          <w:szCs w:val="24"/>
          <w:highlight w:val="none"/>
          <w14:textFill>
            <w14:solidFill>
              <w14:schemeClr w14:val="tx1"/>
            </w14:solidFill>
          </w14:textFill>
        </w:rPr>
      </w:pPr>
      <w:bookmarkStart w:id="147" w:name="bookmark34"/>
      <w:bookmarkEnd w:id="147"/>
      <w:bookmarkStart w:id="148" w:name="bookmark33"/>
      <w:bookmarkEnd w:id="148"/>
      <w:bookmarkStart w:id="149" w:name="_Toc23195"/>
      <w:r>
        <w:rPr>
          <w:rFonts w:eastAsia="Times New Roman"/>
          <w:b/>
          <w:bCs/>
          <w:color w:val="000000" w:themeColor="text1"/>
          <w:spacing w:val="-3"/>
          <w:sz w:val="24"/>
          <w:szCs w:val="24"/>
          <w:highlight w:val="none"/>
          <w14:textFill>
            <w14:solidFill>
              <w14:schemeClr w14:val="tx1"/>
            </w14:solidFill>
          </w14:textFill>
        </w:rPr>
        <w:t xml:space="preserve">14.  </w:t>
      </w:r>
      <w:r>
        <w:rPr>
          <w:rFonts w:ascii="宋体" w:hAnsi="宋体" w:cs="宋体"/>
          <w:b/>
          <w:bCs/>
          <w:color w:val="000000" w:themeColor="text1"/>
          <w:spacing w:val="-3"/>
          <w:sz w:val="24"/>
          <w:szCs w:val="24"/>
          <w:highlight w:val="none"/>
          <w14:textFill>
            <w14:solidFill>
              <w14:schemeClr w14:val="tx1"/>
            </w14:solidFill>
          </w14:textFill>
        </w:rPr>
        <w:t>试验和检验</w:t>
      </w:r>
      <w:bookmarkEnd w:id="149"/>
    </w:p>
    <w:p w14:paraId="73D8035C">
      <w:pPr>
        <w:spacing w:before="259" w:line="219" w:lineRule="auto"/>
        <w:ind w:left="487"/>
        <w:outlineLvl w:val="3"/>
        <w:rPr>
          <w:rFonts w:ascii="宋体" w:hAnsi="宋体" w:cs="宋体"/>
          <w:color w:val="000000" w:themeColor="text1"/>
          <w:sz w:val="24"/>
          <w:szCs w:val="24"/>
          <w:highlight w:val="none"/>
          <w14:textFill>
            <w14:solidFill>
              <w14:schemeClr w14:val="tx1"/>
            </w14:solidFill>
          </w14:textFill>
        </w:rPr>
      </w:pPr>
      <w:r>
        <w:rPr>
          <w:rFonts w:eastAsia="Times New Roman"/>
          <w:b/>
          <w:bCs/>
          <w:color w:val="000000" w:themeColor="text1"/>
          <w:spacing w:val="-2"/>
          <w:sz w:val="24"/>
          <w:szCs w:val="24"/>
          <w:highlight w:val="none"/>
          <w14:textFill>
            <w14:solidFill>
              <w14:schemeClr w14:val="tx1"/>
            </w14:solidFill>
          </w14:textFill>
        </w:rPr>
        <w:t xml:space="preserve">14.1  </w:t>
      </w:r>
      <w:r>
        <w:rPr>
          <w:rFonts w:ascii="宋体" w:hAnsi="宋体" w:cs="宋体"/>
          <w:b/>
          <w:bCs/>
          <w:color w:val="000000" w:themeColor="text1"/>
          <w:spacing w:val="-2"/>
          <w:sz w:val="24"/>
          <w:szCs w:val="24"/>
          <w:highlight w:val="none"/>
          <w14:textFill>
            <w14:solidFill>
              <w14:schemeClr w14:val="tx1"/>
            </w14:solidFill>
          </w14:textFill>
        </w:rPr>
        <w:t>材料、工程设备和养护工程的试验和检验</w:t>
      </w:r>
    </w:p>
    <w:p w14:paraId="20A9F1DC">
      <w:pPr>
        <w:spacing w:before="126" w:line="286" w:lineRule="auto"/>
        <w:ind w:right="145" w:firstLine="499"/>
        <w:rPr>
          <w:rFonts w:ascii="宋体" w:hAnsi="宋体" w:cs="宋体"/>
          <w:color w:val="000000" w:themeColor="text1"/>
          <w:sz w:val="24"/>
          <w:szCs w:val="24"/>
          <w:highlight w:val="none"/>
          <w14:textFill>
            <w14:solidFill>
              <w14:schemeClr w14:val="tx1"/>
            </w14:solidFill>
          </w14:textFill>
        </w:rPr>
      </w:pPr>
      <w:r>
        <w:rPr>
          <w:rFonts w:eastAsia="Times New Roman"/>
          <w:color w:val="000000" w:themeColor="text1"/>
          <w:sz w:val="24"/>
          <w:szCs w:val="24"/>
          <w:highlight w:val="none"/>
          <w14:textFill>
            <w14:solidFill>
              <w14:schemeClr w14:val="tx1"/>
            </w14:solidFill>
          </w14:textFill>
        </w:rPr>
        <w:t xml:space="preserve">14.1.1  </w:t>
      </w:r>
      <w:r>
        <w:rPr>
          <w:rFonts w:ascii="宋体" w:hAnsi="宋体" w:cs="宋体"/>
          <w:color w:val="000000" w:themeColor="text1"/>
          <w:sz w:val="24"/>
          <w:szCs w:val="24"/>
          <w:highlight w:val="none"/>
          <w14:textFill>
            <w14:solidFill>
              <w14:schemeClr w14:val="tx1"/>
            </w14:solidFill>
          </w14:textFill>
        </w:rPr>
        <w:t>承包人应按合同约定进行材料、工程设备和养护工程的试验和检验，并</w:t>
      </w:r>
      <w:r>
        <w:rPr>
          <w:rFonts w:ascii="宋体" w:hAnsi="宋体" w:cs="宋体"/>
          <w:color w:val="000000" w:themeColor="text1"/>
          <w:spacing w:val="1"/>
          <w:sz w:val="24"/>
          <w:szCs w:val="24"/>
          <w:highlight w:val="none"/>
          <w14:textFill>
            <w14:solidFill>
              <w14:schemeClr w14:val="tx1"/>
            </w14:solidFill>
          </w14:textFill>
        </w:rPr>
        <w:t>为咨询人对上述材料、工程设备和养护工程的质量检查提供</w:t>
      </w:r>
      <w:r>
        <w:rPr>
          <w:rFonts w:ascii="宋体" w:hAnsi="宋体" w:cs="宋体"/>
          <w:color w:val="000000" w:themeColor="text1"/>
          <w:sz w:val="24"/>
          <w:szCs w:val="24"/>
          <w:highlight w:val="none"/>
          <w14:textFill>
            <w14:solidFill>
              <w14:schemeClr w14:val="tx1"/>
            </w14:solidFill>
          </w14:textFill>
        </w:rPr>
        <w:t>必要的试验资料和原始</w:t>
      </w:r>
      <w:r>
        <w:rPr>
          <w:rFonts w:ascii="宋体" w:hAnsi="宋体" w:cs="宋体"/>
          <w:color w:val="000000" w:themeColor="text1"/>
          <w:spacing w:val="1"/>
          <w:sz w:val="24"/>
          <w:szCs w:val="24"/>
          <w:highlight w:val="none"/>
          <w14:textFill>
            <w14:solidFill>
              <w14:schemeClr w14:val="tx1"/>
            </w14:solidFill>
          </w14:textFill>
        </w:rPr>
        <w:t>记录。按合同约定应由咨询人与承包人共同进行试验和检验</w:t>
      </w:r>
      <w:r>
        <w:rPr>
          <w:rFonts w:ascii="宋体" w:hAnsi="宋体" w:cs="宋体"/>
          <w:color w:val="000000" w:themeColor="text1"/>
          <w:sz w:val="24"/>
          <w:szCs w:val="24"/>
          <w:highlight w:val="none"/>
          <w14:textFill>
            <w14:solidFill>
              <w14:schemeClr w14:val="tx1"/>
            </w14:solidFill>
          </w14:textFill>
        </w:rPr>
        <w:t>的，由承包人负责提供</w:t>
      </w:r>
      <w:r>
        <w:rPr>
          <w:rFonts w:ascii="宋体" w:hAnsi="宋体" w:cs="宋体"/>
          <w:color w:val="000000" w:themeColor="text1"/>
          <w:spacing w:val="-1"/>
          <w:sz w:val="24"/>
          <w:szCs w:val="24"/>
          <w:highlight w:val="none"/>
          <w14:textFill>
            <w14:solidFill>
              <w14:schemeClr w14:val="tx1"/>
            </w14:solidFill>
          </w14:textFill>
        </w:rPr>
        <w:t>必要的试验资料和原始记录。</w:t>
      </w:r>
    </w:p>
    <w:p w14:paraId="49214F1C">
      <w:pPr>
        <w:spacing w:before="114" w:line="264" w:lineRule="auto"/>
        <w:ind w:right="145" w:firstLine="498"/>
        <w:rPr>
          <w:rFonts w:ascii="宋体" w:hAnsi="宋体" w:cs="宋体"/>
          <w:color w:val="000000" w:themeColor="text1"/>
          <w:sz w:val="24"/>
          <w:szCs w:val="24"/>
          <w:highlight w:val="none"/>
          <w14:textFill>
            <w14:solidFill>
              <w14:schemeClr w14:val="tx1"/>
            </w14:solidFill>
          </w14:textFill>
        </w:rPr>
      </w:pPr>
      <w:r>
        <w:rPr>
          <w:rFonts w:eastAsia="Times New Roman"/>
          <w:color w:val="000000" w:themeColor="text1"/>
          <w:sz w:val="24"/>
          <w:szCs w:val="24"/>
          <w:highlight w:val="none"/>
          <w14:textFill>
            <w14:solidFill>
              <w14:schemeClr w14:val="tx1"/>
            </w14:solidFill>
          </w14:textFill>
        </w:rPr>
        <w:t xml:space="preserve">14.1.2  </w:t>
      </w:r>
      <w:r>
        <w:rPr>
          <w:rFonts w:ascii="宋体" w:hAnsi="宋体" w:cs="宋体"/>
          <w:color w:val="000000" w:themeColor="text1"/>
          <w:sz w:val="24"/>
          <w:szCs w:val="24"/>
          <w:highlight w:val="none"/>
          <w14:textFill>
            <w14:solidFill>
              <w14:schemeClr w14:val="tx1"/>
            </w14:solidFill>
          </w14:textFill>
        </w:rPr>
        <w:t>咨询人未按合同约定派员参加试验和检验的，除咨询人另有指示外，承</w:t>
      </w:r>
      <w:r>
        <w:rPr>
          <w:rFonts w:ascii="宋体" w:hAnsi="宋体" w:cs="宋体"/>
          <w:color w:val="000000" w:themeColor="text1"/>
          <w:spacing w:val="1"/>
          <w:sz w:val="24"/>
          <w:szCs w:val="24"/>
          <w:highlight w:val="none"/>
          <w14:textFill>
            <w14:solidFill>
              <w14:schemeClr w14:val="tx1"/>
            </w14:solidFill>
          </w14:textFill>
        </w:rPr>
        <w:t>包人可自行试验和检验，并应立即将试验和检验结果报送</w:t>
      </w:r>
      <w:r>
        <w:rPr>
          <w:rFonts w:ascii="宋体" w:hAnsi="宋体" w:cs="宋体"/>
          <w:color w:val="000000" w:themeColor="text1"/>
          <w:sz w:val="24"/>
          <w:szCs w:val="24"/>
          <w:highlight w:val="none"/>
          <w14:textFill>
            <w14:solidFill>
              <w14:schemeClr w14:val="tx1"/>
            </w14:solidFill>
          </w14:textFill>
        </w:rPr>
        <w:t>咨询人，咨询人应签字确</w:t>
      </w:r>
      <w:r>
        <w:rPr>
          <w:rFonts w:ascii="宋体" w:hAnsi="宋体" w:cs="宋体"/>
          <w:color w:val="000000" w:themeColor="text1"/>
          <w:spacing w:val="-5"/>
          <w:sz w:val="24"/>
          <w:szCs w:val="24"/>
          <w:highlight w:val="none"/>
          <w14:textFill>
            <w14:solidFill>
              <w14:schemeClr w14:val="tx1"/>
            </w14:solidFill>
          </w14:textFill>
        </w:rPr>
        <w:t>认。</w:t>
      </w:r>
    </w:p>
    <w:p w14:paraId="0E9F2087">
      <w:pPr>
        <w:spacing w:before="117" w:line="306" w:lineRule="auto"/>
        <w:ind w:firstLine="499"/>
        <w:rPr>
          <w:rFonts w:ascii="宋体" w:hAnsi="宋体" w:cs="宋体"/>
          <w:color w:val="000000" w:themeColor="text1"/>
          <w:sz w:val="24"/>
          <w:szCs w:val="24"/>
          <w:highlight w:val="none"/>
          <w14:textFill>
            <w14:solidFill>
              <w14:schemeClr w14:val="tx1"/>
            </w14:solidFill>
          </w14:textFill>
        </w:rPr>
      </w:pPr>
      <w:r>
        <w:rPr>
          <w:rFonts w:eastAsia="Times New Roman"/>
          <w:color w:val="000000" w:themeColor="text1"/>
          <w:sz w:val="24"/>
          <w:szCs w:val="24"/>
          <w:highlight w:val="none"/>
          <w14:textFill>
            <w14:solidFill>
              <w14:schemeClr w14:val="tx1"/>
            </w14:solidFill>
          </w14:textFill>
        </w:rPr>
        <w:t xml:space="preserve">14.1.3  </w:t>
      </w:r>
      <w:r>
        <w:rPr>
          <w:rFonts w:ascii="宋体" w:hAnsi="宋体" w:cs="宋体"/>
          <w:color w:val="000000" w:themeColor="text1"/>
          <w:sz w:val="24"/>
          <w:szCs w:val="24"/>
          <w:highlight w:val="none"/>
          <w14:textFill>
            <w14:solidFill>
              <w14:schemeClr w14:val="tx1"/>
            </w14:solidFill>
          </w14:textFill>
        </w:rPr>
        <w:t>咨询人对承包人的试验和检验结果有疑问的，或为查清承包人试验和检</w:t>
      </w:r>
      <w:r>
        <w:rPr>
          <w:rFonts w:ascii="宋体" w:hAnsi="宋体" w:cs="宋体"/>
          <w:color w:val="000000" w:themeColor="text1"/>
          <w:spacing w:val="1"/>
          <w:sz w:val="24"/>
          <w:szCs w:val="24"/>
          <w:highlight w:val="none"/>
          <w14:textFill>
            <w14:solidFill>
              <w14:schemeClr w14:val="tx1"/>
            </w14:solidFill>
          </w14:textFill>
        </w:rPr>
        <w:t>验成果的可靠性要求承包人重新试验和检验的，可按合同约</w:t>
      </w:r>
      <w:r>
        <w:rPr>
          <w:rFonts w:ascii="宋体" w:hAnsi="宋体" w:cs="宋体"/>
          <w:color w:val="000000" w:themeColor="text1"/>
          <w:sz w:val="24"/>
          <w:szCs w:val="24"/>
          <w:highlight w:val="none"/>
          <w14:textFill>
            <w14:solidFill>
              <w14:schemeClr w14:val="tx1"/>
            </w14:solidFill>
          </w14:textFill>
        </w:rPr>
        <w:t>定由咨询人与承包人共</w:t>
      </w:r>
      <w:r>
        <w:rPr>
          <w:rFonts w:ascii="宋体" w:hAnsi="宋体" w:cs="宋体"/>
          <w:color w:val="000000" w:themeColor="text1"/>
          <w:spacing w:val="1"/>
          <w:sz w:val="24"/>
          <w:szCs w:val="24"/>
          <w:highlight w:val="none"/>
          <w14:textFill>
            <w14:solidFill>
              <w14:schemeClr w14:val="tx1"/>
            </w14:solidFill>
          </w14:textFill>
        </w:rPr>
        <w:t>同进行。重新试验和检验的结果证明该项材料、工程设备或</w:t>
      </w:r>
      <w:r>
        <w:rPr>
          <w:rFonts w:ascii="宋体" w:hAnsi="宋体" w:cs="宋体"/>
          <w:color w:val="000000" w:themeColor="text1"/>
          <w:sz w:val="24"/>
          <w:szCs w:val="24"/>
          <w:highlight w:val="none"/>
          <w14:textFill>
            <w14:solidFill>
              <w14:schemeClr w14:val="tx1"/>
            </w14:solidFill>
          </w14:textFill>
        </w:rPr>
        <w:t>养护工程的质量不符合</w:t>
      </w:r>
      <w:r>
        <w:rPr>
          <w:rFonts w:ascii="宋体" w:hAnsi="宋体" w:cs="宋体"/>
          <w:color w:val="000000" w:themeColor="text1"/>
          <w:spacing w:val="1"/>
          <w:sz w:val="24"/>
          <w:szCs w:val="24"/>
          <w:highlight w:val="none"/>
          <w14:textFill>
            <w14:solidFill>
              <w14:schemeClr w14:val="tx1"/>
            </w14:solidFill>
          </w14:textFill>
        </w:rPr>
        <w:t>合同要求的，由此增加的费用和（或）工期延误由承包人承</w:t>
      </w:r>
      <w:r>
        <w:rPr>
          <w:rFonts w:ascii="宋体" w:hAnsi="宋体" w:cs="宋体"/>
          <w:color w:val="000000" w:themeColor="text1"/>
          <w:sz w:val="24"/>
          <w:szCs w:val="24"/>
          <w:highlight w:val="none"/>
          <w14:textFill>
            <w14:solidFill>
              <w14:schemeClr w14:val="tx1"/>
            </w14:solidFill>
          </w14:textFill>
        </w:rPr>
        <w:t>担；重新试验和检验结</w:t>
      </w:r>
      <w:r>
        <w:rPr>
          <w:rFonts w:ascii="宋体" w:hAnsi="宋体" w:cs="宋体"/>
          <w:color w:val="000000" w:themeColor="text1"/>
          <w:spacing w:val="1"/>
          <w:sz w:val="24"/>
          <w:szCs w:val="24"/>
          <w:highlight w:val="none"/>
          <w14:textFill>
            <w14:solidFill>
              <w14:schemeClr w14:val="tx1"/>
            </w14:solidFill>
          </w14:textFill>
        </w:rPr>
        <w:t>果证明该项材料、工程设备和养护工程符合合同要求的，由</w:t>
      </w:r>
      <w:r>
        <w:rPr>
          <w:rFonts w:ascii="宋体" w:hAnsi="宋体" w:cs="宋体"/>
          <w:color w:val="000000" w:themeColor="text1"/>
          <w:sz w:val="24"/>
          <w:szCs w:val="24"/>
          <w:highlight w:val="none"/>
          <w14:textFill>
            <w14:solidFill>
              <w14:schemeClr w14:val="tx1"/>
            </w14:solidFill>
          </w14:textFill>
        </w:rPr>
        <w:t>发包人承担由此增加的</w:t>
      </w:r>
      <w:r>
        <w:rPr>
          <w:rFonts w:ascii="宋体" w:hAnsi="宋体" w:cs="宋体"/>
          <w:color w:val="000000" w:themeColor="text1"/>
          <w:spacing w:val="-1"/>
          <w:sz w:val="24"/>
          <w:szCs w:val="24"/>
          <w:highlight w:val="none"/>
          <w14:textFill>
            <w14:solidFill>
              <w14:schemeClr w14:val="tx1"/>
            </w14:solidFill>
          </w14:textFill>
        </w:rPr>
        <w:t>费用和（或）工期延误，并支付承包人合理利润。</w:t>
      </w:r>
    </w:p>
    <w:p w14:paraId="05FE451B">
      <w:pPr>
        <w:spacing w:line="218" w:lineRule="auto"/>
        <w:ind w:left="487"/>
        <w:outlineLvl w:val="3"/>
        <w:rPr>
          <w:rFonts w:ascii="宋体" w:hAnsi="宋体" w:cs="宋体"/>
          <w:color w:val="000000" w:themeColor="text1"/>
          <w:sz w:val="24"/>
          <w:szCs w:val="24"/>
          <w:highlight w:val="none"/>
          <w14:textFill>
            <w14:solidFill>
              <w14:schemeClr w14:val="tx1"/>
            </w14:solidFill>
          </w14:textFill>
        </w:rPr>
      </w:pPr>
      <w:r>
        <w:rPr>
          <w:rFonts w:eastAsia="Times New Roman"/>
          <w:b/>
          <w:bCs/>
          <w:color w:val="000000" w:themeColor="text1"/>
          <w:spacing w:val="-3"/>
          <w:sz w:val="24"/>
          <w:szCs w:val="24"/>
          <w:highlight w:val="none"/>
          <w14:textFill>
            <w14:solidFill>
              <w14:schemeClr w14:val="tx1"/>
            </w14:solidFill>
          </w14:textFill>
        </w:rPr>
        <w:t xml:space="preserve">14.2  </w:t>
      </w:r>
      <w:r>
        <w:rPr>
          <w:rFonts w:ascii="宋体" w:hAnsi="宋体" w:cs="宋体"/>
          <w:b/>
          <w:bCs/>
          <w:color w:val="000000" w:themeColor="text1"/>
          <w:spacing w:val="-3"/>
          <w:sz w:val="24"/>
          <w:szCs w:val="24"/>
          <w:highlight w:val="none"/>
          <w14:textFill>
            <w14:solidFill>
              <w14:schemeClr w14:val="tx1"/>
            </w14:solidFill>
          </w14:textFill>
        </w:rPr>
        <w:t>现场材料试验</w:t>
      </w:r>
    </w:p>
    <w:p w14:paraId="1F351599">
      <w:pPr>
        <w:spacing w:before="125" w:line="263" w:lineRule="auto"/>
        <w:ind w:right="2" w:firstLine="498"/>
        <w:rPr>
          <w:rFonts w:ascii="宋体" w:hAnsi="宋体" w:cs="宋体"/>
          <w:color w:val="000000" w:themeColor="text1"/>
          <w:sz w:val="24"/>
          <w:szCs w:val="24"/>
          <w:highlight w:val="none"/>
          <w14:textFill>
            <w14:solidFill>
              <w14:schemeClr w14:val="tx1"/>
            </w14:solidFill>
          </w14:textFill>
        </w:rPr>
      </w:pPr>
      <w:r>
        <w:rPr>
          <w:rFonts w:eastAsia="Times New Roman"/>
          <w:color w:val="000000" w:themeColor="text1"/>
          <w:sz w:val="24"/>
          <w:szCs w:val="24"/>
          <w:highlight w:val="none"/>
          <w14:textFill>
            <w14:solidFill>
              <w14:schemeClr w14:val="tx1"/>
            </w14:solidFill>
          </w14:textFill>
        </w:rPr>
        <w:t xml:space="preserve">14.2.1  </w:t>
      </w:r>
      <w:r>
        <w:rPr>
          <w:rFonts w:ascii="宋体" w:hAnsi="宋体" w:cs="宋体"/>
          <w:color w:val="000000" w:themeColor="text1"/>
          <w:sz w:val="24"/>
          <w:szCs w:val="24"/>
          <w:highlight w:val="none"/>
          <w14:textFill>
            <w14:solidFill>
              <w14:schemeClr w14:val="tx1"/>
            </w14:solidFill>
          </w14:textFill>
        </w:rPr>
        <w:t>承包人根据合同约定或咨询人指示进行的现场材料试验，应由承包人提</w:t>
      </w:r>
      <w:r>
        <w:rPr>
          <w:rFonts w:ascii="宋体" w:hAnsi="宋体" w:cs="宋体"/>
          <w:color w:val="000000" w:themeColor="text1"/>
          <w:spacing w:val="-1"/>
          <w:sz w:val="24"/>
          <w:szCs w:val="24"/>
          <w:highlight w:val="none"/>
          <w14:textFill>
            <w14:solidFill>
              <w14:schemeClr w14:val="tx1"/>
            </w14:solidFill>
          </w14:textFill>
        </w:rPr>
        <w:t>供试验场所、试验人员、试验设备器材以及其他必要的试验条件。</w:t>
      </w:r>
    </w:p>
    <w:p w14:paraId="0C9CFE5E">
      <w:pPr>
        <w:spacing w:before="115" w:line="263" w:lineRule="auto"/>
        <w:ind w:right="2" w:firstLine="499"/>
        <w:rPr>
          <w:rFonts w:ascii="宋体" w:hAnsi="宋体" w:cs="宋体"/>
          <w:color w:val="000000" w:themeColor="text1"/>
          <w:sz w:val="24"/>
          <w:szCs w:val="24"/>
          <w:highlight w:val="none"/>
          <w14:textFill>
            <w14:solidFill>
              <w14:schemeClr w14:val="tx1"/>
            </w14:solidFill>
          </w14:textFill>
        </w:rPr>
      </w:pPr>
      <w:r>
        <w:rPr>
          <w:rFonts w:eastAsia="Times New Roman"/>
          <w:color w:val="000000" w:themeColor="text1"/>
          <w:sz w:val="24"/>
          <w:szCs w:val="24"/>
          <w:highlight w:val="none"/>
          <w14:textFill>
            <w14:solidFill>
              <w14:schemeClr w14:val="tx1"/>
            </w14:solidFill>
          </w14:textFill>
        </w:rPr>
        <w:t xml:space="preserve">14.2.2  </w:t>
      </w:r>
      <w:r>
        <w:rPr>
          <w:rFonts w:ascii="宋体" w:hAnsi="宋体" w:cs="宋体"/>
          <w:color w:val="000000" w:themeColor="text1"/>
          <w:sz w:val="24"/>
          <w:szCs w:val="24"/>
          <w:highlight w:val="none"/>
          <w14:textFill>
            <w14:solidFill>
              <w14:schemeClr w14:val="tx1"/>
            </w14:solidFill>
          </w14:textFill>
        </w:rPr>
        <w:t>咨询人在必要时可以使用承包人的试验场所、试验设备器材以及其他试验条件，进行以养护质量检查为目的的复核性材料试验</w:t>
      </w:r>
      <w:r>
        <w:rPr>
          <w:rFonts w:ascii="宋体" w:hAnsi="宋体" w:cs="宋体"/>
          <w:color w:val="000000" w:themeColor="text1"/>
          <w:spacing w:val="-1"/>
          <w:sz w:val="24"/>
          <w:szCs w:val="24"/>
          <w:highlight w:val="none"/>
          <w14:textFill>
            <w14:solidFill>
              <w14:schemeClr w14:val="tx1"/>
            </w14:solidFill>
          </w14:textFill>
        </w:rPr>
        <w:t>，承包人应予以协助。</w:t>
      </w:r>
    </w:p>
    <w:p w14:paraId="3A9C1362">
      <w:pPr>
        <w:spacing w:before="107" w:line="219" w:lineRule="auto"/>
        <w:ind w:left="487"/>
        <w:outlineLvl w:val="3"/>
        <w:rPr>
          <w:rFonts w:ascii="宋体" w:hAnsi="宋体" w:cs="宋体"/>
          <w:color w:val="000000" w:themeColor="text1"/>
          <w:sz w:val="24"/>
          <w:szCs w:val="24"/>
          <w:highlight w:val="none"/>
          <w14:textFill>
            <w14:solidFill>
              <w14:schemeClr w14:val="tx1"/>
            </w14:solidFill>
          </w14:textFill>
        </w:rPr>
      </w:pPr>
      <w:r>
        <w:rPr>
          <w:rFonts w:eastAsia="Times New Roman"/>
          <w:b/>
          <w:bCs/>
          <w:color w:val="000000" w:themeColor="text1"/>
          <w:spacing w:val="-3"/>
          <w:sz w:val="24"/>
          <w:szCs w:val="24"/>
          <w:highlight w:val="none"/>
          <w14:textFill>
            <w14:solidFill>
              <w14:schemeClr w14:val="tx1"/>
            </w14:solidFill>
          </w14:textFill>
        </w:rPr>
        <w:t xml:space="preserve">14.3  </w:t>
      </w:r>
      <w:r>
        <w:rPr>
          <w:rFonts w:ascii="宋体" w:hAnsi="宋体" w:cs="宋体"/>
          <w:b/>
          <w:bCs/>
          <w:color w:val="000000" w:themeColor="text1"/>
          <w:spacing w:val="-3"/>
          <w:sz w:val="24"/>
          <w:szCs w:val="24"/>
          <w:highlight w:val="none"/>
          <w14:textFill>
            <w14:solidFill>
              <w14:schemeClr w14:val="tx1"/>
            </w14:solidFill>
          </w14:textFill>
        </w:rPr>
        <w:t>试验和检验费用</w:t>
      </w:r>
    </w:p>
    <w:p w14:paraId="70F7E5E8">
      <w:pPr>
        <w:spacing w:before="124" w:line="264" w:lineRule="auto"/>
        <w:ind w:left="2" w:right="2" w:firstLine="496"/>
        <w:rPr>
          <w:rFonts w:ascii="宋体" w:hAnsi="宋体" w:cs="宋体"/>
          <w:color w:val="000000" w:themeColor="text1"/>
          <w:sz w:val="24"/>
          <w:szCs w:val="24"/>
          <w:highlight w:val="none"/>
          <w14:textFill>
            <w14:solidFill>
              <w14:schemeClr w14:val="tx1"/>
            </w14:solidFill>
          </w14:textFill>
        </w:rPr>
      </w:pPr>
      <w:r>
        <w:rPr>
          <w:rFonts w:eastAsia="Times New Roman"/>
          <w:color w:val="000000" w:themeColor="text1"/>
          <w:sz w:val="24"/>
          <w:szCs w:val="24"/>
          <w:highlight w:val="none"/>
          <w14:textFill>
            <w14:solidFill>
              <w14:schemeClr w14:val="tx1"/>
            </w14:solidFill>
          </w14:textFill>
        </w:rPr>
        <w:t xml:space="preserve">14.3.1  </w:t>
      </w:r>
      <w:r>
        <w:rPr>
          <w:rFonts w:ascii="宋体" w:hAnsi="宋体" w:cs="宋体"/>
          <w:color w:val="000000" w:themeColor="text1"/>
          <w:sz w:val="24"/>
          <w:szCs w:val="24"/>
          <w:highlight w:val="none"/>
          <w14:textFill>
            <w14:solidFill>
              <w14:schemeClr w14:val="tx1"/>
            </w14:solidFill>
          </w14:textFill>
        </w:rPr>
        <w:t>承包人应负责提供合同约定的试验和检验所需的全部样品，并承担其费</w:t>
      </w:r>
      <w:r>
        <w:rPr>
          <w:rFonts w:ascii="宋体" w:hAnsi="宋体" w:cs="宋体"/>
          <w:color w:val="000000" w:themeColor="text1"/>
          <w:spacing w:val="-6"/>
          <w:sz w:val="24"/>
          <w:szCs w:val="24"/>
          <w:highlight w:val="none"/>
          <w14:textFill>
            <w14:solidFill>
              <w14:schemeClr w14:val="tx1"/>
            </w14:solidFill>
          </w14:textFill>
        </w:rPr>
        <w:t>用。</w:t>
      </w:r>
    </w:p>
    <w:p w14:paraId="0A928415">
      <w:pPr>
        <w:spacing w:before="114" w:line="264" w:lineRule="auto"/>
        <w:ind w:left="27" w:right="2" w:firstLine="472"/>
        <w:rPr>
          <w:rFonts w:ascii="宋体" w:hAnsi="宋体" w:cs="宋体"/>
          <w:color w:val="000000" w:themeColor="text1"/>
          <w:sz w:val="24"/>
          <w:szCs w:val="24"/>
          <w:highlight w:val="none"/>
          <w14:textFill>
            <w14:solidFill>
              <w14:schemeClr w14:val="tx1"/>
            </w14:solidFill>
          </w14:textFill>
        </w:rPr>
      </w:pPr>
      <w:r>
        <w:rPr>
          <w:rFonts w:eastAsia="Times New Roman"/>
          <w:color w:val="000000" w:themeColor="text1"/>
          <w:sz w:val="24"/>
          <w:szCs w:val="24"/>
          <w:highlight w:val="none"/>
          <w14:textFill>
            <w14:solidFill>
              <w14:schemeClr w14:val="tx1"/>
            </w14:solidFill>
          </w14:textFill>
        </w:rPr>
        <w:t xml:space="preserve">14.3.2  </w:t>
      </w:r>
      <w:r>
        <w:rPr>
          <w:rFonts w:ascii="宋体" w:hAnsi="宋体" w:cs="宋体"/>
          <w:color w:val="000000" w:themeColor="text1"/>
          <w:sz w:val="24"/>
          <w:szCs w:val="24"/>
          <w:highlight w:val="none"/>
          <w14:textFill>
            <w14:solidFill>
              <w14:schemeClr w14:val="tx1"/>
            </w14:solidFill>
          </w14:textFill>
        </w:rPr>
        <w:t>在合同中明确约定的试验和检验，包括无须在工程量清单中单独列项和</w:t>
      </w:r>
      <w:r>
        <w:rPr>
          <w:rFonts w:ascii="宋体" w:hAnsi="宋体" w:cs="宋体"/>
          <w:color w:val="000000" w:themeColor="text1"/>
          <w:spacing w:val="-1"/>
          <w:sz w:val="24"/>
          <w:szCs w:val="24"/>
          <w:highlight w:val="none"/>
          <w14:textFill>
            <w14:solidFill>
              <w14:schemeClr w14:val="tx1"/>
            </w14:solidFill>
          </w14:textFill>
        </w:rPr>
        <w:t>已在工程量清单中单独列项的试验和检验，其试验和检验的费用由承包人承</w:t>
      </w:r>
      <w:r>
        <w:rPr>
          <w:rFonts w:ascii="宋体" w:hAnsi="宋体" w:cs="宋体"/>
          <w:color w:val="000000" w:themeColor="text1"/>
          <w:spacing w:val="-2"/>
          <w:sz w:val="24"/>
          <w:szCs w:val="24"/>
          <w:highlight w:val="none"/>
          <w14:textFill>
            <w14:solidFill>
              <w14:schemeClr w14:val="tx1"/>
            </w14:solidFill>
          </w14:textFill>
        </w:rPr>
        <w:t>担。</w:t>
      </w:r>
    </w:p>
    <w:p w14:paraId="037049DC">
      <w:pPr>
        <w:spacing w:before="111" w:line="286" w:lineRule="auto"/>
        <w:ind w:left="3" w:firstLine="495"/>
        <w:rPr>
          <w:rFonts w:ascii="宋体" w:hAnsi="宋体" w:cs="宋体"/>
          <w:color w:val="000000" w:themeColor="text1"/>
          <w:sz w:val="24"/>
          <w:szCs w:val="24"/>
          <w:highlight w:val="none"/>
          <w14:textFill>
            <w14:solidFill>
              <w14:schemeClr w14:val="tx1"/>
            </w14:solidFill>
          </w14:textFill>
        </w:rPr>
      </w:pPr>
      <w:r>
        <w:rPr>
          <w:rFonts w:eastAsia="Times New Roman"/>
          <w:color w:val="000000" w:themeColor="text1"/>
          <w:sz w:val="24"/>
          <w:szCs w:val="24"/>
          <w:highlight w:val="none"/>
          <w14:textFill>
            <w14:solidFill>
              <w14:schemeClr w14:val="tx1"/>
            </w14:solidFill>
          </w14:textFill>
        </w:rPr>
        <w:t xml:space="preserve">14.3.3  </w:t>
      </w:r>
      <w:r>
        <w:rPr>
          <w:rFonts w:ascii="宋体" w:hAnsi="宋体" w:cs="宋体"/>
          <w:color w:val="000000" w:themeColor="text1"/>
          <w:sz w:val="24"/>
          <w:szCs w:val="24"/>
          <w:highlight w:val="none"/>
          <w14:textFill>
            <w14:solidFill>
              <w14:schemeClr w14:val="tx1"/>
            </w14:solidFill>
          </w14:textFill>
        </w:rPr>
        <w:t>如果咨询人所要求做的试验和检验为合同未约定的或是在该材料或工程</w:t>
      </w:r>
      <w:r>
        <w:rPr>
          <w:rFonts w:ascii="宋体" w:hAnsi="宋体" w:cs="宋体"/>
          <w:color w:val="000000" w:themeColor="text1"/>
          <w:spacing w:val="1"/>
          <w:sz w:val="24"/>
          <w:szCs w:val="24"/>
          <w:highlight w:val="none"/>
          <w14:textFill>
            <w14:solidFill>
              <w14:schemeClr w14:val="tx1"/>
            </w14:solidFill>
          </w14:textFill>
        </w:rPr>
        <w:t>设备的制造、加工、制配场地以外的场所进行的，</w:t>
      </w:r>
      <w:r>
        <w:rPr>
          <w:rFonts w:ascii="宋体" w:hAnsi="宋体" w:cs="宋体"/>
          <w:color w:val="000000" w:themeColor="text1"/>
          <w:sz w:val="24"/>
          <w:szCs w:val="24"/>
          <w:highlight w:val="none"/>
          <w14:textFill>
            <w14:solidFill>
              <w14:schemeClr w14:val="tx1"/>
            </w14:solidFill>
          </w14:textFill>
        </w:rPr>
        <w:t>则检验结束后，如表明操作工艺</w:t>
      </w:r>
      <w:r>
        <w:rPr>
          <w:rFonts w:ascii="宋体" w:hAnsi="宋体" w:cs="宋体"/>
          <w:color w:val="000000" w:themeColor="text1"/>
          <w:spacing w:val="1"/>
          <w:sz w:val="24"/>
          <w:szCs w:val="24"/>
          <w:highlight w:val="none"/>
          <w14:textFill>
            <w14:solidFill>
              <w14:schemeClr w14:val="tx1"/>
            </w14:solidFill>
          </w14:textFill>
        </w:rPr>
        <w:t>或材料、工程设备未能符合合同约定，其费用应由</w:t>
      </w:r>
      <w:r>
        <w:rPr>
          <w:rFonts w:ascii="宋体" w:hAnsi="宋体" w:cs="宋体"/>
          <w:color w:val="000000" w:themeColor="text1"/>
          <w:sz w:val="24"/>
          <w:szCs w:val="24"/>
          <w:highlight w:val="none"/>
          <w14:textFill>
            <w14:solidFill>
              <w14:schemeClr w14:val="tx1"/>
            </w14:solidFill>
          </w14:textFill>
        </w:rPr>
        <w:t>承包人承担，否则，其费用应由</w:t>
      </w:r>
      <w:r>
        <w:rPr>
          <w:rFonts w:ascii="宋体" w:hAnsi="宋体" w:cs="宋体"/>
          <w:color w:val="000000" w:themeColor="text1"/>
          <w:spacing w:val="-3"/>
          <w:sz w:val="24"/>
          <w:szCs w:val="24"/>
          <w:highlight w:val="none"/>
          <w14:textFill>
            <w14:solidFill>
              <w14:schemeClr w14:val="tx1"/>
            </w14:solidFill>
          </w14:textFill>
        </w:rPr>
        <w:t>发包人承担。</w:t>
      </w:r>
    </w:p>
    <w:p w14:paraId="6307117F">
      <w:pPr>
        <w:pStyle w:val="21"/>
        <w:spacing w:line="347" w:lineRule="auto"/>
        <w:rPr>
          <w:color w:val="000000" w:themeColor="text1"/>
          <w:highlight w:val="none"/>
          <w14:textFill>
            <w14:solidFill>
              <w14:schemeClr w14:val="tx1"/>
            </w14:solidFill>
          </w14:textFill>
        </w:rPr>
      </w:pPr>
    </w:p>
    <w:p w14:paraId="201D3A24">
      <w:pPr>
        <w:spacing w:before="78" w:line="221" w:lineRule="auto"/>
        <w:ind w:left="487"/>
        <w:outlineLvl w:val="2"/>
        <w:rPr>
          <w:rFonts w:ascii="宋体" w:hAnsi="宋体" w:cs="宋体"/>
          <w:color w:val="000000" w:themeColor="text1"/>
          <w:sz w:val="24"/>
          <w:szCs w:val="24"/>
          <w:highlight w:val="none"/>
          <w14:textFill>
            <w14:solidFill>
              <w14:schemeClr w14:val="tx1"/>
            </w14:solidFill>
          </w14:textFill>
        </w:rPr>
      </w:pPr>
      <w:bookmarkStart w:id="150" w:name="bookmark35"/>
      <w:bookmarkEnd w:id="150"/>
      <w:bookmarkStart w:id="151" w:name="bookmark36"/>
      <w:bookmarkEnd w:id="151"/>
      <w:bookmarkStart w:id="152" w:name="_Toc1031"/>
      <w:r>
        <w:rPr>
          <w:rFonts w:eastAsia="Times New Roman"/>
          <w:b/>
          <w:bCs/>
          <w:color w:val="000000" w:themeColor="text1"/>
          <w:spacing w:val="-7"/>
          <w:sz w:val="24"/>
          <w:szCs w:val="24"/>
          <w:highlight w:val="none"/>
          <w14:textFill>
            <w14:solidFill>
              <w14:schemeClr w14:val="tx1"/>
            </w14:solidFill>
          </w14:textFill>
        </w:rPr>
        <w:t>15.</w:t>
      </w:r>
      <w:r>
        <w:rPr>
          <w:rFonts w:eastAsia="Times New Roman"/>
          <w:b/>
          <w:bCs/>
          <w:color w:val="000000" w:themeColor="text1"/>
          <w:spacing w:val="6"/>
          <w:sz w:val="24"/>
          <w:szCs w:val="24"/>
          <w:highlight w:val="none"/>
          <w14:textFill>
            <w14:solidFill>
              <w14:schemeClr w14:val="tx1"/>
            </w14:solidFill>
          </w14:textFill>
        </w:rPr>
        <w:t xml:space="preserve">  </w:t>
      </w:r>
      <w:r>
        <w:rPr>
          <w:rFonts w:ascii="宋体" w:hAnsi="宋体" w:cs="宋体"/>
          <w:b/>
          <w:bCs/>
          <w:color w:val="000000" w:themeColor="text1"/>
          <w:spacing w:val="-7"/>
          <w:sz w:val="24"/>
          <w:szCs w:val="24"/>
          <w:highlight w:val="none"/>
          <w14:textFill>
            <w14:solidFill>
              <w14:schemeClr w14:val="tx1"/>
            </w14:solidFill>
          </w14:textFill>
        </w:rPr>
        <w:t>变更</w:t>
      </w:r>
      <w:bookmarkEnd w:id="152"/>
    </w:p>
    <w:p w14:paraId="09F3F838">
      <w:pPr>
        <w:spacing w:before="258" w:line="219" w:lineRule="auto"/>
        <w:ind w:left="487"/>
        <w:outlineLvl w:val="3"/>
        <w:rPr>
          <w:rFonts w:ascii="宋体" w:hAnsi="宋体" w:cs="宋体"/>
          <w:color w:val="000000" w:themeColor="text1"/>
          <w:sz w:val="24"/>
          <w:szCs w:val="24"/>
          <w:highlight w:val="none"/>
          <w14:textFill>
            <w14:solidFill>
              <w14:schemeClr w14:val="tx1"/>
            </w14:solidFill>
          </w14:textFill>
        </w:rPr>
      </w:pPr>
      <w:r>
        <w:rPr>
          <w:rFonts w:eastAsia="Times New Roman"/>
          <w:b/>
          <w:bCs/>
          <w:color w:val="000000" w:themeColor="text1"/>
          <w:spacing w:val="-3"/>
          <w:sz w:val="24"/>
          <w:szCs w:val="24"/>
          <w:highlight w:val="none"/>
          <w14:textFill>
            <w14:solidFill>
              <w14:schemeClr w14:val="tx1"/>
            </w14:solidFill>
          </w14:textFill>
        </w:rPr>
        <w:t xml:space="preserve">15.1  </w:t>
      </w:r>
      <w:r>
        <w:rPr>
          <w:rFonts w:ascii="宋体" w:hAnsi="宋体" w:cs="宋体"/>
          <w:b/>
          <w:bCs/>
          <w:color w:val="000000" w:themeColor="text1"/>
          <w:spacing w:val="-3"/>
          <w:sz w:val="24"/>
          <w:szCs w:val="24"/>
          <w:highlight w:val="none"/>
          <w14:textFill>
            <w14:solidFill>
              <w14:schemeClr w14:val="tx1"/>
            </w14:solidFill>
          </w14:textFill>
        </w:rPr>
        <w:t>变更的范围和内容</w:t>
      </w:r>
    </w:p>
    <w:p w14:paraId="76F74622">
      <w:pPr>
        <w:spacing w:before="127" w:line="307" w:lineRule="auto"/>
        <w:ind w:left="6" w:firstLine="488"/>
        <w:rPr>
          <w:rFonts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除专用合同条款另有约定外，在履行合同中发生以下情形之一，应按照本条约</w:t>
      </w:r>
      <w:r>
        <w:rPr>
          <w:rFonts w:ascii="宋体" w:hAnsi="宋体" w:cs="宋体"/>
          <w:color w:val="000000" w:themeColor="text1"/>
          <w:spacing w:val="-3"/>
          <w:sz w:val="24"/>
          <w:szCs w:val="24"/>
          <w:highlight w:val="none"/>
          <w14:textFill>
            <w14:solidFill>
              <w14:schemeClr w14:val="tx1"/>
            </w14:solidFill>
          </w14:textFill>
        </w:rPr>
        <w:t>定进行变更：</w:t>
      </w:r>
    </w:p>
    <w:p w14:paraId="0541A4C3">
      <w:pPr>
        <w:spacing w:before="2" w:line="263" w:lineRule="auto"/>
        <w:ind w:firstLine="492"/>
        <w:rPr>
          <w:rFonts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pacing w:val="4"/>
          <w:sz w:val="24"/>
          <w:szCs w:val="24"/>
          <w:highlight w:val="none"/>
          <w14:textFill>
            <w14:solidFill>
              <w14:schemeClr w14:val="tx1"/>
            </w14:solidFill>
          </w14:textFill>
        </w:rPr>
        <w:t>（</w:t>
      </w:r>
      <w:r>
        <w:rPr>
          <w:rFonts w:eastAsia="Times New Roman"/>
          <w:color w:val="000000" w:themeColor="text1"/>
          <w:spacing w:val="4"/>
          <w:sz w:val="24"/>
          <w:szCs w:val="24"/>
          <w:highlight w:val="none"/>
          <w14:textFill>
            <w14:solidFill>
              <w14:schemeClr w14:val="tx1"/>
            </w14:solidFill>
          </w14:textFill>
        </w:rPr>
        <w:t>1</w:t>
      </w:r>
      <w:r>
        <w:rPr>
          <w:rFonts w:ascii="宋体" w:hAnsi="宋体" w:cs="宋体"/>
          <w:color w:val="000000" w:themeColor="text1"/>
          <w:spacing w:val="4"/>
          <w:sz w:val="24"/>
          <w:szCs w:val="24"/>
          <w:highlight w:val="none"/>
          <w14:textFill>
            <w14:solidFill>
              <w14:schemeClr w14:val="tx1"/>
            </w14:solidFill>
          </w14:textFill>
        </w:rPr>
        <w:t>）取消合同中任何一项工作，但被取消的工作不能转由发包人或其他</w:t>
      </w:r>
      <w:r>
        <w:rPr>
          <w:rFonts w:ascii="宋体" w:hAnsi="宋体" w:cs="宋体"/>
          <w:color w:val="000000" w:themeColor="text1"/>
          <w:spacing w:val="3"/>
          <w:sz w:val="24"/>
          <w:szCs w:val="24"/>
          <w:highlight w:val="none"/>
          <w14:textFill>
            <w14:solidFill>
              <w14:schemeClr w14:val="tx1"/>
            </w14:solidFill>
          </w14:textFill>
        </w:rPr>
        <w:t>人实</w:t>
      </w:r>
      <w:r>
        <w:rPr>
          <w:rFonts w:ascii="宋体" w:hAnsi="宋体" w:cs="宋体"/>
          <w:color w:val="000000" w:themeColor="text1"/>
          <w:spacing w:val="-1"/>
          <w:sz w:val="24"/>
          <w:szCs w:val="24"/>
          <w:highlight w:val="none"/>
          <w14:textFill>
            <w14:solidFill>
              <w14:schemeClr w14:val="tx1"/>
            </w14:solidFill>
          </w14:textFill>
        </w:rPr>
        <w:t>施，由于承包人违约造成的情况除外；</w:t>
      </w:r>
    </w:p>
    <w:p w14:paraId="57FD09C2">
      <w:pPr>
        <w:spacing w:before="113" w:line="219" w:lineRule="auto"/>
        <w:ind w:left="492"/>
        <w:rPr>
          <w:rFonts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pacing w:val="-1"/>
          <w:sz w:val="24"/>
          <w:szCs w:val="24"/>
          <w:highlight w:val="none"/>
          <w14:textFill>
            <w14:solidFill>
              <w14:schemeClr w14:val="tx1"/>
            </w14:solidFill>
          </w14:textFill>
        </w:rPr>
        <w:t>（</w:t>
      </w:r>
      <w:r>
        <w:rPr>
          <w:rFonts w:eastAsia="Times New Roman"/>
          <w:color w:val="000000" w:themeColor="text1"/>
          <w:spacing w:val="-1"/>
          <w:sz w:val="24"/>
          <w:szCs w:val="24"/>
          <w:highlight w:val="none"/>
          <w14:textFill>
            <w14:solidFill>
              <w14:schemeClr w14:val="tx1"/>
            </w14:solidFill>
          </w14:textFill>
        </w:rPr>
        <w:t>2</w:t>
      </w:r>
      <w:r>
        <w:rPr>
          <w:rFonts w:ascii="宋体" w:hAnsi="宋体" w:cs="宋体"/>
          <w:color w:val="000000" w:themeColor="text1"/>
          <w:spacing w:val="-1"/>
          <w:sz w:val="24"/>
          <w:szCs w:val="24"/>
          <w:highlight w:val="none"/>
          <w14:textFill>
            <w14:solidFill>
              <w14:schemeClr w14:val="tx1"/>
            </w14:solidFill>
          </w14:textFill>
        </w:rPr>
        <w:t>）改变合同中任何一项工作的质量或其他特性；</w:t>
      </w:r>
    </w:p>
    <w:p w14:paraId="2D4C73BA">
      <w:pPr>
        <w:spacing w:before="116" w:line="219" w:lineRule="auto"/>
        <w:ind w:left="492"/>
        <w:rPr>
          <w:rFonts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pacing w:val="-1"/>
          <w:sz w:val="24"/>
          <w:szCs w:val="24"/>
          <w:highlight w:val="none"/>
          <w14:textFill>
            <w14:solidFill>
              <w14:schemeClr w14:val="tx1"/>
            </w14:solidFill>
          </w14:textFill>
        </w:rPr>
        <w:t>（</w:t>
      </w:r>
      <w:r>
        <w:rPr>
          <w:rFonts w:eastAsia="Times New Roman"/>
          <w:color w:val="000000" w:themeColor="text1"/>
          <w:spacing w:val="-1"/>
          <w:sz w:val="24"/>
          <w:szCs w:val="24"/>
          <w:highlight w:val="none"/>
          <w14:textFill>
            <w14:solidFill>
              <w14:schemeClr w14:val="tx1"/>
            </w14:solidFill>
          </w14:textFill>
        </w:rPr>
        <w:t>3</w:t>
      </w:r>
      <w:r>
        <w:rPr>
          <w:rFonts w:ascii="宋体" w:hAnsi="宋体" w:cs="宋体"/>
          <w:color w:val="000000" w:themeColor="text1"/>
          <w:spacing w:val="-1"/>
          <w:sz w:val="24"/>
          <w:szCs w:val="24"/>
          <w:highlight w:val="none"/>
          <w14:textFill>
            <w14:solidFill>
              <w14:schemeClr w14:val="tx1"/>
            </w14:solidFill>
          </w14:textFill>
        </w:rPr>
        <w:t>）改变合同工程的基线、标高、位置或尺寸；</w:t>
      </w:r>
    </w:p>
    <w:p w14:paraId="78FA9546">
      <w:pPr>
        <w:spacing w:before="117" w:line="219" w:lineRule="auto"/>
        <w:ind w:left="492"/>
        <w:rPr>
          <w:rFonts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pacing w:val="-1"/>
          <w:sz w:val="24"/>
          <w:szCs w:val="24"/>
          <w:highlight w:val="none"/>
          <w14:textFill>
            <w14:solidFill>
              <w14:schemeClr w14:val="tx1"/>
            </w14:solidFill>
          </w14:textFill>
        </w:rPr>
        <w:t>（</w:t>
      </w:r>
      <w:r>
        <w:rPr>
          <w:rFonts w:eastAsia="Times New Roman"/>
          <w:color w:val="000000" w:themeColor="text1"/>
          <w:spacing w:val="-1"/>
          <w:sz w:val="24"/>
          <w:szCs w:val="24"/>
          <w:highlight w:val="none"/>
          <w14:textFill>
            <w14:solidFill>
              <w14:schemeClr w14:val="tx1"/>
            </w14:solidFill>
          </w14:textFill>
        </w:rPr>
        <w:t>4</w:t>
      </w:r>
      <w:r>
        <w:rPr>
          <w:rFonts w:ascii="宋体" w:hAnsi="宋体" w:cs="宋体"/>
          <w:color w:val="000000" w:themeColor="text1"/>
          <w:spacing w:val="-1"/>
          <w:sz w:val="24"/>
          <w:szCs w:val="24"/>
          <w:highlight w:val="none"/>
          <w14:textFill>
            <w14:solidFill>
              <w14:schemeClr w14:val="tx1"/>
            </w14:solidFill>
          </w14:textFill>
        </w:rPr>
        <w:t>）改变合同中任何一项工作的作业时间或改变已批准的工艺或顺序；</w:t>
      </w:r>
    </w:p>
    <w:p w14:paraId="04A31A71">
      <w:pPr>
        <w:spacing w:before="113" w:line="219" w:lineRule="auto"/>
        <w:ind w:left="492"/>
        <w:rPr>
          <w:rFonts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pacing w:val="-2"/>
          <w:sz w:val="24"/>
          <w:szCs w:val="24"/>
          <w:highlight w:val="none"/>
          <w14:textFill>
            <w14:solidFill>
              <w14:schemeClr w14:val="tx1"/>
            </w14:solidFill>
          </w14:textFill>
        </w:rPr>
        <w:t>（</w:t>
      </w:r>
      <w:r>
        <w:rPr>
          <w:rFonts w:eastAsia="Times New Roman"/>
          <w:color w:val="000000" w:themeColor="text1"/>
          <w:spacing w:val="-2"/>
          <w:sz w:val="24"/>
          <w:szCs w:val="24"/>
          <w:highlight w:val="none"/>
          <w14:textFill>
            <w14:solidFill>
              <w14:schemeClr w14:val="tx1"/>
            </w14:solidFill>
          </w14:textFill>
        </w:rPr>
        <w:t>5</w:t>
      </w:r>
      <w:r>
        <w:rPr>
          <w:rFonts w:ascii="宋体" w:hAnsi="宋体" w:cs="宋体"/>
          <w:color w:val="000000" w:themeColor="text1"/>
          <w:spacing w:val="-2"/>
          <w:sz w:val="24"/>
          <w:szCs w:val="24"/>
          <w:highlight w:val="none"/>
          <w14:textFill>
            <w14:solidFill>
              <w14:schemeClr w14:val="tx1"/>
            </w14:solidFill>
          </w14:textFill>
        </w:rPr>
        <w:t>）为完成合同需要追加的额外工作。</w:t>
      </w:r>
    </w:p>
    <w:p w14:paraId="314A9ABD">
      <w:pPr>
        <w:spacing w:before="107" w:line="219" w:lineRule="auto"/>
        <w:ind w:left="487"/>
        <w:outlineLvl w:val="3"/>
        <w:rPr>
          <w:rFonts w:ascii="宋体" w:hAnsi="宋体" w:cs="宋体"/>
          <w:color w:val="000000" w:themeColor="text1"/>
          <w:sz w:val="24"/>
          <w:szCs w:val="24"/>
          <w:highlight w:val="none"/>
          <w14:textFill>
            <w14:solidFill>
              <w14:schemeClr w14:val="tx1"/>
            </w14:solidFill>
          </w14:textFill>
        </w:rPr>
      </w:pPr>
      <w:r>
        <w:rPr>
          <w:rFonts w:eastAsia="Times New Roman"/>
          <w:b/>
          <w:bCs/>
          <w:color w:val="000000" w:themeColor="text1"/>
          <w:spacing w:val="-5"/>
          <w:sz w:val="24"/>
          <w:szCs w:val="24"/>
          <w:highlight w:val="none"/>
          <w14:textFill>
            <w14:solidFill>
              <w14:schemeClr w14:val="tx1"/>
            </w14:solidFill>
          </w14:textFill>
        </w:rPr>
        <w:t>15.2</w:t>
      </w:r>
      <w:r>
        <w:rPr>
          <w:rFonts w:eastAsia="Times New Roman"/>
          <w:b/>
          <w:bCs/>
          <w:color w:val="000000" w:themeColor="text1"/>
          <w:spacing w:val="6"/>
          <w:sz w:val="24"/>
          <w:szCs w:val="24"/>
          <w:highlight w:val="none"/>
          <w14:textFill>
            <w14:solidFill>
              <w14:schemeClr w14:val="tx1"/>
            </w14:solidFill>
          </w14:textFill>
        </w:rPr>
        <w:t xml:space="preserve">  </w:t>
      </w:r>
      <w:r>
        <w:rPr>
          <w:rFonts w:ascii="宋体" w:hAnsi="宋体" w:cs="宋体"/>
          <w:b/>
          <w:bCs/>
          <w:color w:val="000000" w:themeColor="text1"/>
          <w:spacing w:val="-5"/>
          <w:sz w:val="24"/>
          <w:szCs w:val="24"/>
          <w:highlight w:val="none"/>
          <w14:textFill>
            <w14:solidFill>
              <w14:schemeClr w14:val="tx1"/>
            </w14:solidFill>
          </w14:textFill>
        </w:rPr>
        <w:t>变更权</w:t>
      </w:r>
    </w:p>
    <w:p w14:paraId="7D8C4B2D">
      <w:pPr>
        <w:spacing w:before="126" w:line="219" w:lineRule="auto"/>
        <w:ind w:right="2"/>
        <w:jc w:val="center"/>
        <w:rPr>
          <w:color w:val="000000" w:themeColor="text1"/>
          <w:highlight w:val="none"/>
          <w14:textFill>
            <w14:solidFill>
              <w14:schemeClr w14:val="tx1"/>
            </w14:solidFill>
          </w14:textFill>
        </w:rPr>
      </w:pPr>
      <w:r>
        <w:rPr>
          <w:rFonts w:ascii="宋体" w:hAnsi="宋体" w:cs="宋体"/>
          <w:color w:val="000000" w:themeColor="text1"/>
          <w:spacing w:val="4"/>
          <w:sz w:val="24"/>
          <w:szCs w:val="24"/>
          <w:highlight w:val="none"/>
          <w14:textFill>
            <w14:solidFill>
              <w14:schemeClr w14:val="tx1"/>
            </w14:solidFill>
          </w14:textFill>
        </w:rPr>
        <w:t>在履行合同过程中，经发包人同意，咨询人可按第</w:t>
      </w:r>
      <w:r>
        <w:rPr>
          <w:rFonts w:ascii="宋体" w:hAnsi="宋体" w:cs="宋体"/>
          <w:color w:val="000000" w:themeColor="text1"/>
          <w:spacing w:val="-14"/>
          <w:sz w:val="24"/>
          <w:szCs w:val="24"/>
          <w:highlight w:val="none"/>
          <w14:textFill>
            <w14:solidFill>
              <w14:schemeClr w14:val="tx1"/>
            </w14:solidFill>
          </w14:textFill>
        </w:rPr>
        <w:t xml:space="preserve"> </w:t>
      </w:r>
      <w:r>
        <w:rPr>
          <w:rFonts w:eastAsia="Times New Roman"/>
          <w:color w:val="000000" w:themeColor="text1"/>
          <w:spacing w:val="4"/>
          <w:sz w:val="24"/>
          <w:szCs w:val="24"/>
          <w:highlight w:val="none"/>
          <w14:textFill>
            <w14:solidFill>
              <w14:schemeClr w14:val="tx1"/>
            </w14:solidFill>
          </w14:textFill>
        </w:rPr>
        <w:t>15.3</w:t>
      </w:r>
      <w:r>
        <w:rPr>
          <w:rFonts w:eastAsia="Times New Roman"/>
          <w:color w:val="000000" w:themeColor="text1"/>
          <w:spacing w:val="18"/>
          <w:sz w:val="24"/>
          <w:szCs w:val="24"/>
          <w:highlight w:val="none"/>
          <w14:textFill>
            <w14:solidFill>
              <w14:schemeClr w14:val="tx1"/>
            </w14:solidFill>
          </w14:textFill>
        </w:rPr>
        <w:t xml:space="preserve"> </w:t>
      </w:r>
      <w:r>
        <w:rPr>
          <w:rFonts w:ascii="宋体" w:hAnsi="宋体" w:cs="宋体"/>
          <w:color w:val="000000" w:themeColor="text1"/>
          <w:spacing w:val="4"/>
          <w:sz w:val="24"/>
          <w:szCs w:val="24"/>
          <w:highlight w:val="none"/>
          <w14:textFill>
            <w14:solidFill>
              <w14:schemeClr w14:val="tx1"/>
            </w14:solidFill>
          </w14:textFill>
        </w:rPr>
        <w:t>款约定的变更程序向</w:t>
      </w:r>
    </w:p>
    <w:p w14:paraId="33BB41CC">
      <w:pPr>
        <w:spacing w:before="78" w:line="304" w:lineRule="auto"/>
        <w:ind w:left="39" w:hanging="39"/>
        <w:rPr>
          <w:rFonts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pacing w:val="1"/>
          <w:sz w:val="24"/>
          <w:szCs w:val="24"/>
          <w:highlight w:val="none"/>
          <w14:textFill>
            <w14:solidFill>
              <w14:schemeClr w14:val="tx1"/>
            </w14:solidFill>
          </w14:textFill>
        </w:rPr>
        <w:t>承包人作出变更指示，承包人应遵照执行。没有咨询人的</w:t>
      </w:r>
      <w:r>
        <w:rPr>
          <w:rFonts w:ascii="宋体" w:hAnsi="宋体" w:cs="宋体"/>
          <w:color w:val="000000" w:themeColor="text1"/>
          <w:sz w:val="24"/>
          <w:szCs w:val="24"/>
          <w:highlight w:val="none"/>
          <w14:textFill>
            <w14:solidFill>
              <w14:schemeClr w14:val="tx1"/>
            </w14:solidFill>
          </w14:textFill>
        </w:rPr>
        <w:t>变更指示，承包人不得擅</w:t>
      </w:r>
      <w:r>
        <w:rPr>
          <w:rFonts w:ascii="宋体" w:hAnsi="宋体" w:cs="宋体"/>
          <w:color w:val="000000" w:themeColor="text1"/>
          <w:spacing w:val="-13"/>
          <w:sz w:val="24"/>
          <w:szCs w:val="24"/>
          <w:highlight w:val="none"/>
          <w14:textFill>
            <w14:solidFill>
              <w14:schemeClr w14:val="tx1"/>
            </w14:solidFill>
          </w14:textFill>
        </w:rPr>
        <w:t>自变更。</w:t>
      </w:r>
    </w:p>
    <w:p w14:paraId="1F25BA47">
      <w:pPr>
        <w:spacing w:line="220" w:lineRule="auto"/>
        <w:ind w:left="487"/>
        <w:outlineLvl w:val="3"/>
        <w:rPr>
          <w:rFonts w:ascii="宋体" w:hAnsi="宋体" w:cs="宋体"/>
          <w:color w:val="000000" w:themeColor="text1"/>
          <w:sz w:val="24"/>
          <w:szCs w:val="24"/>
          <w:highlight w:val="none"/>
          <w14:textFill>
            <w14:solidFill>
              <w14:schemeClr w14:val="tx1"/>
            </w14:solidFill>
          </w14:textFill>
        </w:rPr>
      </w:pPr>
      <w:r>
        <w:rPr>
          <w:rFonts w:eastAsia="Times New Roman"/>
          <w:b/>
          <w:bCs/>
          <w:color w:val="000000" w:themeColor="text1"/>
          <w:spacing w:val="-3"/>
          <w:sz w:val="24"/>
          <w:szCs w:val="24"/>
          <w:highlight w:val="none"/>
          <w14:textFill>
            <w14:solidFill>
              <w14:schemeClr w14:val="tx1"/>
            </w14:solidFill>
          </w14:textFill>
        </w:rPr>
        <w:t xml:space="preserve">15.3  </w:t>
      </w:r>
      <w:r>
        <w:rPr>
          <w:rFonts w:ascii="宋体" w:hAnsi="宋体" w:cs="宋体"/>
          <w:b/>
          <w:bCs/>
          <w:color w:val="000000" w:themeColor="text1"/>
          <w:spacing w:val="-3"/>
          <w:sz w:val="24"/>
          <w:szCs w:val="24"/>
          <w:highlight w:val="none"/>
          <w14:textFill>
            <w14:solidFill>
              <w14:schemeClr w14:val="tx1"/>
            </w14:solidFill>
          </w14:textFill>
        </w:rPr>
        <w:t>变更程序</w:t>
      </w:r>
    </w:p>
    <w:p w14:paraId="75E19157">
      <w:pPr>
        <w:spacing w:before="124" w:line="220" w:lineRule="auto"/>
        <w:ind w:left="499"/>
        <w:rPr>
          <w:rFonts w:ascii="宋体" w:hAnsi="宋体" w:cs="宋体"/>
          <w:color w:val="000000" w:themeColor="text1"/>
          <w:sz w:val="24"/>
          <w:szCs w:val="24"/>
          <w:highlight w:val="none"/>
          <w14:textFill>
            <w14:solidFill>
              <w14:schemeClr w14:val="tx1"/>
            </w14:solidFill>
          </w14:textFill>
        </w:rPr>
      </w:pPr>
      <w:r>
        <w:rPr>
          <w:rFonts w:eastAsia="Times New Roman"/>
          <w:color w:val="000000" w:themeColor="text1"/>
          <w:spacing w:val="-3"/>
          <w:sz w:val="24"/>
          <w:szCs w:val="24"/>
          <w:highlight w:val="none"/>
          <w14:textFill>
            <w14:solidFill>
              <w14:schemeClr w14:val="tx1"/>
            </w14:solidFill>
          </w14:textFill>
        </w:rPr>
        <w:t xml:space="preserve">15.3.1  </w:t>
      </w:r>
      <w:r>
        <w:rPr>
          <w:rFonts w:ascii="宋体" w:hAnsi="宋体" w:cs="宋体"/>
          <w:color w:val="000000" w:themeColor="text1"/>
          <w:spacing w:val="-3"/>
          <w:sz w:val="24"/>
          <w:szCs w:val="24"/>
          <w:highlight w:val="none"/>
          <w14:textFill>
            <w14:solidFill>
              <w14:schemeClr w14:val="tx1"/>
            </w14:solidFill>
          </w14:textFill>
        </w:rPr>
        <w:t>变更的提出</w:t>
      </w:r>
    </w:p>
    <w:p w14:paraId="1F409B71">
      <w:pPr>
        <w:spacing w:before="113" w:line="290" w:lineRule="auto"/>
        <w:ind w:firstLine="491"/>
        <w:rPr>
          <w:rFonts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pacing w:val="1"/>
          <w:sz w:val="24"/>
          <w:szCs w:val="24"/>
          <w:highlight w:val="none"/>
          <w14:textFill>
            <w14:solidFill>
              <w14:schemeClr w14:val="tx1"/>
            </w14:solidFill>
          </w14:textFill>
        </w:rPr>
        <w:t>（</w:t>
      </w:r>
      <w:r>
        <w:rPr>
          <w:rFonts w:eastAsia="Times New Roman"/>
          <w:color w:val="000000" w:themeColor="text1"/>
          <w:spacing w:val="1"/>
          <w:sz w:val="24"/>
          <w:szCs w:val="24"/>
          <w:highlight w:val="none"/>
          <w14:textFill>
            <w14:solidFill>
              <w14:schemeClr w14:val="tx1"/>
            </w14:solidFill>
          </w14:textFill>
        </w:rPr>
        <w:t>1</w:t>
      </w:r>
      <w:r>
        <w:rPr>
          <w:rFonts w:ascii="宋体" w:hAnsi="宋体" w:cs="宋体"/>
          <w:color w:val="000000" w:themeColor="text1"/>
          <w:spacing w:val="1"/>
          <w:sz w:val="24"/>
          <w:szCs w:val="24"/>
          <w:highlight w:val="none"/>
          <w14:textFill>
            <w14:solidFill>
              <w14:schemeClr w14:val="tx1"/>
            </w14:solidFill>
          </w14:textFill>
        </w:rPr>
        <w:t>）在合同履行过程中，可能发生第</w:t>
      </w:r>
      <w:r>
        <w:rPr>
          <w:rFonts w:ascii="宋体" w:hAnsi="宋体" w:cs="宋体"/>
          <w:color w:val="000000" w:themeColor="text1"/>
          <w:spacing w:val="-26"/>
          <w:sz w:val="24"/>
          <w:szCs w:val="24"/>
          <w:highlight w:val="none"/>
          <w14:textFill>
            <w14:solidFill>
              <w14:schemeClr w14:val="tx1"/>
            </w14:solidFill>
          </w14:textFill>
        </w:rPr>
        <w:t xml:space="preserve"> </w:t>
      </w:r>
      <w:r>
        <w:rPr>
          <w:rFonts w:eastAsia="Times New Roman"/>
          <w:color w:val="000000" w:themeColor="text1"/>
          <w:spacing w:val="1"/>
          <w:sz w:val="24"/>
          <w:szCs w:val="24"/>
          <w:highlight w:val="none"/>
          <w14:textFill>
            <w14:solidFill>
              <w14:schemeClr w14:val="tx1"/>
            </w14:solidFill>
          </w14:textFill>
        </w:rPr>
        <w:t xml:space="preserve">15.1 </w:t>
      </w:r>
      <w:r>
        <w:rPr>
          <w:rFonts w:ascii="宋体" w:hAnsi="宋体" w:cs="宋体"/>
          <w:color w:val="000000" w:themeColor="text1"/>
          <w:spacing w:val="1"/>
          <w:sz w:val="24"/>
          <w:szCs w:val="24"/>
          <w:highlight w:val="none"/>
          <w14:textFill>
            <w14:solidFill>
              <w14:schemeClr w14:val="tx1"/>
            </w14:solidFill>
          </w14:textFill>
        </w:rPr>
        <w:t>款约定情形的，咨询人可向承包人发出变更意向书。变更意向书应说明变更的具体内容和发</w:t>
      </w:r>
      <w:r>
        <w:rPr>
          <w:rFonts w:ascii="宋体" w:hAnsi="宋体" w:cs="宋体"/>
          <w:color w:val="000000" w:themeColor="text1"/>
          <w:sz w:val="24"/>
          <w:szCs w:val="24"/>
          <w:highlight w:val="none"/>
          <w14:textFill>
            <w14:solidFill>
              <w14:schemeClr w14:val="tx1"/>
            </w14:solidFill>
          </w14:textFill>
        </w:rPr>
        <w:t>包人对变更的时间要求，</w:t>
      </w:r>
      <w:r>
        <w:rPr>
          <w:rFonts w:ascii="宋体" w:hAnsi="宋体" w:cs="宋体"/>
          <w:color w:val="000000" w:themeColor="text1"/>
          <w:spacing w:val="1"/>
          <w:sz w:val="24"/>
          <w:szCs w:val="24"/>
          <w:highlight w:val="none"/>
          <w14:textFill>
            <w14:solidFill>
              <w14:schemeClr w14:val="tx1"/>
            </w14:solidFill>
          </w14:textFill>
        </w:rPr>
        <w:t>并附必要的图纸和相关资料。变更意向书应要求承包人提</w:t>
      </w:r>
      <w:r>
        <w:rPr>
          <w:rFonts w:ascii="宋体" w:hAnsi="宋体" w:cs="宋体"/>
          <w:color w:val="000000" w:themeColor="text1"/>
          <w:sz w:val="24"/>
          <w:szCs w:val="24"/>
          <w:highlight w:val="none"/>
          <w14:textFill>
            <w14:solidFill>
              <w14:schemeClr w14:val="tx1"/>
            </w14:solidFill>
          </w14:textFill>
        </w:rPr>
        <w:t>交包括拟实施变更工作的</w:t>
      </w:r>
      <w:r>
        <w:rPr>
          <w:rFonts w:ascii="宋体" w:hAnsi="宋体" w:cs="宋体"/>
          <w:color w:val="000000" w:themeColor="text1"/>
          <w:spacing w:val="1"/>
          <w:sz w:val="24"/>
          <w:szCs w:val="24"/>
          <w:highlight w:val="none"/>
          <w14:textFill>
            <w14:solidFill>
              <w14:schemeClr w14:val="tx1"/>
            </w14:solidFill>
          </w14:textFill>
        </w:rPr>
        <w:t>计划、措施和完工时间等内容的实施方案。发包人同意承</w:t>
      </w:r>
      <w:r>
        <w:rPr>
          <w:rFonts w:ascii="宋体" w:hAnsi="宋体" w:cs="宋体"/>
          <w:color w:val="000000" w:themeColor="text1"/>
          <w:sz w:val="24"/>
          <w:szCs w:val="24"/>
          <w:highlight w:val="none"/>
          <w14:textFill>
            <w14:solidFill>
              <w14:schemeClr w14:val="tx1"/>
            </w14:solidFill>
          </w14:textFill>
        </w:rPr>
        <w:t>包人根据变更意向书要求</w:t>
      </w:r>
      <w:r>
        <w:rPr>
          <w:rFonts w:ascii="宋体" w:hAnsi="宋体" w:cs="宋体"/>
          <w:color w:val="000000" w:themeColor="text1"/>
          <w:spacing w:val="-1"/>
          <w:sz w:val="24"/>
          <w:szCs w:val="24"/>
          <w:highlight w:val="none"/>
          <w14:textFill>
            <w14:solidFill>
              <w14:schemeClr w14:val="tx1"/>
            </w14:solidFill>
          </w14:textFill>
        </w:rPr>
        <w:t>提交的变更实施方案的，由咨询人按第</w:t>
      </w:r>
      <w:r>
        <w:rPr>
          <w:rFonts w:ascii="宋体" w:hAnsi="宋体" w:cs="宋体"/>
          <w:color w:val="000000" w:themeColor="text1"/>
          <w:spacing w:val="-32"/>
          <w:sz w:val="24"/>
          <w:szCs w:val="24"/>
          <w:highlight w:val="none"/>
          <w14:textFill>
            <w14:solidFill>
              <w14:schemeClr w14:val="tx1"/>
            </w14:solidFill>
          </w14:textFill>
        </w:rPr>
        <w:t xml:space="preserve"> </w:t>
      </w:r>
      <w:r>
        <w:rPr>
          <w:rFonts w:eastAsia="Times New Roman"/>
          <w:color w:val="000000" w:themeColor="text1"/>
          <w:spacing w:val="-1"/>
          <w:sz w:val="24"/>
          <w:szCs w:val="24"/>
          <w:highlight w:val="none"/>
          <w14:textFill>
            <w14:solidFill>
              <w14:schemeClr w14:val="tx1"/>
            </w14:solidFill>
          </w14:textFill>
        </w:rPr>
        <w:t xml:space="preserve">15.3.3 </w:t>
      </w:r>
      <w:r>
        <w:rPr>
          <w:rFonts w:ascii="宋体" w:hAnsi="宋体" w:cs="宋体"/>
          <w:color w:val="000000" w:themeColor="text1"/>
          <w:spacing w:val="-1"/>
          <w:sz w:val="24"/>
          <w:szCs w:val="24"/>
          <w:highlight w:val="none"/>
          <w14:textFill>
            <w14:solidFill>
              <w14:schemeClr w14:val="tx1"/>
            </w14:solidFill>
          </w14:textFill>
        </w:rPr>
        <w:t>项约定发出</w:t>
      </w:r>
      <w:r>
        <w:rPr>
          <w:rFonts w:ascii="宋体" w:hAnsi="宋体" w:cs="宋体"/>
          <w:color w:val="000000" w:themeColor="text1"/>
          <w:spacing w:val="-2"/>
          <w:sz w:val="24"/>
          <w:szCs w:val="24"/>
          <w:highlight w:val="none"/>
          <w14:textFill>
            <w14:solidFill>
              <w14:schemeClr w14:val="tx1"/>
            </w14:solidFill>
          </w14:textFill>
        </w:rPr>
        <w:t>变更指示。</w:t>
      </w:r>
    </w:p>
    <w:p w14:paraId="754A1396">
      <w:pPr>
        <w:spacing w:before="115" w:line="264" w:lineRule="auto"/>
        <w:ind w:left="4" w:firstLine="487"/>
        <w:rPr>
          <w:rFonts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pacing w:val="2"/>
          <w:sz w:val="24"/>
          <w:szCs w:val="24"/>
          <w:highlight w:val="none"/>
          <w14:textFill>
            <w14:solidFill>
              <w14:schemeClr w14:val="tx1"/>
            </w14:solidFill>
          </w14:textFill>
        </w:rPr>
        <w:t>（</w:t>
      </w:r>
      <w:r>
        <w:rPr>
          <w:rFonts w:eastAsia="Times New Roman"/>
          <w:color w:val="000000" w:themeColor="text1"/>
          <w:spacing w:val="2"/>
          <w:sz w:val="24"/>
          <w:szCs w:val="24"/>
          <w:highlight w:val="none"/>
          <w14:textFill>
            <w14:solidFill>
              <w14:schemeClr w14:val="tx1"/>
            </w14:solidFill>
          </w14:textFill>
        </w:rPr>
        <w:t>2</w:t>
      </w:r>
      <w:r>
        <w:rPr>
          <w:rFonts w:ascii="宋体" w:hAnsi="宋体" w:cs="宋体"/>
          <w:color w:val="000000" w:themeColor="text1"/>
          <w:spacing w:val="2"/>
          <w:sz w:val="24"/>
          <w:szCs w:val="24"/>
          <w:highlight w:val="none"/>
          <w14:textFill>
            <w14:solidFill>
              <w14:schemeClr w14:val="tx1"/>
            </w14:solidFill>
          </w14:textFill>
        </w:rPr>
        <w:t>）在合同履行过程中，发生第</w:t>
      </w:r>
      <w:r>
        <w:rPr>
          <w:rFonts w:ascii="宋体" w:hAnsi="宋体" w:cs="宋体"/>
          <w:color w:val="000000" w:themeColor="text1"/>
          <w:spacing w:val="-27"/>
          <w:sz w:val="24"/>
          <w:szCs w:val="24"/>
          <w:highlight w:val="none"/>
          <w14:textFill>
            <w14:solidFill>
              <w14:schemeClr w14:val="tx1"/>
            </w14:solidFill>
          </w14:textFill>
        </w:rPr>
        <w:t xml:space="preserve"> </w:t>
      </w:r>
      <w:r>
        <w:rPr>
          <w:rFonts w:eastAsia="Times New Roman"/>
          <w:color w:val="000000" w:themeColor="text1"/>
          <w:spacing w:val="2"/>
          <w:sz w:val="24"/>
          <w:szCs w:val="24"/>
          <w:highlight w:val="none"/>
          <w14:textFill>
            <w14:solidFill>
              <w14:schemeClr w14:val="tx1"/>
            </w14:solidFill>
          </w14:textFill>
        </w:rPr>
        <w:t xml:space="preserve">15.1 </w:t>
      </w:r>
      <w:r>
        <w:rPr>
          <w:rFonts w:ascii="宋体" w:hAnsi="宋体" w:cs="宋体"/>
          <w:color w:val="000000" w:themeColor="text1"/>
          <w:spacing w:val="2"/>
          <w:sz w:val="24"/>
          <w:szCs w:val="24"/>
          <w:highlight w:val="none"/>
          <w14:textFill>
            <w14:solidFill>
              <w14:schemeClr w14:val="tx1"/>
            </w14:solidFill>
          </w14:textFill>
        </w:rPr>
        <w:t>款约定情形</w:t>
      </w:r>
      <w:r>
        <w:rPr>
          <w:rFonts w:ascii="宋体" w:hAnsi="宋体" w:cs="宋体"/>
          <w:color w:val="000000" w:themeColor="text1"/>
          <w:spacing w:val="1"/>
          <w:sz w:val="24"/>
          <w:szCs w:val="24"/>
          <w:highlight w:val="none"/>
          <w14:textFill>
            <w14:solidFill>
              <w14:schemeClr w14:val="tx1"/>
            </w14:solidFill>
          </w14:textFill>
        </w:rPr>
        <w:t>的，咨询人应按照第</w:t>
      </w:r>
      <w:r>
        <w:rPr>
          <w:rFonts w:ascii="宋体" w:hAnsi="宋体" w:cs="宋体"/>
          <w:color w:val="000000" w:themeColor="text1"/>
          <w:spacing w:val="-24"/>
          <w:sz w:val="24"/>
          <w:szCs w:val="24"/>
          <w:highlight w:val="none"/>
          <w14:textFill>
            <w14:solidFill>
              <w14:schemeClr w14:val="tx1"/>
            </w14:solidFill>
          </w14:textFill>
        </w:rPr>
        <w:t xml:space="preserve"> </w:t>
      </w:r>
      <w:r>
        <w:rPr>
          <w:rFonts w:eastAsia="Times New Roman"/>
          <w:color w:val="000000" w:themeColor="text1"/>
          <w:spacing w:val="1"/>
          <w:sz w:val="24"/>
          <w:szCs w:val="24"/>
          <w:highlight w:val="none"/>
          <w14:textFill>
            <w14:solidFill>
              <w14:schemeClr w14:val="tx1"/>
            </w14:solidFill>
          </w14:textFill>
        </w:rPr>
        <w:t>15.3.3</w:t>
      </w:r>
      <w:r>
        <w:rPr>
          <w:rFonts w:ascii="宋体" w:hAnsi="宋体" w:cs="宋体"/>
          <w:color w:val="000000" w:themeColor="text1"/>
          <w:spacing w:val="-1"/>
          <w:sz w:val="24"/>
          <w:szCs w:val="24"/>
          <w:highlight w:val="none"/>
          <w14:textFill>
            <w14:solidFill>
              <w14:schemeClr w14:val="tx1"/>
            </w14:solidFill>
          </w14:textFill>
        </w:rPr>
        <w:t>项约定向承包人发出变更指示。</w:t>
      </w:r>
    </w:p>
    <w:p w14:paraId="2A9A86AE">
      <w:pPr>
        <w:spacing w:before="113" w:line="290" w:lineRule="auto"/>
        <w:ind w:firstLine="491"/>
        <w:rPr>
          <w:rFonts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pacing w:val="4"/>
          <w:sz w:val="24"/>
          <w:szCs w:val="24"/>
          <w:highlight w:val="none"/>
          <w14:textFill>
            <w14:solidFill>
              <w14:schemeClr w14:val="tx1"/>
            </w14:solidFill>
          </w14:textFill>
        </w:rPr>
        <w:t>（</w:t>
      </w:r>
      <w:r>
        <w:rPr>
          <w:rFonts w:eastAsia="Times New Roman"/>
          <w:color w:val="000000" w:themeColor="text1"/>
          <w:spacing w:val="4"/>
          <w:sz w:val="24"/>
          <w:szCs w:val="24"/>
          <w:highlight w:val="none"/>
          <w14:textFill>
            <w14:solidFill>
              <w14:schemeClr w14:val="tx1"/>
            </w14:solidFill>
          </w14:textFill>
        </w:rPr>
        <w:t>3</w:t>
      </w:r>
      <w:r>
        <w:rPr>
          <w:rFonts w:ascii="宋体" w:hAnsi="宋体" w:cs="宋体"/>
          <w:color w:val="000000" w:themeColor="text1"/>
          <w:spacing w:val="4"/>
          <w:sz w:val="24"/>
          <w:szCs w:val="24"/>
          <w:highlight w:val="none"/>
          <w14:textFill>
            <w14:solidFill>
              <w14:schemeClr w14:val="tx1"/>
            </w14:solidFill>
          </w14:textFill>
        </w:rPr>
        <w:t>）承包人收到咨询人按合同约定发出的图纸和文件，经检查认为其中</w:t>
      </w:r>
      <w:r>
        <w:rPr>
          <w:rFonts w:ascii="宋体" w:hAnsi="宋体" w:cs="宋体"/>
          <w:color w:val="000000" w:themeColor="text1"/>
          <w:spacing w:val="3"/>
          <w:sz w:val="24"/>
          <w:szCs w:val="24"/>
          <w:highlight w:val="none"/>
          <w14:textFill>
            <w14:solidFill>
              <w14:schemeClr w14:val="tx1"/>
            </w14:solidFill>
          </w14:textFill>
        </w:rPr>
        <w:t>存在</w:t>
      </w:r>
      <w:r>
        <w:rPr>
          <w:rFonts w:ascii="宋体" w:hAnsi="宋体" w:cs="宋体"/>
          <w:color w:val="000000" w:themeColor="text1"/>
          <w:spacing w:val="4"/>
          <w:sz w:val="24"/>
          <w:szCs w:val="24"/>
          <w:highlight w:val="none"/>
          <w14:textFill>
            <w14:solidFill>
              <w14:schemeClr w14:val="tx1"/>
            </w14:solidFill>
          </w14:textFill>
        </w:rPr>
        <w:t>第</w:t>
      </w:r>
      <w:r>
        <w:rPr>
          <w:rFonts w:ascii="宋体" w:hAnsi="宋体" w:cs="宋体"/>
          <w:color w:val="000000" w:themeColor="text1"/>
          <w:spacing w:val="-23"/>
          <w:sz w:val="24"/>
          <w:szCs w:val="24"/>
          <w:highlight w:val="none"/>
          <w14:textFill>
            <w14:solidFill>
              <w14:schemeClr w14:val="tx1"/>
            </w14:solidFill>
          </w14:textFill>
        </w:rPr>
        <w:t xml:space="preserve"> </w:t>
      </w:r>
      <w:r>
        <w:rPr>
          <w:rFonts w:eastAsia="Times New Roman"/>
          <w:color w:val="000000" w:themeColor="text1"/>
          <w:spacing w:val="4"/>
          <w:sz w:val="24"/>
          <w:szCs w:val="24"/>
          <w:highlight w:val="none"/>
          <w14:textFill>
            <w14:solidFill>
              <w14:schemeClr w14:val="tx1"/>
            </w14:solidFill>
          </w14:textFill>
        </w:rPr>
        <w:t>15.1</w:t>
      </w:r>
      <w:r>
        <w:rPr>
          <w:rFonts w:eastAsia="Times New Roman"/>
          <w:color w:val="000000" w:themeColor="text1"/>
          <w:spacing w:val="17"/>
          <w:w w:val="101"/>
          <w:sz w:val="24"/>
          <w:szCs w:val="24"/>
          <w:highlight w:val="none"/>
          <w14:textFill>
            <w14:solidFill>
              <w14:schemeClr w14:val="tx1"/>
            </w14:solidFill>
          </w14:textFill>
        </w:rPr>
        <w:t xml:space="preserve"> </w:t>
      </w:r>
      <w:r>
        <w:rPr>
          <w:rFonts w:ascii="宋体" w:hAnsi="宋体" w:cs="宋体"/>
          <w:color w:val="000000" w:themeColor="text1"/>
          <w:spacing w:val="4"/>
          <w:sz w:val="24"/>
          <w:szCs w:val="24"/>
          <w:highlight w:val="none"/>
          <w14:textFill>
            <w14:solidFill>
              <w14:schemeClr w14:val="tx1"/>
            </w14:solidFill>
          </w14:textFill>
        </w:rPr>
        <w:t>款约定情形的，可向咨询人提出书面变更建议。变更建议应阐明要求变更</w:t>
      </w:r>
      <w:r>
        <w:rPr>
          <w:rFonts w:ascii="宋体" w:hAnsi="宋体" w:cs="宋体"/>
          <w:color w:val="000000" w:themeColor="text1"/>
          <w:spacing w:val="1"/>
          <w:sz w:val="24"/>
          <w:szCs w:val="24"/>
          <w:highlight w:val="none"/>
          <w14:textFill>
            <w14:solidFill>
              <w14:schemeClr w14:val="tx1"/>
            </w14:solidFill>
          </w14:textFill>
        </w:rPr>
        <w:t>的依据，并附必要的图纸和说明。咨询人收到承包人书面</w:t>
      </w:r>
      <w:r>
        <w:rPr>
          <w:rFonts w:ascii="宋体" w:hAnsi="宋体" w:cs="宋体"/>
          <w:color w:val="000000" w:themeColor="text1"/>
          <w:sz w:val="24"/>
          <w:szCs w:val="24"/>
          <w:highlight w:val="none"/>
          <w14:textFill>
            <w14:solidFill>
              <w14:schemeClr w14:val="tx1"/>
            </w14:solidFill>
          </w14:textFill>
        </w:rPr>
        <w:t>建议后，应与发包人共同研究，确认存在变更的，应在收到承包人书面建议后的</w:t>
      </w:r>
      <w:r>
        <w:rPr>
          <w:rFonts w:ascii="宋体" w:hAnsi="宋体" w:cs="宋体"/>
          <w:color w:val="000000" w:themeColor="text1"/>
          <w:spacing w:val="-37"/>
          <w:sz w:val="24"/>
          <w:szCs w:val="24"/>
          <w:highlight w:val="none"/>
          <w14:textFill>
            <w14:solidFill>
              <w14:schemeClr w14:val="tx1"/>
            </w14:solidFill>
          </w14:textFill>
        </w:rPr>
        <w:t xml:space="preserve"> </w:t>
      </w:r>
      <w:r>
        <w:rPr>
          <w:rFonts w:eastAsia="Times New Roman"/>
          <w:color w:val="000000" w:themeColor="text1"/>
          <w:sz w:val="24"/>
          <w:szCs w:val="24"/>
          <w:highlight w:val="none"/>
          <w14:textFill>
            <w14:solidFill>
              <w14:schemeClr w14:val="tx1"/>
            </w14:solidFill>
          </w14:textFill>
        </w:rPr>
        <w:t xml:space="preserve">3 </w:t>
      </w:r>
      <w:r>
        <w:rPr>
          <w:rFonts w:ascii="宋体" w:hAnsi="宋体" w:cs="宋体"/>
          <w:color w:val="000000" w:themeColor="text1"/>
          <w:sz w:val="24"/>
          <w:szCs w:val="24"/>
          <w:highlight w:val="none"/>
          <w14:textFill>
            <w14:solidFill>
              <w14:schemeClr w14:val="tx1"/>
            </w14:solidFill>
          </w14:textFill>
        </w:rPr>
        <w:t>天内作出变更指示。经研</w:t>
      </w:r>
      <w:r>
        <w:rPr>
          <w:rFonts w:ascii="宋体" w:hAnsi="宋体" w:cs="宋体"/>
          <w:color w:val="000000" w:themeColor="text1"/>
          <w:spacing w:val="-1"/>
          <w:sz w:val="24"/>
          <w:szCs w:val="24"/>
          <w:highlight w:val="none"/>
          <w14:textFill>
            <w14:solidFill>
              <w14:schemeClr w14:val="tx1"/>
            </w14:solidFill>
          </w14:textFill>
        </w:rPr>
        <w:t>究后不同意作为变更的，应由咨询人书面答复承包人。</w:t>
      </w:r>
    </w:p>
    <w:p w14:paraId="10289524">
      <w:pPr>
        <w:spacing w:before="115" w:line="278" w:lineRule="auto"/>
        <w:ind w:firstLine="491"/>
        <w:rPr>
          <w:rFonts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pacing w:val="4"/>
          <w:sz w:val="24"/>
          <w:szCs w:val="24"/>
          <w:highlight w:val="none"/>
          <w14:textFill>
            <w14:solidFill>
              <w14:schemeClr w14:val="tx1"/>
            </w14:solidFill>
          </w14:textFill>
        </w:rPr>
        <w:t>（</w:t>
      </w:r>
      <w:r>
        <w:rPr>
          <w:rFonts w:eastAsia="Times New Roman"/>
          <w:color w:val="000000" w:themeColor="text1"/>
          <w:spacing w:val="4"/>
          <w:sz w:val="24"/>
          <w:szCs w:val="24"/>
          <w:highlight w:val="none"/>
          <w14:textFill>
            <w14:solidFill>
              <w14:schemeClr w14:val="tx1"/>
            </w14:solidFill>
          </w14:textFill>
        </w:rPr>
        <w:t>4</w:t>
      </w:r>
      <w:r>
        <w:rPr>
          <w:rFonts w:ascii="宋体" w:hAnsi="宋体" w:cs="宋体"/>
          <w:color w:val="000000" w:themeColor="text1"/>
          <w:spacing w:val="4"/>
          <w:sz w:val="24"/>
          <w:szCs w:val="24"/>
          <w:highlight w:val="none"/>
          <w14:textFill>
            <w14:solidFill>
              <w14:schemeClr w14:val="tx1"/>
            </w14:solidFill>
          </w14:textFill>
        </w:rPr>
        <w:t>）若承包人收到咨询人的变更意向书后认为难以实施此项变更，应立</w:t>
      </w:r>
      <w:r>
        <w:rPr>
          <w:rFonts w:ascii="宋体" w:hAnsi="宋体" w:cs="宋体"/>
          <w:color w:val="000000" w:themeColor="text1"/>
          <w:spacing w:val="3"/>
          <w:sz w:val="24"/>
          <w:szCs w:val="24"/>
          <w:highlight w:val="none"/>
          <w14:textFill>
            <w14:solidFill>
              <w14:schemeClr w14:val="tx1"/>
            </w14:solidFill>
          </w14:textFill>
        </w:rPr>
        <w:t>即通</w:t>
      </w:r>
      <w:r>
        <w:rPr>
          <w:rFonts w:ascii="宋体" w:hAnsi="宋体" w:cs="宋体"/>
          <w:color w:val="000000" w:themeColor="text1"/>
          <w:spacing w:val="1"/>
          <w:sz w:val="24"/>
          <w:szCs w:val="24"/>
          <w:highlight w:val="none"/>
          <w14:textFill>
            <w14:solidFill>
              <w14:schemeClr w14:val="tx1"/>
            </w14:solidFill>
          </w14:textFill>
        </w:rPr>
        <w:t>知咨询人，说明原因并附详细依据。咨询人与承包人和发</w:t>
      </w:r>
      <w:r>
        <w:rPr>
          <w:rFonts w:ascii="宋体" w:hAnsi="宋体" w:cs="宋体"/>
          <w:color w:val="000000" w:themeColor="text1"/>
          <w:sz w:val="24"/>
          <w:szCs w:val="24"/>
          <w:highlight w:val="none"/>
          <w14:textFill>
            <w14:solidFill>
              <w14:schemeClr w14:val="tx1"/>
            </w14:solidFill>
          </w14:textFill>
        </w:rPr>
        <w:t>包人协商后确定撤销、改</w:t>
      </w:r>
      <w:r>
        <w:rPr>
          <w:rFonts w:ascii="宋体" w:hAnsi="宋体" w:cs="宋体"/>
          <w:color w:val="000000" w:themeColor="text1"/>
          <w:spacing w:val="-1"/>
          <w:sz w:val="24"/>
          <w:szCs w:val="24"/>
          <w:highlight w:val="none"/>
          <w14:textFill>
            <w14:solidFill>
              <w14:schemeClr w14:val="tx1"/>
            </w14:solidFill>
          </w14:textFill>
        </w:rPr>
        <w:t>变或不改变原变更意向书。</w:t>
      </w:r>
    </w:p>
    <w:p w14:paraId="754E0559">
      <w:pPr>
        <w:spacing w:before="116" w:line="218" w:lineRule="auto"/>
        <w:ind w:left="499"/>
        <w:rPr>
          <w:rFonts w:ascii="宋体" w:hAnsi="宋体" w:cs="宋体"/>
          <w:color w:val="000000" w:themeColor="text1"/>
          <w:sz w:val="24"/>
          <w:szCs w:val="24"/>
          <w:highlight w:val="none"/>
          <w14:textFill>
            <w14:solidFill>
              <w14:schemeClr w14:val="tx1"/>
            </w14:solidFill>
          </w14:textFill>
        </w:rPr>
      </w:pPr>
      <w:r>
        <w:rPr>
          <w:rFonts w:eastAsia="Times New Roman"/>
          <w:color w:val="000000" w:themeColor="text1"/>
          <w:spacing w:val="-3"/>
          <w:sz w:val="24"/>
          <w:szCs w:val="24"/>
          <w:highlight w:val="none"/>
          <w14:textFill>
            <w14:solidFill>
              <w14:schemeClr w14:val="tx1"/>
            </w14:solidFill>
          </w14:textFill>
        </w:rPr>
        <w:t xml:space="preserve">15.3.2  </w:t>
      </w:r>
      <w:r>
        <w:rPr>
          <w:rFonts w:ascii="宋体" w:hAnsi="宋体" w:cs="宋体"/>
          <w:color w:val="000000" w:themeColor="text1"/>
          <w:spacing w:val="-3"/>
          <w:sz w:val="24"/>
          <w:szCs w:val="24"/>
          <w:highlight w:val="none"/>
          <w14:textFill>
            <w14:solidFill>
              <w14:schemeClr w14:val="tx1"/>
            </w14:solidFill>
          </w14:textFill>
        </w:rPr>
        <w:t>变更估价</w:t>
      </w:r>
    </w:p>
    <w:p w14:paraId="6C597187">
      <w:pPr>
        <w:spacing w:before="114" w:line="286" w:lineRule="auto"/>
        <w:ind w:left="1" w:firstLine="490"/>
        <w:rPr>
          <w:rFonts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pacing w:val="4"/>
          <w:sz w:val="24"/>
          <w:szCs w:val="24"/>
          <w:highlight w:val="none"/>
          <w14:textFill>
            <w14:solidFill>
              <w14:schemeClr w14:val="tx1"/>
            </w14:solidFill>
          </w14:textFill>
        </w:rPr>
        <w:t>（</w:t>
      </w:r>
      <w:r>
        <w:rPr>
          <w:rFonts w:eastAsia="Times New Roman"/>
          <w:color w:val="000000" w:themeColor="text1"/>
          <w:spacing w:val="4"/>
          <w:sz w:val="24"/>
          <w:szCs w:val="24"/>
          <w:highlight w:val="none"/>
          <w14:textFill>
            <w14:solidFill>
              <w14:schemeClr w14:val="tx1"/>
            </w14:solidFill>
          </w14:textFill>
        </w:rPr>
        <w:t>1</w:t>
      </w:r>
      <w:r>
        <w:rPr>
          <w:rFonts w:ascii="宋体" w:hAnsi="宋体" w:cs="宋体"/>
          <w:color w:val="000000" w:themeColor="text1"/>
          <w:spacing w:val="4"/>
          <w:sz w:val="24"/>
          <w:szCs w:val="24"/>
          <w:highlight w:val="none"/>
          <w14:textFill>
            <w14:solidFill>
              <w14:schemeClr w14:val="tx1"/>
            </w14:solidFill>
          </w14:textFill>
        </w:rPr>
        <w:t>）除专用合同条款对期限另有约定外，承包人应在收到变更指示或变</w:t>
      </w:r>
      <w:r>
        <w:rPr>
          <w:rFonts w:ascii="宋体" w:hAnsi="宋体" w:cs="宋体"/>
          <w:color w:val="000000" w:themeColor="text1"/>
          <w:spacing w:val="3"/>
          <w:sz w:val="24"/>
          <w:szCs w:val="24"/>
          <w:highlight w:val="none"/>
          <w14:textFill>
            <w14:solidFill>
              <w14:schemeClr w14:val="tx1"/>
            </w14:solidFill>
          </w14:textFill>
        </w:rPr>
        <w:t>更意向书后的</w:t>
      </w:r>
      <w:r>
        <w:rPr>
          <w:rFonts w:ascii="宋体" w:hAnsi="宋体" w:cs="宋体"/>
          <w:color w:val="000000" w:themeColor="text1"/>
          <w:spacing w:val="-27"/>
          <w:sz w:val="24"/>
          <w:szCs w:val="24"/>
          <w:highlight w:val="none"/>
          <w14:textFill>
            <w14:solidFill>
              <w14:schemeClr w14:val="tx1"/>
            </w14:solidFill>
          </w14:textFill>
        </w:rPr>
        <w:t xml:space="preserve"> </w:t>
      </w:r>
      <w:r>
        <w:rPr>
          <w:rFonts w:eastAsia="Times New Roman"/>
          <w:color w:val="000000" w:themeColor="text1"/>
          <w:spacing w:val="3"/>
          <w:sz w:val="24"/>
          <w:szCs w:val="24"/>
          <w:highlight w:val="none"/>
          <w14:textFill>
            <w14:solidFill>
              <w14:schemeClr w14:val="tx1"/>
            </w14:solidFill>
          </w14:textFill>
        </w:rPr>
        <w:t>7</w:t>
      </w:r>
      <w:r>
        <w:rPr>
          <w:rFonts w:ascii="宋体" w:hAnsi="宋体" w:cs="宋体"/>
          <w:color w:val="000000" w:themeColor="text1"/>
          <w:spacing w:val="3"/>
          <w:sz w:val="24"/>
          <w:szCs w:val="24"/>
          <w:highlight w:val="none"/>
          <w14:textFill>
            <w14:solidFill>
              <w14:schemeClr w14:val="tx1"/>
            </w14:solidFill>
          </w14:textFill>
        </w:rPr>
        <w:t>天内，向咨询人提交变更报价书，报价内容应根据第</w:t>
      </w:r>
      <w:r>
        <w:rPr>
          <w:rFonts w:ascii="宋体" w:hAnsi="宋体" w:cs="宋体"/>
          <w:color w:val="000000" w:themeColor="text1"/>
          <w:spacing w:val="-25"/>
          <w:sz w:val="24"/>
          <w:szCs w:val="24"/>
          <w:highlight w:val="none"/>
          <w14:textFill>
            <w14:solidFill>
              <w14:schemeClr w14:val="tx1"/>
            </w14:solidFill>
          </w14:textFill>
        </w:rPr>
        <w:t xml:space="preserve"> </w:t>
      </w:r>
      <w:r>
        <w:rPr>
          <w:rFonts w:eastAsia="Times New Roman"/>
          <w:color w:val="000000" w:themeColor="text1"/>
          <w:spacing w:val="3"/>
          <w:sz w:val="24"/>
          <w:szCs w:val="24"/>
          <w:highlight w:val="none"/>
          <w14:textFill>
            <w14:solidFill>
              <w14:schemeClr w14:val="tx1"/>
            </w14:solidFill>
          </w14:textFill>
        </w:rPr>
        <w:t xml:space="preserve">15.4 </w:t>
      </w:r>
      <w:r>
        <w:rPr>
          <w:rFonts w:ascii="宋体" w:hAnsi="宋体" w:cs="宋体"/>
          <w:color w:val="000000" w:themeColor="text1"/>
          <w:spacing w:val="3"/>
          <w:sz w:val="24"/>
          <w:szCs w:val="24"/>
          <w:highlight w:val="none"/>
          <w14:textFill>
            <w14:solidFill>
              <w14:schemeClr w14:val="tx1"/>
            </w14:solidFill>
          </w14:textFill>
        </w:rPr>
        <w:t>款约定的估</w:t>
      </w:r>
      <w:r>
        <w:rPr>
          <w:rFonts w:ascii="宋体" w:hAnsi="宋体" w:cs="宋体"/>
          <w:color w:val="000000" w:themeColor="text1"/>
          <w:spacing w:val="1"/>
          <w:sz w:val="24"/>
          <w:szCs w:val="24"/>
          <w:highlight w:val="none"/>
          <w14:textFill>
            <w14:solidFill>
              <w14:schemeClr w14:val="tx1"/>
            </w14:solidFill>
          </w14:textFill>
        </w:rPr>
        <w:t>价原则，详细开列变更工作的价格组成及其依据，并附</w:t>
      </w:r>
      <w:r>
        <w:rPr>
          <w:rFonts w:ascii="宋体" w:hAnsi="宋体" w:cs="宋体"/>
          <w:color w:val="000000" w:themeColor="text1"/>
          <w:sz w:val="24"/>
          <w:szCs w:val="24"/>
          <w:highlight w:val="none"/>
          <w14:textFill>
            <w14:solidFill>
              <w14:schemeClr w14:val="tx1"/>
            </w14:solidFill>
          </w14:textFill>
        </w:rPr>
        <w:t>必要的养护作业方法说明和</w:t>
      </w:r>
      <w:r>
        <w:rPr>
          <w:rFonts w:ascii="宋体" w:hAnsi="宋体" w:cs="宋体"/>
          <w:color w:val="000000" w:themeColor="text1"/>
          <w:spacing w:val="-3"/>
          <w:sz w:val="24"/>
          <w:szCs w:val="24"/>
          <w:highlight w:val="none"/>
          <w14:textFill>
            <w14:solidFill>
              <w14:schemeClr w14:val="tx1"/>
            </w14:solidFill>
          </w14:textFill>
        </w:rPr>
        <w:t>有关图纸。</w:t>
      </w:r>
    </w:p>
    <w:p w14:paraId="5A78245B">
      <w:pPr>
        <w:spacing w:before="115" w:line="278" w:lineRule="auto"/>
        <w:ind w:left="1" w:firstLine="490"/>
        <w:rPr>
          <w:rFonts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pacing w:val="4"/>
          <w:sz w:val="24"/>
          <w:szCs w:val="24"/>
          <w:highlight w:val="none"/>
          <w14:textFill>
            <w14:solidFill>
              <w14:schemeClr w14:val="tx1"/>
            </w14:solidFill>
          </w14:textFill>
        </w:rPr>
        <w:t>（</w:t>
      </w:r>
      <w:r>
        <w:rPr>
          <w:rFonts w:eastAsia="Times New Roman"/>
          <w:color w:val="000000" w:themeColor="text1"/>
          <w:spacing w:val="4"/>
          <w:sz w:val="24"/>
          <w:szCs w:val="24"/>
          <w:highlight w:val="none"/>
          <w14:textFill>
            <w14:solidFill>
              <w14:schemeClr w14:val="tx1"/>
            </w14:solidFill>
          </w14:textFill>
        </w:rPr>
        <w:t>2</w:t>
      </w:r>
      <w:r>
        <w:rPr>
          <w:rFonts w:ascii="宋体" w:hAnsi="宋体" w:cs="宋体"/>
          <w:color w:val="000000" w:themeColor="text1"/>
          <w:spacing w:val="4"/>
          <w:sz w:val="24"/>
          <w:szCs w:val="24"/>
          <w:highlight w:val="none"/>
          <w14:textFill>
            <w14:solidFill>
              <w14:schemeClr w14:val="tx1"/>
            </w14:solidFill>
          </w14:textFill>
        </w:rPr>
        <w:t>）变更工作影响工期的，承包人应提出调整工期的具体细节。咨询人</w:t>
      </w:r>
      <w:r>
        <w:rPr>
          <w:rFonts w:ascii="宋体" w:hAnsi="宋体" w:cs="宋体"/>
          <w:color w:val="000000" w:themeColor="text1"/>
          <w:spacing w:val="3"/>
          <w:sz w:val="24"/>
          <w:szCs w:val="24"/>
          <w:highlight w:val="none"/>
          <w14:textFill>
            <w14:solidFill>
              <w14:schemeClr w14:val="tx1"/>
            </w14:solidFill>
          </w14:textFill>
        </w:rPr>
        <w:t>认为</w:t>
      </w:r>
      <w:r>
        <w:rPr>
          <w:rFonts w:ascii="宋体" w:hAnsi="宋体" w:cs="宋体"/>
          <w:color w:val="000000" w:themeColor="text1"/>
          <w:spacing w:val="1"/>
          <w:sz w:val="24"/>
          <w:szCs w:val="24"/>
          <w:highlight w:val="none"/>
          <w14:textFill>
            <w14:solidFill>
              <w14:schemeClr w14:val="tx1"/>
            </w14:solidFill>
          </w14:textFill>
        </w:rPr>
        <w:t>有必要时，可要求承包人提交要求提前或延长工期的养</w:t>
      </w:r>
      <w:r>
        <w:rPr>
          <w:rFonts w:ascii="宋体" w:hAnsi="宋体" w:cs="宋体"/>
          <w:color w:val="000000" w:themeColor="text1"/>
          <w:sz w:val="24"/>
          <w:szCs w:val="24"/>
          <w:highlight w:val="none"/>
          <w14:textFill>
            <w14:solidFill>
              <w14:schemeClr w14:val="tx1"/>
            </w14:solidFill>
          </w14:textFill>
        </w:rPr>
        <w:t>护进度计划及相应养护措施</w:t>
      </w:r>
      <w:r>
        <w:rPr>
          <w:rFonts w:ascii="宋体" w:hAnsi="宋体" w:cs="宋体"/>
          <w:color w:val="000000" w:themeColor="text1"/>
          <w:spacing w:val="-2"/>
          <w:sz w:val="24"/>
          <w:szCs w:val="24"/>
          <w:highlight w:val="none"/>
          <w14:textFill>
            <w14:solidFill>
              <w14:schemeClr w14:val="tx1"/>
            </w14:solidFill>
          </w14:textFill>
        </w:rPr>
        <w:t>等详细资料。</w:t>
      </w:r>
    </w:p>
    <w:p w14:paraId="26586307">
      <w:pPr>
        <w:spacing w:before="116" w:line="263" w:lineRule="auto"/>
        <w:ind w:right="2" w:firstLine="491"/>
        <w:rPr>
          <w:rFonts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pacing w:val="4"/>
          <w:sz w:val="24"/>
          <w:szCs w:val="24"/>
          <w:highlight w:val="none"/>
          <w14:textFill>
            <w14:solidFill>
              <w14:schemeClr w14:val="tx1"/>
            </w14:solidFill>
          </w14:textFill>
        </w:rPr>
        <w:t>（</w:t>
      </w:r>
      <w:r>
        <w:rPr>
          <w:rFonts w:eastAsia="Times New Roman"/>
          <w:color w:val="000000" w:themeColor="text1"/>
          <w:spacing w:val="4"/>
          <w:sz w:val="24"/>
          <w:szCs w:val="24"/>
          <w:highlight w:val="none"/>
          <w14:textFill>
            <w14:solidFill>
              <w14:schemeClr w14:val="tx1"/>
            </w14:solidFill>
          </w14:textFill>
        </w:rPr>
        <w:t>3</w:t>
      </w:r>
      <w:r>
        <w:rPr>
          <w:rFonts w:ascii="宋体" w:hAnsi="宋体" w:cs="宋体"/>
          <w:color w:val="000000" w:themeColor="text1"/>
          <w:spacing w:val="4"/>
          <w:sz w:val="24"/>
          <w:szCs w:val="24"/>
          <w:highlight w:val="none"/>
          <w14:textFill>
            <w14:solidFill>
              <w14:schemeClr w14:val="tx1"/>
            </w14:solidFill>
          </w14:textFill>
        </w:rPr>
        <w:t>）除专用合同条款对期限另有约定外，咨询人收到承包人变更</w:t>
      </w:r>
      <w:r>
        <w:rPr>
          <w:rFonts w:ascii="宋体" w:hAnsi="宋体" w:cs="宋体"/>
          <w:color w:val="000000" w:themeColor="text1"/>
          <w:spacing w:val="3"/>
          <w:sz w:val="24"/>
          <w:szCs w:val="24"/>
          <w:highlight w:val="none"/>
          <w14:textFill>
            <w14:solidFill>
              <w14:schemeClr w14:val="tx1"/>
            </w14:solidFill>
          </w14:textFill>
        </w:rPr>
        <w:t>报价书后的</w:t>
      </w:r>
      <w:r>
        <w:rPr>
          <w:rFonts w:eastAsia="Times New Roman"/>
          <w:color w:val="000000" w:themeColor="text1"/>
          <w:spacing w:val="-1"/>
          <w:sz w:val="24"/>
          <w:szCs w:val="24"/>
          <w:highlight w:val="none"/>
          <w14:textFill>
            <w14:solidFill>
              <w14:schemeClr w14:val="tx1"/>
            </w14:solidFill>
          </w14:textFill>
        </w:rPr>
        <w:t xml:space="preserve">7 </w:t>
      </w:r>
      <w:r>
        <w:rPr>
          <w:rFonts w:ascii="宋体" w:hAnsi="宋体" w:cs="宋体"/>
          <w:color w:val="000000" w:themeColor="text1"/>
          <w:spacing w:val="-1"/>
          <w:sz w:val="24"/>
          <w:szCs w:val="24"/>
          <w:highlight w:val="none"/>
          <w14:textFill>
            <w14:solidFill>
              <w14:schemeClr w14:val="tx1"/>
            </w14:solidFill>
          </w14:textFill>
        </w:rPr>
        <w:t>天内，根据第</w:t>
      </w:r>
      <w:r>
        <w:rPr>
          <w:rFonts w:ascii="宋体" w:hAnsi="宋体" w:cs="宋体"/>
          <w:color w:val="000000" w:themeColor="text1"/>
          <w:spacing w:val="-32"/>
          <w:sz w:val="24"/>
          <w:szCs w:val="24"/>
          <w:highlight w:val="none"/>
          <w14:textFill>
            <w14:solidFill>
              <w14:schemeClr w14:val="tx1"/>
            </w14:solidFill>
          </w14:textFill>
        </w:rPr>
        <w:t xml:space="preserve"> </w:t>
      </w:r>
      <w:r>
        <w:rPr>
          <w:rFonts w:eastAsia="Times New Roman"/>
          <w:color w:val="000000" w:themeColor="text1"/>
          <w:spacing w:val="-1"/>
          <w:sz w:val="24"/>
          <w:szCs w:val="24"/>
          <w:highlight w:val="none"/>
          <w14:textFill>
            <w14:solidFill>
              <w14:schemeClr w14:val="tx1"/>
            </w14:solidFill>
          </w14:textFill>
        </w:rPr>
        <w:t xml:space="preserve">15.4 </w:t>
      </w:r>
      <w:r>
        <w:rPr>
          <w:rFonts w:ascii="宋体" w:hAnsi="宋体" w:cs="宋体"/>
          <w:color w:val="000000" w:themeColor="text1"/>
          <w:spacing w:val="-1"/>
          <w:sz w:val="24"/>
          <w:szCs w:val="24"/>
          <w:highlight w:val="none"/>
          <w14:textFill>
            <w14:solidFill>
              <w14:schemeClr w14:val="tx1"/>
            </w14:solidFill>
          </w14:textFill>
        </w:rPr>
        <w:t>款约定的估价原则，按照第</w:t>
      </w:r>
      <w:r>
        <w:rPr>
          <w:rFonts w:ascii="宋体" w:hAnsi="宋体" w:cs="宋体"/>
          <w:color w:val="000000" w:themeColor="text1"/>
          <w:spacing w:val="-50"/>
          <w:sz w:val="24"/>
          <w:szCs w:val="24"/>
          <w:highlight w:val="none"/>
          <w14:textFill>
            <w14:solidFill>
              <w14:schemeClr w14:val="tx1"/>
            </w14:solidFill>
          </w14:textFill>
        </w:rPr>
        <w:t xml:space="preserve"> </w:t>
      </w:r>
      <w:r>
        <w:rPr>
          <w:rFonts w:eastAsia="Times New Roman"/>
          <w:color w:val="000000" w:themeColor="text1"/>
          <w:spacing w:val="-1"/>
          <w:sz w:val="24"/>
          <w:szCs w:val="24"/>
          <w:highlight w:val="none"/>
          <w14:textFill>
            <w14:solidFill>
              <w14:schemeClr w14:val="tx1"/>
            </w14:solidFill>
          </w14:textFill>
        </w:rPr>
        <w:t xml:space="preserve">3.5 </w:t>
      </w:r>
      <w:r>
        <w:rPr>
          <w:rFonts w:ascii="宋体" w:hAnsi="宋体" w:cs="宋体"/>
          <w:color w:val="000000" w:themeColor="text1"/>
          <w:spacing w:val="-1"/>
          <w:sz w:val="24"/>
          <w:szCs w:val="24"/>
          <w:highlight w:val="none"/>
          <w14:textFill>
            <w14:solidFill>
              <w14:schemeClr w14:val="tx1"/>
            </w14:solidFill>
          </w14:textFill>
        </w:rPr>
        <w:t>款商定</w:t>
      </w:r>
      <w:r>
        <w:rPr>
          <w:rFonts w:ascii="宋体" w:hAnsi="宋体" w:cs="宋体"/>
          <w:color w:val="000000" w:themeColor="text1"/>
          <w:spacing w:val="-2"/>
          <w:sz w:val="24"/>
          <w:szCs w:val="24"/>
          <w:highlight w:val="none"/>
          <w14:textFill>
            <w14:solidFill>
              <w14:schemeClr w14:val="tx1"/>
            </w14:solidFill>
          </w14:textFill>
        </w:rPr>
        <w:t>或确定变更价格。</w:t>
      </w:r>
    </w:p>
    <w:p w14:paraId="3E1160EB">
      <w:pPr>
        <w:spacing w:before="115" w:line="221" w:lineRule="auto"/>
        <w:ind w:left="499"/>
        <w:rPr>
          <w:rFonts w:ascii="宋体" w:hAnsi="宋体" w:cs="宋体"/>
          <w:color w:val="000000" w:themeColor="text1"/>
          <w:sz w:val="24"/>
          <w:szCs w:val="24"/>
          <w:highlight w:val="none"/>
          <w14:textFill>
            <w14:solidFill>
              <w14:schemeClr w14:val="tx1"/>
            </w14:solidFill>
          </w14:textFill>
        </w:rPr>
      </w:pPr>
      <w:r>
        <w:rPr>
          <w:rFonts w:eastAsia="Times New Roman"/>
          <w:color w:val="000000" w:themeColor="text1"/>
          <w:spacing w:val="-3"/>
          <w:sz w:val="24"/>
          <w:szCs w:val="24"/>
          <w:highlight w:val="none"/>
          <w14:textFill>
            <w14:solidFill>
              <w14:schemeClr w14:val="tx1"/>
            </w14:solidFill>
          </w14:textFill>
        </w:rPr>
        <w:t xml:space="preserve">15.3.3  </w:t>
      </w:r>
      <w:r>
        <w:rPr>
          <w:rFonts w:ascii="宋体" w:hAnsi="宋体" w:cs="宋体"/>
          <w:color w:val="000000" w:themeColor="text1"/>
          <w:spacing w:val="-3"/>
          <w:sz w:val="24"/>
          <w:szCs w:val="24"/>
          <w:highlight w:val="none"/>
          <w14:textFill>
            <w14:solidFill>
              <w14:schemeClr w14:val="tx1"/>
            </w14:solidFill>
          </w14:textFill>
        </w:rPr>
        <w:t>变更指示</w:t>
      </w:r>
    </w:p>
    <w:p w14:paraId="5AD61CD4">
      <w:pPr>
        <w:spacing w:before="114" w:line="220" w:lineRule="auto"/>
        <w:ind w:left="492"/>
        <w:rPr>
          <w:rFonts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pacing w:val="-2"/>
          <w:sz w:val="24"/>
          <w:szCs w:val="24"/>
          <w:highlight w:val="none"/>
          <w14:textFill>
            <w14:solidFill>
              <w14:schemeClr w14:val="tx1"/>
            </w14:solidFill>
          </w14:textFill>
        </w:rPr>
        <w:t>（</w:t>
      </w:r>
      <w:r>
        <w:rPr>
          <w:rFonts w:eastAsia="Times New Roman"/>
          <w:color w:val="000000" w:themeColor="text1"/>
          <w:spacing w:val="-2"/>
          <w:sz w:val="24"/>
          <w:szCs w:val="24"/>
          <w:highlight w:val="none"/>
          <w14:textFill>
            <w14:solidFill>
              <w14:schemeClr w14:val="tx1"/>
            </w14:solidFill>
          </w14:textFill>
        </w:rPr>
        <w:t>1</w:t>
      </w:r>
      <w:r>
        <w:rPr>
          <w:rFonts w:ascii="宋体" w:hAnsi="宋体" w:cs="宋体"/>
          <w:color w:val="000000" w:themeColor="text1"/>
          <w:spacing w:val="-2"/>
          <w:sz w:val="24"/>
          <w:szCs w:val="24"/>
          <w:highlight w:val="none"/>
          <w14:textFill>
            <w14:solidFill>
              <w14:schemeClr w14:val="tx1"/>
            </w14:solidFill>
          </w14:textFill>
        </w:rPr>
        <w:t>）变更指示只能由咨询人发出。</w:t>
      </w:r>
    </w:p>
    <w:p w14:paraId="41F84E50">
      <w:pPr>
        <w:spacing w:before="115" w:line="278" w:lineRule="auto"/>
        <w:ind w:firstLine="492"/>
        <w:rPr>
          <w:rFonts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pacing w:val="4"/>
          <w:sz w:val="24"/>
          <w:szCs w:val="24"/>
          <w:highlight w:val="none"/>
          <w14:textFill>
            <w14:solidFill>
              <w14:schemeClr w14:val="tx1"/>
            </w14:solidFill>
          </w14:textFill>
        </w:rPr>
        <w:t>（</w:t>
      </w:r>
      <w:r>
        <w:rPr>
          <w:rFonts w:eastAsia="Times New Roman"/>
          <w:color w:val="000000" w:themeColor="text1"/>
          <w:spacing w:val="4"/>
          <w:sz w:val="24"/>
          <w:szCs w:val="24"/>
          <w:highlight w:val="none"/>
          <w14:textFill>
            <w14:solidFill>
              <w14:schemeClr w14:val="tx1"/>
            </w14:solidFill>
          </w14:textFill>
        </w:rPr>
        <w:t>2</w:t>
      </w:r>
      <w:r>
        <w:rPr>
          <w:rFonts w:ascii="宋体" w:hAnsi="宋体" w:cs="宋体"/>
          <w:color w:val="000000" w:themeColor="text1"/>
          <w:spacing w:val="4"/>
          <w:sz w:val="24"/>
          <w:szCs w:val="24"/>
          <w:highlight w:val="none"/>
          <w14:textFill>
            <w14:solidFill>
              <w14:schemeClr w14:val="tx1"/>
            </w14:solidFill>
          </w14:textFill>
        </w:rPr>
        <w:t>）变更指示应说明变更的目的、范围、变更内容以及变更的工程量及</w:t>
      </w:r>
      <w:r>
        <w:rPr>
          <w:rFonts w:ascii="宋体" w:hAnsi="宋体" w:cs="宋体"/>
          <w:color w:val="000000" w:themeColor="text1"/>
          <w:spacing w:val="3"/>
          <w:sz w:val="24"/>
          <w:szCs w:val="24"/>
          <w:highlight w:val="none"/>
          <w14:textFill>
            <w14:solidFill>
              <w14:schemeClr w14:val="tx1"/>
            </w14:solidFill>
          </w14:textFill>
        </w:rPr>
        <w:t>其进</w:t>
      </w:r>
      <w:r>
        <w:rPr>
          <w:rFonts w:ascii="宋体" w:hAnsi="宋体" w:cs="宋体"/>
          <w:color w:val="000000" w:themeColor="text1"/>
          <w:spacing w:val="1"/>
          <w:sz w:val="24"/>
          <w:szCs w:val="24"/>
          <w:highlight w:val="none"/>
          <w14:textFill>
            <w14:solidFill>
              <w14:schemeClr w14:val="tx1"/>
            </w14:solidFill>
          </w14:textFill>
        </w:rPr>
        <w:t>度和技术要求，并附有关图纸和文件。承包人收到变更指示</w:t>
      </w:r>
      <w:r>
        <w:rPr>
          <w:rFonts w:ascii="宋体" w:hAnsi="宋体" w:cs="宋体"/>
          <w:color w:val="000000" w:themeColor="text1"/>
          <w:sz w:val="24"/>
          <w:szCs w:val="24"/>
          <w:highlight w:val="none"/>
          <w14:textFill>
            <w14:solidFill>
              <w14:schemeClr w14:val="tx1"/>
            </w14:solidFill>
          </w14:textFill>
        </w:rPr>
        <w:t>后，应按变更指示进行</w:t>
      </w:r>
      <w:r>
        <w:rPr>
          <w:rFonts w:ascii="宋体" w:hAnsi="宋体" w:cs="宋体"/>
          <w:color w:val="000000" w:themeColor="text1"/>
          <w:spacing w:val="-2"/>
          <w:sz w:val="24"/>
          <w:szCs w:val="24"/>
          <w:highlight w:val="none"/>
          <w14:textFill>
            <w14:solidFill>
              <w14:schemeClr w14:val="tx1"/>
            </w14:solidFill>
          </w14:textFill>
        </w:rPr>
        <w:t>变更工作。</w:t>
      </w:r>
    </w:p>
    <w:p w14:paraId="2382EEDE">
      <w:pPr>
        <w:spacing w:before="78" w:line="218" w:lineRule="auto"/>
        <w:ind w:left="487"/>
        <w:outlineLvl w:val="3"/>
        <w:rPr>
          <w:rFonts w:ascii="宋体" w:hAnsi="宋体" w:cs="宋体"/>
          <w:color w:val="000000" w:themeColor="text1"/>
          <w:sz w:val="24"/>
          <w:szCs w:val="24"/>
          <w:highlight w:val="none"/>
          <w14:textFill>
            <w14:solidFill>
              <w14:schemeClr w14:val="tx1"/>
            </w14:solidFill>
          </w14:textFill>
        </w:rPr>
      </w:pPr>
      <w:bookmarkStart w:id="153" w:name="bookmark223"/>
      <w:bookmarkEnd w:id="153"/>
      <w:r>
        <w:rPr>
          <w:rFonts w:eastAsia="Times New Roman"/>
          <w:b/>
          <w:bCs/>
          <w:color w:val="000000" w:themeColor="text1"/>
          <w:spacing w:val="-3"/>
          <w:sz w:val="24"/>
          <w:szCs w:val="24"/>
          <w:highlight w:val="none"/>
          <w14:textFill>
            <w14:solidFill>
              <w14:schemeClr w14:val="tx1"/>
            </w14:solidFill>
          </w14:textFill>
        </w:rPr>
        <w:t xml:space="preserve">15.4  </w:t>
      </w:r>
      <w:r>
        <w:rPr>
          <w:rFonts w:ascii="宋体" w:hAnsi="宋体" w:cs="宋体"/>
          <w:b/>
          <w:bCs/>
          <w:color w:val="000000" w:themeColor="text1"/>
          <w:spacing w:val="-3"/>
          <w:sz w:val="24"/>
          <w:szCs w:val="24"/>
          <w:highlight w:val="none"/>
          <w14:textFill>
            <w14:solidFill>
              <w14:schemeClr w14:val="tx1"/>
            </w14:solidFill>
          </w14:textFill>
        </w:rPr>
        <w:t>变更的估价原则</w:t>
      </w:r>
    </w:p>
    <w:p w14:paraId="6EA37F57">
      <w:pPr>
        <w:spacing w:before="126" w:line="218" w:lineRule="auto"/>
        <w:ind w:left="495"/>
        <w:rPr>
          <w:rFonts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pacing w:val="-1"/>
          <w:sz w:val="24"/>
          <w:szCs w:val="24"/>
          <w:highlight w:val="none"/>
          <w14:textFill>
            <w14:solidFill>
              <w14:schemeClr w14:val="tx1"/>
            </w14:solidFill>
          </w14:textFill>
        </w:rPr>
        <w:t>除专用合同条款另有约定外，因变更引起的价格调整按照本款约定处理。</w:t>
      </w:r>
    </w:p>
    <w:p w14:paraId="2554CCD6">
      <w:pPr>
        <w:spacing w:before="115" w:line="218" w:lineRule="auto"/>
        <w:ind w:left="499"/>
        <w:rPr>
          <w:rFonts w:ascii="宋体" w:hAnsi="宋体" w:cs="宋体"/>
          <w:color w:val="000000" w:themeColor="text1"/>
          <w:sz w:val="24"/>
          <w:szCs w:val="24"/>
          <w:highlight w:val="none"/>
          <w14:textFill>
            <w14:solidFill>
              <w14:schemeClr w14:val="tx1"/>
            </w14:solidFill>
          </w14:textFill>
        </w:rPr>
      </w:pPr>
      <w:r>
        <w:rPr>
          <w:rFonts w:eastAsia="Times New Roman"/>
          <w:color w:val="000000" w:themeColor="text1"/>
          <w:spacing w:val="-1"/>
          <w:sz w:val="24"/>
          <w:szCs w:val="24"/>
          <w:highlight w:val="none"/>
          <w14:textFill>
            <w14:solidFill>
              <w14:schemeClr w14:val="tx1"/>
            </w14:solidFill>
          </w14:textFill>
        </w:rPr>
        <w:t xml:space="preserve">15.4.1  </w:t>
      </w:r>
      <w:r>
        <w:rPr>
          <w:rFonts w:ascii="宋体" w:hAnsi="宋体" w:cs="宋体"/>
          <w:color w:val="000000" w:themeColor="text1"/>
          <w:spacing w:val="-1"/>
          <w:sz w:val="24"/>
          <w:szCs w:val="24"/>
          <w:highlight w:val="none"/>
          <w14:textFill>
            <w14:solidFill>
              <w14:schemeClr w14:val="tx1"/>
            </w14:solidFill>
          </w14:textFill>
        </w:rPr>
        <w:t>如果取消某项工作，则该项工作的总额价不予支付。</w:t>
      </w:r>
    </w:p>
    <w:p w14:paraId="40EEBBAB">
      <w:pPr>
        <w:spacing w:before="117" w:line="218" w:lineRule="auto"/>
        <w:ind w:left="499"/>
        <w:rPr>
          <w:rFonts w:ascii="宋体" w:hAnsi="宋体" w:cs="宋体"/>
          <w:color w:val="000000" w:themeColor="text1"/>
          <w:sz w:val="24"/>
          <w:szCs w:val="24"/>
          <w:highlight w:val="none"/>
          <w14:textFill>
            <w14:solidFill>
              <w14:schemeClr w14:val="tx1"/>
            </w14:solidFill>
          </w14:textFill>
        </w:rPr>
      </w:pPr>
      <w:r>
        <w:rPr>
          <w:rFonts w:eastAsia="Times New Roman"/>
          <w:color w:val="000000" w:themeColor="text1"/>
          <w:spacing w:val="-2"/>
          <w:sz w:val="24"/>
          <w:szCs w:val="24"/>
          <w:highlight w:val="none"/>
          <w14:textFill>
            <w14:solidFill>
              <w14:schemeClr w14:val="tx1"/>
            </w14:solidFill>
          </w14:textFill>
        </w:rPr>
        <w:t>15.4.2</w:t>
      </w:r>
      <w:r>
        <w:rPr>
          <w:rFonts w:eastAsia="Times New Roman"/>
          <w:color w:val="000000" w:themeColor="text1"/>
          <w:spacing w:val="22"/>
          <w:sz w:val="24"/>
          <w:szCs w:val="24"/>
          <w:highlight w:val="none"/>
          <w14:textFill>
            <w14:solidFill>
              <w14:schemeClr w14:val="tx1"/>
            </w14:solidFill>
          </w14:textFill>
        </w:rPr>
        <w:t xml:space="preserve">  </w:t>
      </w:r>
      <w:r>
        <w:rPr>
          <w:rFonts w:ascii="宋体" w:hAnsi="宋体" w:cs="宋体"/>
          <w:color w:val="000000" w:themeColor="text1"/>
          <w:spacing w:val="-2"/>
          <w:sz w:val="24"/>
          <w:szCs w:val="24"/>
          <w:highlight w:val="none"/>
          <w14:textFill>
            <w14:solidFill>
              <w14:schemeClr w14:val="tx1"/>
            </w14:solidFill>
          </w14:textFill>
        </w:rPr>
        <w:t>已标价工程量清单中有适用于变更工作的子目的，采用该子目的单价。</w:t>
      </w:r>
    </w:p>
    <w:p w14:paraId="35AC9032">
      <w:pPr>
        <w:spacing w:before="118" w:line="262" w:lineRule="auto"/>
        <w:ind w:left="1" w:right="59" w:firstLine="497"/>
        <w:rPr>
          <w:rFonts w:ascii="宋体" w:hAnsi="宋体" w:cs="宋体"/>
          <w:color w:val="000000" w:themeColor="text1"/>
          <w:sz w:val="24"/>
          <w:szCs w:val="24"/>
          <w:highlight w:val="none"/>
          <w14:textFill>
            <w14:solidFill>
              <w14:schemeClr w14:val="tx1"/>
            </w14:solidFill>
          </w14:textFill>
        </w:rPr>
      </w:pPr>
      <w:r>
        <w:rPr>
          <w:rFonts w:eastAsia="Times New Roman"/>
          <w:color w:val="000000" w:themeColor="text1"/>
          <w:spacing w:val="-1"/>
          <w:sz w:val="24"/>
          <w:szCs w:val="24"/>
          <w:highlight w:val="none"/>
          <w14:textFill>
            <w14:solidFill>
              <w14:schemeClr w14:val="tx1"/>
            </w14:solidFill>
          </w14:textFill>
        </w:rPr>
        <w:t>15.4.3</w:t>
      </w:r>
      <w:r>
        <w:rPr>
          <w:rFonts w:eastAsia="Times New Roman"/>
          <w:color w:val="000000" w:themeColor="text1"/>
          <w:spacing w:val="20"/>
          <w:w w:val="101"/>
          <w:sz w:val="24"/>
          <w:szCs w:val="24"/>
          <w:highlight w:val="none"/>
          <w14:textFill>
            <w14:solidFill>
              <w14:schemeClr w14:val="tx1"/>
            </w14:solidFill>
          </w14:textFill>
        </w:rPr>
        <w:t xml:space="preserve">  </w:t>
      </w:r>
      <w:r>
        <w:rPr>
          <w:rFonts w:ascii="宋体" w:hAnsi="宋体" w:cs="宋体"/>
          <w:color w:val="000000" w:themeColor="text1"/>
          <w:spacing w:val="-1"/>
          <w:sz w:val="24"/>
          <w:szCs w:val="24"/>
          <w:highlight w:val="none"/>
          <w14:textFill>
            <w14:solidFill>
              <w14:schemeClr w14:val="tx1"/>
            </w14:solidFill>
          </w14:textFill>
        </w:rPr>
        <w:t>已标价工程量清单中无适用于变更工作的子目，但有类似子目的，可在</w:t>
      </w:r>
      <w:r>
        <w:rPr>
          <w:rFonts w:ascii="宋体" w:hAnsi="宋体" w:cs="宋体"/>
          <w:color w:val="000000" w:themeColor="text1"/>
          <w:spacing w:val="-2"/>
          <w:sz w:val="24"/>
          <w:szCs w:val="24"/>
          <w:highlight w:val="none"/>
          <w14:textFill>
            <w14:solidFill>
              <w14:schemeClr w14:val="tx1"/>
            </w14:solidFill>
          </w14:textFill>
        </w:rPr>
        <w:t>合理范围内参照类似子目的单价，由咨询人按第</w:t>
      </w:r>
      <w:r>
        <w:rPr>
          <w:rFonts w:ascii="宋体" w:hAnsi="宋体" w:cs="宋体"/>
          <w:color w:val="000000" w:themeColor="text1"/>
          <w:spacing w:val="-34"/>
          <w:sz w:val="24"/>
          <w:szCs w:val="24"/>
          <w:highlight w:val="none"/>
          <w14:textFill>
            <w14:solidFill>
              <w14:schemeClr w14:val="tx1"/>
            </w14:solidFill>
          </w14:textFill>
        </w:rPr>
        <w:t xml:space="preserve"> </w:t>
      </w:r>
      <w:r>
        <w:rPr>
          <w:rFonts w:eastAsia="Times New Roman"/>
          <w:color w:val="000000" w:themeColor="text1"/>
          <w:spacing w:val="-2"/>
          <w:sz w:val="24"/>
          <w:szCs w:val="24"/>
          <w:highlight w:val="none"/>
          <w14:textFill>
            <w14:solidFill>
              <w14:schemeClr w14:val="tx1"/>
            </w14:solidFill>
          </w14:textFill>
        </w:rPr>
        <w:t xml:space="preserve">3.5 </w:t>
      </w:r>
      <w:r>
        <w:rPr>
          <w:rFonts w:ascii="宋体" w:hAnsi="宋体" w:cs="宋体"/>
          <w:color w:val="000000" w:themeColor="text1"/>
          <w:spacing w:val="-2"/>
          <w:sz w:val="24"/>
          <w:szCs w:val="24"/>
          <w:highlight w:val="none"/>
          <w14:textFill>
            <w14:solidFill>
              <w14:schemeClr w14:val="tx1"/>
            </w14:solidFill>
          </w14:textFill>
        </w:rPr>
        <w:t>款商定或确定变更工作的单价。</w:t>
      </w:r>
    </w:p>
    <w:p w14:paraId="429E8474">
      <w:pPr>
        <w:spacing w:before="117" w:line="263" w:lineRule="auto"/>
        <w:ind w:left="20" w:right="166" w:firstLine="479"/>
        <w:rPr>
          <w:rFonts w:ascii="宋体" w:hAnsi="宋体" w:cs="宋体"/>
          <w:color w:val="000000" w:themeColor="text1"/>
          <w:sz w:val="24"/>
          <w:szCs w:val="24"/>
          <w:highlight w:val="none"/>
          <w14:textFill>
            <w14:solidFill>
              <w14:schemeClr w14:val="tx1"/>
            </w14:solidFill>
          </w14:textFill>
        </w:rPr>
      </w:pPr>
      <w:r>
        <w:rPr>
          <w:rFonts w:eastAsia="Times New Roman"/>
          <w:color w:val="000000" w:themeColor="text1"/>
          <w:spacing w:val="-1"/>
          <w:sz w:val="24"/>
          <w:szCs w:val="24"/>
          <w:highlight w:val="none"/>
          <w14:textFill>
            <w14:solidFill>
              <w14:schemeClr w14:val="tx1"/>
            </w14:solidFill>
          </w14:textFill>
        </w:rPr>
        <w:t>15.4.4</w:t>
      </w:r>
      <w:r>
        <w:rPr>
          <w:rFonts w:eastAsia="Times New Roman"/>
          <w:color w:val="000000" w:themeColor="text1"/>
          <w:spacing w:val="20"/>
          <w:w w:val="101"/>
          <w:sz w:val="24"/>
          <w:szCs w:val="24"/>
          <w:highlight w:val="none"/>
          <w14:textFill>
            <w14:solidFill>
              <w14:schemeClr w14:val="tx1"/>
            </w14:solidFill>
          </w14:textFill>
        </w:rPr>
        <w:t xml:space="preserve">  </w:t>
      </w:r>
      <w:r>
        <w:rPr>
          <w:rFonts w:ascii="宋体" w:hAnsi="宋体" w:cs="宋体"/>
          <w:color w:val="000000" w:themeColor="text1"/>
          <w:spacing w:val="-1"/>
          <w:sz w:val="24"/>
          <w:szCs w:val="24"/>
          <w:highlight w:val="none"/>
          <w14:textFill>
            <w14:solidFill>
              <w14:schemeClr w14:val="tx1"/>
            </w14:solidFill>
          </w14:textFill>
        </w:rPr>
        <w:t>已标价工程量清单中无适用或类似子目的单价，按照专用合同条款约定</w:t>
      </w:r>
      <w:r>
        <w:rPr>
          <w:rFonts w:ascii="宋体" w:hAnsi="宋体" w:cs="宋体"/>
          <w:color w:val="000000" w:themeColor="text1"/>
          <w:spacing w:val="-2"/>
          <w:sz w:val="24"/>
          <w:szCs w:val="24"/>
          <w:highlight w:val="none"/>
          <w14:textFill>
            <w14:solidFill>
              <w14:schemeClr w14:val="tx1"/>
            </w14:solidFill>
          </w14:textFill>
        </w:rPr>
        <w:t>的原则，由咨询人按第</w:t>
      </w:r>
      <w:r>
        <w:rPr>
          <w:rFonts w:ascii="宋体" w:hAnsi="宋体" w:cs="宋体"/>
          <w:color w:val="000000" w:themeColor="text1"/>
          <w:spacing w:val="-35"/>
          <w:sz w:val="24"/>
          <w:szCs w:val="24"/>
          <w:highlight w:val="none"/>
          <w14:textFill>
            <w14:solidFill>
              <w14:schemeClr w14:val="tx1"/>
            </w14:solidFill>
          </w14:textFill>
        </w:rPr>
        <w:t xml:space="preserve"> </w:t>
      </w:r>
      <w:r>
        <w:rPr>
          <w:rFonts w:eastAsia="Times New Roman"/>
          <w:color w:val="000000" w:themeColor="text1"/>
          <w:spacing w:val="-2"/>
          <w:sz w:val="24"/>
          <w:szCs w:val="24"/>
          <w:highlight w:val="none"/>
          <w14:textFill>
            <w14:solidFill>
              <w14:schemeClr w14:val="tx1"/>
            </w14:solidFill>
          </w14:textFill>
        </w:rPr>
        <w:t xml:space="preserve">3.5 </w:t>
      </w:r>
      <w:r>
        <w:rPr>
          <w:rFonts w:ascii="宋体" w:hAnsi="宋体" w:cs="宋体"/>
          <w:color w:val="000000" w:themeColor="text1"/>
          <w:spacing w:val="-2"/>
          <w:sz w:val="24"/>
          <w:szCs w:val="24"/>
          <w:highlight w:val="none"/>
          <w14:textFill>
            <w14:solidFill>
              <w14:schemeClr w14:val="tx1"/>
            </w14:solidFill>
          </w14:textFill>
        </w:rPr>
        <w:t>款商定或确定变更工作的单价。</w:t>
      </w:r>
    </w:p>
    <w:p w14:paraId="07C57D92">
      <w:pPr>
        <w:spacing w:before="115" w:line="264" w:lineRule="auto"/>
        <w:ind w:right="166" w:firstLine="499"/>
        <w:rPr>
          <w:rFonts w:ascii="宋体" w:hAnsi="宋体" w:cs="宋体"/>
          <w:color w:val="000000" w:themeColor="text1"/>
          <w:sz w:val="24"/>
          <w:szCs w:val="24"/>
          <w:highlight w:val="none"/>
          <w14:textFill>
            <w14:solidFill>
              <w14:schemeClr w14:val="tx1"/>
            </w14:solidFill>
          </w14:textFill>
        </w:rPr>
      </w:pPr>
      <w:r>
        <w:rPr>
          <w:rFonts w:eastAsia="Times New Roman"/>
          <w:color w:val="000000" w:themeColor="text1"/>
          <w:sz w:val="24"/>
          <w:szCs w:val="24"/>
          <w:highlight w:val="none"/>
          <w14:textFill>
            <w14:solidFill>
              <w14:schemeClr w14:val="tx1"/>
            </w14:solidFill>
          </w14:textFill>
        </w:rPr>
        <w:t xml:space="preserve">15.4.5  </w:t>
      </w:r>
      <w:r>
        <w:rPr>
          <w:rFonts w:ascii="宋体" w:hAnsi="宋体" w:cs="宋体"/>
          <w:color w:val="000000" w:themeColor="text1"/>
          <w:sz w:val="24"/>
          <w:szCs w:val="24"/>
          <w:highlight w:val="none"/>
          <w14:textFill>
            <w14:solidFill>
              <w14:schemeClr w14:val="tx1"/>
            </w14:solidFill>
          </w14:textFill>
        </w:rPr>
        <w:t>如果养护项目的变更指示是因承包人过错、承包人违反合同或承包人责</w:t>
      </w:r>
      <w:r>
        <w:rPr>
          <w:rFonts w:ascii="宋体" w:hAnsi="宋体" w:cs="宋体"/>
          <w:color w:val="000000" w:themeColor="text1"/>
          <w:spacing w:val="-1"/>
          <w:sz w:val="24"/>
          <w:szCs w:val="24"/>
          <w:highlight w:val="none"/>
          <w14:textFill>
            <w14:solidFill>
              <w14:schemeClr w14:val="tx1"/>
            </w14:solidFill>
          </w14:textFill>
        </w:rPr>
        <w:t>任造成的，则这种违约引起的任何额外费用应由承包人承担。</w:t>
      </w:r>
    </w:p>
    <w:p w14:paraId="4E429EFE">
      <w:pPr>
        <w:spacing w:before="106" w:line="219" w:lineRule="auto"/>
        <w:ind w:left="487"/>
        <w:outlineLvl w:val="3"/>
        <w:rPr>
          <w:rFonts w:ascii="宋体" w:hAnsi="宋体" w:cs="宋体"/>
          <w:color w:val="000000" w:themeColor="text1"/>
          <w:sz w:val="24"/>
          <w:szCs w:val="24"/>
          <w:highlight w:val="none"/>
          <w14:textFill>
            <w14:solidFill>
              <w14:schemeClr w14:val="tx1"/>
            </w14:solidFill>
          </w14:textFill>
        </w:rPr>
      </w:pPr>
      <w:r>
        <w:rPr>
          <w:rFonts w:eastAsia="Times New Roman"/>
          <w:b/>
          <w:bCs/>
          <w:color w:val="000000" w:themeColor="text1"/>
          <w:spacing w:val="-3"/>
          <w:sz w:val="24"/>
          <w:szCs w:val="24"/>
          <w:highlight w:val="none"/>
          <w14:textFill>
            <w14:solidFill>
              <w14:schemeClr w14:val="tx1"/>
            </w14:solidFill>
          </w14:textFill>
        </w:rPr>
        <w:t xml:space="preserve">15.5  </w:t>
      </w:r>
      <w:r>
        <w:rPr>
          <w:rFonts w:ascii="宋体" w:hAnsi="宋体" w:cs="宋体"/>
          <w:b/>
          <w:bCs/>
          <w:color w:val="000000" w:themeColor="text1"/>
          <w:spacing w:val="-3"/>
          <w:sz w:val="24"/>
          <w:szCs w:val="24"/>
          <w:highlight w:val="none"/>
          <w14:textFill>
            <w14:solidFill>
              <w14:schemeClr w14:val="tx1"/>
            </w14:solidFill>
          </w14:textFill>
        </w:rPr>
        <w:t>承包人的合理化建议</w:t>
      </w:r>
    </w:p>
    <w:p w14:paraId="581FB703">
      <w:pPr>
        <w:spacing w:before="124" w:line="290" w:lineRule="auto"/>
        <w:ind w:right="164" w:firstLine="499"/>
        <w:rPr>
          <w:rFonts w:ascii="宋体" w:hAnsi="宋体" w:cs="宋体"/>
          <w:color w:val="000000" w:themeColor="text1"/>
          <w:sz w:val="24"/>
          <w:szCs w:val="24"/>
          <w:highlight w:val="none"/>
          <w14:textFill>
            <w14:solidFill>
              <w14:schemeClr w14:val="tx1"/>
            </w14:solidFill>
          </w14:textFill>
        </w:rPr>
      </w:pPr>
      <w:r>
        <w:rPr>
          <w:rFonts w:eastAsia="Times New Roman"/>
          <w:color w:val="000000" w:themeColor="text1"/>
          <w:sz w:val="24"/>
          <w:szCs w:val="24"/>
          <w:highlight w:val="none"/>
          <w14:textFill>
            <w14:solidFill>
              <w14:schemeClr w14:val="tx1"/>
            </w14:solidFill>
          </w14:textFill>
        </w:rPr>
        <w:t xml:space="preserve">15.5.1  </w:t>
      </w:r>
      <w:r>
        <w:rPr>
          <w:rFonts w:ascii="宋体" w:hAnsi="宋体" w:cs="宋体"/>
          <w:color w:val="000000" w:themeColor="text1"/>
          <w:sz w:val="24"/>
          <w:szCs w:val="24"/>
          <w:highlight w:val="none"/>
          <w14:textFill>
            <w14:solidFill>
              <w14:schemeClr w14:val="tx1"/>
            </w14:solidFill>
          </w14:textFill>
        </w:rPr>
        <w:t>在履行合同过程中，承包人对发包人提供的图纸、技术要求以及其他方</w:t>
      </w:r>
      <w:r>
        <w:rPr>
          <w:rFonts w:ascii="宋体" w:hAnsi="宋体" w:cs="宋体"/>
          <w:color w:val="000000" w:themeColor="text1"/>
          <w:spacing w:val="1"/>
          <w:sz w:val="24"/>
          <w:szCs w:val="24"/>
          <w:highlight w:val="none"/>
          <w14:textFill>
            <w14:solidFill>
              <w14:schemeClr w14:val="tx1"/>
            </w14:solidFill>
          </w14:textFill>
        </w:rPr>
        <w:t>面提出的合理化建议，均应以书面形式提交咨询人。合理化</w:t>
      </w:r>
      <w:r>
        <w:rPr>
          <w:rFonts w:ascii="宋体" w:hAnsi="宋体" w:cs="宋体"/>
          <w:color w:val="000000" w:themeColor="text1"/>
          <w:sz w:val="24"/>
          <w:szCs w:val="24"/>
          <w:highlight w:val="none"/>
          <w14:textFill>
            <w14:solidFill>
              <w14:schemeClr w14:val="tx1"/>
            </w14:solidFill>
          </w14:textFill>
        </w:rPr>
        <w:t>建议书的内容应包括建</w:t>
      </w:r>
      <w:r>
        <w:rPr>
          <w:rFonts w:ascii="宋体" w:hAnsi="宋体" w:cs="宋体"/>
          <w:color w:val="000000" w:themeColor="text1"/>
          <w:spacing w:val="1"/>
          <w:sz w:val="24"/>
          <w:szCs w:val="24"/>
          <w:highlight w:val="none"/>
          <w14:textFill>
            <w14:solidFill>
              <w14:schemeClr w14:val="tx1"/>
            </w14:solidFill>
          </w14:textFill>
        </w:rPr>
        <w:t>议工作的详细说明、进度计划和效益以及与其他工作的协调</w:t>
      </w:r>
      <w:r>
        <w:rPr>
          <w:rFonts w:ascii="宋体" w:hAnsi="宋体" w:cs="宋体"/>
          <w:color w:val="000000" w:themeColor="text1"/>
          <w:sz w:val="24"/>
          <w:szCs w:val="24"/>
          <w:highlight w:val="none"/>
          <w14:textFill>
            <w14:solidFill>
              <w14:schemeClr w14:val="tx1"/>
            </w14:solidFill>
          </w14:textFill>
        </w:rPr>
        <w:t>等，并附必要的设计文</w:t>
      </w:r>
      <w:r>
        <w:rPr>
          <w:rFonts w:ascii="宋体" w:hAnsi="宋体" w:cs="宋体"/>
          <w:color w:val="000000" w:themeColor="text1"/>
          <w:spacing w:val="13"/>
          <w:sz w:val="24"/>
          <w:szCs w:val="24"/>
          <w:highlight w:val="none"/>
          <w14:textFill>
            <w14:solidFill>
              <w14:schemeClr w14:val="tx1"/>
            </w14:solidFill>
          </w14:textFill>
        </w:rPr>
        <w:t>件</w:t>
      </w:r>
      <w:r>
        <w:rPr>
          <w:rFonts w:ascii="宋体" w:hAnsi="宋体" w:cs="宋体"/>
          <w:color w:val="000000" w:themeColor="text1"/>
          <w:spacing w:val="-56"/>
          <w:sz w:val="24"/>
          <w:szCs w:val="24"/>
          <w:highlight w:val="none"/>
          <w14:textFill>
            <w14:solidFill>
              <w14:schemeClr w14:val="tx1"/>
            </w14:solidFill>
          </w14:textFill>
        </w:rPr>
        <w:t xml:space="preserve"> </w:t>
      </w:r>
      <w:r>
        <w:rPr>
          <w:rFonts w:ascii="宋体" w:hAnsi="宋体" w:cs="宋体"/>
          <w:color w:val="000000" w:themeColor="text1"/>
          <w:spacing w:val="13"/>
          <w:sz w:val="24"/>
          <w:szCs w:val="24"/>
          <w:highlight w:val="none"/>
          <w14:textFill>
            <w14:solidFill>
              <w14:schemeClr w14:val="tx1"/>
            </w14:solidFill>
          </w14:textFill>
        </w:rPr>
        <w:t>。咨询人应与发包人协商是否采纳建议。建议被采纳并构成变更的，应按第</w:t>
      </w:r>
      <w:r>
        <w:rPr>
          <w:rFonts w:eastAsia="Times New Roman"/>
          <w:color w:val="000000" w:themeColor="text1"/>
          <w:spacing w:val="-1"/>
          <w:sz w:val="24"/>
          <w:szCs w:val="24"/>
          <w:highlight w:val="none"/>
          <w14:textFill>
            <w14:solidFill>
              <w14:schemeClr w14:val="tx1"/>
            </w14:solidFill>
          </w14:textFill>
        </w:rPr>
        <w:t xml:space="preserve">15.3.3 </w:t>
      </w:r>
      <w:r>
        <w:rPr>
          <w:rFonts w:ascii="宋体" w:hAnsi="宋体" w:cs="宋体"/>
          <w:color w:val="000000" w:themeColor="text1"/>
          <w:spacing w:val="-1"/>
          <w:sz w:val="24"/>
          <w:szCs w:val="24"/>
          <w:highlight w:val="none"/>
          <w14:textFill>
            <w14:solidFill>
              <w14:schemeClr w14:val="tx1"/>
            </w14:solidFill>
          </w14:textFill>
        </w:rPr>
        <w:t>项约定向承包人发出变更指示。</w:t>
      </w:r>
    </w:p>
    <w:p w14:paraId="31490A66">
      <w:pPr>
        <w:spacing w:before="115" w:line="263" w:lineRule="auto"/>
        <w:ind w:left="4" w:right="225" w:firstLine="494"/>
        <w:rPr>
          <w:rFonts w:ascii="宋体" w:hAnsi="宋体" w:cs="宋体"/>
          <w:color w:val="000000" w:themeColor="text1"/>
          <w:sz w:val="24"/>
          <w:szCs w:val="24"/>
          <w:highlight w:val="none"/>
          <w14:textFill>
            <w14:solidFill>
              <w14:schemeClr w14:val="tx1"/>
            </w14:solidFill>
          </w14:textFill>
        </w:rPr>
      </w:pPr>
      <w:r>
        <w:rPr>
          <w:rFonts w:eastAsia="Times New Roman"/>
          <w:color w:val="000000" w:themeColor="text1"/>
          <w:spacing w:val="-1"/>
          <w:sz w:val="24"/>
          <w:szCs w:val="24"/>
          <w:highlight w:val="none"/>
          <w14:textFill>
            <w14:solidFill>
              <w14:schemeClr w14:val="tx1"/>
            </w14:solidFill>
          </w14:textFill>
        </w:rPr>
        <w:t xml:space="preserve">15.5.2  </w:t>
      </w:r>
      <w:r>
        <w:rPr>
          <w:rFonts w:ascii="宋体" w:hAnsi="宋体" w:cs="宋体"/>
          <w:color w:val="000000" w:themeColor="text1"/>
          <w:spacing w:val="-1"/>
          <w:sz w:val="24"/>
          <w:szCs w:val="24"/>
          <w:highlight w:val="none"/>
          <w14:textFill>
            <w14:solidFill>
              <w14:schemeClr w14:val="tx1"/>
            </w14:solidFill>
          </w14:textFill>
        </w:rPr>
        <w:t>承包人提出的合理化建议降低了合</w:t>
      </w:r>
      <w:r>
        <w:rPr>
          <w:rFonts w:ascii="宋体" w:hAnsi="宋体" w:cs="宋体"/>
          <w:color w:val="000000" w:themeColor="text1"/>
          <w:spacing w:val="-2"/>
          <w:sz w:val="24"/>
          <w:szCs w:val="24"/>
          <w:highlight w:val="none"/>
          <w14:textFill>
            <w14:solidFill>
              <w14:schemeClr w14:val="tx1"/>
            </w14:solidFill>
          </w14:textFill>
        </w:rPr>
        <w:t>同价格或者提高了工程经济效益的，</w:t>
      </w:r>
      <w:r>
        <w:rPr>
          <w:rFonts w:ascii="宋体" w:hAnsi="宋体" w:cs="宋体"/>
          <w:color w:val="000000" w:themeColor="text1"/>
          <w:spacing w:val="-1"/>
          <w:sz w:val="24"/>
          <w:szCs w:val="24"/>
          <w:highlight w:val="none"/>
          <w14:textFill>
            <w14:solidFill>
              <w14:schemeClr w14:val="tx1"/>
            </w14:solidFill>
          </w14:textFill>
        </w:rPr>
        <w:t>发包人按专用合同条款约定的金额给予奖励。</w:t>
      </w:r>
    </w:p>
    <w:p w14:paraId="66C8568C">
      <w:pPr>
        <w:spacing w:before="107" w:line="219" w:lineRule="auto"/>
        <w:ind w:left="487"/>
        <w:outlineLvl w:val="3"/>
        <w:rPr>
          <w:rFonts w:ascii="宋体" w:hAnsi="宋体" w:cs="宋体"/>
          <w:color w:val="000000" w:themeColor="text1"/>
          <w:sz w:val="24"/>
          <w:szCs w:val="24"/>
          <w:highlight w:val="none"/>
          <w14:textFill>
            <w14:solidFill>
              <w14:schemeClr w14:val="tx1"/>
            </w14:solidFill>
          </w14:textFill>
        </w:rPr>
      </w:pPr>
      <w:r>
        <w:rPr>
          <w:rFonts w:eastAsia="Times New Roman"/>
          <w:b/>
          <w:bCs/>
          <w:color w:val="000000" w:themeColor="text1"/>
          <w:spacing w:val="-6"/>
          <w:sz w:val="24"/>
          <w:szCs w:val="24"/>
          <w:highlight w:val="none"/>
          <w14:textFill>
            <w14:solidFill>
              <w14:schemeClr w14:val="tx1"/>
            </w14:solidFill>
          </w14:textFill>
        </w:rPr>
        <w:t>15.6</w:t>
      </w:r>
      <w:r>
        <w:rPr>
          <w:rFonts w:eastAsia="Times New Roman"/>
          <w:b/>
          <w:bCs/>
          <w:color w:val="000000" w:themeColor="text1"/>
          <w:spacing w:val="11"/>
          <w:sz w:val="24"/>
          <w:szCs w:val="24"/>
          <w:highlight w:val="none"/>
          <w14:textFill>
            <w14:solidFill>
              <w14:schemeClr w14:val="tx1"/>
            </w14:solidFill>
          </w14:textFill>
        </w:rPr>
        <w:t xml:space="preserve">  </w:t>
      </w:r>
      <w:r>
        <w:rPr>
          <w:rFonts w:ascii="宋体" w:hAnsi="宋体" w:cs="宋体"/>
          <w:b/>
          <w:bCs/>
          <w:color w:val="000000" w:themeColor="text1"/>
          <w:spacing w:val="-6"/>
          <w:sz w:val="24"/>
          <w:szCs w:val="24"/>
          <w:highlight w:val="none"/>
          <w14:textFill>
            <w14:solidFill>
              <w14:schemeClr w14:val="tx1"/>
            </w14:solidFill>
          </w14:textFill>
        </w:rPr>
        <w:t>暂列金额</w:t>
      </w:r>
    </w:p>
    <w:p w14:paraId="36A02CE1">
      <w:pPr>
        <w:spacing w:before="126" w:line="263" w:lineRule="auto"/>
        <w:ind w:left="4" w:right="166" w:firstLine="494"/>
        <w:rPr>
          <w:rFonts w:ascii="宋体" w:hAnsi="宋体" w:cs="宋体"/>
          <w:color w:val="000000" w:themeColor="text1"/>
          <w:sz w:val="24"/>
          <w:szCs w:val="24"/>
          <w:highlight w:val="none"/>
          <w14:textFill>
            <w14:solidFill>
              <w14:schemeClr w14:val="tx1"/>
            </w14:solidFill>
          </w14:textFill>
        </w:rPr>
      </w:pPr>
      <w:r>
        <w:rPr>
          <w:rFonts w:eastAsia="Times New Roman"/>
          <w:color w:val="000000" w:themeColor="text1"/>
          <w:sz w:val="24"/>
          <w:szCs w:val="24"/>
          <w:highlight w:val="none"/>
          <w14:textFill>
            <w14:solidFill>
              <w14:schemeClr w14:val="tx1"/>
            </w14:solidFill>
          </w14:textFill>
        </w:rPr>
        <w:t xml:space="preserve">15.6.1  </w:t>
      </w:r>
      <w:r>
        <w:rPr>
          <w:rFonts w:ascii="宋体" w:hAnsi="宋体" w:cs="宋体"/>
          <w:color w:val="000000" w:themeColor="text1"/>
          <w:sz w:val="24"/>
          <w:szCs w:val="24"/>
          <w:highlight w:val="none"/>
          <w14:textFill>
            <w14:solidFill>
              <w14:schemeClr w14:val="tx1"/>
            </w14:solidFill>
          </w14:textFill>
        </w:rPr>
        <w:t>暂列金额应由咨询人报发包人批准后指令全部或部分地使用，或者根本</w:t>
      </w:r>
      <w:r>
        <w:rPr>
          <w:rFonts w:ascii="宋体" w:hAnsi="宋体" w:cs="宋体"/>
          <w:color w:val="000000" w:themeColor="text1"/>
          <w:spacing w:val="-3"/>
          <w:sz w:val="24"/>
          <w:szCs w:val="24"/>
          <w:highlight w:val="none"/>
          <w14:textFill>
            <w14:solidFill>
              <w14:schemeClr w14:val="tx1"/>
            </w14:solidFill>
          </w14:textFill>
        </w:rPr>
        <w:t>不予动用。</w:t>
      </w:r>
    </w:p>
    <w:p w14:paraId="11834ECD">
      <w:pPr>
        <w:spacing w:before="113" w:line="278" w:lineRule="auto"/>
        <w:ind w:right="166" w:firstLine="499"/>
        <w:rPr>
          <w:rFonts w:ascii="宋体" w:hAnsi="宋体" w:cs="宋体"/>
          <w:color w:val="000000" w:themeColor="text1"/>
          <w:sz w:val="24"/>
          <w:szCs w:val="24"/>
          <w:highlight w:val="none"/>
          <w14:textFill>
            <w14:solidFill>
              <w14:schemeClr w14:val="tx1"/>
            </w14:solidFill>
          </w14:textFill>
        </w:rPr>
      </w:pPr>
      <w:r>
        <w:rPr>
          <w:rFonts w:eastAsia="Times New Roman"/>
          <w:color w:val="000000" w:themeColor="text1"/>
          <w:sz w:val="24"/>
          <w:szCs w:val="24"/>
          <w:highlight w:val="none"/>
          <w14:textFill>
            <w14:solidFill>
              <w14:schemeClr w14:val="tx1"/>
            </w14:solidFill>
          </w14:textFill>
        </w:rPr>
        <w:t xml:space="preserve">15.6.2  </w:t>
      </w:r>
      <w:r>
        <w:rPr>
          <w:rFonts w:ascii="宋体" w:hAnsi="宋体" w:cs="宋体"/>
          <w:color w:val="000000" w:themeColor="text1"/>
          <w:sz w:val="24"/>
          <w:szCs w:val="24"/>
          <w:highlight w:val="none"/>
          <w14:textFill>
            <w14:solidFill>
              <w14:schemeClr w14:val="tx1"/>
            </w14:solidFill>
          </w14:textFill>
        </w:rPr>
        <w:t>对于经发包人批准的每一笔暂列金额，咨询人有权向承包人发出实施工</w:t>
      </w:r>
      <w:r>
        <w:rPr>
          <w:rFonts w:ascii="宋体" w:hAnsi="宋体" w:cs="宋体"/>
          <w:color w:val="000000" w:themeColor="text1"/>
          <w:spacing w:val="1"/>
          <w:sz w:val="24"/>
          <w:szCs w:val="24"/>
          <w:highlight w:val="none"/>
          <w14:textFill>
            <w14:solidFill>
              <w14:schemeClr w14:val="tx1"/>
            </w14:solidFill>
          </w14:textFill>
        </w:rPr>
        <w:t>程或提供材料、工程设备或服务的指令。这些指令应由</w:t>
      </w:r>
      <w:r>
        <w:rPr>
          <w:rFonts w:ascii="宋体" w:hAnsi="宋体" w:cs="宋体"/>
          <w:color w:val="000000" w:themeColor="text1"/>
          <w:sz w:val="24"/>
          <w:szCs w:val="24"/>
          <w:highlight w:val="none"/>
          <w14:textFill>
            <w14:solidFill>
              <w14:schemeClr w14:val="tx1"/>
            </w14:solidFill>
          </w14:textFill>
        </w:rPr>
        <w:t>承包人完成，咨询人应根据</w:t>
      </w:r>
      <w:r>
        <w:rPr>
          <w:rFonts w:ascii="宋体" w:hAnsi="宋体" w:cs="宋体"/>
          <w:color w:val="000000" w:themeColor="text1"/>
          <w:spacing w:val="-2"/>
          <w:sz w:val="24"/>
          <w:szCs w:val="24"/>
          <w:highlight w:val="none"/>
          <w14:textFill>
            <w14:solidFill>
              <w14:schemeClr w14:val="tx1"/>
            </w14:solidFill>
          </w14:textFill>
        </w:rPr>
        <w:t>第</w:t>
      </w:r>
      <w:r>
        <w:rPr>
          <w:rFonts w:ascii="宋体" w:hAnsi="宋体" w:cs="宋体"/>
          <w:color w:val="000000" w:themeColor="text1"/>
          <w:spacing w:val="-18"/>
          <w:sz w:val="24"/>
          <w:szCs w:val="24"/>
          <w:highlight w:val="none"/>
          <w14:textFill>
            <w14:solidFill>
              <w14:schemeClr w14:val="tx1"/>
            </w14:solidFill>
          </w14:textFill>
        </w:rPr>
        <w:t xml:space="preserve"> </w:t>
      </w:r>
      <w:r>
        <w:rPr>
          <w:rFonts w:eastAsia="Times New Roman"/>
          <w:color w:val="000000" w:themeColor="text1"/>
          <w:spacing w:val="-2"/>
          <w:sz w:val="24"/>
          <w:szCs w:val="24"/>
          <w:highlight w:val="none"/>
          <w14:textFill>
            <w14:solidFill>
              <w14:schemeClr w14:val="tx1"/>
            </w14:solidFill>
          </w14:textFill>
        </w:rPr>
        <w:t xml:space="preserve">15.4 </w:t>
      </w:r>
      <w:r>
        <w:rPr>
          <w:rFonts w:ascii="宋体" w:hAnsi="宋体" w:cs="宋体"/>
          <w:color w:val="000000" w:themeColor="text1"/>
          <w:spacing w:val="-2"/>
          <w:sz w:val="24"/>
          <w:szCs w:val="24"/>
          <w:highlight w:val="none"/>
          <w14:textFill>
            <w14:solidFill>
              <w14:schemeClr w14:val="tx1"/>
            </w14:solidFill>
          </w14:textFill>
        </w:rPr>
        <w:t>款约定的变更估价原则和第</w:t>
      </w:r>
      <w:r>
        <w:rPr>
          <w:rFonts w:ascii="宋体" w:hAnsi="宋体" w:cs="宋体"/>
          <w:color w:val="000000" w:themeColor="text1"/>
          <w:spacing w:val="-32"/>
          <w:sz w:val="24"/>
          <w:szCs w:val="24"/>
          <w:highlight w:val="none"/>
          <w14:textFill>
            <w14:solidFill>
              <w14:schemeClr w14:val="tx1"/>
            </w14:solidFill>
          </w14:textFill>
        </w:rPr>
        <w:t xml:space="preserve"> </w:t>
      </w:r>
      <w:r>
        <w:rPr>
          <w:rFonts w:eastAsia="Times New Roman"/>
          <w:color w:val="000000" w:themeColor="text1"/>
          <w:spacing w:val="-2"/>
          <w:sz w:val="24"/>
          <w:szCs w:val="24"/>
          <w:highlight w:val="none"/>
          <w14:textFill>
            <w14:solidFill>
              <w14:schemeClr w14:val="tx1"/>
            </w14:solidFill>
          </w14:textFill>
        </w:rPr>
        <w:t xml:space="preserve">15.7 </w:t>
      </w:r>
      <w:r>
        <w:rPr>
          <w:rFonts w:ascii="宋体" w:hAnsi="宋体" w:cs="宋体"/>
          <w:color w:val="000000" w:themeColor="text1"/>
          <w:spacing w:val="-2"/>
          <w:sz w:val="24"/>
          <w:szCs w:val="24"/>
          <w:highlight w:val="none"/>
          <w14:textFill>
            <w14:solidFill>
              <w14:schemeClr w14:val="tx1"/>
            </w14:solidFill>
          </w14:textFill>
        </w:rPr>
        <w:t>款的约定，对合同价格进行相应调整。</w:t>
      </w:r>
    </w:p>
    <w:p w14:paraId="7E486BB0">
      <w:pPr>
        <w:spacing w:before="116" w:line="278" w:lineRule="auto"/>
        <w:ind w:left="1" w:firstLine="497"/>
        <w:rPr>
          <w:rFonts w:ascii="宋体" w:hAnsi="宋体" w:cs="宋体"/>
          <w:color w:val="000000" w:themeColor="text1"/>
          <w:sz w:val="24"/>
          <w:szCs w:val="24"/>
          <w:highlight w:val="none"/>
          <w14:textFill>
            <w14:solidFill>
              <w14:schemeClr w14:val="tx1"/>
            </w14:solidFill>
          </w14:textFill>
        </w:rPr>
      </w:pPr>
      <w:r>
        <w:rPr>
          <w:rFonts w:eastAsia="Times New Roman"/>
          <w:color w:val="000000" w:themeColor="text1"/>
          <w:spacing w:val="-2"/>
          <w:sz w:val="24"/>
          <w:szCs w:val="24"/>
          <w:highlight w:val="none"/>
          <w14:textFill>
            <w14:solidFill>
              <w14:schemeClr w14:val="tx1"/>
            </w14:solidFill>
          </w14:textFill>
        </w:rPr>
        <w:t xml:space="preserve">15.6.3  </w:t>
      </w:r>
      <w:r>
        <w:rPr>
          <w:rFonts w:ascii="宋体" w:hAnsi="宋体" w:cs="宋体"/>
          <w:color w:val="000000" w:themeColor="text1"/>
          <w:spacing w:val="-2"/>
          <w:sz w:val="24"/>
          <w:szCs w:val="24"/>
          <w:highlight w:val="none"/>
          <w14:textFill>
            <w14:solidFill>
              <w14:schemeClr w14:val="tx1"/>
            </w14:solidFill>
          </w14:textFill>
        </w:rPr>
        <w:t>当咨询人提出要求时，承包人应提供有关暂列金额支出的所有价格清单、</w:t>
      </w:r>
      <w:r>
        <w:rPr>
          <w:rFonts w:ascii="宋体" w:hAnsi="宋体" w:cs="宋体"/>
          <w:color w:val="000000" w:themeColor="text1"/>
          <w:spacing w:val="1"/>
          <w:sz w:val="24"/>
          <w:szCs w:val="24"/>
          <w:highlight w:val="none"/>
          <w14:textFill>
            <w14:solidFill>
              <w14:schemeClr w14:val="tx1"/>
            </w14:solidFill>
          </w14:textFill>
        </w:rPr>
        <w:t>发票、凭证和账单或收据，除非该工作是根据已标价工</w:t>
      </w:r>
      <w:r>
        <w:rPr>
          <w:rFonts w:ascii="宋体" w:hAnsi="宋体" w:cs="宋体"/>
          <w:color w:val="000000" w:themeColor="text1"/>
          <w:sz w:val="24"/>
          <w:szCs w:val="24"/>
          <w:highlight w:val="none"/>
          <w14:textFill>
            <w14:solidFill>
              <w14:schemeClr w14:val="tx1"/>
            </w14:solidFill>
          </w14:textFill>
        </w:rPr>
        <w:t>程量清单列明的单价或总额</w:t>
      </w:r>
      <w:r>
        <w:rPr>
          <w:rFonts w:ascii="宋体" w:hAnsi="宋体" w:cs="宋体"/>
          <w:color w:val="000000" w:themeColor="text1"/>
          <w:spacing w:val="-2"/>
          <w:sz w:val="24"/>
          <w:szCs w:val="24"/>
          <w:highlight w:val="none"/>
          <w14:textFill>
            <w14:solidFill>
              <w14:schemeClr w14:val="tx1"/>
            </w14:solidFill>
          </w14:textFill>
        </w:rPr>
        <w:t>价进行的估价。</w:t>
      </w:r>
    </w:p>
    <w:p w14:paraId="27416A01">
      <w:pPr>
        <w:spacing w:before="107" w:line="221" w:lineRule="auto"/>
        <w:ind w:left="487"/>
        <w:outlineLvl w:val="3"/>
        <w:rPr>
          <w:rFonts w:ascii="宋体" w:hAnsi="宋体" w:cs="宋体"/>
          <w:color w:val="000000" w:themeColor="text1"/>
          <w:sz w:val="24"/>
          <w:szCs w:val="24"/>
          <w:highlight w:val="none"/>
          <w14:textFill>
            <w14:solidFill>
              <w14:schemeClr w14:val="tx1"/>
            </w14:solidFill>
          </w14:textFill>
        </w:rPr>
      </w:pPr>
      <w:r>
        <w:rPr>
          <w:rFonts w:eastAsia="Times New Roman"/>
          <w:b/>
          <w:bCs/>
          <w:color w:val="000000" w:themeColor="text1"/>
          <w:spacing w:val="-5"/>
          <w:sz w:val="24"/>
          <w:szCs w:val="24"/>
          <w:highlight w:val="none"/>
          <w14:textFill>
            <w14:solidFill>
              <w14:schemeClr w14:val="tx1"/>
            </w14:solidFill>
          </w14:textFill>
        </w:rPr>
        <w:t>15.7</w:t>
      </w:r>
      <w:r>
        <w:rPr>
          <w:rFonts w:eastAsia="Times New Roman"/>
          <w:b/>
          <w:bCs/>
          <w:color w:val="000000" w:themeColor="text1"/>
          <w:spacing w:val="6"/>
          <w:sz w:val="24"/>
          <w:szCs w:val="24"/>
          <w:highlight w:val="none"/>
          <w14:textFill>
            <w14:solidFill>
              <w14:schemeClr w14:val="tx1"/>
            </w14:solidFill>
          </w14:textFill>
        </w:rPr>
        <w:t xml:space="preserve">  </w:t>
      </w:r>
      <w:r>
        <w:rPr>
          <w:rFonts w:ascii="宋体" w:hAnsi="宋体" w:cs="宋体"/>
          <w:b/>
          <w:bCs/>
          <w:color w:val="000000" w:themeColor="text1"/>
          <w:spacing w:val="-5"/>
          <w:sz w:val="24"/>
          <w:szCs w:val="24"/>
          <w:highlight w:val="none"/>
          <w14:textFill>
            <w14:solidFill>
              <w14:schemeClr w14:val="tx1"/>
            </w14:solidFill>
          </w14:textFill>
        </w:rPr>
        <w:t>计日工</w:t>
      </w:r>
    </w:p>
    <w:p w14:paraId="74958487">
      <w:pPr>
        <w:spacing w:before="124" w:line="262" w:lineRule="auto"/>
        <w:ind w:left="3" w:right="166" w:firstLine="495"/>
        <w:rPr>
          <w:rFonts w:ascii="宋体" w:hAnsi="宋体" w:cs="宋体"/>
          <w:color w:val="000000" w:themeColor="text1"/>
          <w:sz w:val="24"/>
          <w:szCs w:val="24"/>
          <w:highlight w:val="none"/>
          <w14:textFill>
            <w14:solidFill>
              <w14:schemeClr w14:val="tx1"/>
            </w14:solidFill>
          </w14:textFill>
        </w:rPr>
      </w:pPr>
      <w:r>
        <w:rPr>
          <w:rFonts w:eastAsia="Times New Roman"/>
          <w:color w:val="000000" w:themeColor="text1"/>
          <w:sz w:val="24"/>
          <w:szCs w:val="24"/>
          <w:highlight w:val="none"/>
          <w14:textFill>
            <w14:solidFill>
              <w14:schemeClr w14:val="tx1"/>
            </w14:solidFill>
          </w14:textFill>
        </w:rPr>
        <w:t xml:space="preserve">15.7.1  </w:t>
      </w:r>
      <w:r>
        <w:rPr>
          <w:rFonts w:ascii="宋体" w:hAnsi="宋体" w:cs="宋体"/>
          <w:color w:val="000000" w:themeColor="text1"/>
          <w:sz w:val="24"/>
          <w:szCs w:val="24"/>
          <w:highlight w:val="none"/>
          <w14:textFill>
            <w14:solidFill>
              <w14:schemeClr w14:val="tx1"/>
            </w14:solidFill>
          </w14:textFill>
        </w:rPr>
        <w:t>发包人认为有必要时，由咨询人通知承包人以计日工方式实施变更的零星工作。其价款按列入已标价工程量清单中的计日</w:t>
      </w:r>
      <w:r>
        <w:rPr>
          <w:rFonts w:ascii="宋体" w:hAnsi="宋体" w:cs="宋体"/>
          <w:color w:val="000000" w:themeColor="text1"/>
          <w:spacing w:val="-1"/>
          <w:sz w:val="24"/>
          <w:szCs w:val="24"/>
          <w:highlight w:val="none"/>
          <w14:textFill>
            <w14:solidFill>
              <w14:schemeClr w14:val="tx1"/>
            </w14:solidFill>
          </w14:textFill>
        </w:rPr>
        <w:t>工计价子目及其单价进行计算。</w:t>
      </w:r>
    </w:p>
    <w:p w14:paraId="2A3E6EF5">
      <w:pPr>
        <w:spacing w:before="117" w:line="264" w:lineRule="auto"/>
        <w:ind w:right="166" w:firstLine="499"/>
        <w:rPr>
          <w:rFonts w:ascii="宋体" w:hAnsi="宋体" w:cs="宋体"/>
          <w:color w:val="000000" w:themeColor="text1"/>
          <w:sz w:val="24"/>
          <w:szCs w:val="24"/>
          <w:highlight w:val="none"/>
          <w14:textFill>
            <w14:solidFill>
              <w14:schemeClr w14:val="tx1"/>
            </w14:solidFill>
          </w14:textFill>
        </w:rPr>
      </w:pPr>
      <w:r>
        <w:rPr>
          <w:rFonts w:eastAsia="Times New Roman"/>
          <w:color w:val="000000" w:themeColor="text1"/>
          <w:sz w:val="24"/>
          <w:szCs w:val="24"/>
          <w:highlight w:val="none"/>
          <w14:textFill>
            <w14:solidFill>
              <w14:schemeClr w14:val="tx1"/>
            </w14:solidFill>
          </w14:textFill>
        </w:rPr>
        <w:t xml:space="preserve">15.7.2  </w:t>
      </w:r>
      <w:r>
        <w:rPr>
          <w:rFonts w:ascii="宋体" w:hAnsi="宋体" w:cs="宋体"/>
          <w:color w:val="000000" w:themeColor="text1"/>
          <w:sz w:val="24"/>
          <w:szCs w:val="24"/>
          <w:highlight w:val="none"/>
          <w14:textFill>
            <w14:solidFill>
              <w14:schemeClr w14:val="tx1"/>
            </w14:solidFill>
          </w14:textFill>
        </w:rPr>
        <w:t>采用计日工计价的任何一项变更工作，应从暂列金额中支付，承包人应在该项变更的实施过程中，每天提交以下报表和有关</w:t>
      </w:r>
      <w:r>
        <w:rPr>
          <w:rFonts w:ascii="宋体" w:hAnsi="宋体" w:cs="宋体"/>
          <w:color w:val="000000" w:themeColor="text1"/>
          <w:spacing w:val="-1"/>
          <w:sz w:val="24"/>
          <w:szCs w:val="24"/>
          <w:highlight w:val="none"/>
          <w14:textFill>
            <w14:solidFill>
              <w14:schemeClr w14:val="tx1"/>
            </w14:solidFill>
          </w14:textFill>
        </w:rPr>
        <w:t>凭证报送咨询人审批：</w:t>
      </w:r>
    </w:p>
    <w:p w14:paraId="45DE8289">
      <w:pPr>
        <w:spacing w:before="114" w:line="219" w:lineRule="auto"/>
        <w:ind w:left="492"/>
        <w:rPr>
          <w:rFonts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pacing w:val="-2"/>
          <w:sz w:val="24"/>
          <w:szCs w:val="24"/>
          <w:highlight w:val="none"/>
          <w14:textFill>
            <w14:solidFill>
              <w14:schemeClr w14:val="tx1"/>
            </w14:solidFill>
          </w14:textFill>
        </w:rPr>
        <w:t>（</w:t>
      </w:r>
      <w:r>
        <w:rPr>
          <w:rFonts w:eastAsia="Times New Roman"/>
          <w:color w:val="000000" w:themeColor="text1"/>
          <w:spacing w:val="-2"/>
          <w:sz w:val="24"/>
          <w:szCs w:val="24"/>
          <w:highlight w:val="none"/>
          <w14:textFill>
            <w14:solidFill>
              <w14:schemeClr w14:val="tx1"/>
            </w14:solidFill>
          </w14:textFill>
        </w:rPr>
        <w:t>1</w:t>
      </w:r>
      <w:r>
        <w:rPr>
          <w:rFonts w:ascii="宋体" w:hAnsi="宋体" w:cs="宋体"/>
          <w:color w:val="000000" w:themeColor="text1"/>
          <w:spacing w:val="-2"/>
          <w:sz w:val="24"/>
          <w:szCs w:val="24"/>
          <w:highlight w:val="none"/>
          <w14:textFill>
            <w14:solidFill>
              <w14:schemeClr w14:val="tx1"/>
            </w14:solidFill>
          </w14:textFill>
        </w:rPr>
        <w:t>）工作名称、内容和数量；</w:t>
      </w:r>
    </w:p>
    <w:p w14:paraId="7228F7E9">
      <w:pPr>
        <w:spacing w:before="116" w:line="219" w:lineRule="auto"/>
        <w:ind w:left="492"/>
        <w:rPr>
          <w:rFonts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pacing w:val="-1"/>
          <w:sz w:val="24"/>
          <w:szCs w:val="24"/>
          <w:highlight w:val="none"/>
          <w14:textFill>
            <w14:solidFill>
              <w14:schemeClr w14:val="tx1"/>
            </w14:solidFill>
          </w14:textFill>
        </w:rPr>
        <w:t>（</w:t>
      </w:r>
      <w:r>
        <w:rPr>
          <w:rFonts w:eastAsia="Times New Roman"/>
          <w:color w:val="000000" w:themeColor="text1"/>
          <w:spacing w:val="-1"/>
          <w:sz w:val="24"/>
          <w:szCs w:val="24"/>
          <w:highlight w:val="none"/>
          <w14:textFill>
            <w14:solidFill>
              <w14:schemeClr w14:val="tx1"/>
            </w14:solidFill>
          </w14:textFill>
        </w:rPr>
        <w:t>2</w:t>
      </w:r>
      <w:r>
        <w:rPr>
          <w:rFonts w:ascii="宋体" w:hAnsi="宋体" w:cs="宋体"/>
          <w:color w:val="000000" w:themeColor="text1"/>
          <w:spacing w:val="-1"/>
          <w:sz w:val="24"/>
          <w:szCs w:val="24"/>
          <w:highlight w:val="none"/>
          <w14:textFill>
            <w14:solidFill>
              <w14:schemeClr w14:val="tx1"/>
            </w14:solidFill>
          </w14:textFill>
        </w:rPr>
        <w:t>）投入该工作所有人员的姓名、工种、级别和耗用工时；</w:t>
      </w:r>
    </w:p>
    <w:p w14:paraId="5E067FD2">
      <w:pPr>
        <w:spacing w:before="78" w:line="219" w:lineRule="auto"/>
        <w:ind w:left="492"/>
        <w:rPr>
          <w:rFonts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pacing w:val="-2"/>
          <w:sz w:val="24"/>
          <w:szCs w:val="24"/>
          <w:highlight w:val="none"/>
          <w14:textFill>
            <w14:solidFill>
              <w14:schemeClr w14:val="tx1"/>
            </w14:solidFill>
          </w14:textFill>
        </w:rPr>
        <w:t>（</w:t>
      </w:r>
      <w:r>
        <w:rPr>
          <w:rFonts w:eastAsia="Times New Roman"/>
          <w:color w:val="000000" w:themeColor="text1"/>
          <w:spacing w:val="-2"/>
          <w:sz w:val="24"/>
          <w:szCs w:val="24"/>
          <w:highlight w:val="none"/>
          <w14:textFill>
            <w14:solidFill>
              <w14:schemeClr w14:val="tx1"/>
            </w14:solidFill>
          </w14:textFill>
        </w:rPr>
        <w:t>3</w:t>
      </w:r>
      <w:r>
        <w:rPr>
          <w:rFonts w:ascii="宋体" w:hAnsi="宋体" w:cs="宋体"/>
          <w:color w:val="000000" w:themeColor="text1"/>
          <w:spacing w:val="-2"/>
          <w:sz w:val="24"/>
          <w:szCs w:val="24"/>
          <w:highlight w:val="none"/>
          <w14:textFill>
            <w14:solidFill>
              <w14:schemeClr w14:val="tx1"/>
            </w14:solidFill>
          </w14:textFill>
        </w:rPr>
        <w:t>）投入该工作的材料类别和数量；</w:t>
      </w:r>
    </w:p>
    <w:p w14:paraId="2E6CA7A0">
      <w:pPr>
        <w:spacing w:before="117" w:line="219" w:lineRule="auto"/>
        <w:ind w:left="492"/>
        <w:rPr>
          <w:rFonts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pacing w:val="-1"/>
          <w:sz w:val="24"/>
          <w:szCs w:val="24"/>
          <w:highlight w:val="none"/>
          <w14:textFill>
            <w14:solidFill>
              <w14:schemeClr w14:val="tx1"/>
            </w14:solidFill>
          </w14:textFill>
        </w:rPr>
        <w:t>（</w:t>
      </w:r>
      <w:r>
        <w:rPr>
          <w:rFonts w:eastAsia="Times New Roman"/>
          <w:color w:val="000000" w:themeColor="text1"/>
          <w:spacing w:val="-1"/>
          <w:sz w:val="24"/>
          <w:szCs w:val="24"/>
          <w:highlight w:val="none"/>
          <w14:textFill>
            <w14:solidFill>
              <w14:schemeClr w14:val="tx1"/>
            </w14:solidFill>
          </w14:textFill>
        </w:rPr>
        <w:t>4</w:t>
      </w:r>
      <w:r>
        <w:rPr>
          <w:rFonts w:ascii="宋体" w:hAnsi="宋体" w:cs="宋体"/>
          <w:color w:val="000000" w:themeColor="text1"/>
          <w:spacing w:val="-1"/>
          <w:sz w:val="24"/>
          <w:szCs w:val="24"/>
          <w:highlight w:val="none"/>
          <w14:textFill>
            <w14:solidFill>
              <w14:schemeClr w14:val="tx1"/>
            </w14:solidFill>
          </w14:textFill>
        </w:rPr>
        <w:t>）投入该工作的养护作业设备型号、台数和耗用台时；</w:t>
      </w:r>
    </w:p>
    <w:p w14:paraId="71212F7C">
      <w:pPr>
        <w:spacing w:before="113" w:line="219" w:lineRule="auto"/>
        <w:ind w:left="492"/>
        <w:rPr>
          <w:rFonts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pacing w:val="-2"/>
          <w:sz w:val="24"/>
          <w:szCs w:val="24"/>
          <w:highlight w:val="none"/>
          <w14:textFill>
            <w14:solidFill>
              <w14:schemeClr w14:val="tx1"/>
            </w14:solidFill>
          </w14:textFill>
        </w:rPr>
        <w:t>（</w:t>
      </w:r>
      <w:r>
        <w:rPr>
          <w:rFonts w:eastAsia="Times New Roman"/>
          <w:color w:val="000000" w:themeColor="text1"/>
          <w:spacing w:val="-2"/>
          <w:sz w:val="24"/>
          <w:szCs w:val="24"/>
          <w:highlight w:val="none"/>
          <w14:textFill>
            <w14:solidFill>
              <w14:schemeClr w14:val="tx1"/>
            </w14:solidFill>
          </w14:textFill>
        </w:rPr>
        <w:t>5</w:t>
      </w:r>
      <w:r>
        <w:rPr>
          <w:rFonts w:ascii="宋体" w:hAnsi="宋体" w:cs="宋体"/>
          <w:color w:val="000000" w:themeColor="text1"/>
          <w:spacing w:val="-2"/>
          <w:sz w:val="24"/>
          <w:szCs w:val="24"/>
          <w:highlight w:val="none"/>
          <w14:textFill>
            <w14:solidFill>
              <w14:schemeClr w14:val="tx1"/>
            </w14:solidFill>
          </w14:textFill>
        </w:rPr>
        <w:t>）咨询人要求提交的其他资料和凭证。</w:t>
      </w:r>
    </w:p>
    <w:p w14:paraId="24A51087">
      <w:pPr>
        <w:spacing w:before="114" w:line="304" w:lineRule="auto"/>
        <w:ind w:left="10" w:right="2" w:firstLine="489"/>
        <w:rPr>
          <w:rFonts w:ascii="宋体" w:hAnsi="宋体" w:cs="宋体"/>
          <w:color w:val="000000" w:themeColor="text1"/>
          <w:sz w:val="24"/>
          <w:szCs w:val="24"/>
          <w:highlight w:val="none"/>
          <w14:textFill>
            <w14:solidFill>
              <w14:schemeClr w14:val="tx1"/>
            </w14:solidFill>
          </w14:textFill>
        </w:rPr>
      </w:pPr>
      <w:r>
        <w:rPr>
          <w:rFonts w:eastAsia="Times New Roman"/>
          <w:color w:val="000000" w:themeColor="text1"/>
          <w:spacing w:val="-1"/>
          <w:sz w:val="24"/>
          <w:szCs w:val="24"/>
          <w:highlight w:val="none"/>
          <w14:textFill>
            <w14:solidFill>
              <w14:schemeClr w14:val="tx1"/>
            </w14:solidFill>
          </w14:textFill>
        </w:rPr>
        <w:t xml:space="preserve">15.7.3  </w:t>
      </w:r>
      <w:r>
        <w:rPr>
          <w:rFonts w:ascii="宋体" w:hAnsi="宋体" w:cs="宋体"/>
          <w:color w:val="000000" w:themeColor="text1"/>
          <w:spacing w:val="-1"/>
          <w:sz w:val="24"/>
          <w:szCs w:val="24"/>
          <w:highlight w:val="none"/>
          <w14:textFill>
            <w14:solidFill>
              <w14:schemeClr w14:val="tx1"/>
            </w14:solidFill>
          </w14:textFill>
        </w:rPr>
        <w:t>计日工由承包人汇总后，按第</w:t>
      </w:r>
      <w:r>
        <w:rPr>
          <w:rFonts w:ascii="宋体" w:hAnsi="宋体" w:cs="宋体"/>
          <w:color w:val="000000" w:themeColor="text1"/>
          <w:spacing w:val="-13"/>
          <w:sz w:val="24"/>
          <w:szCs w:val="24"/>
          <w:highlight w:val="none"/>
          <w14:textFill>
            <w14:solidFill>
              <w14:schemeClr w14:val="tx1"/>
            </w14:solidFill>
          </w14:textFill>
        </w:rPr>
        <w:t xml:space="preserve"> </w:t>
      </w:r>
      <w:r>
        <w:rPr>
          <w:rFonts w:eastAsia="Times New Roman"/>
          <w:color w:val="000000" w:themeColor="text1"/>
          <w:spacing w:val="-1"/>
          <w:sz w:val="24"/>
          <w:szCs w:val="24"/>
          <w:highlight w:val="none"/>
          <w14:textFill>
            <w14:solidFill>
              <w14:schemeClr w14:val="tx1"/>
            </w14:solidFill>
          </w14:textFill>
        </w:rPr>
        <w:t xml:space="preserve">17.3.2 </w:t>
      </w:r>
      <w:r>
        <w:rPr>
          <w:rFonts w:ascii="宋体" w:hAnsi="宋体" w:cs="宋体"/>
          <w:color w:val="000000" w:themeColor="text1"/>
          <w:spacing w:val="-1"/>
          <w:sz w:val="24"/>
          <w:szCs w:val="24"/>
          <w:highlight w:val="none"/>
          <w14:textFill>
            <w14:solidFill>
              <w14:schemeClr w14:val="tx1"/>
            </w14:solidFill>
          </w14:textFill>
        </w:rPr>
        <w:t>项的约定列入进度付款申请单，由咨询人复核并经发包人同意后列入进度付款。</w:t>
      </w:r>
    </w:p>
    <w:p w14:paraId="386B8768">
      <w:pPr>
        <w:spacing w:before="1" w:line="217" w:lineRule="auto"/>
        <w:ind w:left="487"/>
        <w:outlineLvl w:val="3"/>
        <w:rPr>
          <w:rFonts w:ascii="宋体" w:hAnsi="宋体" w:cs="宋体"/>
          <w:color w:val="000000" w:themeColor="text1"/>
          <w:sz w:val="24"/>
          <w:szCs w:val="24"/>
          <w:highlight w:val="none"/>
          <w14:textFill>
            <w14:solidFill>
              <w14:schemeClr w14:val="tx1"/>
            </w14:solidFill>
          </w14:textFill>
        </w:rPr>
      </w:pPr>
      <w:r>
        <w:rPr>
          <w:rFonts w:eastAsia="Times New Roman"/>
          <w:b/>
          <w:bCs/>
          <w:color w:val="000000" w:themeColor="text1"/>
          <w:spacing w:val="-6"/>
          <w:sz w:val="24"/>
          <w:szCs w:val="24"/>
          <w:highlight w:val="none"/>
          <w14:textFill>
            <w14:solidFill>
              <w14:schemeClr w14:val="tx1"/>
            </w14:solidFill>
          </w14:textFill>
        </w:rPr>
        <w:t>15.8</w:t>
      </w:r>
      <w:r>
        <w:rPr>
          <w:rFonts w:eastAsia="Times New Roman"/>
          <w:b/>
          <w:bCs/>
          <w:color w:val="000000" w:themeColor="text1"/>
          <w:spacing w:val="19"/>
          <w:w w:val="101"/>
          <w:sz w:val="24"/>
          <w:szCs w:val="24"/>
          <w:highlight w:val="none"/>
          <w14:textFill>
            <w14:solidFill>
              <w14:schemeClr w14:val="tx1"/>
            </w14:solidFill>
          </w14:textFill>
        </w:rPr>
        <w:t xml:space="preserve"> </w:t>
      </w:r>
      <w:r>
        <w:rPr>
          <w:rFonts w:ascii="宋体" w:hAnsi="宋体" w:cs="宋体"/>
          <w:b/>
          <w:bCs/>
          <w:color w:val="000000" w:themeColor="text1"/>
          <w:spacing w:val="-6"/>
          <w:sz w:val="24"/>
          <w:szCs w:val="24"/>
          <w:highlight w:val="none"/>
          <w14:textFill>
            <w14:solidFill>
              <w14:schemeClr w14:val="tx1"/>
            </w14:solidFill>
          </w14:textFill>
        </w:rPr>
        <w:t>暂估价</w:t>
      </w:r>
    </w:p>
    <w:p w14:paraId="2054B562">
      <w:pPr>
        <w:spacing w:before="129" w:line="308" w:lineRule="auto"/>
        <w:ind w:firstLine="483"/>
        <w:rPr>
          <w:rFonts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pacing w:val="1"/>
          <w:sz w:val="24"/>
          <w:szCs w:val="24"/>
          <w:highlight w:val="none"/>
          <w14:textFill>
            <w14:solidFill>
              <w14:schemeClr w14:val="tx1"/>
            </w14:solidFill>
          </w14:textFill>
        </w:rPr>
        <w:t>发包人在工程量清单中给定暂估价的工程、材料</w:t>
      </w:r>
      <w:r>
        <w:rPr>
          <w:rFonts w:ascii="宋体" w:hAnsi="宋体" w:cs="宋体"/>
          <w:color w:val="000000" w:themeColor="text1"/>
          <w:sz w:val="24"/>
          <w:szCs w:val="24"/>
          <w:highlight w:val="none"/>
          <w14:textFill>
            <w14:solidFill>
              <w14:schemeClr w14:val="tx1"/>
            </w14:solidFill>
          </w14:textFill>
        </w:rPr>
        <w:t>、工程设备、服务，应按照专</w:t>
      </w:r>
      <w:r>
        <w:rPr>
          <w:rFonts w:ascii="宋体" w:hAnsi="宋体" w:cs="宋体"/>
          <w:color w:val="000000" w:themeColor="text1"/>
          <w:spacing w:val="4"/>
          <w:sz w:val="24"/>
          <w:szCs w:val="24"/>
          <w:highlight w:val="none"/>
          <w14:textFill>
            <w14:solidFill>
              <w14:schemeClr w14:val="tx1"/>
            </w14:solidFill>
          </w14:textFill>
        </w:rPr>
        <w:t>用合同条款的约定确定实施主体，并由咨询人按照第</w:t>
      </w:r>
      <w:r>
        <w:rPr>
          <w:rFonts w:ascii="宋体" w:hAnsi="宋体" w:cs="宋体"/>
          <w:color w:val="000000" w:themeColor="text1"/>
          <w:spacing w:val="-23"/>
          <w:sz w:val="24"/>
          <w:szCs w:val="24"/>
          <w:highlight w:val="none"/>
          <w14:textFill>
            <w14:solidFill>
              <w14:schemeClr w14:val="tx1"/>
            </w14:solidFill>
          </w14:textFill>
        </w:rPr>
        <w:t xml:space="preserve"> </w:t>
      </w:r>
      <w:r>
        <w:rPr>
          <w:rFonts w:eastAsia="Times New Roman"/>
          <w:color w:val="000000" w:themeColor="text1"/>
          <w:spacing w:val="4"/>
          <w:sz w:val="24"/>
          <w:szCs w:val="24"/>
          <w:highlight w:val="none"/>
          <w14:textFill>
            <w14:solidFill>
              <w14:schemeClr w14:val="tx1"/>
            </w14:solidFill>
          </w14:textFill>
        </w:rPr>
        <w:t>15.4</w:t>
      </w:r>
      <w:r>
        <w:rPr>
          <w:rFonts w:eastAsia="Times New Roman"/>
          <w:color w:val="000000" w:themeColor="text1"/>
          <w:spacing w:val="18"/>
          <w:sz w:val="24"/>
          <w:szCs w:val="24"/>
          <w:highlight w:val="none"/>
          <w14:textFill>
            <w14:solidFill>
              <w14:schemeClr w14:val="tx1"/>
            </w14:solidFill>
          </w14:textFill>
        </w:rPr>
        <w:t xml:space="preserve"> </w:t>
      </w:r>
      <w:r>
        <w:rPr>
          <w:rFonts w:ascii="宋体" w:hAnsi="宋体" w:cs="宋体"/>
          <w:color w:val="000000" w:themeColor="text1"/>
          <w:spacing w:val="4"/>
          <w:sz w:val="24"/>
          <w:szCs w:val="24"/>
          <w:highlight w:val="none"/>
          <w14:textFill>
            <w14:solidFill>
              <w14:schemeClr w14:val="tx1"/>
            </w14:solidFill>
          </w14:textFill>
        </w:rPr>
        <w:t>款进行估价。经估价的</w:t>
      </w:r>
      <w:r>
        <w:rPr>
          <w:rFonts w:ascii="宋体" w:hAnsi="宋体" w:cs="宋体"/>
          <w:color w:val="000000" w:themeColor="text1"/>
          <w:spacing w:val="1"/>
          <w:sz w:val="24"/>
          <w:szCs w:val="24"/>
          <w:highlight w:val="none"/>
          <w14:textFill>
            <w14:solidFill>
              <w14:schemeClr w14:val="tx1"/>
            </w14:solidFill>
          </w14:textFill>
        </w:rPr>
        <w:t>工程、材料、工程设备、服务的价格与工程量清单中所列</w:t>
      </w:r>
      <w:r>
        <w:rPr>
          <w:rFonts w:ascii="宋体" w:hAnsi="宋体" w:cs="宋体"/>
          <w:color w:val="000000" w:themeColor="text1"/>
          <w:sz w:val="24"/>
          <w:szCs w:val="24"/>
          <w:highlight w:val="none"/>
          <w14:textFill>
            <w14:solidFill>
              <w14:schemeClr w14:val="tx1"/>
            </w14:solidFill>
          </w14:textFill>
        </w:rPr>
        <w:t>的暂估价的金额差以及相</w:t>
      </w:r>
      <w:r>
        <w:rPr>
          <w:rFonts w:ascii="宋体" w:hAnsi="宋体" w:cs="宋体"/>
          <w:color w:val="000000" w:themeColor="text1"/>
          <w:spacing w:val="-1"/>
          <w:sz w:val="24"/>
          <w:szCs w:val="24"/>
          <w:highlight w:val="none"/>
          <w14:textFill>
            <w14:solidFill>
              <w14:schemeClr w14:val="tx1"/>
            </w14:solidFill>
          </w14:textFill>
        </w:rPr>
        <w:t>应的税金等其他费用列入合同价格。</w:t>
      </w:r>
    </w:p>
    <w:p w14:paraId="199F221F">
      <w:pPr>
        <w:spacing w:before="306" w:line="218" w:lineRule="auto"/>
        <w:ind w:left="487"/>
        <w:outlineLvl w:val="2"/>
        <w:rPr>
          <w:rFonts w:ascii="宋体" w:hAnsi="宋体" w:cs="宋体"/>
          <w:color w:val="000000" w:themeColor="text1"/>
          <w:sz w:val="24"/>
          <w:szCs w:val="24"/>
          <w:highlight w:val="none"/>
          <w14:textFill>
            <w14:solidFill>
              <w14:schemeClr w14:val="tx1"/>
            </w14:solidFill>
          </w14:textFill>
        </w:rPr>
      </w:pPr>
      <w:bookmarkStart w:id="154" w:name="bookmark38"/>
      <w:bookmarkEnd w:id="154"/>
      <w:bookmarkStart w:id="155" w:name="bookmark37"/>
      <w:bookmarkEnd w:id="155"/>
      <w:bookmarkStart w:id="156" w:name="_Toc32126"/>
      <w:r>
        <w:rPr>
          <w:rFonts w:eastAsia="Times New Roman"/>
          <w:b/>
          <w:bCs/>
          <w:color w:val="000000" w:themeColor="text1"/>
          <w:spacing w:val="-5"/>
          <w:sz w:val="24"/>
          <w:szCs w:val="24"/>
          <w:highlight w:val="none"/>
          <w14:textFill>
            <w14:solidFill>
              <w14:schemeClr w14:val="tx1"/>
            </w14:solidFill>
          </w14:textFill>
        </w:rPr>
        <w:t>16.</w:t>
      </w:r>
      <w:r>
        <w:rPr>
          <w:rFonts w:eastAsia="Times New Roman"/>
          <w:b/>
          <w:bCs/>
          <w:color w:val="000000" w:themeColor="text1"/>
          <w:spacing w:val="5"/>
          <w:sz w:val="24"/>
          <w:szCs w:val="24"/>
          <w:highlight w:val="none"/>
          <w14:textFill>
            <w14:solidFill>
              <w14:schemeClr w14:val="tx1"/>
            </w14:solidFill>
          </w14:textFill>
        </w:rPr>
        <w:t xml:space="preserve">  </w:t>
      </w:r>
      <w:r>
        <w:rPr>
          <w:rFonts w:ascii="宋体" w:hAnsi="宋体" w:cs="宋体"/>
          <w:b/>
          <w:bCs/>
          <w:color w:val="000000" w:themeColor="text1"/>
          <w:spacing w:val="-5"/>
          <w:sz w:val="24"/>
          <w:szCs w:val="24"/>
          <w:highlight w:val="none"/>
          <w14:textFill>
            <w14:solidFill>
              <w14:schemeClr w14:val="tx1"/>
            </w14:solidFill>
          </w14:textFill>
        </w:rPr>
        <w:t>价格调整</w:t>
      </w:r>
      <w:bookmarkEnd w:id="156"/>
    </w:p>
    <w:p w14:paraId="0537AAA0">
      <w:pPr>
        <w:spacing w:before="262" w:line="218" w:lineRule="auto"/>
        <w:ind w:left="487"/>
        <w:outlineLvl w:val="3"/>
        <w:rPr>
          <w:rFonts w:ascii="宋体" w:hAnsi="宋体" w:cs="宋体"/>
          <w:color w:val="000000" w:themeColor="text1"/>
          <w:sz w:val="24"/>
          <w:szCs w:val="24"/>
          <w:highlight w:val="none"/>
          <w14:textFill>
            <w14:solidFill>
              <w14:schemeClr w14:val="tx1"/>
            </w14:solidFill>
          </w14:textFill>
        </w:rPr>
      </w:pPr>
      <w:r>
        <w:rPr>
          <w:rFonts w:eastAsia="Times New Roman"/>
          <w:b/>
          <w:bCs/>
          <w:color w:val="000000" w:themeColor="text1"/>
          <w:spacing w:val="-2"/>
          <w:sz w:val="24"/>
          <w:szCs w:val="24"/>
          <w:highlight w:val="none"/>
          <w14:textFill>
            <w14:solidFill>
              <w14:schemeClr w14:val="tx1"/>
            </w14:solidFill>
          </w14:textFill>
        </w:rPr>
        <w:t xml:space="preserve">16.1  </w:t>
      </w:r>
      <w:r>
        <w:rPr>
          <w:rFonts w:ascii="宋体" w:hAnsi="宋体" w:cs="宋体"/>
          <w:b/>
          <w:bCs/>
          <w:color w:val="000000" w:themeColor="text1"/>
          <w:spacing w:val="-2"/>
          <w:sz w:val="24"/>
          <w:szCs w:val="24"/>
          <w:highlight w:val="none"/>
          <w14:textFill>
            <w14:solidFill>
              <w14:schemeClr w14:val="tx1"/>
            </w14:solidFill>
          </w14:textFill>
        </w:rPr>
        <w:t>物价波动引起的价格调整</w:t>
      </w:r>
    </w:p>
    <w:p w14:paraId="7C3D001F">
      <w:pPr>
        <w:spacing w:before="127" w:line="218" w:lineRule="auto"/>
        <w:ind w:left="499"/>
        <w:rPr>
          <w:rFonts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pacing w:val="-1"/>
          <w:sz w:val="24"/>
          <w:szCs w:val="24"/>
          <w:highlight w:val="none"/>
          <w14:textFill>
            <w14:solidFill>
              <w14:schemeClr w14:val="tx1"/>
            </w14:solidFill>
          </w14:textFill>
        </w:rPr>
        <w:t>因物价波动引起的价格调整按照专用合同条款约定的原则处</w:t>
      </w:r>
      <w:r>
        <w:rPr>
          <w:rFonts w:ascii="宋体" w:hAnsi="宋体" w:cs="宋体"/>
          <w:color w:val="000000" w:themeColor="text1"/>
          <w:spacing w:val="-2"/>
          <w:sz w:val="24"/>
          <w:szCs w:val="24"/>
          <w:highlight w:val="none"/>
          <w14:textFill>
            <w14:solidFill>
              <w14:schemeClr w14:val="tx1"/>
            </w14:solidFill>
          </w14:textFill>
        </w:rPr>
        <w:t>理。</w:t>
      </w:r>
    </w:p>
    <w:p w14:paraId="357497FE">
      <w:pPr>
        <w:spacing w:before="117" w:line="218" w:lineRule="auto"/>
        <w:ind w:left="499"/>
        <w:rPr>
          <w:rFonts w:ascii="宋体" w:hAnsi="宋体" w:cs="宋体"/>
          <w:color w:val="000000" w:themeColor="text1"/>
          <w:sz w:val="24"/>
          <w:szCs w:val="24"/>
          <w:highlight w:val="none"/>
          <w14:textFill>
            <w14:solidFill>
              <w14:schemeClr w14:val="tx1"/>
            </w14:solidFill>
          </w14:textFill>
        </w:rPr>
      </w:pPr>
      <w:r>
        <w:rPr>
          <w:rFonts w:eastAsia="Times New Roman"/>
          <w:color w:val="000000" w:themeColor="text1"/>
          <w:spacing w:val="-2"/>
          <w:sz w:val="24"/>
          <w:szCs w:val="24"/>
          <w:highlight w:val="none"/>
          <w14:textFill>
            <w14:solidFill>
              <w14:schemeClr w14:val="tx1"/>
            </w14:solidFill>
          </w14:textFill>
        </w:rPr>
        <w:t xml:space="preserve">16.1.1  </w:t>
      </w:r>
      <w:r>
        <w:rPr>
          <w:rFonts w:ascii="宋体" w:hAnsi="宋体" w:cs="宋体"/>
          <w:color w:val="000000" w:themeColor="text1"/>
          <w:spacing w:val="-2"/>
          <w:sz w:val="24"/>
          <w:szCs w:val="24"/>
          <w:highlight w:val="none"/>
          <w14:textFill>
            <w14:solidFill>
              <w14:schemeClr w14:val="tx1"/>
            </w14:solidFill>
          </w14:textFill>
        </w:rPr>
        <w:t>采用造价信息调整价格差额</w:t>
      </w:r>
    </w:p>
    <w:p w14:paraId="7FD81A7C">
      <w:pPr>
        <w:spacing w:before="119" w:line="307" w:lineRule="auto"/>
        <w:ind w:firstLine="479"/>
        <w:rPr>
          <w:rFonts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pacing w:val="1"/>
          <w:sz w:val="24"/>
          <w:szCs w:val="24"/>
          <w:highlight w:val="none"/>
          <w14:textFill>
            <w14:solidFill>
              <w14:schemeClr w14:val="tx1"/>
            </w14:solidFill>
          </w14:textFill>
        </w:rPr>
        <w:t>在合同履行过程中，因材料价格波动影响合同价格时，按照</w:t>
      </w:r>
      <w:r>
        <w:rPr>
          <w:rFonts w:ascii="宋体" w:hAnsi="宋体" w:cs="宋体"/>
          <w:color w:val="000000" w:themeColor="text1"/>
          <w:sz w:val="24"/>
          <w:szCs w:val="24"/>
          <w:highlight w:val="none"/>
          <w14:textFill>
            <w14:solidFill>
              <w14:schemeClr w14:val="tx1"/>
            </w14:solidFill>
          </w14:textFill>
        </w:rPr>
        <w:t>以下原则对合同价</w:t>
      </w:r>
      <w:r>
        <w:rPr>
          <w:rFonts w:ascii="宋体" w:hAnsi="宋体" w:cs="宋体"/>
          <w:color w:val="000000" w:themeColor="text1"/>
          <w:spacing w:val="-2"/>
          <w:sz w:val="24"/>
          <w:szCs w:val="24"/>
          <w:highlight w:val="none"/>
          <w14:textFill>
            <w14:solidFill>
              <w14:schemeClr w14:val="tx1"/>
            </w14:solidFill>
          </w14:textFill>
        </w:rPr>
        <w:t>格进行调整。</w:t>
      </w:r>
    </w:p>
    <w:p w14:paraId="4B1A8C38">
      <w:pPr>
        <w:spacing w:line="299" w:lineRule="auto"/>
        <w:ind w:firstLine="498"/>
        <w:rPr>
          <w:rFonts w:ascii="宋体" w:hAnsi="宋体" w:cs="宋体"/>
          <w:color w:val="000000" w:themeColor="text1"/>
          <w:sz w:val="24"/>
          <w:szCs w:val="24"/>
          <w:highlight w:val="none"/>
          <w14:textFill>
            <w14:solidFill>
              <w14:schemeClr w14:val="tx1"/>
            </w14:solidFill>
          </w14:textFill>
        </w:rPr>
      </w:pPr>
      <w:r>
        <w:rPr>
          <w:rFonts w:eastAsia="Times New Roman"/>
          <w:color w:val="000000" w:themeColor="text1"/>
          <w:spacing w:val="2"/>
          <w:sz w:val="24"/>
          <w:szCs w:val="24"/>
          <w:highlight w:val="none"/>
          <w14:textFill>
            <w14:solidFill>
              <w14:schemeClr w14:val="tx1"/>
            </w14:solidFill>
          </w14:textFill>
        </w:rPr>
        <w:t xml:space="preserve">16.1.1.1  </w:t>
      </w:r>
      <w:r>
        <w:rPr>
          <w:rFonts w:ascii="宋体" w:hAnsi="宋体" w:cs="宋体"/>
          <w:color w:val="000000" w:themeColor="text1"/>
          <w:spacing w:val="2"/>
          <w:sz w:val="24"/>
          <w:szCs w:val="24"/>
          <w:highlight w:val="none"/>
          <w14:textFill>
            <w14:solidFill>
              <w14:schemeClr w14:val="tx1"/>
            </w14:solidFill>
          </w14:textFill>
        </w:rPr>
        <w:t>因材料价格波动超过一定幅度影</w:t>
      </w:r>
      <w:r>
        <w:rPr>
          <w:rFonts w:ascii="宋体" w:hAnsi="宋体" w:cs="宋体"/>
          <w:color w:val="000000" w:themeColor="text1"/>
          <w:spacing w:val="1"/>
          <w:sz w:val="24"/>
          <w:szCs w:val="24"/>
          <w:highlight w:val="none"/>
          <w14:textFill>
            <w14:solidFill>
              <w14:schemeClr w14:val="tx1"/>
            </w14:solidFill>
          </w14:textFill>
        </w:rPr>
        <w:t>响合同价格时，按以下公式计算差额并调整合同价格。需要进行价格调整的材料的种类在专用</w:t>
      </w:r>
      <w:r>
        <w:rPr>
          <w:rFonts w:ascii="宋体" w:hAnsi="宋体" w:cs="宋体"/>
          <w:color w:val="000000" w:themeColor="text1"/>
          <w:sz w:val="24"/>
          <w:szCs w:val="24"/>
          <w:highlight w:val="none"/>
          <w14:textFill>
            <w14:solidFill>
              <w14:schemeClr w14:val="tx1"/>
            </w14:solidFill>
          </w14:textFill>
        </w:rPr>
        <w:t>合同条款中约定，其单价</w:t>
      </w:r>
      <w:r>
        <w:rPr>
          <w:rFonts w:ascii="宋体" w:hAnsi="宋体" w:cs="宋体"/>
          <w:color w:val="000000" w:themeColor="text1"/>
          <w:spacing w:val="1"/>
          <w:sz w:val="24"/>
          <w:szCs w:val="24"/>
          <w:highlight w:val="none"/>
          <w14:textFill>
            <w14:solidFill>
              <w14:schemeClr w14:val="tx1"/>
            </w14:solidFill>
          </w14:textFill>
        </w:rPr>
        <w:t>和数量应由咨询人复核。经咨询人确认需调整的材料单价</w:t>
      </w:r>
      <w:r>
        <w:rPr>
          <w:rFonts w:ascii="宋体" w:hAnsi="宋体" w:cs="宋体"/>
          <w:color w:val="000000" w:themeColor="text1"/>
          <w:sz w:val="24"/>
          <w:szCs w:val="24"/>
          <w:highlight w:val="none"/>
          <w14:textFill>
            <w14:solidFill>
              <w14:schemeClr w14:val="tx1"/>
            </w14:solidFill>
          </w14:textFill>
        </w:rPr>
        <w:t>及数量，作为调整合同价</w:t>
      </w:r>
      <w:r>
        <w:rPr>
          <w:rFonts w:ascii="宋体" w:hAnsi="宋体" w:cs="宋体"/>
          <w:color w:val="000000" w:themeColor="text1"/>
          <w:spacing w:val="-2"/>
          <w:sz w:val="24"/>
          <w:szCs w:val="24"/>
          <w:highlight w:val="none"/>
          <w14:textFill>
            <w14:solidFill>
              <w14:schemeClr w14:val="tx1"/>
            </w14:solidFill>
          </w14:textFill>
        </w:rPr>
        <w:t>格差额的依据。</w:t>
      </w:r>
    </w:p>
    <w:p w14:paraId="362EE59E">
      <w:pPr>
        <w:spacing w:line="323" w:lineRule="exact"/>
        <w:ind w:left="481"/>
        <w:rPr>
          <w:rFonts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pacing w:val="-13"/>
          <w:position w:val="1"/>
          <w:sz w:val="24"/>
          <w:szCs w:val="24"/>
          <w:highlight w:val="none"/>
          <w14:textFill>
            <w14:solidFill>
              <w14:schemeClr w14:val="tx1"/>
            </w14:solidFill>
          </w14:textFill>
        </w:rPr>
        <w:t>价差调整费用 (</w:t>
      </w:r>
      <w:r>
        <w:rPr>
          <w:rFonts w:ascii="宋体" w:hAnsi="宋体" w:cs="宋体"/>
          <w:color w:val="000000" w:themeColor="text1"/>
          <w:spacing w:val="-27"/>
          <w:position w:val="1"/>
          <w:sz w:val="24"/>
          <w:szCs w:val="24"/>
          <w:highlight w:val="none"/>
          <w14:textFill>
            <w14:solidFill>
              <w14:schemeClr w14:val="tx1"/>
            </w14:solidFill>
          </w14:textFill>
        </w:rPr>
        <w:t xml:space="preserve"> </w:t>
      </w:r>
      <w:r>
        <w:rPr>
          <w:rFonts w:ascii="宋体" w:hAnsi="宋体" w:cs="宋体"/>
          <w:color w:val="000000" w:themeColor="text1"/>
          <w:spacing w:val="-13"/>
          <w:position w:val="1"/>
          <w:sz w:val="24"/>
          <w:szCs w:val="24"/>
          <w:highlight w:val="none"/>
          <w14:textFill>
            <w14:solidFill>
              <w14:schemeClr w14:val="tx1"/>
            </w14:solidFill>
          </w14:textFill>
        </w:rPr>
        <w:t>Δ</w:t>
      </w:r>
      <w:r>
        <w:rPr>
          <w:rFonts w:eastAsia="Times New Roman"/>
          <w:i/>
          <w:iCs/>
          <w:color w:val="000000" w:themeColor="text1"/>
          <w:spacing w:val="-13"/>
          <w:position w:val="1"/>
          <w:sz w:val="24"/>
          <w:szCs w:val="24"/>
          <w:highlight w:val="none"/>
          <w14:textFill>
            <w14:solidFill>
              <w14:schemeClr w14:val="tx1"/>
            </w14:solidFill>
          </w14:textFill>
        </w:rPr>
        <w:t>C</w:t>
      </w:r>
      <w:r>
        <w:rPr>
          <w:rFonts w:eastAsia="Times New Roman"/>
          <w:color w:val="000000" w:themeColor="text1"/>
          <w:spacing w:val="-13"/>
          <w:sz w:val="15"/>
          <w:szCs w:val="15"/>
          <w:highlight w:val="none"/>
          <w14:textFill>
            <w14:solidFill>
              <w14:schemeClr w14:val="tx1"/>
            </w14:solidFill>
          </w14:textFill>
        </w:rPr>
        <w:t>t</w:t>
      </w:r>
      <w:r>
        <w:rPr>
          <w:rFonts w:ascii="宋体" w:hAnsi="宋体" w:cs="宋体"/>
          <w:color w:val="000000" w:themeColor="text1"/>
          <w:spacing w:val="-58"/>
          <w:position w:val="1"/>
          <w:sz w:val="24"/>
          <w:szCs w:val="24"/>
          <w:highlight w:val="none"/>
          <w14:textFill>
            <w14:solidFill>
              <w14:schemeClr w14:val="tx1"/>
            </w14:solidFill>
          </w14:textFill>
        </w:rPr>
        <w:t>）：</w:t>
      </w:r>
      <w:r>
        <w:rPr>
          <w:rFonts w:ascii="宋体" w:hAnsi="宋体" w:cs="宋体"/>
          <w:color w:val="000000" w:themeColor="text1"/>
          <w:spacing w:val="-63"/>
          <w:position w:val="1"/>
          <w:sz w:val="24"/>
          <w:szCs w:val="24"/>
          <w:highlight w:val="none"/>
          <w14:textFill>
            <w14:solidFill>
              <w14:schemeClr w14:val="tx1"/>
            </w14:solidFill>
          </w14:textFill>
        </w:rPr>
        <w:t xml:space="preserve"> </w:t>
      </w:r>
      <w:r>
        <w:rPr>
          <w:rFonts w:ascii="宋体" w:hAnsi="宋体" w:cs="宋体"/>
          <w:color w:val="000000" w:themeColor="text1"/>
          <w:spacing w:val="-13"/>
          <w:position w:val="1"/>
          <w:sz w:val="24"/>
          <w:szCs w:val="24"/>
          <w:highlight w:val="none"/>
          <w14:textFill>
            <w14:solidFill>
              <w14:schemeClr w14:val="tx1"/>
            </w14:solidFill>
          </w14:textFill>
        </w:rPr>
        <w:t>Δ</w:t>
      </w:r>
      <w:r>
        <w:rPr>
          <w:rFonts w:eastAsia="Times New Roman"/>
          <w:i/>
          <w:iCs/>
          <w:color w:val="000000" w:themeColor="text1"/>
          <w:spacing w:val="-13"/>
          <w:position w:val="1"/>
          <w:sz w:val="24"/>
          <w:szCs w:val="24"/>
          <w:highlight w:val="none"/>
          <w14:textFill>
            <w14:solidFill>
              <w14:schemeClr w14:val="tx1"/>
            </w14:solidFill>
          </w14:textFill>
        </w:rPr>
        <w:t>C</w:t>
      </w:r>
      <w:r>
        <w:rPr>
          <w:rFonts w:eastAsia="Times New Roman"/>
          <w:color w:val="000000" w:themeColor="text1"/>
          <w:spacing w:val="-13"/>
          <w:sz w:val="15"/>
          <w:szCs w:val="15"/>
          <w:highlight w:val="none"/>
          <w14:textFill>
            <w14:solidFill>
              <w14:schemeClr w14:val="tx1"/>
            </w14:solidFill>
          </w14:textFill>
        </w:rPr>
        <w:t>t</w:t>
      </w:r>
      <w:r>
        <w:rPr>
          <w:rFonts w:eastAsia="Times New Roman"/>
          <w:color w:val="000000" w:themeColor="text1"/>
          <w:spacing w:val="-13"/>
          <w:position w:val="1"/>
          <w:sz w:val="24"/>
          <w:szCs w:val="24"/>
          <w:highlight w:val="none"/>
          <w14:textFill>
            <w14:solidFill>
              <w14:schemeClr w14:val="tx1"/>
            </w14:solidFill>
          </w14:textFill>
        </w:rPr>
        <w:t>=</w:t>
      </w:r>
      <w:r>
        <w:rPr>
          <w:rFonts w:eastAsia="Times New Roman"/>
          <w:color w:val="000000" w:themeColor="text1"/>
          <w:spacing w:val="7"/>
          <w:position w:val="1"/>
          <w:sz w:val="24"/>
          <w:szCs w:val="24"/>
          <w:highlight w:val="none"/>
          <w14:textFill>
            <w14:solidFill>
              <w14:schemeClr w14:val="tx1"/>
            </w14:solidFill>
          </w14:textFill>
        </w:rPr>
        <w:t xml:space="preserve">  </w:t>
      </w:r>
      <w:r>
        <w:rPr>
          <w:rFonts w:ascii="宋体" w:hAnsi="宋体" w:cs="宋体"/>
          <w:color w:val="000000" w:themeColor="text1"/>
          <w:spacing w:val="-13"/>
          <w:position w:val="1"/>
          <w:sz w:val="24"/>
          <w:szCs w:val="24"/>
          <w:highlight w:val="none"/>
          <w14:textFill>
            <w14:solidFill>
              <w14:schemeClr w14:val="tx1"/>
            </w14:solidFill>
          </w14:textFill>
        </w:rPr>
        <w:t>(</w:t>
      </w:r>
      <w:r>
        <w:rPr>
          <w:rFonts w:ascii="宋体" w:hAnsi="宋体" w:cs="宋体"/>
          <w:color w:val="000000" w:themeColor="text1"/>
          <w:spacing w:val="-27"/>
          <w:position w:val="1"/>
          <w:sz w:val="24"/>
          <w:szCs w:val="24"/>
          <w:highlight w:val="none"/>
          <w14:textFill>
            <w14:solidFill>
              <w14:schemeClr w14:val="tx1"/>
            </w14:solidFill>
          </w14:textFill>
        </w:rPr>
        <w:t xml:space="preserve"> </w:t>
      </w:r>
      <w:r>
        <w:rPr>
          <w:rFonts w:ascii="宋体" w:hAnsi="宋体" w:cs="宋体"/>
          <w:color w:val="000000" w:themeColor="text1"/>
          <w:spacing w:val="-13"/>
          <w:position w:val="1"/>
          <w:sz w:val="24"/>
          <w:szCs w:val="24"/>
          <w:highlight w:val="none"/>
          <w14:textFill>
            <w14:solidFill>
              <w14:schemeClr w14:val="tx1"/>
            </w14:solidFill>
          </w14:textFill>
        </w:rPr>
        <w:t>Δ</w:t>
      </w:r>
      <w:r>
        <w:rPr>
          <w:rFonts w:eastAsia="Times New Roman"/>
          <w:i/>
          <w:iCs/>
          <w:color w:val="000000" w:themeColor="text1"/>
          <w:spacing w:val="-13"/>
          <w:position w:val="1"/>
          <w:sz w:val="24"/>
          <w:szCs w:val="24"/>
          <w:highlight w:val="none"/>
          <w14:textFill>
            <w14:solidFill>
              <w14:schemeClr w14:val="tx1"/>
            </w14:solidFill>
          </w14:textFill>
        </w:rPr>
        <w:t>C</w:t>
      </w:r>
      <w:r>
        <w:rPr>
          <w:rFonts w:eastAsia="Times New Roman"/>
          <w:color w:val="000000" w:themeColor="text1"/>
          <w:spacing w:val="-13"/>
          <w:position w:val="1"/>
          <w:sz w:val="24"/>
          <w:szCs w:val="24"/>
          <w:highlight w:val="none"/>
          <w14:textFill>
            <w14:solidFill>
              <w14:schemeClr w14:val="tx1"/>
            </w14:solidFill>
          </w14:textFill>
        </w:rPr>
        <w:t>-</w:t>
      </w:r>
      <w:r>
        <w:rPr>
          <w:rFonts w:eastAsia="Times New Roman"/>
          <w:i/>
          <w:iCs/>
          <w:color w:val="000000" w:themeColor="text1"/>
          <w:spacing w:val="-13"/>
          <w:position w:val="1"/>
          <w:sz w:val="24"/>
          <w:szCs w:val="24"/>
          <w:highlight w:val="none"/>
          <w14:textFill>
            <w14:solidFill>
              <w14:schemeClr w14:val="tx1"/>
            </w14:solidFill>
          </w14:textFill>
        </w:rPr>
        <w:t>C</w:t>
      </w:r>
      <w:r>
        <w:rPr>
          <w:rFonts w:eastAsia="Times New Roman"/>
          <w:color w:val="000000" w:themeColor="text1"/>
          <w:spacing w:val="-3"/>
          <w:sz w:val="15"/>
          <w:szCs w:val="15"/>
          <w:highlight w:val="none"/>
          <w14:textFill>
            <w14:solidFill>
              <w14:schemeClr w14:val="tx1"/>
            </w14:solidFill>
          </w14:textFill>
        </w:rPr>
        <w:t>o</w:t>
      </w:r>
      <w:r>
        <w:rPr>
          <w:rFonts w:eastAsia="Times New Roman"/>
          <w:color w:val="000000" w:themeColor="text1"/>
          <w:spacing w:val="6"/>
          <w:sz w:val="15"/>
          <w:szCs w:val="15"/>
          <w:highlight w:val="none"/>
          <w14:textFill>
            <w14:solidFill>
              <w14:schemeClr w14:val="tx1"/>
            </w14:solidFill>
          </w14:textFill>
        </w:rPr>
        <w:t xml:space="preserve"> </w:t>
      </w:r>
      <w:r>
        <w:rPr>
          <w:rFonts w:ascii="宋体" w:hAnsi="宋体" w:cs="宋体"/>
          <w:color w:val="000000" w:themeColor="text1"/>
          <w:spacing w:val="-4"/>
          <w:position w:val="1"/>
          <w:sz w:val="24"/>
          <w:szCs w:val="24"/>
          <w:highlight w:val="none"/>
          <w14:textFill>
            <w14:solidFill>
              <w14:schemeClr w14:val="tx1"/>
            </w14:solidFill>
          </w14:textFill>
        </w:rPr>
        <w:t>×</w:t>
      </w:r>
      <w:r>
        <w:rPr>
          <w:rFonts w:eastAsia="Times New Roman"/>
          <w:i/>
          <w:iCs/>
          <w:color w:val="000000" w:themeColor="text1"/>
          <w:spacing w:val="-4"/>
          <w:position w:val="1"/>
          <w:sz w:val="24"/>
          <w:szCs w:val="24"/>
          <w:highlight w:val="none"/>
          <w14:textFill>
            <w14:solidFill>
              <w14:schemeClr w14:val="tx1"/>
            </w14:solidFill>
          </w14:textFill>
        </w:rPr>
        <w:t>r</w:t>
      </w:r>
      <w:r>
        <w:rPr>
          <w:rFonts w:ascii="宋体" w:hAnsi="宋体" w:cs="宋体"/>
          <w:color w:val="000000" w:themeColor="text1"/>
          <w:spacing w:val="-4"/>
          <w:position w:val="1"/>
          <w:sz w:val="24"/>
          <w:szCs w:val="24"/>
          <w:highlight w:val="none"/>
          <w14:textFill>
            <w14:solidFill>
              <w14:schemeClr w14:val="tx1"/>
            </w14:solidFill>
          </w14:textFill>
        </w:rPr>
        <w:t>%)</w:t>
      </w:r>
      <w:r>
        <w:rPr>
          <w:rFonts w:ascii="宋体" w:hAnsi="宋体" w:cs="宋体"/>
          <w:color w:val="000000" w:themeColor="text1"/>
          <w:spacing w:val="60"/>
          <w:position w:val="1"/>
          <w:sz w:val="24"/>
          <w:szCs w:val="24"/>
          <w:highlight w:val="none"/>
          <w14:textFill>
            <w14:solidFill>
              <w14:schemeClr w14:val="tx1"/>
            </w14:solidFill>
          </w14:textFill>
        </w:rPr>
        <w:t xml:space="preserve"> </w:t>
      </w:r>
      <w:r>
        <w:rPr>
          <w:rFonts w:ascii="宋体" w:hAnsi="宋体" w:cs="宋体"/>
          <w:color w:val="000000" w:themeColor="text1"/>
          <w:spacing w:val="-4"/>
          <w:position w:val="1"/>
          <w:sz w:val="24"/>
          <w:szCs w:val="24"/>
          <w:highlight w:val="none"/>
          <w14:textFill>
            <w14:solidFill>
              <w14:schemeClr w14:val="tx1"/>
            </w14:solidFill>
          </w14:textFill>
        </w:rPr>
        <w:t>×</w:t>
      </w:r>
      <w:r>
        <w:rPr>
          <w:rFonts w:ascii="宋体" w:hAnsi="宋体" w:cs="宋体"/>
          <w:color w:val="000000" w:themeColor="text1"/>
          <w:spacing w:val="-90"/>
          <w:position w:val="1"/>
          <w:sz w:val="24"/>
          <w:szCs w:val="24"/>
          <w:highlight w:val="none"/>
          <w14:textFill>
            <w14:solidFill>
              <w14:schemeClr w14:val="tx1"/>
            </w14:solidFill>
          </w14:textFill>
        </w:rPr>
        <w:t xml:space="preserve"> </w:t>
      </w:r>
      <w:r>
        <w:rPr>
          <w:rFonts w:eastAsia="Times New Roman"/>
          <w:i/>
          <w:iCs/>
          <w:color w:val="000000" w:themeColor="text1"/>
          <w:spacing w:val="-4"/>
          <w:position w:val="1"/>
          <w:sz w:val="24"/>
          <w:szCs w:val="24"/>
          <w:highlight w:val="none"/>
          <w14:textFill>
            <w14:solidFill>
              <w14:schemeClr w14:val="tx1"/>
            </w14:solidFill>
          </w14:textFill>
        </w:rPr>
        <w:t>V</w:t>
      </w:r>
      <w:r>
        <w:rPr>
          <w:rFonts w:ascii="宋体" w:hAnsi="宋体" w:cs="宋体"/>
          <w:color w:val="000000" w:themeColor="text1"/>
          <w:spacing w:val="-4"/>
          <w:position w:val="1"/>
          <w:sz w:val="24"/>
          <w:szCs w:val="24"/>
          <w:highlight w:val="none"/>
          <w14:textFill>
            <w14:solidFill>
              <w14:schemeClr w14:val="tx1"/>
            </w14:solidFill>
          </w14:textFill>
        </w:rPr>
        <w:t>，其中</w:t>
      </w:r>
      <w:r>
        <w:rPr>
          <w:rFonts w:ascii="宋体" w:hAnsi="宋体" w:cs="宋体"/>
          <w:color w:val="000000" w:themeColor="text1"/>
          <w:spacing w:val="-63"/>
          <w:position w:val="1"/>
          <w:sz w:val="24"/>
          <w:szCs w:val="24"/>
          <w:highlight w:val="none"/>
          <w14:textFill>
            <w14:solidFill>
              <w14:schemeClr w14:val="tx1"/>
            </w14:solidFill>
          </w14:textFill>
        </w:rPr>
        <w:t xml:space="preserve"> </w:t>
      </w:r>
      <w:r>
        <w:rPr>
          <w:rFonts w:ascii="宋体" w:hAnsi="宋体" w:cs="宋体"/>
          <w:color w:val="000000" w:themeColor="text1"/>
          <w:spacing w:val="-4"/>
          <w:position w:val="1"/>
          <w:sz w:val="24"/>
          <w:szCs w:val="24"/>
          <w:highlight w:val="none"/>
          <w14:textFill>
            <w14:solidFill>
              <w14:schemeClr w14:val="tx1"/>
            </w14:solidFill>
          </w14:textFill>
        </w:rPr>
        <w:t>Δ</w:t>
      </w:r>
      <w:r>
        <w:rPr>
          <w:rFonts w:eastAsia="Times New Roman"/>
          <w:i/>
          <w:iCs/>
          <w:color w:val="000000" w:themeColor="text1"/>
          <w:spacing w:val="-4"/>
          <w:position w:val="1"/>
          <w:sz w:val="24"/>
          <w:szCs w:val="24"/>
          <w:highlight w:val="none"/>
          <w14:textFill>
            <w14:solidFill>
              <w14:schemeClr w14:val="tx1"/>
            </w14:solidFill>
          </w14:textFill>
        </w:rPr>
        <w:t>C</w:t>
      </w:r>
      <w:r>
        <w:rPr>
          <w:rFonts w:ascii="宋体" w:hAnsi="宋体" w:cs="宋体"/>
          <w:color w:val="000000" w:themeColor="text1"/>
          <w:spacing w:val="-4"/>
          <w:position w:val="1"/>
          <w:sz w:val="24"/>
          <w:szCs w:val="24"/>
          <w:highlight w:val="none"/>
          <w14:textFill>
            <w14:solidFill>
              <w14:schemeClr w14:val="tx1"/>
            </w14:solidFill>
          </w14:textFill>
        </w:rPr>
        <w:t>＝</w:t>
      </w:r>
      <w:r>
        <w:rPr>
          <w:rFonts w:eastAsia="Times New Roman"/>
          <w:i/>
          <w:iCs/>
          <w:color w:val="000000" w:themeColor="text1"/>
          <w:spacing w:val="-4"/>
          <w:position w:val="1"/>
          <w:sz w:val="24"/>
          <w:szCs w:val="24"/>
          <w:highlight w:val="none"/>
          <w14:textFill>
            <w14:solidFill>
              <w14:schemeClr w14:val="tx1"/>
            </w14:solidFill>
          </w14:textFill>
        </w:rPr>
        <w:t>C</w:t>
      </w:r>
      <w:r>
        <w:rPr>
          <w:rFonts w:eastAsia="Times New Roman"/>
          <w:color w:val="000000" w:themeColor="text1"/>
          <w:spacing w:val="-4"/>
          <w:sz w:val="15"/>
          <w:szCs w:val="15"/>
          <w:highlight w:val="none"/>
          <w14:textFill>
            <w14:solidFill>
              <w14:schemeClr w14:val="tx1"/>
            </w14:solidFill>
          </w14:textFill>
        </w:rPr>
        <w:t>i</w:t>
      </w:r>
      <w:r>
        <w:rPr>
          <w:rFonts w:ascii="宋体" w:hAnsi="宋体" w:cs="宋体"/>
          <w:color w:val="000000" w:themeColor="text1"/>
          <w:spacing w:val="-4"/>
          <w:position w:val="1"/>
          <w:sz w:val="24"/>
          <w:szCs w:val="24"/>
          <w:highlight w:val="none"/>
          <w14:textFill>
            <w14:solidFill>
              <w14:schemeClr w14:val="tx1"/>
            </w14:solidFill>
          </w14:textFill>
        </w:rPr>
        <w:t>－</w:t>
      </w:r>
      <w:r>
        <w:rPr>
          <w:rFonts w:eastAsia="Times New Roman"/>
          <w:i/>
          <w:iCs/>
          <w:color w:val="000000" w:themeColor="text1"/>
          <w:spacing w:val="-4"/>
          <w:position w:val="1"/>
          <w:sz w:val="24"/>
          <w:szCs w:val="24"/>
          <w:highlight w:val="none"/>
          <w14:textFill>
            <w14:solidFill>
              <w14:schemeClr w14:val="tx1"/>
            </w14:solidFill>
          </w14:textFill>
        </w:rPr>
        <w:t>C</w:t>
      </w:r>
      <w:r>
        <w:rPr>
          <w:rFonts w:eastAsia="Times New Roman"/>
          <w:color w:val="000000" w:themeColor="text1"/>
          <w:spacing w:val="-4"/>
          <w:sz w:val="15"/>
          <w:szCs w:val="15"/>
          <w:highlight w:val="none"/>
          <w14:textFill>
            <w14:solidFill>
              <w14:schemeClr w14:val="tx1"/>
            </w14:solidFill>
          </w14:textFill>
        </w:rPr>
        <w:t>o</w:t>
      </w:r>
      <w:r>
        <w:rPr>
          <w:rFonts w:ascii="宋体" w:hAnsi="宋体" w:cs="宋体"/>
          <w:color w:val="000000" w:themeColor="text1"/>
          <w:spacing w:val="-4"/>
          <w:position w:val="1"/>
          <w:sz w:val="24"/>
          <w:szCs w:val="24"/>
          <w:highlight w:val="none"/>
          <w14:textFill>
            <w14:solidFill>
              <w14:schemeClr w14:val="tx1"/>
            </w14:solidFill>
          </w14:textFill>
        </w:rPr>
        <w:t>。</w:t>
      </w:r>
    </w:p>
    <w:p w14:paraId="1682D5E7">
      <w:pPr>
        <w:spacing w:before="122" w:line="308" w:lineRule="auto"/>
        <w:ind w:firstLine="480"/>
        <w:rPr>
          <w:rFonts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pacing w:val="4"/>
          <w:sz w:val="24"/>
          <w:szCs w:val="24"/>
          <w:highlight w:val="none"/>
          <w14:textFill>
            <w14:solidFill>
              <w14:schemeClr w14:val="tx1"/>
            </w14:solidFill>
          </w14:textFill>
        </w:rPr>
        <w:t>基准价（</w:t>
      </w:r>
      <w:r>
        <w:rPr>
          <w:rFonts w:eastAsia="Times New Roman"/>
          <w:i/>
          <w:iCs/>
          <w:color w:val="000000" w:themeColor="text1"/>
          <w:sz w:val="24"/>
          <w:szCs w:val="24"/>
          <w:highlight w:val="none"/>
          <w14:textFill>
            <w14:solidFill>
              <w14:schemeClr w14:val="tx1"/>
            </w14:solidFill>
          </w14:textFill>
        </w:rPr>
        <w:t>C</w:t>
      </w:r>
      <w:r>
        <w:rPr>
          <w:rFonts w:eastAsia="Times New Roman"/>
          <w:color w:val="000000" w:themeColor="text1"/>
          <w:position w:val="-1"/>
          <w:sz w:val="15"/>
          <w:szCs w:val="15"/>
          <w:highlight w:val="none"/>
          <w14:textFill>
            <w14:solidFill>
              <w14:schemeClr w14:val="tx1"/>
            </w14:solidFill>
          </w14:textFill>
        </w:rPr>
        <w:t>o</w:t>
      </w:r>
      <w:r>
        <w:rPr>
          <w:rFonts w:ascii="宋体" w:hAnsi="宋体" w:cs="宋体"/>
          <w:color w:val="000000" w:themeColor="text1"/>
          <w:spacing w:val="-47"/>
          <w:sz w:val="24"/>
          <w:szCs w:val="24"/>
          <w:highlight w:val="none"/>
          <w14:textFill>
            <w14:solidFill>
              <w14:schemeClr w14:val="tx1"/>
            </w14:solidFill>
          </w14:textFill>
        </w:rPr>
        <w:t>）：</w:t>
      </w:r>
      <w:r>
        <w:rPr>
          <w:rFonts w:ascii="宋体" w:hAnsi="宋体" w:cs="宋体"/>
          <w:color w:val="000000" w:themeColor="text1"/>
          <w:spacing w:val="4"/>
          <w:sz w:val="24"/>
          <w:szCs w:val="24"/>
          <w:highlight w:val="none"/>
          <w14:textFill>
            <w14:solidFill>
              <w14:schemeClr w14:val="tx1"/>
            </w14:solidFill>
          </w14:textFill>
        </w:rPr>
        <w:t>指基准日期当期的由专用合同条款指定机构发布的养护项目所</w:t>
      </w:r>
      <w:r>
        <w:rPr>
          <w:rFonts w:ascii="宋体" w:hAnsi="宋体" w:cs="宋体"/>
          <w:color w:val="000000" w:themeColor="text1"/>
          <w:spacing w:val="-1"/>
          <w:sz w:val="24"/>
          <w:szCs w:val="24"/>
          <w:highlight w:val="none"/>
          <w14:textFill>
            <w14:solidFill>
              <w14:schemeClr w14:val="tx1"/>
            </w14:solidFill>
          </w14:textFill>
        </w:rPr>
        <w:t>在地的材料信息价。</w:t>
      </w:r>
    </w:p>
    <w:p w14:paraId="1E34CB17">
      <w:pPr>
        <w:spacing w:before="1" w:line="307" w:lineRule="auto"/>
        <w:ind w:right="2" w:firstLine="480"/>
        <w:rPr>
          <w:rFonts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pacing w:val="5"/>
          <w:sz w:val="24"/>
          <w:szCs w:val="24"/>
          <w:highlight w:val="none"/>
          <w14:textFill>
            <w14:solidFill>
              <w14:schemeClr w14:val="tx1"/>
            </w14:solidFill>
          </w14:textFill>
        </w:rPr>
        <w:t>信息价（</w:t>
      </w:r>
      <w:r>
        <w:rPr>
          <w:rFonts w:eastAsia="Times New Roman"/>
          <w:i/>
          <w:iCs/>
          <w:color w:val="000000" w:themeColor="text1"/>
          <w:sz w:val="24"/>
          <w:szCs w:val="24"/>
          <w:highlight w:val="none"/>
          <w14:textFill>
            <w14:solidFill>
              <w14:schemeClr w14:val="tx1"/>
            </w14:solidFill>
          </w14:textFill>
        </w:rPr>
        <w:t>C</w:t>
      </w:r>
      <w:r>
        <w:rPr>
          <w:rFonts w:eastAsia="Times New Roman"/>
          <w:color w:val="000000" w:themeColor="text1"/>
          <w:position w:val="-1"/>
          <w:sz w:val="15"/>
          <w:szCs w:val="15"/>
          <w:highlight w:val="none"/>
          <w14:textFill>
            <w14:solidFill>
              <w14:schemeClr w14:val="tx1"/>
            </w14:solidFill>
          </w14:textFill>
        </w:rPr>
        <w:t>i</w:t>
      </w:r>
      <w:r>
        <w:rPr>
          <w:rFonts w:ascii="宋体" w:hAnsi="宋体" w:cs="宋体"/>
          <w:color w:val="000000" w:themeColor="text1"/>
          <w:spacing w:val="-46"/>
          <w:sz w:val="24"/>
          <w:szCs w:val="24"/>
          <w:highlight w:val="none"/>
          <w14:textFill>
            <w14:solidFill>
              <w14:schemeClr w14:val="tx1"/>
            </w14:solidFill>
          </w14:textFill>
        </w:rPr>
        <w:t>）：</w:t>
      </w:r>
      <w:r>
        <w:rPr>
          <w:rFonts w:ascii="宋体" w:hAnsi="宋体" w:cs="宋体"/>
          <w:color w:val="000000" w:themeColor="text1"/>
          <w:spacing w:val="5"/>
          <w:sz w:val="24"/>
          <w:szCs w:val="24"/>
          <w:highlight w:val="none"/>
          <w14:textFill>
            <w14:solidFill>
              <w14:schemeClr w14:val="tx1"/>
            </w14:solidFill>
          </w14:textFill>
        </w:rPr>
        <w:t>指计量时当期的由专用合同条款指定机构发布的养护项</w:t>
      </w:r>
      <w:r>
        <w:rPr>
          <w:rFonts w:ascii="宋体" w:hAnsi="宋体" w:cs="宋体"/>
          <w:color w:val="000000" w:themeColor="text1"/>
          <w:spacing w:val="4"/>
          <w:sz w:val="24"/>
          <w:szCs w:val="24"/>
          <w:highlight w:val="none"/>
          <w14:textFill>
            <w14:solidFill>
              <w14:schemeClr w14:val="tx1"/>
            </w14:solidFill>
          </w14:textFill>
        </w:rPr>
        <w:t>目所在</w:t>
      </w:r>
      <w:r>
        <w:rPr>
          <w:rFonts w:ascii="宋体" w:hAnsi="宋体" w:cs="宋体"/>
          <w:color w:val="000000" w:themeColor="text1"/>
          <w:spacing w:val="-2"/>
          <w:sz w:val="24"/>
          <w:szCs w:val="24"/>
          <w:highlight w:val="none"/>
          <w14:textFill>
            <w14:solidFill>
              <w14:schemeClr w14:val="tx1"/>
            </w14:solidFill>
          </w14:textFill>
        </w:rPr>
        <w:t>地的材料信息价。</w:t>
      </w:r>
    </w:p>
    <w:p w14:paraId="396CE272">
      <w:pPr>
        <w:spacing w:before="3" w:line="307" w:lineRule="auto"/>
        <w:ind w:firstLine="481"/>
        <w:rPr>
          <w:rFonts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数量（</w:t>
      </w:r>
      <w:r>
        <w:rPr>
          <w:rFonts w:eastAsia="Times New Roman"/>
          <w:i/>
          <w:iCs/>
          <w:color w:val="000000" w:themeColor="text1"/>
          <w:sz w:val="24"/>
          <w:szCs w:val="24"/>
          <w:highlight w:val="none"/>
          <w14:textFill>
            <w14:solidFill>
              <w14:schemeClr w14:val="tx1"/>
            </w14:solidFill>
          </w14:textFill>
        </w:rPr>
        <w:t>V</w:t>
      </w:r>
      <w:r>
        <w:rPr>
          <w:rFonts w:ascii="宋体" w:hAnsi="宋体" w:cs="宋体"/>
          <w:color w:val="000000" w:themeColor="text1"/>
          <w:spacing w:val="-63"/>
          <w:sz w:val="24"/>
          <w:szCs w:val="24"/>
          <w:highlight w:val="none"/>
          <w14:textFill>
            <w14:solidFill>
              <w14:schemeClr w14:val="tx1"/>
            </w14:solidFill>
          </w14:textFill>
        </w:rPr>
        <w:t>）：</w:t>
      </w:r>
      <w:r>
        <w:rPr>
          <w:rFonts w:ascii="宋体" w:hAnsi="宋体" w:cs="宋体"/>
          <w:color w:val="000000" w:themeColor="text1"/>
          <w:sz w:val="24"/>
          <w:szCs w:val="24"/>
          <w:highlight w:val="none"/>
          <w14:textFill>
            <w14:solidFill>
              <w14:schemeClr w14:val="tx1"/>
            </w14:solidFill>
          </w14:textFill>
        </w:rPr>
        <w:t>按照专用合同条款约定，指承包人在本计量周期内已完成采购的数</w:t>
      </w:r>
      <w:r>
        <w:rPr>
          <w:rFonts w:ascii="宋体" w:hAnsi="宋体" w:cs="宋体"/>
          <w:color w:val="000000" w:themeColor="text1"/>
          <w:spacing w:val="1"/>
          <w:sz w:val="24"/>
          <w:szCs w:val="24"/>
          <w:highlight w:val="none"/>
          <w14:textFill>
            <w14:solidFill>
              <w14:schemeClr w14:val="tx1"/>
            </w14:solidFill>
          </w14:textFill>
        </w:rPr>
        <w:t>量，或指以承包人在本计量周期内已完成计量支付的实体</w:t>
      </w:r>
      <w:r>
        <w:rPr>
          <w:rFonts w:ascii="宋体" w:hAnsi="宋体" w:cs="宋体"/>
          <w:color w:val="000000" w:themeColor="text1"/>
          <w:sz w:val="24"/>
          <w:szCs w:val="24"/>
          <w:highlight w:val="none"/>
          <w14:textFill>
            <w14:solidFill>
              <w14:schemeClr w14:val="tx1"/>
            </w14:solidFill>
          </w14:textFill>
        </w:rPr>
        <w:t>工程量为基础，按照专用</w:t>
      </w:r>
      <w:r>
        <w:rPr>
          <w:rFonts w:ascii="宋体" w:hAnsi="宋体" w:cs="宋体"/>
          <w:color w:val="000000" w:themeColor="text1"/>
          <w:spacing w:val="-1"/>
          <w:sz w:val="24"/>
          <w:szCs w:val="24"/>
          <w:highlight w:val="none"/>
          <w14:textFill>
            <w14:solidFill>
              <w14:schemeClr w14:val="tx1"/>
            </w14:solidFill>
          </w14:textFill>
        </w:rPr>
        <w:t>合同条款约定的单位用量的标准计算得出调价数量。</w:t>
      </w:r>
    </w:p>
    <w:p w14:paraId="586F6B69">
      <w:pPr>
        <w:spacing w:before="1" w:line="307" w:lineRule="auto"/>
        <w:ind w:left="20" w:right="2" w:firstLine="461"/>
        <w:rPr>
          <w:rFonts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风险幅度系数（</w:t>
      </w:r>
      <w:r>
        <w:rPr>
          <w:rFonts w:eastAsia="Times New Roman"/>
          <w:i/>
          <w:iCs/>
          <w:color w:val="000000" w:themeColor="text1"/>
          <w:sz w:val="24"/>
          <w:szCs w:val="24"/>
          <w:highlight w:val="none"/>
          <w14:textFill>
            <w14:solidFill>
              <w14:schemeClr w14:val="tx1"/>
            </w14:solidFill>
          </w14:textFill>
        </w:rPr>
        <w:t>r</w:t>
      </w:r>
      <w:r>
        <w:rPr>
          <w:rFonts w:ascii="宋体" w:hAnsi="宋体" w:cs="宋体"/>
          <w:color w:val="000000" w:themeColor="text1"/>
          <w:spacing w:val="-35"/>
          <w:sz w:val="24"/>
          <w:szCs w:val="24"/>
          <w:highlight w:val="none"/>
          <w14:textFill>
            <w14:solidFill>
              <w14:schemeClr w14:val="tx1"/>
            </w14:solidFill>
          </w14:textFill>
        </w:rPr>
        <w:t>％）：</w:t>
      </w:r>
      <w:r>
        <w:rPr>
          <w:rFonts w:ascii="宋体" w:hAnsi="宋体" w:cs="宋体"/>
          <w:color w:val="000000" w:themeColor="text1"/>
          <w:sz w:val="24"/>
          <w:szCs w:val="24"/>
          <w:highlight w:val="none"/>
          <w14:textFill>
            <w14:solidFill>
              <w14:schemeClr w14:val="tx1"/>
            </w14:solidFill>
          </w14:textFill>
        </w:rPr>
        <w:t>基准价（</w:t>
      </w:r>
      <w:r>
        <w:rPr>
          <w:rFonts w:eastAsia="Times New Roman"/>
          <w:i/>
          <w:iCs/>
          <w:color w:val="000000" w:themeColor="text1"/>
          <w:sz w:val="24"/>
          <w:szCs w:val="24"/>
          <w:highlight w:val="none"/>
          <w14:textFill>
            <w14:solidFill>
              <w14:schemeClr w14:val="tx1"/>
            </w14:solidFill>
          </w14:textFill>
        </w:rPr>
        <w:t>C</w:t>
      </w:r>
      <w:r>
        <w:rPr>
          <w:rFonts w:eastAsia="Times New Roman"/>
          <w:color w:val="000000" w:themeColor="text1"/>
          <w:position w:val="-1"/>
          <w:sz w:val="15"/>
          <w:szCs w:val="15"/>
          <w:highlight w:val="none"/>
          <w14:textFill>
            <w14:solidFill>
              <w14:schemeClr w14:val="tx1"/>
            </w14:solidFill>
          </w14:textFill>
        </w:rPr>
        <w:t xml:space="preserve">o </w:t>
      </w:r>
      <w:r>
        <w:rPr>
          <w:rFonts w:ascii="宋体" w:hAnsi="宋体" w:cs="宋体"/>
          <w:color w:val="000000" w:themeColor="text1"/>
          <w:sz w:val="24"/>
          <w:szCs w:val="24"/>
          <w:highlight w:val="none"/>
          <w14:textFill>
            <w14:solidFill>
              <w14:schemeClr w14:val="tx1"/>
            </w14:solidFill>
          </w14:textFill>
        </w:rPr>
        <w:t>）一定幅度内价差作为合同当事人共同承担</w:t>
      </w:r>
      <w:r>
        <w:rPr>
          <w:rFonts w:ascii="宋体" w:hAnsi="宋体" w:cs="宋体"/>
          <w:color w:val="000000" w:themeColor="text1"/>
          <w:spacing w:val="-1"/>
          <w:sz w:val="24"/>
          <w:szCs w:val="24"/>
          <w:highlight w:val="none"/>
          <w14:textFill>
            <w14:solidFill>
              <w14:schemeClr w14:val="tx1"/>
            </w14:solidFill>
          </w14:textFill>
        </w:rPr>
        <w:t>的风险，不予调差且不列入结算。风险幅度系数在专用合同条款中约定。</w:t>
      </w:r>
    </w:p>
    <w:p w14:paraId="6A11A6D7">
      <w:pPr>
        <w:spacing w:line="308" w:lineRule="auto"/>
        <w:ind w:right="2" w:firstLine="498"/>
        <w:rPr>
          <w:rFonts w:ascii="宋体" w:hAnsi="宋体" w:cs="宋体"/>
          <w:color w:val="000000" w:themeColor="text1"/>
          <w:sz w:val="24"/>
          <w:szCs w:val="24"/>
          <w:highlight w:val="none"/>
          <w14:textFill>
            <w14:solidFill>
              <w14:schemeClr w14:val="tx1"/>
            </w14:solidFill>
          </w14:textFill>
        </w:rPr>
      </w:pPr>
      <w:r>
        <w:rPr>
          <w:rFonts w:eastAsia="Times New Roman"/>
          <w:color w:val="000000" w:themeColor="text1"/>
          <w:spacing w:val="1"/>
          <w:sz w:val="24"/>
          <w:szCs w:val="24"/>
          <w:highlight w:val="none"/>
          <w14:textFill>
            <w14:solidFill>
              <w14:schemeClr w14:val="tx1"/>
            </w14:solidFill>
          </w14:textFill>
        </w:rPr>
        <w:t>16.1.1.2</w:t>
      </w:r>
      <w:r>
        <w:rPr>
          <w:rFonts w:eastAsia="Times New Roman"/>
          <w:color w:val="000000" w:themeColor="text1"/>
          <w:spacing w:val="20"/>
          <w:w w:val="101"/>
          <w:sz w:val="24"/>
          <w:szCs w:val="24"/>
          <w:highlight w:val="none"/>
          <w14:textFill>
            <w14:solidFill>
              <w14:schemeClr w14:val="tx1"/>
            </w14:solidFill>
          </w14:textFill>
        </w:rPr>
        <w:t xml:space="preserve">  </w:t>
      </w:r>
      <w:r>
        <w:rPr>
          <w:rFonts w:ascii="宋体" w:hAnsi="宋体" w:cs="宋体"/>
          <w:color w:val="000000" w:themeColor="text1"/>
          <w:spacing w:val="1"/>
          <w:sz w:val="24"/>
          <w:szCs w:val="24"/>
          <w:highlight w:val="none"/>
          <w14:textFill>
            <w14:solidFill>
              <w14:schemeClr w14:val="tx1"/>
            </w14:solidFill>
          </w14:textFill>
        </w:rPr>
        <w:t>由于上述合同价格调整所产生的增</w:t>
      </w:r>
      <w:r>
        <w:rPr>
          <w:rFonts w:ascii="宋体" w:hAnsi="宋体" w:cs="宋体"/>
          <w:color w:val="000000" w:themeColor="text1"/>
          <w:sz w:val="24"/>
          <w:szCs w:val="24"/>
          <w:highlight w:val="none"/>
          <w14:textFill>
            <w14:solidFill>
              <w14:schemeClr w14:val="tx1"/>
            </w14:solidFill>
          </w14:textFill>
        </w:rPr>
        <w:t>值税和其他税费的增减额由发包人</w:t>
      </w:r>
      <w:r>
        <w:rPr>
          <w:rFonts w:ascii="宋体" w:hAnsi="宋体" w:cs="宋体"/>
          <w:color w:val="000000" w:themeColor="text1"/>
          <w:spacing w:val="-4"/>
          <w:sz w:val="24"/>
          <w:szCs w:val="24"/>
          <w:highlight w:val="none"/>
          <w14:textFill>
            <w14:solidFill>
              <w14:schemeClr w14:val="tx1"/>
            </w14:solidFill>
          </w14:textFill>
        </w:rPr>
        <w:t>承担。</w:t>
      </w:r>
    </w:p>
    <w:p w14:paraId="003E5AD7">
      <w:pPr>
        <w:spacing w:before="2" w:line="217" w:lineRule="auto"/>
        <w:ind w:left="499"/>
        <w:rPr>
          <w:color w:val="000000" w:themeColor="text1"/>
          <w:highlight w:val="none"/>
          <w14:textFill>
            <w14:solidFill>
              <w14:schemeClr w14:val="tx1"/>
            </w14:solidFill>
          </w14:textFill>
        </w:rPr>
      </w:pPr>
      <w:r>
        <w:rPr>
          <w:rFonts w:eastAsia="Times New Roman"/>
          <w:color w:val="000000" w:themeColor="text1"/>
          <w:spacing w:val="-2"/>
          <w:sz w:val="24"/>
          <w:szCs w:val="24"/>
          <w:highlight w:val="none"/>
          <w14:textFill>
            <w14:solidFill>
              <w14:schemeClr w14:val="tx1"/>
            </w14:solidFill>
          </w14:textFill>
        </w:rPr>
        <w:t xml:space="preserve">16.1.2  </w:t>
      </w:r>
      <w:r>
        <w:rPr>
          <w:rFonts w:ascii="宋体" w:hAnsi="宋体" w:cs="宋体"/>
          <w:color w:val="000000" w:themeColor="text1"/>
          <w:spacing w:val="-2"/>
          <w:sz w:val="24"/>
          <w:szCs w:val="24"/>
          <w:highlight w:val="none"/>
          <w14:textFill>
            <w14:solidFill>
              <w14:schemeClr w14:val="tx1"/>
            </w14:solidFill>
          </w14:textFill>
        </w:rPr>
        <w:t>采用其他方式调整价格差额</w:t>
      </w:r>
    </w:p>
    <w:p w14:paraId="3F765630">
      <w:pPr>
        <w:pStyle w:val="21"/>
        <w:spacing w:line="245" w:lineRule="auto"/>
        <w:rPr>
          <w:color w:val="000000" w:themeColor="text1"/>
          <w:highlight w:val="none"/>
          <w14:textFill>
            <w14:solidFill>
              <w14:schemeClr w14:val="tx1"/>
            </w14:solidFill>
          </w14:textFill>
        </w:rPr>
      </w:pPr>
    </w:p>
    <w:p w14:paraId="176780E5">
      <w:pPr>
        <w:spacing w:before="78" w:line="218" w:lineRule="auto"/>
        <w:ind w:left="480"/>
        <w:rPr>
          <w:rFonts w:ascii="宋体" w:hAnsi="宋体" w:cs="宋体"/>
          <w:color w:val="000000" w:themeColor="text1"/>
          <w:sz w:val="24"/>
          <w:szCs w:val="24"/>
          <w:highlight w:val="none"/>
          <w14:textFill>
            <w14:solidFill>
              <w14:schemeClr w14:val="tx1"/>
            </w14:solidFill>
          </w14:textFill>
        </w:rPr>
      </w:pPr>
      <w:bookmarkStart w:id="157" w:name="bookmark224"/>
      <w:bookmarkEnd w:id="157"/>
      <w:r>
        <w:rPr>
          <w:rFonts w:ascii="宋体" w:hAnsi="宋体" w:cs="宋体"/>
          <w:color w:val="000000" w:themeColor="text1"/>
          <w:spacing w:val="-1"/>
          <w:sz w:val="24"/>
          <w:szCs w:val="24"/>
          <w:highlight w:val="none"/>
          <w14:textFill>
            <w14:solidFill>
              <w14:schemeClr w14:val="tx1"/>
            </w14:solidFill>
          </w14:textFill>
        </w:rPr>
        <w:t>采用其他方式进行价格调整的，按专用合同条款的约定执行。</w:t>
      </w:r>
    </w:p>
    <w:p w14:paraId="7BE8B931">
      <w:pPr>
        <w:spacing w:before="117" w:line="218" w:lineRule="auto"/>
        <w:ind w:left="499"/>
        <w:rPr>
          <w:rFonts w:ascii="宋体" w:hAnsi="宋体" w:cs="宋体"/>
          <w:color w:val="000000" w:themeColor="text1"/>
          <w:sz w:val="24"/>
          <w:szCs w:val="24"/>
          <w:highlight w:val="none"/>
          <w14:textFill>
            <w14:solidFill>
              <w14:schemeClr w14:val="tx1"/>
            </w14:solidFill>
          </w14:textFill>
        </w:rPr>
      </w:pPr>
      <w:r>
        <w:rPr>
          <w:rFonts w:eastAsia="Times New Roman"/>
          <w:color w:val="000000" w:themeColor="text1"/>
          <w:spacing w:val="-2"/>
          <w:sz w:val="24"/>
          <w:szCs w:val="24"/>
          <w:highlight w:val="none"/>
          <w14:textFill>
            <w14:solidFill>
              <w14:schemeClr w14:val="tx1"/>
            </w14:solidFill>
          </w14:textFill>
        </w:rPr>
        <w:t xml:space="preserve">16.1.3  </w:t>
      </w:r>
      <w:r>
        <w:rPr>
          <w:rFonts w:ascii="宋体" w:hAnsi="宋体" w:cs="宋体"/>
          <w:color w:val="000000" w:themeColor="text1"/>
          <w:spacing w:val="-2"/>
          <w:sz w:val="24"/>
          <w:szCs w:val="24"/>
          <w:highlight w:val="none"/>
          <w14:textFill>
            <w14:solidFill>
              <w14:schemeClr w14:val="tx1"/>
            </w14:solidFill>
          </w14:textFill>
        </w:rPr>
        <w:t>不调整价格差额</w:t>
      </w:r>
    </w:p>
    <w:p w14:paraId="1FE982E1">
      <w:pPr>
        <w:spacing w:before="114" w:line="305" w:lineRule="auto"/>
        <w:ind w:left="18" w:right="46" w:firstLine="461"/>
        <w:rPr>
          <w:rFonts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pacing w:val="3"/>
          <w:sz w:val="24"/>
          <w:szCs w:val="24"/>
          <w:highlight w:val="none"/>
          <w14:textFill>
            <w14:solidFill>
              <w14:schemeClr w14:val="tx1"/>
            </w14:solidFill>
          </w14:textFill>
        </w:rPr>
        <w:t>在合同履行期间（包括工期拖延期间</w:t>
      </w:r>
      <w:r>
        <w:rPr>
          <w:rFonts w:ascii="宋体" w:hAnsi="宋体" w:cs="宋体"/>
          <w:color w:val="000000" w:themeColor="text1"/>
          <w:spacing w:val="-35"/>
          <w:sz w:val="24"/>
          <w:szCs w:val="24"/>
          <w:highlight w:val="none"/>
          <w14:textFill>
            <w14:solidFill>
              <w14:schemeClr w14:val="tx1"/>
            </w14:solidFill>
          </w14:textFill>
        </w:rPr>
        <w:t>），</w:t>
      </w:r>
      <w:r>
        <w:rPr>
          <w:rFonts w:ascii="宋体" w:hAnsi="宋体" w:cs="宋体"/>
          <w:color w:val="000000" w:themeColor="text1"/>
          <w:spacing w:val="3"/>
          <w:sz w:val="24"/>
          <w:szCs w:val="24"/>
          <w:highlight w:val="none"/>
          <w14:textFill>
            <w14:solidFill>
              <w14:schemeClr w14:val="tx1"/>
            </w14:solidFill>
          </w14:textFill>
        </w:rPr>
        <w:t>由于人工、材料和设备价格的</w:t>
      </w:r>
      <w:r>
        <w:rPr>
          <w:rFonts w:ascii="宋体" w:hAnsi="宋体" w:cs="宋体"/>
          <w:color w:val="000000" w:themeColor="text1"/>
          <w:spacing w:val="2"/>
          <w:sz w:val="24"/>
          <w:szCs w:val="24"/>
          <w:highlight w:val="none"/>
          <w14:textFill>
            <w14:solidFill>
              <w14:schemeClr w14:val="tx1"/>
            </w14:solidFill>
          </w14:textFill>
        </w:rPr>
        <w:t>上涨而</w:t>
      </w:r>
      <w:r>
        <w:rPr>
          <w:rFonts w:ascii="宋体" w:hAnsi="宋体" w:cs="宋体"/>
          <w:color w:val="000000" w:themeColor="text1"/>
          <w:spacing w:val="-1"/>
          <w:sz w:val="24"/>
          <w:szCs w:val="24"/>
          <w:highlight w:val="none"/>
          <w14:textFill>
            <w14:solidFill>
              <w14:schemeClr w14:val="tx1"/>
            </w14:solidFill>
          </w14:textFill>
        </w:rPr>
        <w:t>引起养护成本增加的风险由承包人自行承担，合同价格不会因此而调整。</w:t>
      </w:r>
    </w:p>
    <w:p w14:paraId="5512FCFE">
      <w:pPr>
        <w:spacing w:before="1" w:line="217" w:lineRule="auto"/>
        <w:ind w:left="487"/>
        <w:outlineLvl w:val="3"/>
        <w:rPr>
          <w:rFonts w:ascii="宋体" w:hAnsi="宋体" w:cs="宋体"/>
          <w:color w:val="000000" w:themeColor="text1"/>
          <w:sz w:val="24"/>
          <w:szCs w:val="24"/>
          <w:highlight w:val="none"/>
          <w14:textFill>
            <w14:solidFill>
              <w14:schemeClr w14:val="tx1"/>
            </w14:solidFill>
          </w14:textFill>
        </w:rPr>
      </w:pPr>
      <w:r>
        <w:rPr>
          <w:rFonts w:eastAsia="Times New Roman"/>
          <w:b/>
          <w:bCs/>
          <w:color w:val="000000" w:themeColor="text1"/>
          <w:spacing w:val="-2"/>
          <w:sz w:val="24"/>
          <w:szCs w:val="24"/>
          <w:highlight w:val="none"/>
          <w14:textFill>
            <w14:solidFill>
              <w14:schemeClr w14:val="tx1"/>
            </w14:solidFill>
          </w14:textFill>
        </w:rPr>
        <w:t xml:space="preserve">16.2  </w:t>
      </w:r>
      <w:r>
        <w:rPr>
          <w:rFonts w:ascii="宋体" w:hAnsi="宋体" w:cs="宋体"/>
          <w:b/>
          <w:bCs/>
          <w:color w:val="000000" w:themeColor="text1"/>
          <w:spacing w:val="-2"/>
          <w:sz w:val="24"/>
          <w:szCs w:val="24"/>
          <w:highlight w:val="none"/>
          <w14:textFill>
            <w14:solidFill>
              <w14:schemeClr w14:val="tx1"/>
            </w14:solidFill>
          </w14:textFill>
        </w:rPr>
        <w:t>法律、标准变化引起的价格调整</w:t>
      </w:r>
    </w:p>
    <w:p w14:paraId="6992572F">
      <w:pPr>
        <w:spacing w:before="123" w:line="308" w:lineRule="auto"/>
        <w:ind w:left="4" w:right="46" w:firstLine="475"/>
        <w:rPr>
          <w:rFonts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pacing w:val="1"/>
          <w:sz w:val="24"/>
          <w:szCs w:val="24"/>
          <w:highlight w:val="none"/>
          <w14:textFill>
            <w14:solidFill>
              <w14:schemeClr w14:val="tx1"/>
            </w14:solidFill>
          </w14:textFill>
        </w:rPr>
        <w:t>在基准日期后，因法律变化及</w:t>
      </w:r>
      <w:r>
        <w:rPr>
          <w:rFonts w:ascii="宋体" w:hAnsi="宋体" w:cs="宋体"/>
          <w:color w:val="000000" w:themeColor="text1"/>
          <w:spacing w:val="-12"/>
          <w:sz w:val="24"/>
          <w:szCs w:val="24"/>
          <w:highlight w:val="none"/>
          <w14:textFill>
            <w14:solidFill>
              <w14:schemeClr w14:val="tx1"/>
            </w14:solidFill>
          </w14:textFill>
        </w:rPr>
        <w:t xml:space="preserve"> </w:t>
      </w:r>
      <w:r>
        <w:rPr>
          <w:rFonts w:eastAsia="Times New Roman"/>
          <w:color w:val="000000" w:themeColor="text1"/>
          <w:spacing w:val="1"/>
          <w:sz w:val="24"/>
          <w:szCs w:val="24"/>
          <w:highlight w:val="none"/>
          <w14:textFill>
            <w14:solidFill>
              <w14:schemeClr w14:val="tx1"/>
            </w14:solidFill>
          </w14:textFill>
        </w:rPr>
        <w:t xml:space="preserve">1.4 </w:t>
      </w:r>
      <w:r>
        <w:rPr>
          <w:rFonts w:ascii="宋体" w:hAnsi="宋体" w:cs="宋体"/>
          <w:color w:val="000000" w:themeColor="text1"/>
          <w:spacing w:val="1"/>
          <w:sz w:val="24"/>
          <w:szCs w:val="24"/>
          <w:highlight w:val="none"/>
          <w14:textFill>
            <w14:solidFill>
              <w14:schemeClr w14:val="tx1"/>
            </w14:solidFill>
          </w14:textFill>
        </w:rPr>
        <w:t>款所指标准变化导致承包人在合同履行中所</w:t>
      </w:r>
      <w:r>
        <w:rPr>
          <w:rFonts w:ascii="宋体" w:hAnsi="宋体" w:cs="宋体"/>
          <w:color w:val="000000" w:themeColor="text1"/>
          <w:spacing w:val="4"/>
          <w:sz w:val="24"/>
          <w:szCs w:val="24"/>
          <w:highlight w:val="none"/>
          <w14:textFill>
            <w14:solidFill>
              <w14:schemeClr w14:val="tx1"/>
            </w14:solidFill>
          </w14:textFill>
        </w:rPr>
        <w:t>需要的养护费用发生除第</w:t>
      </w:r>
      <w:r>
        <w:rPr>
          <w:rFonts w:ascii="宋体" w:hAnsi="宋体" w:cs="宋体"/>
          <w:color w:val="000000" w:themeColor="text1"/>
          <w:spacing w:val="-13"/>
          <w:sz w:val="24"/>
          <w:szCs w:val="24"/>
          <w:highlight w:val="none"/>
          <w14:textFill>
            <w14:solidFill>
              <w14:schemeClr w14:val="tx1"/>
            </w14:solidFill>
          </w14:textFill>
        </w:rPr>
        <w:t xml:space="preserve"> </w:t>
      </w:r>
      <w:r>
        <w:rPr>
          <w:rFonts w:eastAsia="Times New Roman"/>
          <w:color w:val="000000" w:themeColor="text1"/>
          <w:spacing w:val="4"/>
          <w:sz w:val="24"/>
          <w:szCs w:val="24"/>
          <w:highlight w:val="none"/>
          <w14:textFill>
            <w14:solidFill>
              <w14:schemeClr w14:val="tx1"/>
            </w14:solidFill>
          </w14:textFill>
        </w:rPr>
        <w:t xml:space="preserve">16.1 </w:t>
      </w:r>
      <w:r>
        <w:rPr>
          <w:rFonts w:ascii="宋体" w:hAnsi="宋体" w:cs="宋体"/>
          <w:color w:val="000000" w:themeColor="text1"/>
          <w:spacing w:val="4"/>
          <w:sz w:val="24"/>
          <w:szCs w:val="24"/>
          <w:highlight w:val="none"/>
          <w14:textFill>
            <w14:solidFill>
              <w14:schemeClr w14:val="tx1"/>
            </w14:solidFill>
          </w14:textFill>
        </w:rPr>
        <w:t>款约定以外的增减时，咨询人应根据法律、国家或</w:t>
      </w:r>
      <w:r>
        <w:rPr>
          <w:rFonts w:ascii="宋体" w:hAnsi="宋体" w:cs="宋体"/>
          <w:color w:val="000000" w:themeColor="text1"/>
          <w:spacing w:val="-2"/>
          <w:sz w:val="24"/>
          <w:szCs w:val="24"/>
          <w:highlight w:val="none"/>
          <w14:textFill>
            <w14:solidFill>
              <w14:schemeClr w14:val="tx1"/>
            </w14:solidFill>
          </w14:textFill>
        </w:rPr>
        <w:t>省、</w:t>
      </w:r>
      <w:r>
        <w:rPr>
          <w:rFonts w:ascii="宋体" w:hAnsi="宋体" w:cs="宋体"/>
          <w:color w:val="000000" w:themeColor="text1"/>
          <w:spacing w:val="-69"/>
          <w:sz w:val="24"/>
          <w:szCs w:val="24"/>
          <w:highlight w:val="none"/>
          <w14:textFill>
            <w14:solidFill>
              <w14:schemeClr w14:val="tx1"/>
            </w14:solidFill>
          </w14:textFill>
        </w:rPr>
        <w:t xml:space="preserve"> </w:t>
      </w:r>
      <w:r>
        <w:rPr>
          <w:rFonts w:ascii="宋体" w:hAnsi="宋体" w:cs="宋体"/>
          <w:color w:val="000000" w:themeColor="text1"/>
          <w:spacing w:val="-2"/>
          <w:sz w:val="24"/>
          <w:szCs w:val="24"/>
          <w:highlight w:val="none"/>
          <w14:textFill>
            <w14:solidFill>
              <w14:schemeClr w14:val="tx1"/>
            </w14:solidFill>
          </w14:textFill>
        </w:rPr>
        <w:t>自治区、直辖市有关部门的规定，按第</w:t>
      </w:r>
      <w:r>
        <w:rPr>
          <w:rFonts w:ascii="宋体" w:hAnsi="宋体" w:cs="宋体"/>
          <w:color w:val="000000" w:themeColor="text1"/>
          <w:spacing w:val="-50"/>
          <w:sz w:val="24"/>
          <w:szCs w:val="24"/>
          <w:highlight w:val="none"/>
          <w14:textFill>
            <w14:solidFill>
              <w14:schemeClr w14:val="tx1"/>
            </w14:solidFill>
          </w14:textFill>
        </w:rPr>
        <w:t xml:space="preserve"> </w:t>
      </w:r>
      <w:r>
        <w:rPr>
          <w:rFonts w:eastAsia="Times New Roman"/>
          <w:color w:val="000000" w:themeColor="text1"/>
          <w:spacing w:val="-2"/>
          <w:sz w:val="24"/>
          <w:szCs w:val="24"/>
          <w:highlight w:val="none"/>
          <w14:textFill>
            <w14:solidFill>
              <w14:schemeClr w14:val="tx1"/>
            </w14:solidFill>
          </w14:textFill>
        </w:rPr>
        <w:t xml:space="preserve">3.5 </w:t>
      </w:r>
      <w:r>
        <w:rPr>
          <w:rFonts w:ascii="宋体" w:hAnsi="宋体" w:cs="宋体"/>
          <w:color w:val="000000" w:themeColor="text1"/>
          <w:spacing w:val="-2"/>
          <w:sz w:val="24"/>
          <w:szCs w:val="24"/>
          <w:highlight w:val="none"/>
          <w14:textFill>
            <w14:solidFill>
              <w14:schemeClr w14:val="tx1"/>
            </w14:solidFill>
          </w14:textFill>
        </w:rPr>
        <w:t>款商定或确定需调整的合同价款。</w:t>
      </w:r>
    </w:p>
    <w:p w14:paraId="6181EBB0">
      <w:pPr>
        <w:spacing w:before="1" w:line="310" w:lineRule="auto"/>
        <w:ind w:right="44" w:firstLine="498"/>
        <w:rPr>
          <w:rFonts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因承包人原因造成工期延误，在工期延误期间出现法律、标准变化的，由此增</w:t>
      </w:r>
      <w:r>
        <w:rPr>
          <w:rFonts w:ascii="宋体" w:hAnsi="宋体" w:cs="宋体"/>
          <w:color w:val="000000" w:themeColor="text1"/>
          <w:spacing w:val="-1"/>
          <w:sz w:val="24"/>
          <w:szCs w:val="24"/>
          <w:highlight w:val="none"/>
          <w14:textFill>
            <w14:solidFill>
              <w14:schemeClr w14:val="tx1"/>
            </w14:solidFill>
          </w14:textFill>
        </w:rPr>
        <w:t>加的费用和（或）工期延误由承包人承担。</w:t>
      </w:r>
    </w:p>
    <w:p w14:paraId="6942C084">
      <w:pPr>
        <w:spacing w:before="304" w:line="219" w:lineRule="auto"/>
        <w:ind w:left="487"/>
        <w:outlineLvl w:val="2"/>
        <w:rPr>
          <w:rFonts w:ascii="宋体" w:hAnsi="宋体" w:cs="宋体"/>
          <w:color w:val="000000" w:themeColor="text1"/>
          <w:sz w:val="24"/>
          <w:szCs w:val="24"/>
          <w:highlight w:val="none"/>
          <w14:textFill>
            <w14:solidFill>
              <w14:schemeClr w14:val="tx1"/>
            </w14:solidFill>
          </w14:textFill>
        </w:rPr>
      </w:pPr>
      <w:bookmarkStart w:id="158" w:name="bookmark40"/>
      <w:bookmarkEnd w:id="158"/>
      <w:bookmarkStart w:id="159" w:name="bookmark39"/>
      <w:bookmarkEnd w:id="159"/>
      <w:bookmarkStart w:id="160" w:name="_Toc16855"/>
      <w:r>
        <w:rPr>
          <w:rFonts w:eastAsia="Times New Roman"/>
          <w:b/>
          <w:bCs/>
          <w:color w:val="000000" w:themeColor="text1"/>
          <w:spacing w:val="-3"/>
          <w:sz w:val="24"/>
          <w:szCs w:val="24"/>
          <w:highlight w:val="none"/>
          <w14:textFill>
            <w14:solidFill>
              <w14:schemeClr w14:val="tx1"/>
            </w14:solidFill>
          </w14:textFill>
        </w:rPr>
        <w:t xml:space="preserve">17.  </w:t>
      </w:r>
      <w:r>
        <w:rPr>
          <w:rFonts w:ascii="宋体" w:hAnsi="宋体" w:cs="宋体"/>
          <w:b/>
          <w:bCs/>
          <w:color w:val="000000" w:themeColor="text1"/>
          <w:spacing w:val="-3"/>
          <w:sz w:val="24"/>
          <w:szCs w:val="24"/>
          <w:highlight w:val="none"/>
          <w14:textFill>
            <w14:solidFill>
              <w14:schemeClr w14:val="tx1"/>
            </w14:solidFill>
          </w14:textFill>
        </w:rPr>
        <w:t>计量与支付</w:t>
      </w:r>
      <w:bookmarkEnd w:id="160"/>
    </w:p>
    <w:p w14:paraId="2B6BBA4B">
      <w:pPr>
        <w:spacing w:before="259" w:line="221" w:lineRule="auto"/>
        <w:ind w:left="487"/>
        <w:outlineLvl w:val="3"/>
        <w:rPr>
          <w:rFonts w:ascii="宋体" w:hAnsi="宋体" w:cs="宋体"/>
          <w:color w:val="000000" w:themeColor="text1"/>
          <w:sz w:val="24"/>
          <w:szCs w:val="24"/>
          <w:highlight w:val="none"/>
          <w14:textFill>
            <w14:solidFill>
              <w14:schemeClr w14:val="tx1"/>
            </w14:solidFill>
          </w14:textFill>
        </w:rPr>
      </w:pPr>
      <w:r>
        <w:rPr>
          <w:rFonts w:eastAsia="Times New Roman"/>
          <w:b/>
          <w:bCs/>
          <w:color w:val="000000" w:themeColor="text1"/>
          <w:spacing w:val="-6"/>
          <w:sz w:val="24"/>
          <w:szCs w:val="24"/>
          <w:highlight w:val="none"/>
          <w14:textFill>
            <w14:solidFill>
              <w14:schemeClr w14:val="tx1"/>
            </w14:solidFill>
          </w14:textFill>
        </w:rPr>
        <w:t>17.1</w:t>
      </w:r>
      <w:r>
        <w:rPr>
          <w:rFonts w:eastAsia="Times New Roman"/>
          <w:b/>
          <w:bCs/>
          <w:color w:val="000000" w:themeColor="text1"/>
          <w:spacing w:val="7"/>
          <w:sz w:val="24"/>
          <w:szCs w:val="24"/>
          <w:highlight w:val="none"/>
          <w14:textFill>
            <w14:solidFill>
              <w14:schemeClr w14:val="tx1"/>
            </w14:solidFill>
          </w14:textFill>
        </w:rPr>
        <w:t xml:space="preserve">  </w:t>
      </w:r>
      <w:r>
        <w:rPr>
          <w:rFonts w:ascii="宋体" w:hAnsi="宋体" w:cs="宋体"/>
          <w:b/>
          <w:bCs/>
          <w:color w:val="000000" w:themeColor="text1"/>
          <w:spacing w:val="-6"/>
          <w:sz w:val="24"/>
          <w:szCs w:val="24"/>
          <w:highlight w:val="none"/>
          <w14:textFill>
            <w14:solidFill>
              <w14:schemeClr w14:val="tx1"/>
            </w14:solidFill>
          </w14:textFill>
        </w:rPr>
        <w:t>计量</w:t>
      </w:r>
    </w:p>
    <w:p w14:paraId="2A700A29">
      <w:pPr>
        <w:spacing w:before="124" w:line="220" w:lineRule="auto"/>
        <w:ind w:left="499"/>
        <w:rPr>
          <w:rFonts w:ascii="宋体" w:hAnsi="宋体" w:cs="宋体"/>
          <w:color w:val="000000" w:themeColor="text1"/>
          <w:sz w:val="24"/>
          <w:szCs w:val="24"/>
          <w:highlight w:val="none"/>
          <w14:textFill>
            <w14:solidFill>
              <w14:schemeClr w14:val="tx1"/>
            </w14:solidFill>
          </w14:textFill>
        </w:rPr>
      </w:pPr>
      <w:r>
        <w:rPr>
          <w:rFonts w:eastAsia="Times New Roman"/>
          <w:color w:val="000000" w:themeColor="text1"/>
          <w:spacing w:val="-3"/>
          <w:sz w:val="24"/>
          <w:szCs w:val="24"/>
          <w:highlight w:val="none"/>
          <w14:textFill>
            <w14:solidFill>
              <w14:schemeClr w14:val="tx1"/>
            </w14:solidFill>
          </w14:textFill>
        </w:rPr>
        <w:t xml:space="preserve">17.1.1  </w:t>
      </w:r>
      <w:r>
        <w:rPr>
          <w:rFonts w:ascii="宋体" w:hAnsi="宋体" w:cs="宋体"/>
          <w:color w:val="000000" w:themeColor="text1"/>
          <w:spacing w:val="-3"/>
          <w:sz w:val="24"/>
          <w:szCs w:val="24"/>
          <w:highlight w:val="none"/>
          <w14:textFill>
            <w14:solidFill>
              <w14:schemeClr w14:val="tx1"/>
            </w14:solidFill>
          </w14:textFill>
        </w:rPr>
        <w:t>计量单位</w:t>
      </w:r>
    </w:p>
    <w:p w14:paraId="65A4358F">
      <w:pPr>
        <w:spacing w:before="114" w:line="219" w:lineRule="auto"/>
        <w:ind w:left="480"/>
        <w:rPr>
          <w:rFonts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pacing w:val="-1"/>
          <w:sz w:val="24"/>
          <w:szCs w:val="24"/>
          <w:highlight w:val="none"/>
          <w14:textFill>
            <w14:solidFill>
              <w14:schemeClr w14:val="tx1"/>
            </w14:solidFill>
          </w14:textFill>
        </w:rPr>
        <w:t>计量采用国家法定的计量单位。</w:t>
      </w:r>
    </w:p>
    <w:p w14:paraId="703DCF24">
      <w:pPr>
        <w:spacing w:before="116" w:line="221" w:lineRule="auto"/>
        <w:ind w:left="499"/>
        <w:rPr>
          <w:rFonts w:ascii="宋体" w:hAnsi="宋体" w:cs="宋体"/>
          <w:color w:val="000000" w:themeColor="text1"/>
          <w:sz w:val="24"/>
          <w:szCs w:val="24"/>
          <w:highlight w:val="none"/>
          <w14:textFill>
            <w14:solidFill>
              <w14:schemeClr w14:val="tx1"/>
            </w14:solidFill>
          </w14:textFill>
        </w:rPr>
      </w:pPr>
      <w:r>
        <w:rPr>
          <w:rFonts w:eastAsia="Times New Roman"/>
          <w:color w:val="000000" w:themeColor="text1"/>
          <w:spacing w:val="-3"/>
          <w:sz w:val="24"/>
          <w:szCs w:val="24"/>
          <w:highlight w:val="none"/>
          <w14:textFill>
            <w14:solidFill>
              <w14:schemeClr w14:val="tx1"/>
            </w14:solidFill>
          </w14:textFill>
        </w:rPr>
        <w:t xml:space="preserve">17.1.2  </w:t>
      </w:r>
      <w:r>
        <w:rPr>
          <w:rFonts w:ascii="宋体" w:hAnsi="宋体" w:cs="宋体"/>
          <w:color w:val="000000" w:themeColor="text1"/>
          <w:spacing w:val="-3"/>
          <w:sz w:val="24"/>
          <w:szCs w:val="24"/>
          <w:highlight w:val="none"/>
          <w14:textFill>
            <w14:solidFill>
              <w14:schemeClr w14:val="tx1"/>
            </w14:solidFill>
          </w14:textFill>
        </w:rPr>
        <w:t>计量方法</w:t>
      </w:r>
    </w:p>
    <w:p w14:paraId="7FCE8CCB">
      <w:pPr>
        <w:spacing w:before="113" w:line="308" w:lineRule="auto"/>
        <w:ind w:left="23" w:right="44" w:firstLine="471"/>
        <w:rPr>
          <w:rFonts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除专用合同条款另有约定外，工程量的计算应以合同文件工程量清单计量规则</w:t>
      </w:r>
      <w:r>
        <w:rPr>
          <w:rFonts w:ascii="宋体" w:hAnsi="宋体" w:cs="宋体"/>
          <w:color w:val="000000" w:themeColor="text1"/>
          <w:spacing w:val="-3"/>
          <w:sz w:val="24"/>
          <w:szCs w:val="24"/>
          <w:highlight w:val="none"/>
          <w14:textFill>
            <w14:solidFill>
              <w14:schemeClr w14:val="tx1"/>
            </w14:solidFill>
          </w14:textFill>
        </w:rPr>
        <w:t>中约定的工程量计量方法为准。</w:t>
      </w:r>
    </w:p>
    <w:p w14:paraId="5D4D8C48">
      <w:pPr>
        <w:spacing w:line="220" w:lineRule="auto"/>
        <w:ind w:left="499"/>
        <w:rPr>
          <w:rFonts w:ascii="宋体" w:hAnsi="宋体" w:cs="宋体"/>
          <w:color w:val="000000" w:themeColor="text1"/>
          <w:sz w:val="24"/>
          <w:szCs w:val="24"/>
          <w:highlight w:val="none"/>
          <w14:textFill>
            <w14:solidFill>
              <w14:schemeClr w14:val="tx1"/>
            </w14:solidFill>
          </w14:textFill>
        </w:rPr>
      </w:pPr>
      <w:r>
        <w:rPr>
          <w:rFonts w:eastAsia="Times New Roman"/>
          <w:color w:val="000000" w:themeColor="text1"/>
          <w:spacing w:val="-3"/>
          <w:sz w:val="24"/>
          <w:szCs w:val="24"/>
          <w:highlight w:val="none"/>
          <w14:textFill>
            <w14:solidFill>
              <w14:schemeClr w14:val="tx1"/>
            </w14:solidFill>
          </w14:textFill>
        </w:rPr>
        <w:t xml:space="preserve">17.1.3  </w:t>
      </w:r>
      <w:r>
        <w:rPr>
          <w:rFonts w:ascii="宋体" w:hAnsi="宋体" w:cs="宋体"/>
          <w:color w:val="000000" w:themeColor="text1"/>
          <w:spacing w:val="-3"/>
          <w:sz w:val="24"/>
          <w:szCs w:val="24"/>
          <w:highlight w:val="none"/>
          <w14:textFill>
            <w14:solidFill>
              <w14:schemeClr w14:val="tx1"/>
            </w14:solidFill>
          </w14:textFill>
        </w:rPr>
        <w:t>计量周期</w:t>
      </w:r>
    </w:p>
    <w:p w14:paraId="64447BC4">
      <w:pPr>
        <w:spacing w:before="112" w:line="218" w:lineRule="auto"/>
        <w:ind w:left="492"/>
        <w:rPr>
          <w:rFonts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pacing w:val="-1"/>
          <w:sz w:val="24"/>
          <w:szCs w:val="24"/>
          <w:highlight w:val="none"/>
          <w14:textFill>
            <w14:solidFill>
              <w14:schemeClr w14:val="tx1"/>
            </w14:solidFill>
          </w14:textFill>
        </w:rPr>
        <w:t>（</w:t>
      </w:r>
      <w:r>
        <w:rPr>
          <w:rFonts w:eastAsia="Times New Roman"/>
          <w:color w:val="000000" w:themeColor="text1"/>
          <w:spacing w:val="-1"/>
          <w:sz w:val="24"/>
          <w:szCs w:val="24"/>
          <w:highlight w:val="none"/>
          <w14:textFill>
            <w14:solidFill>
              <w14:schemeClr w14:val="tx1"/>
            </w14:solidFill>
          </w14:textFill>
        </w:rPr>
        <w:t>1</w:t>
      </w:r>
      <w:r>
        <w:rPr>
          <w:rFonts w:ascii="宋体" w:hAnsi="宋体" w:cs="宋体"/>
          <w:color w:val="000000" w:themeColor="text1"/>
          <w:spacing w:val="-1"/>
          <w:sz w:val="24"/>
          <w:szCs w:val="24"/>
          <w:highlight w:val="none"/>
          <w14:textFill>
            <w14:solidFill>
              <w14:schemeClr w14:val="tx1"/>
            </w14:solidFill>
          </w14:textFill>
        </w:rPr>
        <w:t>）除专用合同条款另有约定外，单价子目已完成工程量按月计量。</w:t>
      </w:r>
    </w:p>
    <w:p w14:paraId="336CD9DA">
      <w:pPr>
        <w:spacing w:before="117" w:line="264" w:lineRule="auto"/>
        <w:ind w:left="2" w:right="46" w:firstLine="489"/>
        <w:rPr>
          <w:rFonts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pacing w:val="4"/>
          <w:sz w:val="24"/>
          <w:szCs w:val="24"/>
          <w:highlight w:val="none"/>
          <w14:textFill>
            <w14:solidFill>
              <w14:schemeClr w14:val="tx1"/>
            </w14:solidFill>
          </w14:textFill>
        </w:rPr>
        <w:t>（</w:t>
      </w:r>
      <w:r>
        <w:rPr>
          <w:rFonts w:eastAsia="Times New Roman"/>
          <w:color w:val="000000" w:themeColor="text1"/>
          <w:spacing w:val="4"/>
          <w:sz w:val="24"/>
          <w:szCs w:val="24"/>
          <w:highlight w:val="none"/>
          <w14:textFill>
            <w14:solidFill>
              <w14:schemeClr w14:val="tx1"/>
            </w14:solidFill>
          </w14:textFill>
        </w:rPr>
        <w:t>2</w:t>
      </w:r>
      <w:r>
        <w:rPr>
          <w:rFonts w:ascii="宋体" w:hAnsi="宋体" w:cs="宋体"/>
          <w:color w:val="000000" w:themeColor="text1"/>
          <w:spacing w:val="4"/>
          <w:sz w:val="24"/>
          <w:szCs w:val="24"/>
          <w:highlight w:val="none"/>
          <w14:textFill>
            <w14:solidFill>
              <w14:schemeClr w14:val="tx1"/>
            </w14:solidFill>
          </w14:textFill>
        </w:rPr>
        <w:t>）总价子目已完成工程量按月或按批准的支付分解表计量，由</w:t>
      </w:r>
      <w:r>
        <w:rPr>
          <w:rFonts w:ascii="宋体" w:hAnsi="宋体" w:cs="宋体"/>
          <w:color w:val="000000" w:themeColor="text1"/>
          <w:spacing w:val="3"/>
          <w:sz w:val="24"/>
          <w:szCs w:val="24"/>
          <w:highlight w:val="none"/>
          <w14:textFill>
            <w14:solidFill>
              <w14:schemeClr w14:val="tx1"/>
            </w14:solidFill>
          </w14:textFill>
        </w:rPr>
        <w:t>发包人在专</w:t>
      </w:r>
      <w:r>
        <w:rPr>
          <w:rFonts w:ascii="宋体" w:hAnsi="宋体" w:cs="宋体"/>
          <w:color w:val="000000" w:themeColor="text1"/>
          <w:spacing w:val="-2"/>
          <w:sz w:val="24"/>
          <w:szCs w:val="24"/>
          <w:highlight w:val="none"/>
          <w14:textFill>
            <w14:solidFill>
              <w14:schemeClr w14:val="tx1"/>
            </w14:solidFill>
          </w14:textFill>
        </w:rPr>
        <w:t>用合同条款中约定。</w:t>
      </w:r>
    </w:p>
    <w:p w14:paraId="6C4D4454">
      <w:pPr>
        <w:spacing w:before="113" w:line="218" w:lineRule="auto"/>
        <w:ind w:left="499"/>
        <w:rPr>
          <w:rFonts w:ascii="宋体" w:hAnsi="宋体" w:cs="宋体"/>
          <w:color w:val="000000" w:themeColor="text1"/>
          <w:sz w:val="24"/>
          <w:szCs w:val="24"/>
          <w:highlight w:val="none"/>
          <w14:textFill>
            <w14:solidFill>
              <w14:schemeClr w14:val="tx1"/>
            </w14:solidFill>
          </w14:textFill>
        </w:rPr>
      </w:pPr>
      <w:r>
        <w:rPr>
          <w:rFonts w:eastAsia="Times New Roman"/>
          <w:color w:val="000000" w:themeColor="text1"/>
          <w:spacing w:val="-2"/>
          <w:sz w:val="24"/>
          <w:szCs w:val="24"/>
          <w:highlight w:val="none"/>
          <w14:textFill>
            <w14:solidFill>
              <w14:schemeClr w14:val="tx1"/>
            </w14:solidFill>
          </w14:textFill>
        </w:rPr>
        <w:t xml:space="preserve">17.1.4  </w:t>
      </w:r>
      <w:r>
        <w:rPr>
          <w:rFonts w:ascii="宋体" w:hAnsi="宋体" w:cs="宋体"/>
          <w:color w:val="000000" w:themeColor="text1"/>
          <w:spacing w:val="-2"/>
          <w:sz w:val="24"/>
          <w:szCs w:val="24"/>
          <w:highlight w:val="none"/>
          <w14:textFill>
            <w14:solidFill>
              <w14:schemeClr w14:val="tx1"/>
            </w14:solidFill>
          </w14:textFill>
        </w:rPr>
        <w:t>单价子目的计量</w:t>
      </w:r>
    </w:p>
    <w:p w14:paraId="527F3CDE">
      <w:pPr>
        <w:spacing w:before="118" w:line="218" w:lineRule="auto"/>
        <w:ind w:left="495"/>
        <w:rPr>
          <w:rFonts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pacing w:val="-1"/>
          <w:sz w:val="24"/>
          <w:szCs w:val="24"/>
          <w:highlight w:val="none"/>
          <w14:textFill>
            <w14:solidFill>
              <w14:schemeClr w14:val="tx1"/>
            </w14:solidFill>
          </w14:textFill>
        </w:rPr>
        <w:t>除专用合同条款另有约定外，单价子目的计量按照下述约定进行：</w:t>
      </w:r>
    </w:p>
    <w:p w14:paraId="263268F2">
      <w:pPr>
        <w:spacing w:before="117" w:line="263" w:lineRule="auto"/>
        <w:ind w:right="44" w:firstLine="491"/>
        <w:rPr>
          <w:rFonts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pacing w:val="4"/>
          <w:sz w:val="24"/>
          <w:szCs w:val="24"/>
          <w:highlight w:val="none"/>
          <w14:textFill>
            <w14:solidFill>
              <w14:schemeClr w14:val="tx1"/>
            </w14:solidFill>
          </w14:textFill>
        </w:rPr>
        <w:t>（</w:t>
      </w:r>
      <w:r>
        <w:rPr>
          <w:rFonts w:eastAsia="Times New Roman"/>
          <w:color w:val="000000" w:themeColor="text1"/>
          <w:spacing w:val="4"/>
          <w:sz w:val="24"/>
          <w:szCs w:val="24"/>
          <w:highlight w:val="none"/>
          <w14:textFill>
            <w14:solidFill>
              <w14:schemeClr w14:val="tx1"/>
            </w14:solidFill>
          </w14:textFill>
        </w:rPr>
        <w:t>1</w:t>
      </w:r>
      <w:r>
        <w:rPr>
          <w:rFonts w:ascii="宋体" w:hAnsi="宋体" w:cs="宋体"/>
          <w:color w:val="000000" w:themeColor="text1"/>
          <w:spacing w:val="4"/>
          <w:sz w:val="24"/>
          <w:szCs w:val="24"/>
          <w:highlight w:val="none"/>
          <w14:textFill>
            <w14:solidFill>
              <w14:schemeClr w14:val="tx1"/>
            </w14:solidFill>
          </w14:textFill>
        </w:rPr>
        <w:t>）已标价工程量清单中的单价子目工程量为估算工程量。结算工程量</w:t>
      </w:r>
      <w:r>
        <w:rPr>
          <w:rFonts w:ascii="宋体" w:hAnsi="宋体" w:cs="宋体"/>
          <w:color w:val="000000" w:themeColor="text1"/>
          <w:spacing w:val="3"/>
          <w:sz w:val="24"/>
          <w:szCs w:val="24"/>
          <w:highlight w:val="none"/>
          <w14:textFill>
            <w14:solidFill>
              <w14:schemeClr w14:val="tx1"/>
            </w14:solidFill>
          </w14:textFill>
        </w:rPr>
        <w:t>是承</w:t>
      </w:r>
      <w:r>
        <w:rPr>
          <w:rFonts w:ascii="宋体" w:hAnsi="宋体" w:cs="宋体"/>
          <w:color w:val="000000" w:themeColor="text1"/>
          <w:spacing w:val="-1"/>
          <w:sz w:val="24"/>
          <w:szCs w:val="24"/>
          <w:highlight w:val="none"/>
          <w14:textFill>
            <w14:solidFill>
              <w14:schemeClr w14:val="tx1"/>
            </w14:solidFill>
          </w14:textFill>
        </w:rPr>
        <w:t>包人实际完成的，并按合同约定的计量方法进行计量的工程量。</w:t>
      </w:r>
    </w:p>
    <w:p w14:paraId="0F00A7C9">
      <w:pPr>
        <w:spacing w:before="115" w:line="264" w:lineRule="auto"/>
        <w:ind w:left="2" w:right="46" w:firstLine="489"/>
        <w:rPr>
          <w:rFonts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pacing w:val="4"/>
          <w:sz w:val="24"/>
          <w:szCs w:val="24"/>
          <w:highlight w:val="none"/>
          <w14:textFill>
            <w14:solidFill>
              <w14:schemeClr w14:val="tx1"/>
            </w14:solidFill>
          </w14:textFill>
        </w:rPr>
        <w:t>（</w:t>
      </w:r>
      <w:r>
        <w:rPr>
          <w:rFonts w:eastAsia="Times New Roman"/>
          <w:color w:val="000000" w:themeColor="text1"/>
          <w:spacing w:val="4"/>
          <w:sz w:val="24"/>
          <w:szCs w:val="24"/>
          <w:highlight w:val="none"/>
          <w14:textFill>
            <w14:solidFill>
              <w14:schemeClr w14:val="tx1"/>
            </w14:solidFill>
          </w14:textFill>
        </w:rPr>
        <w:t>2</w:t>
      </w:r>
      <w:r>
        <w:rPr>
          <w:rFonts w:ascii="宋体" w:hAnsi="宋体" w:cs="宋体"/>
          <w:color w:val="000000" w:themeColor="text1"/>
          <w:spacing w:val="4"/>
          <w:sz w:val="24"/>
          <w:szCs w:val="24"/>
          <w:highlight w:val="none"/>
          <w14:textFill>
            <w14:solidFill>
              <w14:schemeClr w14:val="tx1"/>
            </w14:solidFill>
          </w14:textFill>
        </w:rPr>
        <w:t>）承包人对已完成的工程进行计量，向咨询人提交进度付款申</w:t>
      </w:r>
      <w:r>
        <w:rPr>
          <w:rFonts w:ascii="宋体" w:hAnsi="宋体" w:cs="宋体"/>
          <w:color w:val="000000" w:themeColor="text1"/>
          <w:spacing w:val="3"/>
          <w:sz w:val="24"/>
          <w:szCs w:val="24"/>
          <w:highlight w:val="none"/>
          <w14:textFill>
            <w14:solidFill>
              <w14:schemeClr w14:val="tx1"/>
            </w14:solidFill>
          </w14:textFill>
        </w:rPr>
        <w:t>请单、已完</w:t>
      </w:r>
      <w:r>
        <w:rPr>
          <w:rFonts w:ascii="宋体" w:hAnsi="宋体" w:cs="宋体"/>
          <w:color w:val="000000" w:themeColor="text1"/>
          <w:spacing w:val="-1"/>
          <w:sz w:val="24"/>
          <w:szCs w:val="24"/>
          <w:highlight w:val="none"/>
          <w14:textFill>
            <w14:solidFill>
              <w14:schemeClr w14:val="tx1"/>
            </w14:solidFill>
          </w14:textFill>
        </w:rPr>
        <w:t>成工程量报表和有关计量资料。</w:t>
      </w:r>
    </w:p>
    <w:p w14:paraId="50B861D3">
      <w:pPr>
        <w:spacing w:before="111" w:line="286" w:lineRule="auto"/>
        <w:ind w:firstLine="492"/>
        <w:rPr>
          <w:rFonts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pacing w:val="-2"/>
          <w:sz w:val="24"/>
          <w:szCs w:val="24"/>
          <w:highlight w:val="none"/>
          <w14:textFill>
            <w14:solidFill>
              <w14:schemeClr w14:val="tx1"/>
            </w14:solidFill>
          </w14:textFill>
        </w:rPr>
        <w:t>（</w:t>
      </w:r>
      <w:r>
        <w:rPr>
          <w:rFonts w:eastAsia="Times New Roman"/>
          <w:color w:val="000000" w:themeColor="text1"/>
          <w:spacing w:val="-2"/>
          <w:sz w:val="24"/>
          <w:szCs w:val="24"/>
          <w:highlight w:val="none"/>
          <w14:textFill>
            <w14:solidFill>
              <w14:schemeClr w14:val="tx1"/>
            </w14:solidFill>
          </w14:textFill>
        </w:rPr>
        <w:t>3</w:t>
      </w:r>
      <w:r>
        <w:rPr>
          <w:rFonts w:ascii="宋体" w:hAnsi="宋体" w:cs="宋体"/>
          <w:color w:val="000000" w:themeColor="text1"/>
          <w:spacing w:val="-2"/>
          <w:sz w:val="24"/>
          <w:szCs w:val="24"/>
          <w:highlight w:val="none"/>
          <w14:textFill>
            <w14:solidFill>
              <w14:schemeClr w14:val="tx1"/>
            </w14:solidFill>
          </w14:textFill>
        </w:rPr>
        <w:t>）咨询人对承包人提交的工程量报表进行复核，以确定实际完成的工程量。</w:t>
      </w:r>
      <w:r>
        <w:rPr>
          <w:rFonts w:ascii="宋体" w:hAnsi="宋体" w:cs="宋体"/>
          <w:color w:val="000000" w:themeColor="text1"/>
          <w:spacing w:val="2"/>
          <w:sz w:val="24"/>
          <w:szCs w:val="24"/>
          <w:highlight w:val="none"/>
          <w14:textFill>
            <w14:solidFill>
              <w14:schemeClr w14:val="tx1"/>
            </w14:solidFill>
          </w14:textFill>
        </w:rPr>
        <w:t>对数量有异议的，可要求承包人按第</w:t>
      </w:r>
      <w:r>
        <w:rPr>
          <w:rFonts w:ascii="宋体" w:hAnsi="宋体" w:cs="宋体"/>
          <w:color w:val="000000" w:themeColor="text1"/>
          <w:spacing w:val="-43"/>
          <w:sz w:val="24"/>
          <w:szCs w:val="24"/>
          <w:highlight w:val="none"/>
          <w14:textFill>
            <w14:solidFill>
              <w14:schemeClr w14:val="tx1"/>
            </w14:solidFill>
          </w14:textFill>
        </w:rPr>
        <w:t xml:space="preserve"> </w:t>
      </w:r>
      <w:r>
        <w:rPr>
          <w:rFonts w:eastAsia="Times New Roman"/>
          <w:color w:val="000000" w:themeColor="text1"/>
          <w:spacing w:val="2"/>
          <w:sz w:val="24"/>
          <w:szCs w:val="24"/>
          <w:highlight w:val="none"/>
          <w14:textFill>
            <w14:solidFill>
              <w14:schemeClr w14:val="tx1"/>
            </w14:solidFill>
          </w14:textFill>
        </w:rPr>
        <w:t xml:space="preserve">8.2 </w:t>
      </w:r>
      <w:r>
        <w:rPr>
          <w:rFonts w:ascii="宋体" w:hAnsi="宋体" w:cs="宋体"/>
          <w:color w:val="000000" w:themeColor="text1"/>
          <w:spacing w:val="2"/>
          <w:sz w:val="24"/>
          <w:szCs w:val="24"/>
          <w:highlight w:val="none"/>
          <w14:textFill>
            <w14:solidFill>
              <w14:schemeClr w14:val="tx1"/>
            </w14:solidFill>
          </w14:textFill>
        </w:rPr>
        <w:t>款约定进行共同复核和抽</w:t>
      </w:r>
      <w:r>
        <w:rPr>
          <w:rFonts w:ascii="宋体" w:hAnsi="宋体" w:cs="宋体"/>
          <w:color w:val="000000" w:themeColor="text1"/>
          <w:spacing w:val="1"/>
          <w:sz w:val="24"/>
          <w:szCs w:val="24"/>
          <w:highlight w:val="none"/>
          <w14:textFill>
            <w14:solidFill>
              <w14:schemeClr w14:val="tx1"/>
            </w14:solidFill>
          </w14:textFill>
        </w:rPr>
        <w:t>样复测。承包人应协助咨询人进行复核并按咨询人要求提供补充计量资料。</w:t>
      </w:r>
      <w:r>
        <w:rPr>
          <w:rFonts w:ascii="宋体" w:hAnsi="宋体" w:cs="宋体"/>
          <w:color w:val="000000" w:themeColor="text1"/>
          <w:sz w:val="24"/>
          <w:szCs w:val="24"/>
          <w:highlight w:val="none"/>
          <w14:textFill>
            <w14:solidFill>
              <w14:schemeClr w14:val="tx1"/>
            </w14:solidFill>
          </w14:textFill>
        </w:rPr>
        <w:t>承包人未按咨询人要求参加复核，咨询人复核或修正的工程量视为承包</w:t>
      </w:r>
      <w:r>
        <w:rPr>
          <w:rFonts w:ascii="宋体" w:hAnsi="宋体" w:cs="宋体"/>
          <w:color w:val="000000" w:themeColor="text1"/>
          <w:spacing w:val="-1"/>
          <w:sz w:val="24"/>
          <w:szCs w:val="24"/>
          <w:highlight w:val="none"/>
          <w14:textFill>
            <w14:solidFill>
              <w14:schemeClr w14:val="tx1"/>
            </w14:solidFill>
          </w14:textFill>
        </w:rPr>
        <w:t>人实际完成的工程量。</w:t>
      </w:r>
    </w:p>
    <w:p w14:paraId="37A664B2">
      <w:pPr>
        <w:spacing w:before="115" w:line="264" w:lineRule="auto"/>
        <w:ind w:right="44" w:firstLine="491"/>
        <w:rPr>
          <w:rFonts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pacing w:val="4"/>
          <w:sz w:val="24"/>
          <w:szCs w:val="24"/>
          <w:highlight w:val="none"/>
          <w14:textFill>
            <w14:solidFill>
              <w14:schemeClr w14:val="tx1"/>
            </w14:solidFill>
          </w14:textFill>
        </w:rPr>
        <w:t>（</w:t>
      </w:r>
      <w:r>
        <w:rPr>
          <w:rFonts w:eastAsia="Times New Roman"/>
          <w:color w:val="000000" w:themeColor="text1"/>
          <w:spacing w:val="4"/>
          <w:sz w:val="24"/>
          <w:szCs w:val="24"/>
          <w:highlight w:val="none"/>
          <w14:textFill>
            <w14:solidFill>
              <w14:schemeClr w14:val="tx1"/>
            </w14:solidFill>
          </w14:textFill>
        </w:rPr>
        <w:t>4</w:t>
      </w:r>
      <w:r>
        <w:rPr>
          <w:rFonts w:ascii="宋体" w:hAnsi="宋体" w:cs="宋体"/>
          <w:color w:val="000000" w:themeColor="text1"/>
          <w:spacing w:val="4"/>
          <w:sz w:val="24"/>
          <w:szCs w:val="24"/>
          <w:highlight w:val="none"/>
          <w14:textFill>
            <w14:solidFill>
              <w14:schemeClr w14:val="tx1"/>
            </w14:solidFill>
          </w14:textFill>
        </w:rPr>
        <w:t>）咨询人认为有必要时，可通知承包人共同进行联合测量、计量，承</w:t>
      </w:r>
      <w:r>
        <w:rPr>
          <w:rFonts w:ascii="宋体" w:hAnsi="宋体" w:cs="宋体"/>
          <w:color w:val="000000" w:themeColor="text1"/>
          <w:spacing w:val="3"/>
          <w:sz w:val="24"/>
          <w:szCs w:val="24"/>
          <w:highlight w:val="none"/>
          <w14:textFill>
            <w14:solidFill>
              <w14:schemeClr w14:val="tx1"/>
            </w14:solidFill>
          </w14:textFill>
        </w:rPr>
        <w:t>包人</w:t>
      </w:r>
      <w:r>
        <w:rPr>
          <w:rFonts w:ascii="宋体" w:hAnsi="宋体" w:cs="宋体"/>
          <w:color w:val="000000" w:themeColor="text1"/>
          <w:spacing w:val="-2"/>
          <w:sz w:val="24"/>
          <w:szCs w:val="24"/>
          <w:highlight w:val="none"/>
          <w14:textFill>
            <w14:solidFill>
              <w14:schemeClr w14:val="tx1"/>
            </w14:solidFill>
          </w14:textFill>
        </w:rPr>
        <w:t>应遵照执行。</w:t>
      </w:r>
    </w:p>
    <w:p w14:paraId="719ABCC9">
      <w:pPr>
        <w:spacing w:before="78" w:line="290" w:lineRule="auto"/>
        <w:ind w:firstLine="492"/>
        <w:rPr>
          <w:rFonts w:ascii="宋体" w:hAnsi="宋体" w:cs="宋体"/>
          <w:color w:val="000000" w:themeColor="text1"/>
          <w:sz w:val="24"/>
          <w:szCs w:val="24"/>
          <w:highlight w:val="none"/>
          <w14:textFill>
            <w14:solidFill>
              <w14:schemeClr w14:val="tx1"/>
            </w14:solidFill>
          </w14:textFill>
        </w:rPr>
      </w:pPr>
      <w:bookmarkStart w:id="161" w:name="bookmark225"/>
      <w:bookmarkEnd w:id="161"/>
      <w:r>
        <w:rPr>
          <w:rFonts w:ascii="宋体" w:hAnsi="宋体" w:cs="宋体"/>
          <w:color w:val="000000" w:themeColor="text1"/>
          <w:spacing w:val="4"/>
          <w:sz w:val="24"/>
          <w:szCs w:val="24"/>
          <w:highlight w:val="none"/>
          <w14:textFill>
            <w14:solidFill>
              <w14:schemeClr w14:val="tx1"/>
            </w14:solidFill>
          </w14:textFill>
        </w:rPr>
        <w:t>（</w:t>
      </w:r>
      <w:r>
        <w:rPr>
          <w:rFonts w:eastAsia="Times New Roman"/>
          <w:color w:val="000000" w:themeColor="text1"/>
          <w:spacing w:val="4"/>
          <w:sz w:val="24"/>
          <w:szCs w:val="24"/>
          <w:highlight w:val="none"/>
          <w14:textFill>
            <w14:solidFill>
              <w14:schemeClr w14:val="tx1"/>
            </w14:solidFill>
          </w14:textFill>
        </w:rPr>
        <w:t>5</w:t>
      </w:r>
      <w:r>
        <w:rPr>
          <w:rFonts w:ascii="宋体" w:hAnsi="宋体" w:cs="宋体"/>
          <w:color w:val="000000" w:themeColor="text1"/>
          <w:spacing w:val="4"/>
          <w:sz w:val="24"/>
          <w:szCs w:val="24"/>
          <w:highlight w:val="none"/>
          <w14:textFill>
            <w14:solidFill>
              <w14:schemeClr w14:val="tx1"/>
            </w14:solidFill>
          </w14:textFill>
        </w:rPr>
        <w:t>）承包人完成工程量清单中每个子目的工程量后，咨询人应要求承包</w:t>
      </w:r>
      <w:r>
        <w:rPr>
          <w:rFonts w:ascii="宋体" w:hAnsi="宋体" w:cs="宋体"/>
          <w:color w:val="000000" w:themeColor="text1"/>
          <w:spacing w:val="3"/>
          <w:sz w:val="24"/>
          <w:szCs w:val="24"/>
          <w:highlight w:val="none"/>
          <w14:textFill>
            <w14:solidFill>
              <w14:schemeClr w14:val="tx1"/>
            </w14:solidFill>
          </w14:textFill>
        </w:rPr>
        <w:t>人派</w:t>
      </w:r>
      <w:r>
        <w:rPr>
          <w:rFonts w:ascii="宋体" w:hAnsi="宋体" w:cs="宋体"/>
          <w:color w:val="000000" w:themeColor="text1"/>
          <w:spacing w:val="1"/>
          <w:sz w:val="24"/>
          <w:szCs w:val="24"/>
          <w:highlight w:val="none"/>
          <w14:textFill>
            <w14:solidFill>
              <w14:schemeClr w14:val="tx1"/>
            </w14:solidFill>
          </w14:textFill>
        </w:rPr>
        <w:t>员共同对每个子目的历次计量报表进行汇总，以核实最终结</w:t>
      </w:r>
      <w:r>
        <w:rPr>
          <w:rFonts w:ascii="宋体" w:hAnsi="宋体" w:cs="宋体"/>
          <w:color w:val="000000" w:themeColor="text1"/>
          <w:sz w:val="24"/>
          <w:szCs w:val="24"/>
          <w:highlight w:val="none"/>
          <w14:textFill>
            <w14:solidFill>
              <w14:schemeClr w14:val="tx1"/>
            </w14:solidFill>
          </w14:textFill>
        </w:rPr>
        <w:t>算工程量。咨询人可要</w:t>
      </w:r>
      <w:r>
        <w:rPr>
          <w:rFonts w:ascii="宋体" w:hAnsi="宋体" w:cs="宋体"/>
          <w:color w:val="000000" w:themeColor="text1"/>
          <w:spacing w:val="1"/>
          <w:sz w:val="24"/>
          <w:szCs w:val="24"/>
          <w:highlight w:val="none"/>
          <w14:textFill>
            <w14:solidFill>
              <w14:schemeClr w14:val="tx1"/>
            </w14:solidFill>
          </w14:textFill>
        </w:rPr>
        <w:t>求承包人提供补充计量资料，以确定最后一次进度付款的准</w:t>
      </w:r>
      <w:r>
        <w:rPr>
          <w:rFonts w:ascii="宋体" w:hAnsi="宋体" w:cs="宋体"/>
          <w:color w:val="000000" w:themeColor="text1"/>
          <w:sz w:val="24"/>
          <w:szCs w:val="24"/>
          <w:highlight w:val="none"/>
          <w14:textFill>
            <w14:solidFill>
              <w14:schemeClr w14:val="tx1"/>
            </w14:solidFill>
          </w14:textFill>
        </w:rPr>
        <w:t>确工程量。承包人未按</w:t>
      </w:r>
      <w:r>
        <w:rPr>
          <w:rFonts w:ascii="宋体" w:hAnsi="宋体" w:cs="宋体"/>
          <w:color w:val="000000" w:themeColor="text1"/>
          <w:spacing w:val="1"/>
          <w:sz w:val="24"/>
          <w:szCs w:val="24"/>
          <w:highlight w:val="none"/>
          <w14:textFill>
            <w14:solidFill>
              <w14:schemeClr w14:val="tx1"/>
            </w14:solidFill>
          </w14:textFill>
        </w:rPr>
        <w:t>咨询人要求派员参加的，咨询人最终核实的工程量视为承包</w:t>
      </w:r>
      <w:r>
        <w:rPr>
          <w:rFonts w:ascii="宋体" w:hAnsi="宋体" w:cs="宋体"/>
          <w:color w:val="000000" w:themeColor="text1"/>
          <w:sz w:val="24"/>
          <w:szCs w:val="24"/>
          <w:highlight w:val="none"/>
          <w14:textFill>
            <w14:solidFill>
              <w14:schemeClr w14:val="tx1"/>
            </w14:solidFill>
          </w14:textFill>
        </w:rPr>
        <w:t>人完成该子目的准确工</w:t>
      </w:r>
      <w:r>
        <w:rPr>
          <w:rFonts w:ascii="宋体" w:hAnsi="宋体" w:cs="宋体"/>
          <w:color w:val="000000" w:themeColor="text1"/>
          <w:spacing w:val="-3"/>
          <w:sz w:val="24"/>
          <w:szCs w:val="24"/>
          <w:highlight w:val="none"/>
          <w14:textFill>
            <w14:solidFill>
              <w14:schemeClr w14:val="tx1"/>
            </w14:solidFill>
          </w14:textFill>
        </w:rPr>
        <w:t>程量。</w:t>
      </w:r>
    </w:p>
    <w:p w14:paraId="2BCD55C3">
      <w:pPr>
        <w:spacing w:before="112" w:line="278" w:lineRule="auto"/>
        <w:ind w:left="4" w:firstLine="487"/>
        <w:rPr>
          <w:rFonts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pacing w:val="3"/>
          <w:sz w:val="24"/>
          <w:szCs w:val="24"/>
          <w:highlight w:val="none"/>
          <w14:textFill>
            <w14:solidFill>
              <w14:schemeClr w14:val="tx1"/>
            </w14:solidFill>
          </w14:textFill>
        </w:rPr>
        <w:t>（</w:t>
      </w:r>
      <w:r>
        <w:rPr>
          <w:rFonts w:eastAsia="Times New Roman"/>
          <w:color w:val="000000" w:themeColor="text1"/>
          <w:spacing w:val="3"/>
          <w:sz w:val="24"/>
          <w:szCs w:val="24"/>
          <w:highlight w:val="none"/>
          <w14:textFill>
            <w14:solidFill>
              <w14:schemeClr w14:val="tx1"/>
            </w14:solidFill>
          </w14:textFill>
        </w:rPr>
        <w:t>6</w:t>
      </w:r>
      <w:r>
        <w:rPr>
          <w:rFonts w:ascii="宋体" w:hAnsi="宋体" w:cs="宋体"/>
          <w:color w:val="000000" w:themeColor="text1"/>
          <w:spacing w:val="3"/>
          <w:sz w:val="24"/>
          <w:szCs w:val="24"/>
          <w:highlight w:val="none"/>
          <w14:textFill>
            <w14:solidFill>
              <w14:schemeClr w14:val="tx1"/>
            </w14:solidFill>
          </w14:textFill>
        </w:rPr>
        <w:t>）咨询人应在收到承包人提交的工程量报表后的</w:t>
      </w:r>
      <w:r>
        <w:rPr>
          <w:rFonts w:ascii="宋体" w:hAnsi="宋体" w:cs="宋体"/>
          <w:color w:val="000000" w:themeColor="text1"/>
          <w:spacing w:val="-47"/>
          <w:sz w:val="24"/>
          <w:szCs w:val="24"/>
          <w:highlight w:val="none"/>
          <w14:textFill>
            <w14:solidFill>
              <w14:schemeClr w14:val="tx1"/>
            </w14:solidFill>
          </w14:textFill>
        </w:rPr>
        <w:t xml:space="preserve"> </w:t>
      </w:r>
      <w:r>
        <w:rPr>
          <w:rFonts w:eastAsia="Times New Roman"/>
          <w:color w:val="000000" w:themeColor="text1"/>
          <w:spacing w:val="3"/>
          <w:sz w:val="24"/>
          <w:szCs w:val="24"/>
          <w:highlight w:val="none"/>
          <w14:textFill>
            <w14:solidFill>
              <w14:schemeClr w14:val="tx1"/>
            </w14:solidFill>
          </w14:textFill>
        </w:rPr>
        <w:t>7</w:t>
      </w:r>
      <w:r>
        <w:rPr>
          <w:rFonts w:eastAsia="Times New Roman"/>
          <w:color w:val="000000" w:themeColor="text1"/>
          <w:spacing w:val="19"/>
          <w:sz w:val="24"/>
          <w:szCs w:val="24"/>
          <w:highlight w:val="none"/>
          <w14:textFill>
            <w14:solidFill>
              <w14:schemeClr w14:val="tx1"/>
            </w14:solidFill>
          </w14:textFill>
        </w:rPr>
        <w:t xml:space="preserve"> </w:t>
      </w:r>
      <w:r>
        <w:rPr>
          <w:rFonts w:ascii="宋体" w:hAnsi="宋体" w:cs="宋体"/>
          <w:color w:val="000000" w:themeColor="text1"/>
          <w:spacing w:val="3"/>
          <w:sz w:val="24"/>
          <w:szCs w:val="24"/>
          <w:highlight w:val="none"/>
          <w14:textFill>
            <w14:solidFill>
              <w14:schemeClr w14:val="tx1"/>
            </w14:solidFill>
          </w14:textFill>
        </w:rPr>
        <w:t>天内进行复核，咨询人</w:t>
      </w:r>
      <w:r>
        <w:rPr>
          <w:rFonts w:ascii="宋体" w:hAnsi="宋体" w:cs="宋体"/>
          <w:color w:val="000000" w:themeColor="text1"/>
          <w:spacing w:val="1"/>
          <w:sz w:val="24"/>
          <w:szCs w:val="24"/>
          <w:highlight w:val="none"/>
          <w14:textFill>
            <w14:solidFill>
              <w14:schemeClr w14:val="tx1"/>
            </w14:solidFill>
          </w14:textFill>
        </w:rPr>
        <w:t>未在约定时间内复核的，承包人提交的工程量报</w:t>
      </w:r>
      <w:r>
        <w:rPr>
          <w:rFonts w:ascii="宋体" w:hAnsi="宋体" w:cs="宋体"/>
          <w:color w:val="000000" w:themeColor="text1"/>
          <w:sz w:val="24"/>
          <w:szCs w:val="24"/>
          <w:highlight w:val="none"/>
          <w14:textFill>
            <w14:solidFill>
              <w14:schemeClr w14:val="tx1"/>
            </w14:solidFill>
          </w14:textFill>
        </w:rPr>
        <w:t>表中的工程量视为承包人实际完成</w:t>
      </w:r>
      <w:r>
        <w:rPr>
          <w:rFonts w:ascii="宋体" w:hAnsi="宋体" w:cs="宋体"/>
          <w:color w:val="000000" w:themeColor="text1"/>
          <w:spacing w:val="-1"/>
          <w:sz w:val="24"/>
          <w:szCs w:val="24"/>
          <w:highlight w:val="none"/>
          <w14:textFill>
            <w14:solidFill>
              <w14:schemeClr w14:val="tx1"/>
            </w14:solidFill>
          </w14:textFill>
        </w:rPr>
        <w:t>的工程量，据此计算工程价款。</w:t>
      </w:r>
    </w:p>
    <w:p w14:paraId="61363496">
      <w:pPr>
        <w:spacing w:before="115" w:line="263" w:lineRule="auto"/>
        <w:ind w:left="3" w:firstLine="488"/>
        <w:rPr>
          <w:rFonts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pacing w:val="4"/>
          <w:sz w:val="24"/>
          <w:szCs w:val="24"/>
          <w:highlight w:val="none"/>
          <w14:textFill>
            <w14:solidFill>
              <w14:schemeClr w14:val="tx1"/>
            </w14:solidFill>
          </w14:textFill>
        </w:rPr>
        <w:t>（</w:t>
      </w:r>
      <w:r>
        <w:rPr>
          <w:rFonts w:eastAsia="Times New Roman"/>
          <w:color w:val="000000" w:themeColor="text1"/>
          <w:spacing w:val="4"/>
          <w:sz w:val="24"/>
          <w:szCs w:val="24"/>
          <w:highlight w:val="none"/>
          <w14:textFill>
            <w14:solidFill>
              <w14:schemeClr w14:val="tx1"/>
            </w14:solidFill>
          </w14:textFill>
        </w:rPr>
        <w:t>7</w:t>
      </w:r>
      <w:r>
        <w:rPr>
          <w:rFonts w:ascii="宋体" w:hAnsi="宋体" w:cs="宋体"/>
          <w:color w:val="000000" w:themeColor="text1"/>
          <w:spacing w:val="4"/>
          <w:sz w:val="24"/>
          <w:szCs w:val="24"/>
          <w:highlight w:val="none"/>
          <w14:textFill>
            <w14:solidFill>
              <w14:schemeClr w14:val="tx1"/>
            </w14:solidFill>
          </w14:textFill>
        </w:rPr>
        <w:t>）承包人未在已标价工程量清单中填入单价或总额价的工程子目，将</w:t>
      </w:r>
      <w:r>
        <w:rPr>
          <w:rFonts w:ascii="宋体" w:hAnsi="宋体" w:cs="宋体"/>
          <w:color w:val="000000" w:themeColor="text1"/>
          <w:spacing w:val="3"/>
          <w:sz w:val="24"/>
          <w:szCs w:val="24"/>
          <w:highlight w:val="none"/>
          <w14:textFill>
            <w14:solidFill>
              <w14:schemeClr w14:val="tx1"/>
            </w14:solidFill>
          </w14:textFill>
        </w:rPr>
        <w:t>被认</w:t>
      </w:r>
      <w:r>
        <w:rPr>
          <w:rFonts w:ascii="宋体" w:hAnsi="宋体" w:cs="宋体"/>
          <w:color w:val="000000" w:themeColor="text1"/>
          <w:sz w:val="24"/>
          <w:szCs w:val="24"/>
          <w:highlight w:val="none"/>
          <w14:textFill>
            <w14:solidFill>
              <w14:schemeClr w14:val="tx1"/>
            </w14:solidFill>
          </w14:textFill>
        </w:rPr>
        <w:t>为其已包含在本合同的其他子目的单价和总</w:t>
      </w:r>
      <w:r>
        <w:rPr>
          <w:rFonts w:ascii="宋体" w:hAnsi="宋体" w:cs="宋体"/>
          <w:color w:val="000000" w:themeColor="text1"/>
          <w:spacing w:val="-1"/>
          <w:sz w:val="24"/>
          <w:szCs w:val="24"/>
          <w:highlight w:val="none"/>
          <w14:textFill>
            <w14:solidFill>
              <w14:schemeClr w14:val="tx1"/>
            </w14:solidFill>
          </w14:textFill>
        </w:rPr>
        <w:t>额价中，发包人将不另行支付。</w:t>
      </w:r>
    </w:p>
    <w:p w14:paraId="246246CA">
      <w:pPr>
        <w:spacing w:before="117" w:line="218" w:lineRule="auto"/>
        <w:ind w:left="499"/>
        <w:rPr>
          <w:rFonts w:ascii="宋体" w:hAnsi="宋体" w:cs="宋体"/>
          <w:color w:val="000000" w:themeColor="text1"/>
          <w:sz w:val="24"/>
          <w:szCs w:val="24"/>
          <w:highlight w:val="none"/>
          <w14:textFill>
            <w14:solidFill>
              <w14:schemeClr w14:val="tx1"/>
            </w14:solidFill>
          </w14:textFill>
        </w:rPr>
      </w:pPr>
      <w:r>
        <w:rPr>
          <w:rFonts w:eastAsia="Times New Roman"/>
          <w:color w:val="000000" w:themeColor="text1"/>
          <w:spacing w:val="-2"/>
          <w:sz w:val="24"/>
          <w:szCs w:val="24"/>
          <w:highlight w:val="none"/>
          <w14:textFill>
            <w14:solidFill>
              <w14:schemeClr w14:val="tx1"/>
            </w14:solidFill>
          </w14:textFill>
        </w:rPr>
        <w:t xml:space="preserve">17.1.5  </w:t>
      </w:r>
      <w:r>
        <w:rPr>
          <w:rFonts w:ascii="宋体" w:hAnsi="宋体" w:cs="宋体"/>
          <w:color w:val="000000" w:themeColor="text1"/>
          <w:spacing w:val="-2"/>
          <w:sz w:val="24"/>
          <w:szCs w:val="24"/>
          <w:highlight w:val="none"/>
          <w14:textFill>
            <w14:solidFill>
              <w14:schemeClr w14:val="tx1"/>
            </w14:solidFill>
          </w14:textFill>
        </w:rPr>
        <w:t>总价子目的计量</w:t>
      </w:r>
    </w:p>
    <w:p w14:paraId="5FE8DAF8">
      <w:pPr>
        <w:spacing w:before="115" w:line="218" w:lineRule="auto"/>
        <w:ind w:left="495"/>
        <w:rPr>
          <w:rFonts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pacing w:val="-1"/>
          <w:sz w:val="24"/>
          <w:szCs w:val="24"/>
          <w:highlight w:val="none"/>
          <w14:textFill>
            <w14:solidFill>
              <w14:schemeClr w14:val="tx1"/>
            </w14:solidFill>
          </w14:textFill>
        </w:rPr>
        <w:t>除专用合同条款另有约定外，总价子目的分解和计量按照下述约定进行：</w:t>
      </w:r>
    </w:p>
    <w:p w14:paraId="6690F653">
      <w:pPr>
        <w:spacing w:before="119" w:line="263" w:lineRule="auto"/>
        <w:ind w:left="2" w:firstLine="489"/>
        <w:rPr>
          <w:rFonts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pacing w:val="1"/>
          <w:sz w:val="24"/>
          <w:szCs w:val="24"/>
          <w:highlight w:val="none"/>
          <w14:textFill>
            <w14:solidFill>
              <w14:schemeClr w14:val="tx1"/>
            </w14:solidFill>
          </w14:textFill>
        </w:rPr>
        <w:t>（</w:t>
      </w:r>
      <w:r>
        <w:rPr>
          <w:rFonts w:eastAsia="Times New Roman"/>
          <w:color w:val="000000" w:themeColor="text1"/>
          <w:spacing w:val="1"/>
          <w:sz w:val="24"/>
          <w:szCs w:val="24"/>
          <w:highlight w:val="none"/>
          <w14:textFill>
            <w14:solidFill>
              <w14:schemeClr w14:val="tx1"/>
            </w14:solidFill>
          </w14:textFill>
        </w:rPr>
        <w:t>1</w:t>
      </w:r>
      <w:r>
        <w:rPr>
          <w:rFonts w:ascii="宋体" w:hAnsi="宋体" w:cs="宋体"/>
          <w:color w:val="000000" w:themeColor="text1"/>
          <w:spacing w:val="1"/>
          <w:sz w:val="24"/>
          <w:szCs w:val="24"/>
          <w:highlight w:val="none"/>
          <w14:textFill>
            <w14:solidFill>
              <w14:schemeClr w14:val="tx1"/>
            </w14:solidFill>
          </w14:textFill>
        </w:rPr>
        <w:t>）总价子目的计量和支付应以总价为基础，不因第</w:t>
      </w:r>
      <w:r>
        <w:rPr>
          <w:rFonts w:ascii="宋体" w:hAnsi="宋体" w:cs="宋体"/>
          <w:color w:val="000000" w:themeColor="text1"/>
          <w:spacing w:val="-23"/>
          <w:sz w:val="24"/>
          <w:szCs w:val="24"/>
          <w:highlight w:val="none"/>
          <w14:textFill>
            <w14:solidFill>
              <w14:schemeClr w14:val="tx1"/>
            </w14:solidFill>
          </w14:textFill>
        </w:rPr>
        <w:t xml:space="preserve"> </w:t>
      </w:r>
      <w:r>
        <w:rPr>
          <w:rFonts w:eastAsia="Times New Roman"/>
          <w:color w:val="000000" w:themeColor="text1"/>
          <w:spacing w:val="1"/>
          <w:sz w:val="24"/>
          <w:szCs w:val="24"/>
          <w:highlight w:val="none"/>
          <w14:textFill>
            <w14:solidFill>
              <w14:schemeClr w14:val="tx1"/>
            </w14:solidFill>
          </w14:textFill>
        </w:rPr>
        <w:t xml:space="preserve">16.1 </w:t>
      </w:r>
      <w:r>
        <w:rPr>
          <w:rFonts w:ascii="宋体" w:hAnsi="宋体" w:cs="宋体"/>
          <w:color w:val="000000" w:themeColor="text1"/>
          <w:spacing w:val="1"/>
          <w:sz w:val="24"/>
          <w:szCs w:val="24"/>
          <w:highlight w:val="none"/>
          <w14:textFill>
            <w14:solidFill>
              <w14:schemeClr w14:val="tx1"/>
            </w14:solidFill>
          </w14:textFill>
        </w:rPr>
        <w:t>款中的因素而进行</w:t>
      </w:r>
      <w:r>
        <w:rPr>
          <w:rFonts w:ascii="宋体" w:hAnsi="宋体" w:cs="宋体"/>
          <w:color w:val="000000" w:themeColor="text1"/>
          <w:sz w:val="24"/>
          <w:szCs w:val="24"/>
          <w:highlight w:val="none"/>
          <w14:textFill>
            <w14:solidFill>
              <w14:schemeClr w14:val="tx1"/>
            </w14:solidFill>
          </w14:textFill>
        </w:rPr>
        <w:t>调整。承包人实际完成的工程量，是进行养护目标</w:t>
      </w:r>
      <w:r>
        <w:rPr>
          <w:rFonts w:ascii="宋体" w:hAnsi="宋体" w:cs="宋体"/>
          <w:color w:val="000000" w:themeColor="text1"/>
          <w:spacing w:val="-1"/>
          <w:sz w:val="24"/>
          <w:szCs w:val="24"/>
          <w:highlight w:val="none"/>
          <w14:textFill>
            <w14:solidFill>
              <w14:schemeClr w14:val="tx1"/>
            </w14:solidFill>
          </w14:textFill>
        </w:rPr>
        <w:t>管理和控制进度支付的依据。</w:t>
      </w:r>
    </w:p>
    <w:p w14:paraId="17944C00">
      <w:pPr>
        <w:spacing w:before="113" w:line="286" w:lineRule="auto"/>
        <w:ind w:left="1" w:firstLine="490"/>
        <w:rPr>
          <w:rFonts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pacing w:val="4"/>
          <w:sz w:val="24"/>
          <w:szCs w:val="24"/>
          <w:highlight w:val="none"/>
          <w14:textFill>
            <w14:solidFill>
              <w14:schemeClr w14:val="tx1"/>
            </w14:solidFill>
          </w14:textFill>
        </w:rPr>
        <w:t>（</w:t>
      </w:r>
      <w:r>
        <w:rPr>
          <w:rFonts w:eastAsia="Times New Roman"/>
          <w:color w:val="000000" w:themeColor="text1"/>
          <w:spacing w:val="4"/>
          <w:sz w:val="24"/>
          <w:szCs w:val="24"/>
          <w:highlight w:val="none"/>
          <w14:textFill>
            <w14:solidFill>
              <w14:schemeClr w14:val="tx1"/>
            </w14:solidFill>
          </w14:textFill>
        </w:rPr>
        <w:t>2</w:t>
      </w:r>
      <w:r>
        <w:rPr>
          <w:rFonts w:ascii="宋体" w:hAnsi="宋体" w:cs="宋体"/>
          <w:color w:val="000000" w:themeColor="text1"/>
          <w:spacing w:val="4"/>
          <w:sz w:val="24"/>
          <w:szCs w:val="24"/>
          <w:highlight w:val="none"/>
          <w14:textFill>
            <w14:solidFill>
              <w14:schemeClr w14:val="tx1"/>
            </w14:solidFill>
          </w14:textFill>
        </w:rPr>
        <w:t>）承包人在合同约定的每个计量周期内，对已完成的工程进行计量，</w:t>
      </w:r>
      <w:r>
        <w:rPr>
          <w:rFonts w:ascii="宋体" w:hAnsi="宋体" w:cs="宋体"/>
          <w:color w:val="000000" w:themeColor="text1"/>
          <w:spacing w:val="3"/>
          <w:sz w:val="24"/>
          <w:szCs w:val="24"/>
          <w:highlight w:val="none"/>
          <w14:textFill>
            <w14:solidFill>
              <w14:schemeClr w14:val="tx1"/>
            </w14:solidFill>
          </w14:textFill>
        </w:rPr>
        <w:t>并向</w:t>
      </w:r>
      <w:r>
        <w:rPr>
          <w:rFonts w:ascii="宋体" w:hAnsi="宋体" w:cs="宋体"/>
          <w:color w:val="000000" w:themeColor="text1"/>
          <w:spacing w:val="1"/>
          <w:sz w:val="24"/>
          <w:szCs w:val="24"/>
          <w:highlight w:val="none"/>
          <w14:textFill>
            <w14:solidFill>
              <w14:schemeClr w14:val="tx1"/>
            </w14:solidFill>
          </w14:textFill>
        </w:rPr>
        <w:t>咨询人提交进度付款申请单、专用合同条款约定的合同</w:t>
      </w:r>
      <w:r>
        <w:rPr>
          <w:rFonts w:ascii="宋体" w:hAnsi="宋体" w:cs="宋体"/>
          <w:color w:val="000000" w:themeColor="text1"/>
          <w:sz w:val="24"/>
          <w:szCs w:val="24"/>
          <w:highlight w:val="none"/>
          <w14:textFill>
            <w14:solidFill>
              <w14:schemeClr w14:val="tx1"/>
            </w14:solidFill>
          </w14:textFill>
        </w:rPr>
        <w:t>总价支付分解表所表示的阶</w:t>
      </w:r>
      <w:r>
        <w:rPr>
          <w:rFonts w:ascii="宋体" w:hAnsi="宋体" w:cs="宋体"/>
          <w:color w:val="000000" w:themeColor="text1"/>
          <w:spacing w:val="1"/>
          <w:sz w:val="24"/>
          <w:szCs w:val="24"/>
          <w:highlight w:val="none"/>
          <w14:textFill>
            <w14:solidFill>
              <w14:schemeClr w14:val="tx1"/>
            </w14:solidFill>
          </w14:textFill>
        </w:rPr>
        <w:t>段性或分项计量的支持性资料，以及所达到工程形象目</w:t>
      </w:r>
      <w:r>
        <w:rPr>
          <w:rFonts w:ascii="宋体" w:hAnsi="宋体" w:cs="宋体"/>
          <w:color w:val="000000" w:themeColor="text1"/>
          <w:sz w:val="24"/>
          <w:szCs w:val="24"/>
          <w:highlight w:val="none"/>
          <w14:textFill>
            <w14:solidFill>
              <w14:schemeClr w14:val="tx1"/>
            </w14:solidFill>
          </w14:textFill>
        </w:rPr>
        <w:t>标或分阶段需完成的工程量</w:t>
      </w:r>
      <w:r>
        <w:rPr>
          <w:rFonts w:ascii="宋体" w:hAnsi="宋体" w:cs="宋体"/>
          <w:color w:val="000000" w:themeColor="text1"/>
          <w:spacing w:val="-2"/>
          <w:sz w:val="24"/>
          <w:szCs w:val="24"/>
          <w:highlight w:val="none"/>
          <w14:textFill>
            <w14:solidFill>
              <w14:schemeClr w14:val="tx1"/>
            </w14:solidFill>
          </w14:textFill>
        </w:rPr>
        <w:t>和有关计量资料。</w:t>
      </w:r>
    </w:p>
    <w:p w14:paraId="46C3A8F4">
      <w:pPr>
        <w:spacing w:before="115" w:line="278" w:lineRule="auto"/>
        <w:ind w:firstLine="492"/>
        <w:rPr>
          <w:rFonts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pacing w:val="4"/>
          <w:sz w:val="24"/>
          <w:szCs w:val="24"/>
          <w:highlight w:val="none"/>
          <w14:textFill>
            <w14:solidFill>
              <w14:schemeClr w14:val="tx1"/>
            </w14:solidFill>
          </w14:textFill>
        </w:rPr>
        <w:t>（</w:t>
      </w:r>
      <w:r>
        <w:rPr>
          <w:rFonts w:eastAsia="Times New Roman"/>
          <w:color w:val="000000" w:themeColor="text1"/>
          <w:spacing w:val="4"/>
          <w:sz w:val="24"/>
          <w:szCs w:val="24"/>
          <w:highlight w:val="none"/>
          <w14:textFill>
            <w14:solidFill>
              <w14:schemeClr w14:val="tx1"/>
            </w14:solidFill>
          </w14:textFill>
        </w:rPr>
        <w:t>3</w:t>
      </w:r>
      <w:r>
        <w:rPr>
          <w:rFonts w:ascii="宋体" w:hAnsi="宋体" w:cs="宋体"/>
          <w:color w:val="000000" w:themeColor="text1"/>
          <w:spacing w:val="4"/>
          <w:sz w:val="24"/>
          <w:szCs w:val="24"/>
          <w:highlight w:val="none"/>
          <w14:textFill>
            <w14:solidFill>
              <w14:schemeClr w14:val="tx1"/>
            </w14:solidFill>
          </w14:textFill>
        </w:rPr>
        <w:t>）咨询人对承包人提交的上述资料进行复核，以确定分阶段实际完成</w:t>
      </w:r>
      <w:r>
        <w:rPr>
          <w:rFonts w:ascii="宋体" w:hAnsi="宋体" w:cs="宋体"/>
          <w:color w:val="000000" w:themeColor="text1"/>
          <w:spacing w:val="3"/>
          <w:sz w:val="24"/>
          <w:szCs w:val="24"/>
          <w:highlight w:val="none"/>
          <w14:textFill>
            <w14:solidFill>
              <w14:schemeClr w14:val="tx1"/>
            </w14:solidFill>
          </w14:textFill>
        </w:rPr>
        <w:t>的工</w:t>
      </w:r>
      <w:r>
        <w:rPr>
          <w:rFonts w:ascii="宋体" w:hAnsi="宋体" w:cs="宋体"/>
          <w:color w:val="000000" w:themeColor="text1"/>
          <w:spacing w:val="2"/>
          <w:sz w:val="24"/>
          <w:szCs w:val="24"/>
          <w:highlight w:val="none"/>
          <w14:textFill>
            <w14:solidFill>
              <w14:schemeClr w14:val="tx1"/>
            </w14:solidFill>
          </w14:textFill>
        </w:rPr>
        <w:t>程量和工程形象目标。对其有异议的，可要求承包人按第</w:t>
      </w:r>
      <w:r>
        <w:rPr>
          <w:rFonts w:ascii="宋体" w:hAnsi="宋体" w:cs="宋体"/>
          <w:color w:val="000000" w:themeColor="text1"/>
          <w:spacing w:val="-42"/>
          <w:sz w:val="24"/>
          <w:szCs w:val="24"/>
          <w:highlight w:val="none"/>
          <w14:textFill>
            <w14:solidFill>
              <w14:schemeClr w14:val="tx1"/>
            </w14:solidFill>
          </w14:textFill>
        </w:rPr>
        <w:t xml:space="preserve"> </w:t>
      </w:r>
      <w:r>
        <w:rPr>
          <w:rFonts w:eastAsia="Times New Roman"/>
          <w:color w:val="000000" w:themeColor="text1"/>
          <w:spacing w:val="2"/>
          <w:sz w:val="24"/>
          <w:szCs w:val="24"/>
          <w:highlight w:val="none"/>
          <w14:textFill>
            <w14:solidFill>
              <w14:schemeClr w14:val="tx1"/>
            </w14:solidFill>
          </w14:textFill>
        </w:rPr>
        <w:t>8.2</w:t>
      </w:r>
      <w:r>
        <w:rPr>
          <w:rFonts w:eastAsia="Times New Roman"/>
          <w:color w:val="000000" w:themeColor="text1"/>
          <w:spacing w:val="1"/>
          <w:sz w:val="24"/>
          <w:szCs w:val="24"/>
          <w:highlight w:val="none"/>
          <w14:textFill>
            <w14:solidFill>
              <w14:schemeClr w14:val="tx1"/>
            </w14:solidFill>
          </w14:textFill>
        </w:rPr>
        <w:t xml:space="preserve"> </w:t>
      </w:r>
      <w:r>
        <w:rPr>
          <w:rFonts w:ascii="宋体" w:hAnsi="宋体" w:cs="宋体"/>
          <w:color w:val="000000" w:themeColor="text1"/>
          <w:spacing w:val="1"/>
          <w:sz w:val="24"/>
          <w:szCs w:val="24"/>
          <w:highlight w:val="none"/>
          <w14:textFill>
            <w14:solidFill>
              <w14:schemeClr w14:val="tx1"/>
            </w14:solidFill>
          </w14:textFill>
        </w:rPr>
        <w:t>款约定进行共同复核</w:t>
      </w:r>
      <w:r>
        <w:rPr>
          <w:rFonts w:ascii="宋体" w:hAnsi="宋体" w:cs="宋体"/>
          <w:color w:val="000000" w:themeColor="text1"/>
          <w:spacing w:val="-2"/>
          <w:sz w:val="24"/>
          <w:szCs w:val="24"/>
          <w:highlight w:val="none"/>
          <w14:textFill>
            <w14:solidFill>
              <w14:schemeClr w14:val="tx1"/>
            </w14:solidFill>
          </w14:textFill>
        </w:rPr>
        <w:t>和抽样复测。</w:t>
      </w:r>
    </w:p>
    <w:p w14:paraId="53CCC6A4">
      <w:pPr>
        <w:spacing w:before="116" w:line="264" w:lineRule="auto"/>
        <w:ind w:left="4" w:right="2" w:firstLine="487"/>
        <w:rPr>
          <w:rFonts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w:t>
      </w:r>
      <w:r>
        <w:rPr>
          <w:rFonts w:eastAsia="Times New Roman"/>
          <w:color w:val="000000" w:themeColor="text1"/>
          <w:sz w:val="24"/>
          <w:szCs w:val="24"/>
          <w:highlight w:val="none"/>
          <w14:textFill>
            <w14:solidFill>
              <w14:schemeClr w14:val="tx1"/>
            </w14:solidFill>
          </w14:textFill>
        </w:rPr>
        <w:t>4</w:t>
      </w:r>
      <w:r>
        <w:rPr>
          <w:rFonts w:ascii="宋体" w:hAnsi="宋体" w:cs="宋体"/>
          <w:color w:val="000000" w:themeColor="text1"/>
          <w:sz w:val="24"/>
          <w:szCs w:val="24"/>
          <w:highlight w:val="none"/>
          <w14:textFill>
            <w14:solidFill>
              <w14:schemeClr w14:val="tx1"/>
            </w14:solidFill>
          </w14:textFill>
        </w:rPr>
        <w:t>）除按照第</w:t>
      </w:r>
      <w:r>
        <w:rPr>
          <w:rFonts w:ascii="宋体" w:hAnsi="宋体" w:cs="宋体"/>
          <w:color w:val="000000" w:themeColor="text1"/>
          <w:spacing w:val="-32"/>
          <w:sz w:val="24"/>
          <w:szCs w:val="24"/>
          <w:highlight w:val="none"/>
          <w14:textFill>
            <w14:solidFill>
              <w14:schemeClr w14:val="tx1"/>
            </w14:solidFill>
          </w14:textFill>
        </w:rPr>
        <w:t xml:space="preserve"> </w:t>
      </w:r>
      <w:r>
        <w:rPr>
          <w:rFonts w:eastAsia="Times New Roman"/>
          <w:color w:val="000000" w:themeColor="text1"/>
          <w:sz w:val="24"/>
          <w:szCs w:val="24"/>
          <w:highlight w:val="none"/>
          <w14:textFill>
            <w14:solidFill>
              <w14:schemeClr w14:val="tx1"/>
            </w14:solidFill>
          </w14:textFill>
        </w:rPr>
        <w:t xml:space="preserve">15 </w:t>
      </w:r>
      <w:r>
        <w:rPr>
          <w:rFonts w:ascii="宋体" w:hAnsi="宋体" w:cs="宋体"/>
          <w:color w:val="000000" w:themeColor="text1"/>
          <w:sz w:val="24"/>
          <w:szCs w:val="24"/>
          <w:highlight w:val="none"/>
          <w14:textFill>
            <w14:solidFill>
              <w14:schemeClr w14:val="tx1"/>
            </w14:solidFill>
          </w14:textFill>
        </w:rPr>
        <w:t>条约定的变更外，总</w:t>
      </w:r>
      <w:r>
        <w:rPr>
          <w:rFonts w:ascii="宋体" w:hAnsi="宋体" w:cs="宋体"/>
          <w:color w:val="000000" w:themeColor="text1"/>
          <w:spacing w:val="-1"/>
          <w:sz w:val="24"/>
          <w:szCs w:val="24"/>
          <w:highlight w:val="none"/>
          <w14:textFill>
            <w14:solidFill>
              <w14:schemeClr w14:val="tx1"/>
            </w14:solidFill>
          </w14:textFill>
        </w:rPr>
        <w:t>价子目的工程量是承包人用于结算的最</w:t>
      </w:r>
      <w:r>
        <w:rPr>
          <w:rFonts w:ascii="宋体" w:hAnsi="宋体" w:cs="宋体"/>
          <w:color w:val="000000" w:themeColor="text1"/>
          <w:spacing w:val="-3"/>
          <w:sz w:val="24"/>
          <w:szCs w:val="24"/>
          <w:highlight w:val="none"/>
          <w14:textFill>
            <w14:solidFill>
              <w14:schemeClr w14:val="tx1"/>
            </w14:solidFill>
          </w14:textFill>
        </w:rPr>
        <w:t>终工程量。</w:t>
      </w:r>
    </w:p>
    <w:p w14:paraId="45EFBB8E">
      <w:pPr>
        <w:spacing w:before="112" w:line="264" w:lineRule="auto"/>
        <w:ind w:left="5" w:right="2" w:firstLine="486"/>
        <w:rPr>
          <w:rFonts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pacing w:val="3"/>
          <w:sz w:val="24"/>
          <w:szCs w:val="24"/>
          <w:highlight w:val="none"/>
          <w14:textFill>
            <w14:solidFill>
              <w14:schemeClr w14:val="tx1"/>
            </w14:solidFill>
          </w14:textFill>
        </w:rPr>
        <w:t>（</w:t>
      </w:r>
      <w:r>
        <w:rPr>
          <w:rFonts w:eastAsia="Times New Roman"/>
          <w:color w:val="000000" w:themeColor="text1"/>
          <w:spacing w:val="3"/>
          <w:sz w:val="24"/>
          <w:szCs w:val="24"/>
          <w:highlight w:val="none"/>
          <w14:textFill>
            <w14:solidFill>
              <w14:schemeClr w14:val="tx1"/>
            </w14:solidFill>
          </w14:textFill>
        </w:rPr>
        <w:t>5</w:t>
      </w:r>
      <w:r>
        <w:rPr>
          <w:rFonts w:ascii="宋体" w:hAnsi="宋体" w:cs="宋体"/>
          <w:color w:val="000000" w:themeColor="text1"/>
          <w:spacing w:val="3"/>
          <w:sz w:val="24"/>
          <w:szCs w:val="24"/>
          <w:highlight w:val="none"/>
          <w14:textFill>
            <w14:solidFill>
              <w14:schemeClr w14:val="tx1"/>
            </w14:solidFill>
          </w14:textFill>
        </w:rPr>
        <w:t>）工程量清单中要求承包人以“总额</w:t>
      </w:r>
      <w:r>
        <w:rPr>
          <w:rFonts w:ascii="宋体" w:hAnsi="宋体" w:cs="宋体"/>
          <w:color w:val="000000" w:themeColor="text1"/>
          <w:spacing w:val="-83"/>
          <w:sz w:val="24"/>
          <w:szCs w:val="24"/>
          <w:highlight w:val="none"/>
          <w14:textFill>
            <w14:solidFill>
              <w14:schemeClr w14:val="tx1"/>
            </w14:solidFill>
          </w14:textFill>
        </w:rPr>
        <w:t xml:space="preserve"> </w:t>
      </w:r>
      <w:r>
        <w:rPr>
          <w:rFonts w:ascii="宋体" w:hAnsi="宋体" w:cs="宋体"/>
          <w:color w:val="000000" w:themeColor="text1"/>
          <w:spacing w:val="3"/>
          <w:sz w:val="24"/>
          <w:szCs w:val="24"/>
          <w:highlight w:val="none"/>
          <w14:textFill>
            <w14:solidFill>
              <w14:schemeClr w14:val="tx1"/>
            </w14:solidFill>
          </w14:textFill>
        </w:rPr>
        <w:t>”方式报价的子目</w:t>
      </w:r>
      <w:r>
        <w:rPr>
          <w:rFonts w:ascii="宋体" w:hAnsi="宋体" w:cs="宋体"/>
          <w:color w:val="000000" w:themeColor="text1"/>
          <w:spacing w:val="2"/>
          <w:sz w:val="24"/>
          <w:szCs w:val="24"/>
          <w:highlight w:val="none"/>
          <w14:textFill>
            <w14:solidFill>
              <w14:schemeClr w14:val="tx1"/>
            </w14:solidFill>
          </w14:textFill>
        </w:rPr>
        <w:t>，各子目的支付原</w:t>
      </w:r>
      <w:r>
        <w:rPr>
          <w:rFonts w:ascii="宋体" w:hAnsi="宋体" w:cs="宋体"/>
          <w:color w:val="000000" w:themeColor="text1"/>
          <w:spacing w:val="-1"/>
          <w:sz w:val="24"/>
          <w:szCs w:val="24"/>
          <w:highlight w:val="none"/>
          <w14:textFill>
            <w14:solidFill>
              <w14:schemeClr w14:val="tx1"/>
            </w14:solidFill>
          </w14:textFill>
        </w:rPr>
        <w:t>则和支付进度按专用合同条款的约定执行。</w:t>
      </w:r>
    </w:p>
    <w:p w14:paraId="75381937">
      <w:pPr>
        <w:spacing w:before="106" w:line="219" w:lineRule="auto"/>
        <w:ind w:left="487"/>
        <w:outlineLvl w:val="3"/>
        <w:rPr>
          <w:rFonts w:ascii="宋体" w:hAnsi="宋体" w:cs="宋体"/>
          <w:color w:val="000000" w:themeColor="text1"/>
          <w:sz w:val="24"/>
          <w:szCs w:val="24"/>
          <w:highlight w:val="none"/>
          <w14:textFill>
            <w14:solidFill>
              <w14:schemeClr w14:val="tx1"/>
            </w14:solidFill>
          </w14:textFill>
        </w:rPr>
      </w:pPr>
      <w:r>
        <w:rPr>
          <w:rFonts w:eastAsia="Times New Roman"/>
          <w:b/>
          <w:bCs/>
          <w:color w:val="000000" w:themeColor="text1"/>
          <w:spacing w:val="-5"/>
          <w:sz w:val="24"/>
          <w:szCs w:val="24"/>
          <w:highlight w:val="none"/>
          <w14:textFill>
            <w14:solidFill>
              <w14:schemeClr w14:val="tx1"/>
            </w14:solidFill>
          </w14:textFill>
        </w:rPr>
        <w:t>17.2</w:t>
      </w:r>
      <w:r>
        <w:rPr>
          <w:rFonts w:eastAsia="Times New Roman"/>
          <w:b/>
          <w:bCs/>
          <w:color w:val="000000" w:themeColor="text1"/>
          <w:spacing w:val="6"/>
          <w:sz w:val="24"/>
          <w:szCs w:val="24"/>
          <w:highlight w:val="none"/>
          <w14:textFill>
            <w14:solidFill>
              <w14:schemeClr w14:val="tx1"/>
            </w14:solidFill>
          </w14:textFill>
        </w:rPr>
        <w:t xml:space="preserve">  </w:t>
      </w:r>
      <w:r>
        <w:rPr>
          <w:rFonts w:ascii="宋体" w:hAnsi="宋体" w:cs="宋体"/>
          <w:b/>
          <w:bCs/>
          <w:color w:val="000000" w:themeColor="text1"/>
          <w:spacing w:val="-5"/>
          <w:sz w:val="24"/>
          <w:szCs w:val="24"/>
          <w:highlight w:val="none"/>
          <w14:textFill>
            <w14:solidFill>
              <w14:schemeClr w14:val="tx1"/>
            </w14:solidFill>
          </w14:textFill>
        </w:rPr>
        <w:t>预付款</w:t>
      </w:r>
    </w:p>
    <w:p w14:paraId="6819D586">
      <w:pPr>
        <w:spacing w:before="124" w:line="219" w:lineRule="auto"/>
        <w:ind w:left="499"/>
        <w:rPr>
          <w:rFonts w:ascii="宋体" w:hAnsi="宋体" w:cs="宋体"/>
          <w:color w:val="000000" w:themeColor="text1"/>
          <w:sz w:val="24"/>
          <w:szCs w:val="24"/>
          <w:highlight w:val="none"/>
          <w14:textFill>
            <w14:solidFill>
              <w14:schemeClr w14:val="tx1"/>
            </w14:solidFill>
          </w14:textFill>
        </w:rPr>
      </w:pPr>
      <w:r>
        <w:rPr>
          <w:rFonts w:eastAsia="Times New Roman"/>
          <w:color w:val="000000" w:themeColor="text1"/>
          <w:spacing w:val="-5"/>
          <w:sz w:val="24"/>
          <w:szCs w:val="24"/>
          <w:highlight w:val="none"/>
          <w14:textFill>
            <w14:solidFill>
              <w14:schemeClr w14:val="tx1"/>
            </w14:solidFill>
          </w14:textFill>
        </w:rPr>
        <w:t>17.2.1</w:t>
      </w:r>
      <w:r>
        <w:rPr>
          <w:rFonts w:eastAsia="Times New Roman"/>
          <w:color w:val="000000" w:themeColor="text1"/>
          <w:spacing w:val="15"/>
          <w:w w:val="101"/>
          <w:sz w:val="24"/>
          <w:szCs w:val="24"/>
          <w:highlight w:val="none"/>
          <w14:textFill>
            <w14:solidFill>
              <w14:schemeClr w14:val="tx1"/>
            </w14:solidFill>
          </w14:textFill>
        </w:rPr>
        <w:t xml:space="preserve"> </w:t>
      </w:r>
      <w:r>
        <w:rPr>
          <w:rFonts w:ascii="宋体" w:hAnsi="宋体" w:cs="宋体"/>
          <w:color w:val="000000" w:themeColor="text1"/>
          <w:spacing w:val="-5"/>
          <w:sz w:val="24"/>
          <w:szCs w:val="24"/>
          <w:highlight w:val="none"/>
          <w14:textFill>
            <w14:solidFill>
              <w14:schemeClr w14:val="tx1"/>
            </w14:solidFill>
          </w14:textFill>
        </w:rPr>
        <w:t>预付款</w:t>
      </w:r>
    </w:p>
    <w:p w14:paraId="19B773B7">
      <w:pPr>
        <w:spacing w:before="116" w:line="307" w:lineRule="auto"/>
        <w:ind w:firstLine="482"/>
        <w:rPr>
          <w:rFonts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pacing w:val="1"/>
          <w:sz w:val="24"/>
          <w:szCs w:val="24"/>
          <w:highlight w:val="none"/>
          <w14:textFill>
            <w14:solidFill>
              <w14:schemeClr w14:val="tx1"/>
            </w14:solidFill>
          </w14:textFill>
        </w:rPr>
        <w:t>预付款用于承包人为合同实施购置材料、设备、修建</w:t>
      </w:r>
      <w:r>
        <w:rPr>
          <w:rFonts w:ascii="宋体" w:hAnsi="宋体" w:cs="宋体"/>
          <w:color w:val="000000" w:themeColor="text1"/>
          <w:sz w:val="24"/>
          <w:szCs w:val="24"/>
          <w:highlight w:val="none"/>
          <w14:textFill>
            <w14:solidFill>
              <w14:schemeClr w14:val="tx1"/>
            </w14:solidFill>
          </w14:textFill>
        </w:rPr>
        <w:t>临时设施以及组织养护队</w:t>
      </w:r>
      <w:r>
        <w:rPr>
          <w:rFonts w:ascii="宋体" w:hAnsi="宋体" w:cs="宋体"/>
          <w:color w:val="000000" w:themeColor="text1"/>
          <w:spacing w:val="-2"/>
          <w:sz w:val="24"/>
          <w:szCs w:val="24"/>
          <w:highlight w:val="none"/>
          <w14:textFill>
            <w14:solidFill>
              <w14:schemeClr w14:val="tx1"/>
            </w14:solidFill>
          </w14:textFill>
        </w:rPr>
        <w:t>伍进场等。</w:t>
      </w:r>
    </w:p>
    <w:p w14:paraId="23A25F5F">
      <w:pPr>
        <w:spacing w:before="1" w:line="218" w:lineRule="auto"/>
        <w:ind w:left="482"/>
        <w:rPr>
          <w:rFonts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预付款包括开工预付款和材料、设备预付款</w:t>
      </w:r>
      <w:r>
        <w:rPr>
          <w:rFonts w:ascii="宋体" w:hAnsi="宋体" w:cs="宋体"/>
          <w:color w:val="000000" w:themeColor="text1"/>
          <w:spacing w:val="-1"/>
          <w:sz w:val="24"/>
          <w:szCs w:val="24"/>
          <w:highlight w:val="none"/>
          <w14:textFill>
            <w14:solidFill>
              <w14:schemeClr w14:val="tx1"/>
            </w14:solidFill>
          </w14:textFill>
        </w:rPr>
        <w:t>。具体额度和预付办法如下：</w:t>
      </w:r>
    </w:p>
    <w:p w14:paraId="6DFAEB1D">
      <w:pPr>
        <w:spacing w:before="115" w:line="308" w:lineRule="auto"/>
        <w:ind w:firstLine="491"/>
        <w:rPr>
          <w:rFonts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pacing w:val="4"/>
          <w:sz w:val="24"/>
          <w:szCs w:val="24"/>
          <w:highlight w:val="none"/>
          <w14:textFill>
            <w14:solidFill>
              <w14:schemeClr w14:val="tx1"/>
            </w14:solidFill>
          </w14:textFill>
        </w:rPr>
        <w:t>（</w:t>
      </w:r>
      <w:r>
        <w:rPr>
          <w:rFonts w:eastAsia="Times New Roman"/>
          <w:color w:val="000000" w:themeColor="text1"/>
          <w:spacing w:val="4"/>
          <w:sz w:val="24"/>
          <w:szCs w:val="24"/>
          <w:highlight w:val="none"/>
          <w14:textFill>
            <w14:solidFill>
              <w14:schemeClr w14:val="tx1"/>
            </w14:solidFill>
          </w14:textFill>
        </w:rPr>
        <w:t>1</w:t>
      </w:r>
      <w:r>
        <w:rPr>
          <w:rFonts w:ascii="宋体" w:hAnsi="宋体" w:cs="宋体"/>
          <w:color w:val="000000" w:themeColor="text1"/>
          <w:spacing w:val="4"/>
          <w:sz w:val="24"/>
          <w:szCs w:val="24"/>
          <w:highlight w:val="none"/>
          <w14:textFill>
            <w14:solidFill>
              <w14:schemeClr w14:val="tx1"/>
            </w14:solidFill>
          </w14:textFill>
        </w:rPr>
        <w:t>）开工预付款的金额在专用合同条款中约定。在承包人签订了合同协</w:t>
      </w:r>
      <w:r>
        <w:rPr>
          <w:rFonts w:ascii="宋体" w:hAnsi="宋体" w:cs="宋体"/>
          <w:color w:val="000000" w:themeColor="text1"/>
          <w:spacing w:val="3"/>
          <w:sz w:val="24"/>
          <w:szCs w:val="24"/>
          <w:highlight w:val="none"/>
          <w14:textFill>
            <w14:solidFill>
              <w14:schemeClr w14:val="tx1"/>
            </w14:solidFill>
          </w14:textFill>
        </w:rPr>
        <w:t>议书</w:t>
      </w:r>
      <w:r>
        <w:rPr>
          <w:rFonts w:ascii="宋体" w:hAnsi="宋体" w:cs="宋体"/>
          <w:color w:val="000000" w:themeColor="text1"/>
          <w:spacing w:val="1"/>
          <w:sz w:val="24"/>
          <w:szCs w:val="24"/>
          <w:highlight w:val="none"/>
          <w14:textFill>
            <w14:solidFill>
              <w14:schemeClr w14:val="tx1"/>
            </w14:solidFill>
          </w14:textFill>
        </w:rPr>
        <w:t>且承包人承诺的主要人员、设备进场后，咨询人应在当期</w:t>
      </w:r>
      <w:r>
        <w:rPr>
          <w:rFonts w:ascii="宋体" w:hAnsi="宋体" w:cs="宋体"/>
          <w:color w:val="000000" w:themeColor="text1"/>
          <w:sz w:val="24"/>
          <w:szCs w:val="24"/>
          <w:highlight w:val="none"/>
          <w14:textFill>
            <w14:solidFill>
              <w14:schemeClr w14:val="tx1"/>
            </w14:solidFill>
          </w14:textFill>
        </w:rPr>
        <w:t>进度付款证书中向承包人</w:t>
      </w:r>
      <w:r>
        <w:rPr>
          <w:rFonts w:ascii="宋体" w:hAnsi="宋体" w:cs="宋体"/>
          <w:color w:val="000000" w:themeColor="text1"/>
          <w:spacing w:val="-2"/>
          <w:sz w:val="24"/>
          <w:szCs w:val="24"/>
          <w:highlight w:val="none"/>
          <w14:textFill>
            <w14:solidFill>
              <w14:schemeClr w14:val="tx1"/>
            </w14:solidFill>
          </w14:textFill>
        </w:rPr>
        <w:t>支付开工预付款。</w:t>
      </w:r>
    </w:p>
    <w:p w14:paraId="57E3786F">
      <w:pPr>
        <w:spacing w:before="116" w:line="307" w:lineRule="auto"/>
        <w:ind w:firstLine="482"/>
        <w:rPr>
          <w:rFonts w:ascii="宋体" w:hAnsi="宋体" w:cs="宋体"/>
          <w:color w:val="000000" w:themeColor="text1"/>
          <w:spacing w:val="1"/>
          <w:sz w:val="24"/>
          <w:szCs w:val="24"/>
          <w:highlight w:val="none"/>
          <w14:textFill>
            <w14:solidFill>
              <w14:schemeClr w14:val="tx1"/>
            </w14:solidFill>
          </w14:textFill>
        </w:rPr>
      </w:pPr>
      <w:r>
        <w:rPr>
          <w:rFonts w:ascii="宋体" w:hAnsi="宋体" w:cs="宋体"/>
          <w:color w:val="000000" w:themeColor="text1"/>
          <w:spacing w:val="1"/>
          <w:sz w:val="24"/>
          <w:szCs w:val="24"/>
          <w:highlight w:val="none"/>
          <w14:textFill>
            <w14:solidFill>
              <w14:schemeClr w14:val="tx1"/>
            </w14:solidFill>
          </w14:textFill>
        </w:rPr>
        <w:t>承包人不得将该预付款用于与养护项目无关的支出，发包人、咨询人有权监督承包人对该项费用的使用，如经查实承包人滥用开工预付款，发包人有权立即索赔履约保证金，并解除合同。</w:t>
      </w:r>
    </w:p>
    <w:p w14:paraId="013A69A5">
      <w:pPr>
        <w:spacing w:before="2" w:line="307" w:lineRule="auto"/>
        <w:ind w:left="10" w:right="145" w:firstLine="483"/>
        <w:rPr>
          <w:rFonts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pacing w:val="4"/>
          <w:sz w:val="24"/>
          <w:szCs w:val="24"/>
          <w:highlight w:val="none"/>
          <w14:textFill>
            <w14:solidFill>
              <w14:schemeClr w14:val="tx1"/>
            </w14:solidFill>
          </w14:textFill>
        </w:rPr>
        <w:t>（</w:t>
      </w:r>
      <w:r>
        <w:rPr>
          <w:rFonts w:eastAsia="Times New Roman"/>
          <w:color w:val="000000" w:themeColor="text1"/>
          <w:spacing w:val="4"/>
          <w:sz w:val="24"/>
          <w:szCs w:val="24"/>
          <w:highlight w:val="none"/>
          <w14:textFill>
            <w14:solidFill>
              <w14:schemeClr w14:val="tx1"/>
            </w14:solidFill>
          </w14:textFill>
        </w:rPr>
        <w:t>2</w:t>
      </w:r>
      <w:r>
        <w:rPr>
          <w:rFonts w:ascii="宋体" w:hAnsi="宋体" w:cs="宋体"/>
          <w:color w:val="000000" w:themeColor="text1"/>
          <w:spacing w:val="4"/>
          <w:sz w:val="24"/>
          <w:szCs w:val="24"/>
          <w:highlight w:val="none"/>
          <w14:textFill>
            <w14:solidFill>
              <w14:schemeClr w14:val="tx1"/>
            </w14:solidFill>
          </w14:textFill>
        </w:rPr>
        <w:t>）材料、设备预付款按专用合同条款中所列主要材料、设备单据费用</w:t>
      </w:r>
      <w:r>
        <w:rPr>
          <w:rFonts w:ascii="宋体" w:hAnsi="宋体" w:cs="宋体"/>
          <w:color w:val="000000" w:themeColor="text1"/>
          <w:spacing w:val="3"/>
          <w:sz w:val="24"/>
          <w:szCs w:val="24"/>
          <w:highlight w:val="none"/>
          <w14:textFill>
            <w14:solidFill>
              <w14:schemeClr w14:val="tx1"/>
            </w14:solidFill>
          </w14:textFill>
        </w:rPr>
        <w:t>（进</w:t>
      </w:r>
      <w:r>
        <w:rPr>
          <w:rFonts w:ascii="宋体" w:hAnsi="宋体" w:cs="宋体"/>
          <w:color w:val="000000" w:themeColor="text1"/>
          <w:sz w:val="24"/>
          <w:szCs w:val="24"/>
          <w:highlight w:val="none"/>
          <w14:textFill>
            <w14:solidFill>
              <w14:schemeClr w14:val="tx1"/>
            </w14:solidFill>
          </w14:textFill>
        </w:rPr>
        <w:t>口的材料、设备为到岸价，国内采购的为出厂价或销售价，地方材料为堆场价）的</w:t>
      </w:r>
      <w:r>
        <w:rPr>
          <w:rFonts w:ascii="宋体" w:hAnsi="宋体" w:cs="宋体"/>
          <w:color w:val="000000" w:themeColor="text1"/>
          <w:spacing w:val="-2"/>
          <w:sz w:val="24"/>
          <w:szCs w:val="24"/>
          <w:highlight w:val="none"/>
          <w14:textFill>
            <w14:solidFill>
              <w14:schemeClr w14:val="tx1"/>
            </w14:solidFill>
          </w14:textFill>
        </w:rPr>
        <w:t>百分比支付。其预付条件为：</w:t>
      </w:r>
    </w:p>
    <w:p w14:paraId="471EA2BE">
      <w:pPr>
        <w:spacing w:line="218" w:lineRule="auto"/>
        <w:ind w:left="481"/>
        <w:rPr>
          <w:rFonts w:ascii="宋体" w:hAnsi="宋体" w:cs="宋体"/>
          <w:color w:val="000000" w:themeColor="text1"/>
          <w:sz w:val="24"/>
          <w:szCs w:val="24"/>
          <w:highlight w:val="none"/>
          <w14:textFill>
            <w14:solidFill>
              <w14:schemeClr w14:val="tx1"/>
            </w14:solidFill>
          </w14:textFill>
        </w:rPr>
      </w:pPr>
      <w:r>
        <w:rPr>
          <w:rFonts w:eastAsia="Times New Roman"/>
          <w:color w:val="000000" w:themeColor="text1"/>
          <w:spacing w:val="-1"/>
          <w:sz w:val="24"/>
          <w:szCs w:val="24"/>
          <w:highlight w:val="none"/>
          <w14:textFill>
            <w14:solidFill>
              <w14:schemeClr w14:val="tx1"/>
            </w14:solidFill>
          </w14:textFill>
        </w:rPr>
        <w:t xml:space="preserve">a.  </w:t>
      </w:r>
      <w:r>
        <w:rPr>
          <w:rFonts w:ascii="宋体" w:hAnsi="宋体" w:cs="宋体"/>
          <w:color w:val="000000" w:themeColor="text1"/>
          <w:spacing w:val="-1"/>
          <w:sz w:val="24"/>
          <w:szCs w:val="24"/>
          <w:highlight w:val="none"/>
          <w14:textFill>
            <w14:solidFill>
              <w14:schemeClr w14:val="tx1"/>
            </w14:solidFill>
          </w14:textFill>
        </w:rPr>
        <w:t>材料、设备符合规范要求并经咨询人认可；</w:t>
      </w:r>
    </w:p>
    <w:p w14:paraId="05EC20AD">
      <w:pPr>
        <w:spacing w:before="116" w:line="219" w:lineRule="auto"/>
        <w:ind w:left="472"/>
        <w:rPr>
          <w:rFonts w:ascii="宋体" w:hAnsi="宋体" w:cs="宋体"/>
          <w:color w:val="000000" w:themeColor="text1"/>
          <w:sz w:val="24"/>
          <w:szCs w:val="24"/>
          <w:highlight w:val="none"/>
          <w14:textFill>
            <w14:solidFill>
              <w14:schemeClr w14:val="tx1"/>
            </w14:solidFill>
          </w14:textFill>
        </w:rPr>
      </w:pPr>
      <w:r>
        <w:rPr>
          <w:rFonts w:eastAsia="Times New Roman"/>
          <w:color w:val="000000" w:themeColor="text1"/>
          <w:sz w:val="24"/>
          <w:szCs w:val="24"/>
          <w:highlight w:val="none"/>
          <w14:textFill>
            <w14:solidFill>
              <w14:schemeClr w14:val="tx1"/>
            </w14:solidFill>
          </w14:textFill>
        </w:rPr>
        <w:t xml:space="preserve">b.  </w:t>
      </w:r>
      <w:r>
        <w:rPr>
          <w:rFonts w:ascii="宋体" w:hAnsi="宋体" w:cs="宋体"/>
          <w:color w:val="000000" w:themeColor="text1"/>
          <w:sz w:val="24"/>
          <w:szCs w:val="24"/>
          <w:highlight w:val="none"/>
          <w14:textFill>
            <w14:solidFill>
              <w14:schemeClr w14:val="tx1"/>
            </w14:solidFill>
          </w14:textFill>
        </w:rPr>
        <w:t>承包人已出具材料、设备费用凭证或支付单据；</w:t>
      </w:r>
    </w:p>
    <w:p w14:paraId="726EE63B">
      <w:pPr>
        <w:spacing w:before="116" w:line="263" w:lineRule="auto"/>
        <w:ind w:left="2" w:right="148" w:firstLine="477"/>
        <w:rPr>
          <w:rFonts w:ascii="宋体" w:hAnsi="宋体" w:cs="宋体"/>
          <w:color w:val="000000" w:themeColor="text1"/>
          <w:sz w:val="24"/>
          <w:szCs w:val="24"/>
          <w:highlight w:val="none"/>
          <w14:textFill>
            <w14:solidFill>
              <w14:schemeClr w14:val="tx1"/>
            </w14:solidFill>
          </w14:textFill>
        </w:rPr>
      </w:pPr>
      <w:r>
        <w:rPr>
          <w:rFonts w:eastAsia="Times New Roman"/>
          <w:color w:val="000000" w:themeColor="text1"/>
          <w:spacing w:val="6"/>
          <w:sz w:val="24"/>
          <w:szCs w:val="24"/>
          <w:highlight w:val="none"/>
          <w14:textFill>
            <w14:solidFill>
              <w14:schemeClr w14:val="tx1"/>
            </w14:solidFill>
          </w14:textFill>
        </w:rPr>
        <w:t xml:space="preserve">c.  </w:t>
      </w:r>
      <w:r>
        <w:rPr>
          <w:rFonts w:ascii="宋体" w:hAnsi="宋体" w:cs="宋体"/>
          <w:color w:val="000000" w:themeColor="text1"/>
          <w:spacing w:val="6"/>
          <w:sz w:val="24"/>
          <w:szCs w:val="24"/>
          <w:highlight w:val="none"/>
          <w14:textFill>
            <w14:solidFill>
              <w14:schemeClr w14:val="tx1"/>
            </w14:solidFill>
          </w14:textFill>
        </w:rPr>
        <w:t>材料、设备已在现场交货，且存储良好，咨询人认为材料、设备的存储方</w:t>
      </w:r>
      <w:r>
        <w:rPr>
          <w:rFonts w:ascii="宋体" w:hAnsi="宋体" w:cs="宋体"/>
          <w:color w:val="000000" w:themeColor="text1"/>
          <w:spacing w:val="-2"/>
          <w:sz w:val="24"/>
          <w:szCs w:val="24"/>
          <w:highlight w:val="none"/>
          <w14:textFill>
            <w14:solidFill>
              <w14:schemeClr w14:val="tx1"/>
            </w14:solidFill>
          </w14:textFill>
        </w:rPr>
        <w:t>法符合要求。</w:t>
      </w:r>
    </w:p>
    <w:p w14:paraId="3BFC4911">
      <w:pPr>
        <w:spacing w:before="117" w:line="307" w:lineRule="auto"/>
        <w:ind w:right="185" w:firstLine="485"/>
        <w:rPr>
          <w:rFonts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pacing w:val="-1"/>
          <w:sz w:val="24"/>
          <w:szCs w:val="24"/>
          <w:highlight w:val="none"/>
          <w14:textFill>
            <w14:solidFill>
              <w14:schemeClr w14:val="tx1"/>
            </w14:solidFill>
          </w14:textFill>
        </w:rPr>
        <w:t>则咨询人应将此项金额作为材料、设备预付款计入下一次的进度付款证书中。在预计交工前</w:t>
      </w:r>
      <w:r>
        <w:rPr>
          <w:rFonts w:ascii="宋体" w:hAnsi="宋体" w:cs="宋体"/>
          <w:color w:val="000000" w:themeColor="text1"/>
          <w:spacing w:val="-45"/>
          <w:sz w:val="24"/>
          <w:szCs w:val="24"/>
          <w:highlight w:val="none"/>
          <w14:textFill>
            <w14:solidFill>
              <w14:schemeClr w14:val="tx1"/>
            </w14:solidFill>
          </w14:textFill>
        </w:rPr>
        <w:t xml:space="preserve"> </w:t>
      </w:r>
      <w:r>
        <w:rPr>
          <w:rFonts w:eastAsia="Times New Roman"/>
          <w:color w:val="000000" w:themeColor="text1"/>
          <w:spacing w:val="-1"/>
          <w:sz w:val="24"/>
          <w:szCs w:val="24"/>
          <w:highlight w:val="none"/>
          <w14:textFill>
            <w14:solidFill>
              <w14:schemeClr w14:val="tx1"/>
            </w14:solidFill>
          </w14:textFill>
        </w:rPr>
        <w:t xml:space="preserve">3 </w:t>
      </w:r>
      <w:r>
        <w:rPr>
          <w:rFonts w:ascii="宋体" w:hAnsi="宋体" w:cs="宋体"/>
          <w:color w:val="000000" w:themeColor="text1"/>
          <w:spacing w:val="-1"/>
          <w:sz w:val="24"/>
          <w:szCs w:val="24"/>
          <w:highlight w:val="none"/>
          <w14:textFill>
            <w14:solidFill>
              <w14:schemeClr w14:val="tx1"/>
            </w14:solidFill>
          </w14:textFill>
        </w:rPr>
        <w:t>个月，将不再支付材料、设备预付款。</w:t>
      </w:r>
    </w:p>
    <w:p w14:paraId="41579603">
      <w:pPr>
        <w:spacing w:line="219" w:lineRule="auto"/>
        <w:ind w:left="500"/>
        <w:rPr>
          <w:rFonts w:ascii="宋体" w:hAnsi="宋体" w:cs="宋体"/>
          <w:color w:val="000000" w:themeColor="text1"/>
          <w:sz w:val="24"/>
          <w:szCs w:val="24"/>
          <w:highlight w:val="none"/>
          <w14:textFill>
            <w14:solidFill>
              <w14:schemeClr w14:val="tx1"/>
            </w14:solidFill>
          </w14:textFill>
        </w:rPr>
      </w:pPr>
      <w:r>
        <w:rPr>
          <w:rFonts w:eastAsia="Times New Roman"/>
          <w:color w:val="000000" w:themeColor="text1"/>
          <w:spacing w:val="-3"/>
          <w:sz w:val="24"/>
          <w:szCs w:val="24"/>
          <w:highlight w:val="none"/>
          <w14:textFill>
            <w14:solidFill>
              <w14:schemeClr w14:val="tx1"/>
            </w14:solidFill>
          </w14:textFill>
        </w:rPr>
        <w:t xml:space="preserve">17.2.2  </w:t>
      </w:r>
      <w:r>
        <w:rPr>
          <w:rFonts w:ascii="宋体" w:hAnsi="宋体" w:cs="宋体"/>
          <w:color w:val="000000" w:themeColor="text1"/>
          <w:spacing w:val="-3"/>
          <w:sz w:val="24"/>
          <w:szCs w:val="24"/>
          <w:highlight w:val="none"/>
          <w14:textFill>
            <w14:solidFill>
              <w14:schemeClr w14:val="tx1"/>
            </w14:solidFill>
          </w14:textFill>
        </w:rPr>
        <w:t>预付款的使用</w:t>
      </w:r>
    </w:p>
    <w:p w14:paraId="7038DAE1">
      <w:pPr>
        <w:spacing w:before="117" w:line="307" w:lineRule="auto"/>
        <w:ind w:left="6" w:right="147" w:firstLine="479"/>
        <w:rPr>
          <w:rFonts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发包人向承包人支付的预付款，应按照本合同第</w:t>
      </w:r>
      <w:r>
        <w:rPr>
          <w:rFonts w:ascii="宋体" w:hAnsi="宋体" w:cs="宋体"/>
          <w:color w:val="000000" w:themeColor="text1"/>
          <w:spacing w:val="-29"/>
          <w:sz w:val="24"/>
          <w:szCs w:val="24"/>
          <w:highlight w:val="none"/>
          <w14:textFill>
            <w14:solidFill>
              <w14:schemeClr w14:val="tx1"/>
            </w14:solidFill>
          </w14:textFill>
        </w:rPr>
        <w:t xml:space="preserve"> </w:t>
      </w:r>
      <w:r>
        <w:rPr>
          <w:rFonts w:eastAsia="Times New Roman"/>
          <w:color w:val="000000" w:themeColor="text1"/>
          <w:sz w:val="24"/>
          <w:szCs w:val="24"/>
          <w:highlight w:val="none"/>
          <w14:textFill>
            <w14:solidFill>
              <w14:schemeClr w14:val="tx1"/>
            </w14:solidFill>
          </w14:textFill>
        </w:rPr>
        <w:t>17.2.</w:t>
      </w:r>
      <w:r>
        <w:rPr>
          <w:rFonts w:eastAsia="Times New Roman"/>
          <w:color w:val="000000" w:themeColor="text1"/>
          <w:spacing w:val="-1"/>
          <w:sz w:val="24"/>
          <w:szCs w:val="24"/>
          <w:highlight w:val="none"/>
          <w14:textFill>
            <w14:solidFill>
              <w14:schemeClr w14:val="tx1"/>
            </w14:solidFill>
          </w14:textFill>
        </w:rPr>
        <w:t xml:space="preserve">1 </w:t>
      </w:r>
      <w:r>
        <w:rPr>
          <w:rFonts w:ascii="宋体" w:hAnsi="宋体" w:cs="宋体"/>
          <w:color w:val="000000" w:themeColor="text1"/>
          <w:spacing w:val="-1"/>
          <w:sz w:val="24"/>
          <w:szCs w:val="24"/>
          <w:highlight w:val="none"/>
          <w14:textFill>
            <w14:solidFill>
              <w14:schemeClr w14:val="tx1"/>
            </w14:solidFill>
          </w14:textFill>
        </w:rPr>
        <w:t>项约定使用，承包人提交的履约保证金对预付款的正常使用承担保证责任。</w:t>
      </w:r>
    </w:p>
    <w:p w14:paraId="3D3E2B3D">
      <w:pPr>
        <w:spacing w:before="1" w:line="219" w:lineRule="auto"/>
        <w:ind w:left="500"/>
        <w:rPr>
          <w:rFonts w:ascii="宋体" w:hAnsi="宋体" w:cs="宋体"/>
          <w:color w:val="000000" w:themeColor="text1"/>
          <w:sz w:val="24"/>
          <w:szCs w:val="24"/>
          <w:highlight w:val="none"/>
          <w14:textFill>
            <w14:solidFill>
              <w14:schemeClr w14:val="tx1"/>
            </w14:solidFill>
          </w14:textFill>
        </w:rPr>
      </w:pPr>
      <w:r>
        <w:rPr>
          <w:rFonts w:eastAsia="Times New Roman"/>
          <w:color w:val="000000" w:themeColor="text1"/>
          <w:spacing w:val="-2"/>
          <w:sz w:val="24"/>
          <w:szCs w:val="24"/>
          <w:highlight w:val="none"/>
          <w14:textFill>
            <w14:solidFill>
              <w14:schemeClr w14:val="tx1"/>
            </w14:solidFill>
          </w14:textFill>
        </w:rPr>
        <w:t xml:space="preserve">17.2.3  </w:t>
      </w:r>
      <w:r>
        <w:rPr>
          <w:rFonts w:ascii="宋体" w:hAnsi="宋体" w:cs="宋体"/>
          <w:color w:val="000000" w:themeColor="text1"/>
          <w:spacing w:val="-2"/>
          <w:sz w:val="24"/>
          <w:szCs w:val="24"/>
          <w:highlight w:val="none"/>
          <w14:textFill>
            <w14:solidFill>
              <w14:schemeClr w14:val="tx1"/>
            </w14:solidFill>
          </w14:textFill>
        </w:rPr>
        <w:t>预付款的扣回与还清</w:t>
      </w:r>
    </w:p>
    <w:p w14:paraId="73869F31">
      <w:pPr>
        <w:spacing w:before="116" w:line="285" w:lineRule="auto"/>
        <w:ind w:left="2" w:right="145" w:firstLine="490"/>
        <w:rPr>
          <w:rFonts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pacing w:val="3"/>
          <w:sz w:val="24"/>
          <w:szCs w:val="24"/>
          <w:highlight w:val="none"/>
          <w14:textFill>
            <w14:solidFill>
              <w14:schemeClr w14:val="tx1"/>
            </w14:solidFill>
          </w14:textFill>
        </w:rPr>
        <w:t>（</w:t>
      </w:r>
      <w:r>
        <w:rPr>
          <w:rFonts w:eastAsia="Times New Roman"/>
          <w:color w:val="000000" w:themeColor="text1"/>
          <w:spacing w:val="3"/>
          <w:sz w:val="24"/>
          <w:szCs w:val="24"/>
          <w:highlight w:val="none"/>
          <w14:textFill>
            <w14:solidFill>
              <w14:schemeClr w14:val="tx1"/>
            </w14:solidFill>
          </w14:textFill>
        </w:rPr>
        <w:t>1</w:t>
      </w:r>
      <w:r>
        <w:rPr>
          <w:rFonts w:ascii="宋体" w:hAnsi="宋体" w:cs="宋体"/>
          <w:color w:val="000000" w:themeColor="text1"/>
          <w:spacing w:val="3"/>
          <w:sz w:val="24"/>
          <w:szCs w:val="24"/>
          <w:highlight w:val="none"/>
          <w14:textFill>
            <w14:solidFill>
              <w14:schemeClr w14:val="tx1"/>
            </w14:solidFill>
          </w14:textFill>
        </w:rPr>
        <w:t>）开工预付款在进度付款证书的累计金额未达到签约合同价的</w:t>
      </w:r>
      <w:r>
        <w:rPr>
          <w:rFonts w:ascii="宋体" w:hAnsi="宋体" w:cs="宋体"/>
          <w:color w:val="000000" w:themeColor="text1"/>
          <w:spacing w:val="-45"/>
          <w:sz w:val="24"/>
          <w:szCs w:val="24"/>
          <w:highlight w:val="none"/>
          <w14:textFill>
            <w14:solidFill>
              <w14:schemeClr w14:val="tx1"/>
            </w14:solidFill>
          </w14:textFill>
        </w:rPr>
        <w:t xml:space="preserve"> </w:t>
      </w:r>
      <w:r>
        <w:rPr>
          <w:rFonts w:eastAsia="Times New Roman"/>
          <w:color w:val="000000" w:themeColor="text1"/>
          <w:spacing w:val="2"/>
          <w:sz w:val="24"/>
          <w:szCs w:val="24"/>
          <w:highlight w:val="none"/>
          <w14:textFill>
            <w14:solidFill>
              <w14:schemeClr w14:val="tx1"/>
            </w14:solidFill>
          </w14:textFill>
        </w:rPr>
        <w:t>30%</w:t>
      </w:r>
      <w:r>
        <w:rPr>
          <w:rFonts w:ascii="宋体" w:hAnsi="宋体" w:cs="宋体"/>
          <w:color w:val="000000" w:themeColor="text1"/>
          <w:spacing w:val="2"/>
          <w:sz w:val="24"/>
          <w:szCs w:val="24"/>
          <w:highlight w:val="none"/>
          <w14:textFill>
            <w14:solidFill>
              <w14:schemeClr w14:val="tx1"/>
            </w14:solidFill>
          </w14:textFill>
        </w:rPr>
        <w:t>之前不</w:t>
      </w:r>
      <w:r>
        <w:rPr>
          <w:rFonts w:ascii="宋体" w:hAnsi="宋体" w:cs="宋体"/>
          <w:color w:val="000000" w:themeColor="text1"/>
          <w:sz w:val="24"/>
          <w:szCs w:val="24"/>
          <w:highlight w:val="none"/>
          <w14:textFill>
            <w14:solidFill>
              <w14:schemeClr w14:val="tx1"/>
            </w14:solidFill>
          </w14:textFill>
        </w:rPr>
        <w:t>予扣回，在达到签约合同价</w:t>
      </w:r>
      <w:r>
        <w:rPr>
          <w:rFonts w:ascii="宋体" w:hAnsi="宋体" w:cs="宋体"/>
          <w:color w:val="000000" w:themeColor="text1"/>
          <w:spacing w:val="-50"/>
          <w:sz w:val="24"/>
          <w:szCs w:val="24"/>
          <w:highlight w:val="none"/>
          <w14:textFill>
            <w14:solidFill>
              <w14:schemeClr w14:val="tx1"/>
            </w14:solidFill>
          </w14:textFill>
        </w:rPr>
        <w:t xml:space="preserve"> </w:t>
      </w:r>
      <w:r>
        <w:rPr>
          <w:rFonts w:eastAsia="Times New Roman"/>
          <w:color w:val="000000" w:themeColor="text1"/>
          <w:sz w:val="24"/>
          <w:szCs w:val="24"/>
          <w:highlight w:val="none"/>
          <w14:textFill>
            <w14:solidFill>
              <w14:schemeClr w14:val="tx1"/>
            </w14:solidFill>
          </w14:textFill>
        </w:rPr>
        <w:t>30%</w:t>
      </w:r>
      <w:r>
        <w:rPr>
          <w:rFonts w:ascii="宋体" w:hAnsi="宋体" w:cs="宋体"/>
          <w:color w:val="000000" w:themeColor="text1"/>
          <w:sz w:val="24"/>
          <w:szCs w:val="24"/>
          <w:highlight w:val="none"/>
          <w14:textFill>
            <w14:solidFill>
              <w14:schemeClr w14:val="tx1"/>
            </w14:solidFill>
          </w14:textFill>
        </w:rPr>
        <w:t>之后，开始按工程进度以固定比</w:t>
      </w:r>
      <w:r>
        <w:rPr>
          <w:rFonts w:ascii="宋体" w:hAnsi="宋体" w:cs="宋体"/>
          <w:color w:val="000000" w:themeColor="text1"/>
          <w:spacing w:val="-1"/>
          <w:sz w:val="24"/>
          <w:szCs w:val="24"/>
          <w:highlight w:val="none"/>
          <w14:textFill>
            <w14:solidFill>
              <w14:schemeClr w14:val="tx1"/>
            </w14:solidFill>
          </w14:textFill>
        </w:rPr>
        <w:t>例（即每完成签约</w:t>
      </w:r>
      <w:r>
        <w:rPr>
          <w:rFonts w:ascii="宋体" w:hAnsi="宋体" w:cs="宋体"/>
          <w:color w:val="000000" w:themeColor="text1"/>
          <w:spacing w:val="4"/>
          <w:sz w:val="24"/>
          <w:szCs w:val="24"/>
          <w:highlight w:val="none"/>
          <w14:textFill>
            <w14:solidFill>
              <w14:schemeClr w14:val="tx1"/>
            </w14:solidFill>
          </w14:textFill>
        </w:rPr>
        <w:t>合同价的</w:t>
      </w:r>
      <w:r>
        <w:rPr>
          <w:rFonts w:ascii="宋体" w:hAnsi="宋体" w:cs="宋体"/>
          <w:color w:val="000000" w:themeColor="text1"/>
          <w:spacing w:val="-25"/>
          <w:sz w:val="24"/>
          <w:szCs w:val="24"/>
          <w:highlight w:val="none"/>
          <w14:textFill>
            <w14:solidFill>
              <w14:schemeClr w14:val="tx1"/>
            </w14:solidFill>
          </w14:textFill>
        </w:rPr>
        <w:t xml:space="preserve"> </w:t>
      </w:r>
      <w:r>
        <w:rPr>
          <w:rFonts w:eastAsia="Times New Roman"/>
          <w:color w:val="000000" w:themeColor="text1"/>
          <w:spacing w:val="4"/>
          <w:sz w:val="24"/>
          <w:szCs w:val="24"/>
          <w:highlight w:val="none"/>
          <w14:textFill>
            <w14:solidFill>
              <w14:schemeClr w14:val="tx1"/>
            </w14:solidFill>
          </w14:textFill>
        </w:rPr>
        <w:t>1%</w:t>
      </w:r>
      <w:r>
        <w:rPr>
          <w:rFonts w:eastAsia="Times New Roman"/>
          <w:color w:val="000000" w:themeColor="text1"/>
          <w:spacing w:val="-25"/>
          <w:sz w:val="24"/>
          <w:szCs w:val="24"/>
          <w:highlight w:val="none"/>
          <w14:textFill>
            <w14:solidFill>
              <w14:schemeClr w14:val="tx1"/>
            </w14:solidFill>
          </w14:textFill>
        </w:rPr>
        <w:t xml:space="preserve"> </w:t>
      </w:r>
      <w:r>
        <w:rPr>
          <w:rFonts w:ascii="宋体" w:hAnsi="宋体" w:cs="宋体"/>
          <w:color w:val="000000" w:themeColor="text1"/>
          <w:spacing w:val="4"/>
          <w:sz w:val="24"/>
          <w:szCs w:val="24"/>
          <w:highlight w:val="none"/>
          <w14:textFill>
            <w14:solidFill>
              <w14:schemeClr w14:val="tx1"/>
            </w14:solidFill>
          </w14:textFill>
        </w:rPr>
        <w:t>，扣回开工预付款的</w:t>
      </w:r>
      <w:r>
        <w:rPr>
          <w:rFonts w:ascii="宋体" w:hAnsi="宋体" w:cs="宋体"/>
          <w:color w:val="000000" w:themeColor="text1"/>
          <w:spacing w:val="-47"/>
          <w:sz w:val="24"/>
          <w:szCs w:val="24"/>
          <w:highlight w:val="none"/>
          <w14:textFill>
            <w14:solidFill>
              <w14:schemeClr w14:val="tx1"/>
            </w14:solidFill>
          </w14:textFill>
        </w:rPr>
        <w:t xml:space="preserve"> </w:t>
      </w:r>
      <w:r>
        <w:rPr>
          <w:rFonts w:eastAsia="Times New Roman"/>
          <w:color w:val="000000" w:themeColor="text1"/>
          <w:spacing w:val="4"/>
          <w:sz w:val="24"/>
          <w:szCs w:val="24"/>
          <w:highlight w:val="none"/>
          <w14:textFill>
            <w14:solidFill>
              <w14:schemeClr w14:val="tx1"/>
            </w14:solidFill>
          </w14:textFill>
        </w:rPr>
        <w:t>2%</w:t>
      </w:r>
      <w:r>
        <w:rPr>
          <w:rFonts w:ascii="宋体" w:hAnsi="宋体" w:cs="宋体"/>
          <w:color w:val="000000" w:themeColor="text1"/>
          <w:spacing w:val="4"/>
          <w:sz w:val="24"/>
          <w:szCs w:val="24"/>
          <w:highlight w:val="none"/>
          <w14:textFill>
            <w14:solidFill>
              <w14:schemeClr w14:val="tx1"/>
            </w14:solidFill>
          </w14:textFill>
        </w:rPr>
        <w:t>）分期从各月的进度付款证书中</w:t>
      </w:r>
      <w:r>
        <w:rPr>
          <w:rFonts w:ascii="宋体" w:hAnsi="宋体" w:cs="宋体"/>
          <w:color w:val="000000" w:themeColor="text1"/>
          <w:spacing w:val="3"/>
          <w:sz w:val="24"/>
          <w:szCs w:val="24"/>
          <w:highlight w:val="none"/>
          <w14:textFill>
            <w14:solidFill>
              <w14:schemeClr w14:val="tx1"/>
            </w14:solidFill>
          </w14:textFill>
        </w:rPr>
        <w:t>扣回，全部</w:t>
      </w:r>
      <w:r>
        <w:rPr>
          <w:rFonts w:ascii="宋体" w:hAnsi="宋体" w:cs="宋体"/>
          <w:color w:val="000000" w:themeColor="text1"/>
          <w:spacing w:val="-1"/>
          <w:sz w:val="24"/>
          <w:szCs w:val="24"/>
          <w:highlight w:val="none"/>
          <w14:textFill>
            <w14:solidFill>
              <w14:schemeClr w14:val="tx1"/>
            </w14:solidFill>
          </w14:textFill>
        </w:rPr>
        <w:t>金额在进度付款证书的累计金额达到签约合同价的</w:t>
      </w:r>
      <w:r>
        <w:rPr>
          <w:rFonts w:ascii="宋体" w:hAnsi="宋体" w:cs="宋体"/>
          <w:color w:val="000000" w:themeColor="text1"/>
          <w:spacing w:val="-44"/>
          <w:sz w:val="24"/>
          <w:szCs w:val="24"/>
          <w:highlight w:val="none"/>
          <w14:textFill>
            <w14:solidFill>
              <w14:schemeClr w14:val="tx1"/>
            </w14:solidFill>
          </w14:textFill>
        </w:rPr>
        <w:t xml:space="preserve"> </w:t>
      </w:r>
      <w:r>
        <w:rPr>
          <w:rFonts w:eastAsia="Times New Roman"/>
          <w:color w:val="000000" w:themeColor="text1"/>
          <w:spacing w:val="-1"/>
          <w:sz w:val="24"/>
          <w:szCs w:val="24"/>
          <w:highlight w:val="none"/>
          <w14:textFill>
            <w14:solidFill>
              <w14:schemeClr w14:val="tx1"/>
            </w14:solidFill>
          </w14:textFill>
        </w:rPr>
        <w:t>80%</w:t>
      </w:r>
      <w:r>
        <w:rPr>
          <w:rFonts w:ascii="宋体" w:hAnsi="宋体" w:cs="宋体"/>
          <w:color w:val="000000" w:themeColor="text1"/>
          <w:spacing w:val="-1"/>
          <w:sz w:val="24"/>
          <w:szCs w:val="24"/>
          <w:highlight w:val="none"/>
          <w14:textFill>
            <w14:solidFill>
              <w14:schemeClr w14:val="tx1"/>
            </w14:solidFill>
          </w14:textFill>
        </w:rPr>
        <w:t>时扣完。</w:t>
      </w:r>
    </w:p>
    <w:p w14:paraId="4FA84529">
      <w:pPr>
        <w:spacing w:before="118" w:line="278" w:lineRule="auto"/>
        <w:ind w:right="145" w:firstLine="493"/>
        <w:rPr>
          <w:rFonts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pacing w:val="4"/>
          <w:sz w:val="24"/>
          <w:szCs w:val="24"/>
          <w:highlight w:val="none"/>
          <w14:textFill>
            <w14:solidFill>
              <w14:schemeClr w14:val="tx1"/>
            </w14:solidFill>
          </w14:textFill>
        </w:rPr>
        <w:t>（</w:t>
      </w:r>
      <w:r>
        <w:rPr>
          <w:rFonts w:eastAsia="Times New Roman"/>
          <w:color w:val="000000" w:themeColor="text1"/>
          <w:spacing w:val="4"/>
          <w:sz w:val="24"/>
          <w:szCs w:val="24"/>
          <w:highlight w:val="none"/>
          <w14:textFill>
            <w14:solidFill>
              <w14:schemeClr w14:val="tx1"/>
            </w14:solidFill>
          </w14:textFill>
        </w:rPr>
        <w:t>2</w:t>
      </w:r>
      <w:r>
        <w:rPr>
          <w:rFonts w:ascii="宋体" w:hAnsi="宋体" w:cs="宋体"/>
          <w:color w:val="000000" w:themeColor="text1"/>
          <w:spacing w:val="4"/>
          <w:sz w:val="24"/>
          <w:szCs w:val="24"/>
          <w:highlight w:val="none"/>
          <w14:textFill>
            <w14:solidFill>
              <w14:schemeClr w14:val="tx1"/>
            </w14:solidFill>
          </w14:textFill>
        </w:rPr>
        <w:t>）当材料、设备已用于或安装在养护工程之中时，材料、设备预付款</w:t>
      </w:r>
      <w:r>
        <w:rPr>
          <w:rFonts w:ascii="宋体" w:hAnsi="宋体" w:cs="宋体"/>
          <w:color w:val="000000" w:themeColor="text1"/>
          <w:spacing w:val="3"/>
          <w:sz w:val="24"/>
          <w:szCs w:val="24"/>
          <w:highlight w:val="none"/>
          <w14:textFill>
            <w14:solidFill>
              <w14:schemeClr w14:val="tx1"/>
            </w14:solidFill>
          </w14:textFill>
        </w:rPr>
        <w:t>应从</w:t>
      </w:r>
      <w:r>
        <w:rPr>
          <w:rFonts w:ascii="宋体" w:hAnsi="宋体" w:cs="宋体"/>
          <w:color w:val="000000" w:themeColor="text1"/>
          <w:sz w:val="24"/>
          <w:szCs w:val="24"/>
          <w:highlight w:val="none"/>
          <w14:textFill>
            <w14:solidFill>
              <w14:schemeClr w14:val="tx1"/>
            </w14:solidFill>
          </w14:textFill>
        </w:rPr>
        <w:t>进度付款证书中扣回，扣回期不超过</w:t>
      </w:r>
      <w:r>
        <w:rPr>
          <w:rFonts w:ascii="宋体" w:hAnsi="宋体" w:cs="宋体"/>
          <w:color w:val="000000" w:themeColor="text1"/>
          <w:spacing w:val="-33"/>
          <w:sz w:val="24"/>
          <w:szCs w:val="24"/>
          <w:highlight w:val="none"/>
          <w14:textFill>
            <w14:solidFill>
              <w14:schemeClr w14:val="tx1"/>
            </w14:solidFill>
          </w14:textFill>
        </w:rPr>
        <w:t xml:space="preserve"> </w:t>
      </w:r>
      <w:r>
        <w:rPr>
          <w:rFonts w:eastAsia="Times New Roman"/>
          <w:color w:val="000000" w:themeColor="text1"/>
          <w:sz w:val="24"/>
          <w:szCs w:val="24"/>
          <w:highlight w:val="none"/>
          <w14:textFill>
            <w14:solidFill>
              <w14:schemeClr w14:val="tx1"/>
            </w14:solidFill>
          </w14:textFill>
        </w:rPr>
        <w:t xml:space="preserve">3 </w:t>
      </w:r>
      <w:r>
        <w:rPr>
          <w:rFonts w:ascii="宋体" w:hAnsi="宋体" w:cs="宋体"/>
          <w:color w:val="000000" w:themeColor="text1"/>
          <w:sz w:val="24"/>
          <w:szCs w:val="24"/>
          <w:highlight w:val="none"/>
          <w14:textFill>
            <w14:solidFill>
              <w14:schemeClr w14:val="tx1"/>
            </w14:solidFill>
          </w14:textFill>
        </w:rPr>
        <w:t>个月。已经支付材料、设备预付款的材料、</w:t>
      </w:r>
      <w:r>
        <w:rPr>
          <w:rFonts w:ascii="宋体" w:hAnsi="宋体" w:cs="宋体"/>
          <w:color w:val="000000" w:themeColor="text1"/>
          <w:spacing w:val="-1"/>
          <w:sz w:val="24"/>
          <w:szCs w:val="24"/>
          <w:highlight w:val="none"/>
          <w14:textFill>
            <w14:solidFill>
              <w14:schemeClr w14:val="tx1"/>
            </w14:solidFill>
          </w14:textFill>
        </w:rPr>
        <w:t>设备的所有权应属于发包人。</w:t>
      </w:r>
    </w:p>
    <w:p w14:paraId="118DA2C2">
      <w:pPr>
        <w:spacing w:before="116" w:line="263" w:lineRule="auto"/>
        <w:ind w:left="29" w:right="145" w:firstLine="464"/>
        <w:rPr>
          <w:rFonts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pacing w:val="4"/>
          <w:sz w:val="24"/>
          <w:szCs w:val="24"/>
          <w:highlight w:val="none"/>
          <w14:textFill>
            <w14:solidFill>
              <w14:schemeClr w14:val="tx1"/>
            </w14:solidFill>
          </w14:textFill>
        </w:rPr>
        <w:t>（</w:t>
      </w:r>
      <w:r>
        <w:rPr>
          <w:rFonts w:eastAsia="Times New Roman"/>
          <w:color w:val="000000" w:themeColor="text1"/>
          <w:spacing w:val="4"/>
          <w:sz w:val="24"/>
          <w:szCs w:val="24"/>
          <w:highlight w:val="none"/>
          <w14:textFill>
            <w14:solidFill>
              <w14:schemeClr w14:val="tx1"/>
            </w14:solidFill>
          </w14:textFill>
        </w:rPr>
        <w:t>3</w:t>
      </w:r>
      <w:r>
        <w:rPr>
          <w:rFonts w:ascii="宋体" w:hAnsi="宋体" w:cs="宋体"/>
          <w:color w:val="000000" w:themeColor="text1"/>
          <w:spacing w:val="4"/>
          <w:sz w:val="24"/>
          <w:szCs w:val="24"/>
          <w:highlight w:val="none"/>
          <w14:textFill>
            <w14:solidFill>
              <w14:schemeClr w14:val="tx1"/>
            </w14:solidFill>
          </w14:textFill>
        </w:rPr>
        <w:t>）在颁发交工验收证书前，由于不可抗力或其他原因解除合同时，预</w:t>
      </w:r>
      <w:r>
        <w:rPr>
          <w:rFonts w:ascii="宋体" w:hAnsi="宋体" w:cs="宋体"/>
          <w:color w:val="000000" w:themeColor="text1"/>
          <w:spacing w:val="3"/>
          <w:sz w:val="24"/>
          <w:szCs w:val="24"/>
          <w:highlight w:val="none"/>
          <w14:textFill>
            <w14:solidFill>
              <w14:schemeClr w14:val="tx1"/>
            </w14:solidFill>
          </w14:textFill>
        </w:rPr>
        <w:t>付款</w:t>
      </w:r>
      <w:r>
        <w:rPr>
          <w:rFonts w:ascii="宋体" w:hAnsi="宋体" w:cs="宋体"/>
          <w:color w:val="000000" w:themeColor="text1"/>
          <w:spacing w:val="-1"/>
          <w:sz w:val="24"/>
          <w:szCs w:val="24"/>
          <w:highlight w:val="none"/>
          <w14:textFill>
            <w14:solidFill>
              <w14:schemeClr w14:val="tx1"/>
            </w14:solidFill>
          </w14:textFill>
        </w:rPr>
        <w:t>尚未扣清的，尚未扣清的预付款余额应作为承</w:t>
      </w:r>
      <w:r>
        <w:rPr>
          <w:rFonts w:ascii="宋体" w:hAnsi="宋体" w:cs="宋体"/>
          <w:color w:val="000000" w:themeColor="text1"/>
          <w:spacing w:val="-2"/>
          <w:sz w:val="24"/>
          <w:szCs w:val="24"/>
          <w:highlight w:val="none"/>
          <w14:textFill>
            <w14:solidFill>
              <w14:schemeClr w14:val="tx1"/>
            </w14:solidFill>
          </w14:textFill>
        </w:rPr>
        <w:t>包人的到期应付款。</w:t>
      </w:r>
    </w:p>
    <w:p w14:paraId="066F9084">
      <w:pPr>
        <w:spacing w:before="106" w:line="219" w:lineRule="auto"/>
        <w:ind w:left="488"/>
        <w:outlineLvl w:val="3"/>
        <w:rPr>
          <w:rFonts w:ascii="宋体" w:hAnsi="宋体" w:cs="宋体"/>
          <w:color w:val="000000" w:themeColor="text1"/>
          <w:sz w:val="24"/>
          <w:szCs w:val="24"/>
          <w:highlight w:val="none"/>
          <w14:textFill>
            <w14:solidFill>
              <w14:schemeClr w14:val="tx1"/>
            </w14:solidFill>
          </w14:textFill>
        </w:rPr>
      </w:pPr>
      <w:r>
        <w:rPr>
          <w:rFonts w:eastAsia="Times New Roman"/>
          <w:b/>
          <w:bCs/>
          <w:color w:val="000000" w:themeColor="text1"/>
          <w:spacing w:val="-3"/>
          <w:sz w:val="24"/>
          <w:szCs w:val="24"/>
          <w:highlight w:val="none"/>
          <w14:textFill>
            <w14:solidFill>
              <w14:schemeClr w14:val="tx1"/>
            </w14:solidFill>
          </w14:textFill>
        </w:rPr>
        <w:t xml:space="preserve">17.3  </w:t>
      </w:r>
      <w:r>
        <w:rPr>
          <w:rFonts w:ascii="宋体" w:hAnsi="宋体" w:cs="宋体"/>
          <w:b/>
          <w:bCs/>
          <w:color w:val="000000" w:themeColor="text1"/>
          <w:spacing w:val="-3"/>
          <w:sz w:val="24"/>
          <w:szCs w:val="24"/>
          <w:highlight w:val="none"/>
          <w14:textFill>
            <w14:solidFill>
              <w14:schemeClr w14:val="tx1"/>
            </w14:solidFill>
          </w14:textFill>
        </w:rPr>
        <w:t>工程进度付款</w:t>
      </w:r>
    </w:p>
    <w:p w14:paraId="6DADB20E">
      <w:pPr>
        <w:spacing w:before="126" w:line="219" w:lineRule="auto"/>
        <w:ind w:left="500"/>
        <w:rPr>
          <w:rFonts w:ascii="宋体" w:hAnsi="宋体" w:cs="宋体"/>
          <w:color w:val="000000" w:themeColor="text1"/>
          <w:sz w:val="24"/>
          <w:szCs w:val="24"/>
          <w:highlight w:val="none"/>
          <w14:textFill>
            <w14:solidFill>
              <w14:schemeClr w14:val="tx1"/>
            </w14:solidFill>
          </w14:textFill>
        </w:rPr>
      </w:pPr>
      <w:r>
        <w:rPr>
          <w:rFonts w:eastAsia="Times New Roman"/>
          <w:color w:val="000000" w:themeColor="text1"/>
          <w:spacing w:val="-3"/>
          <w:sz w:val="24"/>
          <w:szCs w:val="24"/>
          <w:highlight w:val="none"/>
          <w14:textFill>
            <w14:solidFill>
              <w14:schemeClr w14:val="tx1"/>
            </w14:solidFill>
          </w14:textFill>
        </w:rPr>
        <w:t xml:space="preserve">17.3.1  </w:t>
      </w:r>
      <w:r>
        <w:rPr>
          <w:rFonts w:ascii="宋体" w:hAnsi="宋体" w:cs="宋体"/>
          <w:color w:val="000000" w:themeColor="text1"/>
          <w:spacing w:val="-3"/>
          <w:sz w:val="24"/>
          <w:szCs w:val="24"/>
          <w:highlight w:val="none"/>
          <w14:textFill>
            <w14:solidFill>
              <w14:schemeClr w14:val="tx1"/>
            </w14:solidFill>
          </w14:textFill>
        </w:rPr>
        <w:t>付款周期</w:t>
      </w:r>
    </w:p>
    <w:p w14:paraId="65AC373B">
      <w:pPr>
        <w:spacing w:before="113" w:line="219" w:lineRule="auto"/>
        <w:ind w:left="481"/>
        <w:rPr>
          <w:rFonts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pacing w:val="-1"/>
          <w:sz w:val="24"/>
          <w:szCs w:val="24"/>
          <w:highlight w:val="none"/>
          <w14:textFill>
            <w14:solidFill>
              <w14:schemeClr w14:val="tx1"/>
            </w14:solidFill>
          </w14:textFill>
        </w:rPr>
        <w:t>付款周期同计量周期。</w:t>
      </w:r>
    </w:p>
    <w:p w14:paraId="35F95A0C">
      <w:pPr>
        <w:spacing w:before="117" w:line="219" w:lineRule="auto"/>
        <w:ind w:left="500"/>
        <w:rPr>
          <w:rFonts w:ascii="宋体" w:hAnsi="宋体" w:cs="宋体"/>
          <w:color w:val="000000" w:themeColor="text1"/>
          <w:sz w:val="24"/>
          <w:szCs w:val="24"/>
          <w:highlight w:val="none"/>
          <w14:textFill>
            <w14:solidFill>
              <w14:schemeClr w14:val="tx1"/>
            </w14:solidFill>
          </w14:textFill>
        </w:rPr>
      </w:pPr>
      <w:r>
        <w:rPr>
          <w:rFonts w:eastAsia="Times New Roman"/>
          <w:color w:val="000000" w:themeColor="text1"/>
          <w:spacing w:val="-2"/>
          <w:sz w:val="24"/>
          <w:szCs w:val="24"/>
          <w:highlight w:val="none"/>
          <w14:textFill>
            <w14:solidFill>
              <w14:schemeClr w14:val="tx1"/>
            </w14:solidFill>
          </w14:textFill>
        </w:rPr>
        <w:t xml:space="preserve">17.3.2  </w:t>
      </w:r>
      <w:r>
        <w:rPr>
          <w:rFonts w:ascii="宋体" w:hAnsi="宋体" w:cs="宋体"/>
          <w:color w:val="000000" w:themeColor="text1"/>
          <w:spacing w:val="-2"/>
          <w:sz w:val="24"/>
          <w:szCs w:val="24"/>
          <w:highlight w:val="none"/>
          <w14:textFill>
            <w14:solidFill>
              <w14:schemeClr w14:val="tx1"/>
            </w14:solidFill>
          </w14:textFill>
        </w:rPr>
        <w:t>进度付款申请单</w:t>
      </w:r>
    </w:p>
    <w:p w14:paraId="33111C0F">
      <w:pPr>
        <w:spacing w:before="114" w:line="308" w:lineRule="auto"/>
        <w:ind w:left="7" w:firstLine="474"/>
        <w:rPr>
          <w:rFonts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pacing w:val="-2"/>
          <w:sz w:val="24"/>
          <w:szCs w:val="24"/>
          <w:highlight w:val="none"/>
          <w14:textFill>
            <w14:solidFill>
              <w14:schemeClr w14:val="tx1"/>
            </w14:solidFill>
          </w14:textFill>
        </w:rPr>
        <w:t>承包人应在每个付款周期末，按咨询人批准的格式和专用合同条款约定的份数，</w:t>
      </w:r>
      <w:r>
        <w:rPr>
          <w:rFonts w:ascii="宋体" w:hAnsi="宋体" w:cs="宋体"/>
          <w:color w:val="000000" w:themeColor="text1"/>
          <w:spacing w:val="1"/>
          <w:sz w:val="24"/>
          <w:szCs w:val="24"/>
          <w:highlight w:val="none"/>
          <w14:textFill>
            <w14:solidFill>
              <w14:schemeClr w14:val="tx1"/>
            </w14:solidFill>
          </w14:textFill>
        </w:rPr>
        <w:t>向咨询人提交进度付款申请单，并附相应的</w:t>
      </w:r>
      <w:r>
        <w:rPr>
          <w:rFonts w:ascii="宋体" w:hAnsi="宋体" w:cs="宋体"/>
          <w:color w:val="000000" w:themeColor="text1"/>
          <w:sz w:val="24"/>
          <w:szCs w:val="24"/>
          <w:highlight w:val="none"/>
          <w14:textFill>
            <w14:solidFill>
              <w14:schemeClr w14:val="tx1"/>
            </w14:solidFill>
          </w14:textFill>
        </w:rPr>
        <w:t>支持性证明文件。除专用合同条款另有</w:t>
      </w:r>
      <w:r>
        <w:rPr>
          <w:rFonts w:ascii="宋体" w:hAnsi="宋体" w:cs="宋体"/>
          <w:color w:val="000000" w:themeColor="text1"/>
          <w:spacing w:val="-1"/>
          <w:sz w:val="24"/>
          <w:szCs w:val="24"/>
          <w:highlight w:val="none"/>
          <w14:textFill>
            <w14:solidFill>
              <w14:schemeClr w14:val="tx1"/>
            </w14:solidFill>
          </w14:textFill>
        </w:rPr>
        <w:t>约定外，进度付款申请单应包括下列内容：</w:t>
      </w:r>
    </w:p>
    <w:p w14:paraId="2A3D2A12">
      <w:pPr>
        <w:spacing w:before="1" w:line="217" w:lineRule="auto"/>
        <w:ind w:left="493"/>
        <w:rPr>
          <w:rFonts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pacing w:val="-1"/>
          <w:sz w:val="24"/>
          <w:szCs w:val="24"/>
          <w:highlight w:val="none"/>
          <w14:textFill>
            <w14:solidFill>
              <w14:schemeClr w14:val="tx1"/>
            </w14:solidFill>
          </w14:textFill>
        </w:rPr>
        <w:t>（</w:t>
      </w:r>
      <w:r>
        <w:rPr>
          <w:rFonts w:eastAsia="Times New Roman"/>
          <w:color w:val="000000" w:themeColor="text1"/>
          <w:spacing w:val="-1"/>
          <w:sz w:val="24"/>
          <w:szCs w:val="24"/>
          <w:highlight w:val="none"/>
          <w14:textFill>
            <w14:solidFill>
              <w14:schemeClr w14:val="tx1"/>
            </w14:solidFill>
          </w14:textFill>
        </w:rPr>
        <w:t>1</w:t>
      </w:r>
      <w:r>
        <w:rPr>
          <w:rFonts w:ascii="宋体" w:hAnsi="宋体" w:cs="宋体"/>
          <w:color w:val="000000" w:themeColor="text1"/>
          <w:spacing w:val="-1"/>
          <w:sz w:val="24"/>
          <w:szCs w:val="24"/>
          <w:highlight w:val="none"/>
          <w14:textFill>
            <w14:solidFill>
              <w14:schemeClr w14:val="tx1"/>
            </w14:solidFill>
          </w14:textFill>
        </w:rPr>
        <w:t>）截至本次付款周期末已实施养护作业的价款；</w:t>
      </w:r>
    </w:p>
    <w:p w14:paraId="28352E0B">
      <w:pPr>
        <w:spacing w:before="116" w:line="219" w:lineRule="auto"/>
        <w:ind w:left="493"/>
        <w:rPr>
          <w:rFonts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pacing w:val="-3"/>
          <w:sz w:val="24"/>
          <w:szCs w:val="24"/>
          <w:highlight w:val="none"/>
          <w14:textFill>
            <w14:solidFill>
              <w14:schemeClr w14:val="tx1"/>
            </w14:solidFill>
          </w14:textFill>
        </w:rPr>
        <w:t>（</w:t>
      </w:r>
      <w:r>
        <w:rPr>
          <w:rFonts w:eastAsia="Times New Roman"/>
          <w:color w:val="000000" w:themeColor="text1"/>
          <w:spacing w:val="-3"/>
          <w:sz w:val="24"/>
          <w:szCs w:val="24"/>
          <w:highlight w:val="none"/>
          <w14:textFill>
            <w14:solidFill>
              <w14:schemeClr w14:val="tx1"/>
            </w14:solidFill>
          </w14:textFill>
        </w:rPr>
        <w:t>2</w:t>
      </w:r>
      <w:r>
        <w:rPr>
          <w:rFonts w:ascii="宋体" w:hAnsi="宋体" w:cs="宋体"/>
          <w:color w:val="000000" w:themeColor="text1"/>
          <w:spacing w:val="-3"/>
          <w:sz w:val="24"/>
          <w:szCs w:val="24"/>
          <w:highlight w:val="none"/>
          <w14:textFill>
            <w14:solidFill>
              <w14:schemeClr w14:val="tx1"/>
            </w14:solidFill>
          </w14:textFill>
        </w:rPr>
        <w:t>）根据第</w:t>
      </w:r>
      <w:r>
        <w:rPr>
          <w:rFonts w:ascii="宋体" w:hAnsi="宋体" w:cs="宋体"/>
          <w:color w:val="000000" w:themeColor="text1"/>
          <w:spacing w:val="-16"/>
          <w:sz w:val="24"/>
          <w:szCs w:val="24"/>
          <w:highlight w:val="none"/>
          <w14:textFill>
            <w14:solidFill>
              <w14:schemeClr w14:val="tx1"/>
            </w14:solidFill>
          </w14:textFill>
        </w:rPr>
        <w:t xml:space="preserve"> </w:t>
      </w:r>
      <w:r>
        <w:rPr>
          <w:rFonts w:eastAsia="Times New Roman"/>
          <w:color w:val="000000" w:themeColor="text1"/>
          <w:spacing w:val="-3"/>
          <w:sz w:val="24"/>
          <w:szCs w:val="24"/>
          <w:highlight w:val="none"/>
          <w14:textFill>
            <w14:solidFill>
              <w14:schemeClr w14:val="tx1"/>
            </w14:solidFill>
          </w14:textFill>
        </w:rPr>
        <w:t xml:space="preserve">15 </w:t>
      </w:r>
      <w:r>
        <w:rPr>
          <w:rFonts w:ascii="宋体" w:hAnsi="宋体" w:cs="宋体"/>
          <w:color w:val="000000" w:themeColor="text1"/>
          <w:spacing w:val="-3"/>
          <w:sz w:val="24"/>
          <w:szCs w:val="24"/>
          <w:highlight w:val="none"/>
          <w14:textFill>
            <w14:solidFill>
              <w14:schemeClr w14:val="tx1"/>
            </w14:solidFill>
          </w14:textFill>
        </w:rPr>
        <w:t>条应增加和扣减的变更金额；</w:t>
      </w:r>
    </w:p>
    <w:p w14:paraId="101F924B">
      <w:pPr>
        <w:spacing w:before="116" w:line="219" w:lineRule="auto"/>
        <w:ind w:left="493"/>
        <w:rPr>
          <w:color w:val="000000" w:themeColor="text1"/>
          <w:highlight w:val="none"/>
          <w14:textFill>
            <w14:solidFill>
              <w14:schemeClr w14:val="tx1"/>
            </w14:solidFill>
          </w14:textFill>
        </w:rPr>
      </w:pPr>
      <w:r>
        <w:rPr>
          <w:rFonts w:ascii="宋体" w:hAnsi="宋体" w:cs="宋体"/>
          <w:color w:val="000000" w:themeColor="text1"/>
          <w:spacing w:val="-2"/>
          <w:sz w:val="24"/>
          <w:szCs w:val="24"/>
          <w:highlight w:val="none"/>
          <w14:textFill>
            <w14:solidFill>
              <w14:schemeClr w14:val="tx1"/>
            </w14:solidFill>
          </w14:textFill>
        </w:rPr>
        <w:t>（</w:t>
      </w:r>
      <w:r>
        <w:rPr>
          <w:rFonts w:eastAsia="Times New Roman"/>
          <w:color w:val="000000" w:themeColor="text1"/>
          <w:spacing w:val="-2"/>
          <w:sz w:val="24"/>
          <w:szCs w:val="24"/>
          <w:highlight w:val="none"/>
          <w14:textFill>
            <w14:solidFill>
              <w14:schemeClr w14:val="tx1"/>
            </w14:solidFill>
          </w14:textFill>
        </w:rPr>
        <w:t>3</w:t>
      </w:r>
      <w:r>
        <w:rPr>
          <w:rFonts w:ascii="宋体" w:hAnsi="宋体" w:cs="宋体"/>
          <w:color w:val="000000" w:themeColor="text1"/>
          <w:spacing w:val="-2"/>
          <w:sz w:val="24"/>
          <w:szCs w:val="24"/>
          <w:highlight w:val="none"/>
          <w14:textFill>
            <w14:solidFill>
              <w14:schemeClr w14:val="tx1"/>
            </w14:solidFill>
          </w14:textFill>
        </w:rPr>
        <w:t>）根据第</w:t>
      </w:r>
      <w:r>
        <w:rPr>
          <w:rFonts w:ascii="宋体" w:hAnsi="宋体" w:cs="宋体"/>
          <w:color w:val="000000" w:themeColor="text1"/>
          <w:spacing w:val="-38"/>
          <w:sz w:val="24"/>
          <w:szCs w:val="24"/>
          <w:highlight w:val="none"/>
          <w14:textFill>
            <w14:solidFill>
              <w14:schemeClr w14:val="tx1"/>
            </w14:solidFill>
          </w14:textFill>
        </w:rPr>
        <w:t xml:space="preserve"> </w:t>
      </w:r>
      <w:r>
        <w:rPr>
          <w:rFonts w:eastAsia="Times New Roman"/>
          <w:color w:val="000000" w:themeColor="text1"/>
          <w:spacing w:val="-2"/>
          <w:sz w:val="24"/>
          <w:szCs w:val="24"/>
          <w:highlight w:val="none"/>
          <w14:textFill>
            <w14:solidFill>
              <w14:schemeClr w14:val="tx1"/>
            </w14:solidFill>
          </w14:textFill>
        </w:rPr>
        <w:t xml:space="preserve">23 </w:t>
      </w:r>
      <w:r>
        <w:rPr>
          <w:rFonts w:ascii="宋体" w:hAnsi="宋体" w:cs="宋体"/>
          <w:color w:val="000000" w:themeColor="text1"/>
          <w:spacing w:val="-2"/>
          <w:sz w:val="24"/>
          <w:szCs w:val="24"/>
          <w:highlight w:val="none"/>
          <w14:textFill>
            <w14:solidFill>
              <w14:schemeClr w14:val="tx1"/>
            </w14:solidFill>
          </w14:textFill>
        </w:rPr>
        <w:t>条应增加和扣减的索赔金额；</w:t>
      </w:r>
    </w:p>
    <w:p w14:paraId="28540895">
      <w:pPr>
        <w:spacing w:before="78" w:line="219" w:lineRule="auto"/>
        <w:ind w:left="492"/>
        <w:rPr>
          <w:rFonts w:ascii="宋体" w:hAnsi="宋体" w:cs="宋体"/>
          <w:color w:val="000000" w:themeColor="text1"/>
          <w:sz w:val="24"/>
          <w:szCs w:val="24"/>
          <w:highlight w:val="none"/>
          <w14:textFill>
            <w14:solidFill>
              <w14:schemeClr w14:val="tx1"/>
            </w14:solidFill>
          </w14:textFill>
        </w:rPr>
      </w:pPr>
      <w:bookmarkStart w:id="162" w:name="bookmark226"/>
      <w:bookmarkEnd w:id="162"/>
      <w:r>
        <w:rPr>
          <w:rFonts w:ascii="宋体" w:hAnsi="宋体" w:cs="宋体"/>
          <w:color w:val="000000" w:themeColor="text1"/>
          <w:spacing w:val="-2"/>
          <w:sz w:val="24"/>
          <w:szCs w:val="24"/>
          <w:highlight w:val="none"/>
          <w14:textFill>
            <w14:solidFill>
              <w14:schemeClr w14:val="tx1"/>
            </w14:solidFill>
          </w14:textFill>
        </w:rPr>
        <w:t>（</w:t>
      </w:r>
      <w:r>
        <w:rPr>
          <w:rFonts w:eastAsia="Times New Roman"/>
          <w:color w:val="000000" w:themeColor="text1"/>
          <w:spacing w:val="-2"/>
          <w:sz w:val="24"/>
          <w:szCs w:val="24"/>
          <w:highlight w:val="none"/>
          <w14:textFill>
            <w14:solidFill>
              <w14:schemeClr w14:val="tx1"/>
            </w14:solidFill>
          </w14:textFill>
        </w:rPr>
        <w:t>4</w:t>
      </w:r>
      <w:r>
        <w:rPr>
          <w:rFonts w:ascii="宋体" w:hAnsi="宋体" w:cs="宋体"/>
          <w:color w:val="000000" w:themeColor="text1"/>
          <w:spacing w:val="-2"/>
          <w:sz w:val="24"/>
          <w:szCs w:val="24"/>
          <w:highlight w:val="none"/>
          <w14:textFill>
            <w14:solidFill>
              <w14:schemeClr w14:val="tx1"/>
            </w14:solidFill>
          </w14:textFill>
        </w:rPr>
        <w:t>）根据第</w:t>
      </w:r>
      <w:r>
        <w:rPr>
          <w:rFonts w:ascii="宋体" w:hAnsi="宋体" w:cs="宋体"/>
          <w:color w:val="000000" w:themeColor="text1"/>
          <w:spacing w:val="-20"/>
          <w:sz w:val="24"/>
          <w:szCs w:val="24"/>
          <w:highlight w:val="none"/>
          <w14:textFill>
            <w14:solidFill>
              <w14:schemeClr w14:val="tx1"/>
            </w14:solidFill>
          </w14:textFill>
        </w:rPr>
        <w:t xml:space="preserve"> </w:t>
      </w:r>
      <w:r>
        <w:rPr>
          <w:rFonts w:eastAsia="Times New Roman"/>
          <w:color w:val="000000" w:themeColor="text1"/>
          <w:spacing w:val="-2"/>
          <w:sz w:val="24"/>
          <w:szCs w:val="24"/>
          <w:highlight w:val="none"/>
          <w14:textFill>
            <w14:solidFill>
              <w14:schemeClr w14:val="tx1"/>
            </w14:solidFill>
          </w14:textFill>
        </w:rPr>
        <w:t xml:space="preserve">17.2 </w:t>
      </w:r>
      <w:r>
        <w:rPr>
          <w:rFonts w:ascii="宋体" w:hAnsi="宋体" w:cs="宋体"/>
          <w:color w:val="000000" w:themeColor="text1"/>
          <w:spacing w:val="-2"/>
          <w:sz w:val="24"/>
          <w:szCs w:val="24"/>
          <w:highlight w:val="none"/>
          <w14:textFill>
            <w14:solidFill>
              <w14:schemeClr w14:val="tx1"/>
            </w14:solidFill>
          </w14:textFill>
        </w:rPr>
        <w:t>款约定应支付的预付款和扣减的返还预付款；</w:t>
      </w:r>
    </w:p>
    <w:p w14:paraId="26A71D4F">
      <w:pPr>
        <w:spacing w:before="116" w:line="219" w:lineRule="auto"/>
        <w:ind w:left="492"/>
        <w:rPr>
          <w:rFonts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pacing w:val="-2"/>
          <w:sz w:val="24"/>
          <w:szCs w:val="24"/>
          <w:highlight w:val="none"/>
          <w14:textFill>
            <w14:solidFill>
              <w14:schemeClr w14:val="tx1"/>
            </w14:solidFill>
          </w14:textFill>
        </w:rPr>
        <w:t>（</w:t>
      </w:r>
      <w:r>
        <w:rPr>
          <w:rFonts w:eastAsia="Times New Roman"/>
          <w:color w:val="000000" w:themeColor="text1"/>
          <w:spacing w:val="-2"/>
          <w:sz w:val="24"/>
          <w:szCs w:val="24"/>
          <w:highlight w:val="none"/>
          <w14:textFill>
            <w14:solidFill>
              <w14:schemeClr w14:val="tx1"/>
            </w14:solidFill>
          </w14:textFill>
        </w:rPr>
        <w:t>5</w:t>
      </w:r>
      <w:r>
        <w:rPr>
          <w:rFonts w:ascii="宋体" w:hAnsi="宋体" w:cs="宋体"/>
          <w:color w:val="000000" w:themeColor="text1"/>
          <w:spacing w:val="-2"/>
          <w:sz w:val="24"/>
          <w:szCs w:val="24"/>
          <w:highlight w:val="none"/>
          <w14:textFill>
            <w14:solidFill>
              <w14:schemeClr w14:val="tx1"/>
            </w14:solidFill>
          </w14:textFill>
        </w:rPr>
        <w:t>）根据合同应增加和扣减的其他金额。</w:t>
      </w:r>
    </w:p>
    <w:p w14:paraId="3ADC8E2D">
      <w:pPr>
        <w:spacing w:before="112" w:line="219" w:lineRule="auto"/>
        <w:ind w:left="499"/>
        <w:rPr>
          <w:rFonts w:ascii="宋体" w:hAnsi="宋体" w:cs="宋体"/>
          <w:color w:val="000000" w:themeColor="text1"/>
          <w:sz w:val="24"/>
          <w:szCs w:val="24"/>
          <w:highlight w:val="none"/>
          <w14:textFill>
            <w14:solidFill>
              <w14:schemeClr w14:val="tx1"/>
            </w14:solidFill>
          </w14:textFill>
        </w:rPr>
      </w:pPr>
      <w:r>
        <w:rPr>
          <w:rFonts w:eastAsia="Times New Roman"/>
          <w:color w:val="000000" w:themeColor="text1"/>
          <w:spacing w:val="-2"/>
          <w:sz w:val="24"/>
          <w:szCs w:val="24"/>
          <w:highlight w:val="none"/>
          <w14:textFill>
            <w14:solidFill>
              <w14:schemeClr w14:val="tx1"/>
            </w14:solidFill>
          </w14:textFill>
        </w:rPr>
        <w:t xml:space="preserve">17.3.3  </w:t>
      </w:r>
      <w:r>
        <w:rPr>
          <w:rFonts w:ascii="宋体" w:hAnsi="宋体" w:cs="宋体"/>
          <w:color w:val="000000" w:themeColor="text1"/>
          <w:spacing w:val="-2"/>
          <w:sz w:val="24"/>
          <w:szCs w:val="24"/>
          <w:highlight w:val="none"/>
          <w14:textFill>
            <w14:solidFill>
              <w14:schemeClr w14:val="tx1"/>
            </w14:solidFill>
          </w14:textFill>
        </w:rPr>
        <w:t>进度付款证书和支付时间</w:t>
      </w:r>
    </w:p>
    <w:p w14:paraId="5998220D">
      <w:pPr>
        <w:spacing w:before="114" w:line="286" w:lineRule="auto"/>
        <w:ind w:left="1" w:firstLine="490"/>
        <w:rPr>
          <w:rFonts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pacing w:val="5"/>
          <w:sz w:val="24"/>
          <w:szCs w:val="24"/>
          <w:highlight w:val="none"/>
          <w14:textFill>
            <w14:solidFill>
              <w14:schemeClr w14:val="tx1"/>
            </w14:solidFill>
          </w14:textFill>
        </w:rPr>
        <w:t>（</w:t>
      </w:r>
      <w:r>
        <w:rPr>
          <w:rFonts w:eastAsia="Times New Roman"/>
          <w:color w:val="000000" w:themeColor="text1"/>
          <w:spacing w:val="5"/>
          <w:sz w:val="24"/>
          <w:szCs w:val="24"/>
          <w:highlight w:val="none"/>
          <w14:textFill>
            <w14:solidFill>
              <w14:schemeClr w14:val="tx1"/>
            </w14:solidFill>
          </w14:textFill>
        </w:rPr>
        <w:t>1</w:t>
      </w:r>
      <w:r>
        <w:rPr>
          <w:rFonts w:ascii="宋体" w:hAnsi="宋体" w:cs="宋体"/>
          <w:color w:val="000000" w:themeColor="text1"/>
          <w:spacing w:val="5"/>
          <w:sz w:val="24"/>
          <w:szCs w:val="24"/>
          <w:highlight w:val="none"/>
          <w14:textFill>
            <w14:solidFill>
              <w14:schemeClr w14:val="tx1"/>
            </w14:solidFill>
          </w14:textFill>
        </w:rPr>
        <w:t>）咨询人在收到承包人进度付款申请单以及相应的支持性证明文件后的</w:t>
      </w:r>
      <w:r>
        <w:rPr>
          <w:rFonts w:ascii="宋体" w:hAnsi="宋体" w:cs="宋体"/>
          <w:color w:val="000000" w:themeColor="text1"/>
          <w:spacing w:val="-36"/>
          <w:sz w:val="24"/>
          <w:szCs w:val="24"/>
          <w:highlight w:val="none"/>
          <w14:textFill>
            <w14:solidFill>
              <w14:schemeClr w14:val="tx1"/>
            </w14:solidFill>
          </w14:textFill>
        </w:rPr>
        <w:t xml:space="preserve"> </w:t>
      </w:r>
      <w:r>
        <w:rPr>
          <w:rFonts w:eastAsia="Times New Roman"/>
          <w:color w:val="000000" w:themeColor="text1"/>
          <w:spacing w:val="5"/>
          <w:sz w:val="24"/>
          <w:szCs w:val="24"/>
          <w:highlight w:val="none"/>
          <w14:textFill>
            <w14:solidFill>
              <w14:schemeClr w14:val="tx1"/>
            </w14:solidFill>
          </w14:textFill>
        </w:rPr>
        <w:t>7</w:t>
      </w:r>
      <w:r>
        <w:rPr>
          <w:rFonts w:ascii="宋体" w:hAnsi="宋体" w:cs="宋体"/>
          <w:color w:val="000000" w:themeColor="text1"/>
          <w:spacing w:val="1"/>
          <w:sz w:val="24"/>
          <w:szCs w:val="24"/>
          <w:highlight w:val="none"/>
          <w14:textFill>
            <w14:solidFill>
              <w14:schemeClr w14:val="tx1"/>
            </w14:solidFill>
          </w14:textFill>
        </w:rPr>
        <w:t>天内完成核查，提出发包人到期应支付给承包人的金额</w:t>
      </w:r>
      <w:r>
        <w:rPr>
          <w:rFonts w:ascii="宋体" w:hAnsi="宋体" w:cs="宋体"/>
          <w:color w:val="000000" w:themeColor="text1"/>
          <w:sz w:val="24"/>
          <w:szCs w:val="24"/>
          <w:highlight w:val="none"/>
          <w14:textFill>
            <w14:solidFill>
              <w14:schemeClr w14:val="tx1"/>
            </w14:solidFill>
          </w14:textFill>
        </w:rPr>
        <w:t>以及相应的支持性材料，经</w:t>
      </w:r>
      <w:r>
        <w:rPr>
          <w:rFonts w:ascii="宋体" w:hAnsi="宋体" w:cs="宋体"/>
          <w:color w:val="000000" w:themeColor="text1"/>
          <w:spacing w:val="1"/>
          <w:sz w:val="24"/>
          <w:szCs w:val="24"/>
          <w:highlight w:val="none"/>
          <w14:textFill>
            <w14:solidFill>
              <w14:schemeClr w14:val="tx1"/>
            </w14:solidFill>
          </w14:textFill>
        </w:rPr>
        <w:t>发包人审查同意后，由咨询人向承包人出具经发包人签</w:t>
      </w:r>
      <w:r>
        <w:rPr>
          <w:rFonts w:ascii="宋体" w:hAnsi="宋体" w:cs="宋体"/>
          <w:color w:val="000000" w:themeColor="text1"/>
          <w:sz w:val="24"/>
          <w:szCs w:val="24"/>
          <w:highlight w:val="none"/>
          <w14:textFill>
            <w14:solidFill>
              <w14:schemeClr w14:val="tx1"/>
            </w14:solidFill>
          </w14:textFill>
        </w:rPr>
        <w:t>认的进度付款证书。咨询人</w:t>
      </w:r>
      <w:r>
        <w:rPr>
          <w:rFonts w:ascii="宋体" w:hAnsi="宋体" w:cs="宋体"/>
          <w:color w:val="000000" w:themeColor="text1"/>
          <w:spacing w:val="-1"/>
          <w:sz w:val="24"/>
          <w:szCs w:val="24"/>
          <w:highlight w:val="none"/>
          <w14:textFill>
            <w14:solidFill>
              <w14:schemeClr w14:val="tx1"/>
            </w14:solidFill>
          </w14:textFill>
        </w:rPr>
        <w:t>有权扣除承包人未能按照合同要求履行任何工作或义务的相应金额。</w:t>
      </w:r>
    </w:p>
    <w:p w14:paraId="25E65085">
      <w:pPr>
        <w:spacing w:before="115" w:line="263" w:lineRule="auto"/>
        <w:ind w:left="2" w:firstLine="489"/>
        <w:rPr>
          <w:rFonts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pacing w:val="4"/>
          <w:sz w:val="24"/>
          <w:szCs w:val="24"/>
          <w:highlight w:val="none"/>
          <w14:textFill>
            <w14:solidFill>
              <w14:schemeClr w14:val="tx1"/>
            </w14:solidFill>
          </w14:textFill>
        </w:rPr>
        <w:t>（</w:t>
      </w:r>
      <w:r>
        <w:rPr>
          <w:rFonts w:eastAsia="Times New Roman"/>
          <w:color w:val="000000" w:themeColor="text1"/>
          <w:spacing w:val="4"/>
          <w:sz w:val="24"/>
          <w:szCs w:val="24"/>
          <w:highlight w:val="none"/>
          <w14:textFill>
            <w14:solidFill>
              <w14:schemeClr w14:val="tx1"/>
            </w14:solidFill>
          </w14:textFill>
        </w:rPr>
        <w:t>2</w:t>
      </w:r>
      <w:r>
        <w:rPr>
          <w:rFonts w:ascii="宋体" w:hAnsi="宋体" w:cs="宋体"/>
          <w:color w:val="000000" w:themeColor="text1"/>
          <w:spacing w:val="4"/>
          <w:sz w:val="24"/>
          <w:szCs w:val="24"/>
          <w:highlight w:val="none"/>
          <w14:textFill>
            <w14:solidFill>
              <w14:schemeClr w14:val="tx1"/>
            </w14:solidFill>
          </w14:textFill>
        </w:rPr>
        <w:t>）发包人应在咨询人收到进度付款申请单且承包人提交了合格的增值</w:t>
      </w:r>
      <w:r>
        <w:rPr>
          <w:rFonts w:ascii="宋体" w:hAnsi="宋体" w:cs="宋体"/>
          <w:color w:val="000000" w:themeColor="text1"/>
          <w:spacing w:val="3"/>
          <w:sz w:val="24"/>
          <w:szCs w:val="24"/>
          <w:highlight w:val="none"/>
          <w14:textFill>
            <w14:solidFill>
              <w14:schemeClr w14:val="tx1"/>
            </w14:solidFill>
          </w14:textFill>
        </w:rPr>
        <w:t>税发</w:t>
      </w:r>
      <w:r>
        <w:rPr>
          <w:rFonts w:ascii="宋体" w:hAnsi="宋体" w:cs="宋体"/>
          <w:color w:val="000000" w:themeColor="text1"/>
          <w:spacing w:val="-2"/>
          <w:sz w:val="24"/>
          <w:szCs w:val="24"/>
          <w:highlight w:val="none"/>
          <w14:textFill>
            <w14:solidFill>
              <w14:schemeClr w14:val="tx1"/>
            </w14:solidFill>
          </w14:textFill>
        </w:rPr>
        <w:t>票后的</w:t>
      </w:r>
      <w:r>
        <w:rPr>
          <w:rFonts w:ascii="宋体" w:hAnsi="宋体" w:cs="宋体"/>
          <w:color w:val="000000" w:themeColor="text1"/>
          <w:spacing w:val="-29"/>
          <w:sz w:val="24"/>
          <w:szCs w:val="24"/>
          <w:highlight w:val="none"/>
          <w14:textFill>
            <w14:solidFill>
              <w14:schemeClr w14:val="tx1"/>
            </w14:solidFill>
          </w14:textFill>
        </w:rPr>
        <w:t xml:space="preserve"> </w:t>
      </w:r>
      <w:r>
        <w:rPr>
          <w:rFonts w:eastAsia="Times New Roman"/>
          <w:color w:val="000000" w:themeColor="text1"/>
          <w:spacing w:val="-2"/>
          <w:sz w:val="24"/>
          <w:szCs w:val="24"/>
          <w:highlight w:val="none"/>
          <w14:textFill>
            <w14:solidFill>
              <w14:schemeClr w14:val="tx1"/>
            </w14:solidFill>
          </w14:textFill>
        </w:rPr>
        <w:t xml:space="preserve">14 </w:t>
      </w:r>
      <w:r>
        <w:rPr>
          <w:rFonts w:ascii="宋体" w:hAnsi="宋体" w:cs="宋体"/>
          <w:color w:val="000000" w:themeColor="text1"/>
          <w:spacing w:val="-2"/>
          <w:sz w:val="24"/>
          <w:szCs w:val="24"/>
          <w:highlight w:val="none"/>
          <w14:textFill>
            <w14:solidFill>
              <w14:schemeClr w14:val="tx1"/>
            </w14:solidFill>
          </w14:textFill>
        </w:rPr>
        <w:t>天内，将进度应付款支付给承包人。</w:t>
      </w:r>
    </w:p>
    <w:p w14:paraId="681DCEA6">
      <w:pPr>
        <w:spacing w:before="114" w:line="308" w:lineRule="auto"/>
        <w:ind w:left="2" w:firstLine="481"/>
        <w:rPr>
          <w:rFonts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pacing w:val="1"/>
          <w:sz w:val="24"/>
          <w:szCs w:val="24"/>
          <w:highlight w:val="none"/>
          <w14:textFill>
            <w14:solidFill>
              <w14:schemeClr w14:val="tx1"/>
            </w14:solidFill>
          </w14:textFill>
        </w:rPr>
        <w:t>发包人不按期支付的，按专用合同条款约定的利</w:t>
      </w:r>
      <w:r>
        <w:rPr>
          <w:rFonts w:ascii="宋体" w:hAnsi="宋体" w:cs="宋体"/>
          <w:color w:val="000000" w:themeColor="text1"/>
          <w:sz w:val="24"/>
          <w:szCs w:val="24"/>
          <w:highlight w:val="none"/>
          <w14:textFill>
            <w14:solidFill>
              <w14:schemeClr w14:val="tx1"/>
            </w14:solidFill>
          </w14:textFill>
        </w:rPr>
        <w:t>率向承包人支付逾期付款违约</w:t>
      </w:r>
      <w:r>
        <w:rPr>
          <w:rFonts w:ascii="宋体" w:hAnsi="宋体" w:cs="宋体"/>
          <w:color w:val="000000" w:themeColor="text1"/>
          <w:spacing w:val="1"/>
          <w:sz w:val="24"/>
          <w:szCs w:val="24"/>
          <w:highlight w:val="none"/>
          <w14:textFill>
            <w14:solidFill>
              <w14:schemeClr w14:val="tx1"/>
            </w14:solidFill>
          </w14:textFill>
        </w:rPr>
        <w:t>金。违约金计算基数为发包人的全部未付款额，时间</w:t>
      </w:r>
      <w:r>
        <w:rPr>
          <w:rFonts w:ascii="宋体" w:hAnsi="宋体" w:cs="宋体"/>
          <w:color w:val="000000" w:themeColor="text1"/>
          <w:sz w:val="24"/>
          <w:szCs w:val="24"/>
          <w:highlight w:val="none"/>
          <w14:textFill>
            <w14:solidFill>
              <w14:schemeClr w14:val="tx1"/>
            </w14:solidFill>
          </w14:textFill>
        </w:rPr>
        <w:t>从应付而未付该款额之日算起</w:t>
      </w:r>
      <w:r>
        <w:rPr>
          <w:rFonts w:ascii="宋体" w:hAnsi="宋体" w:cs="宋体"/>
          <w:color w:val="000000" w:themeColor="text1"/>
          <w:spacing w:val="-15"/>
          <w:sz w:val="24"/>
          <w:szCs w:val="24"/>
          <w:highlight w:val="none"/>
          <w14:textFill>
            <w14:solidFill>
              <w14:schemeClr w14:val="tx1"/>
            </w14:solidFill>
          </w14:textFill>
        </w:rPr>
        <w:t>（不计复利）。</w:t>
      </w:r>
    </w:p>
    <w:p w14:paraId="66F4EB37">
      <w:pPr>
        <w:spacing w:before="1" w:line="307" w:lineRule="auto"/>
        <w:ind w:left="2" w:firstLine="489"/>
        <w:rPr>
          <w:rFonts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pacing w:val="4"/>
          <w:sz w:val="24"/>
          <w:szCs w:val="24"/>
          <w:highlight w:val="none"/>
          <w14:textFill>
            <w14:solidFill>
              <w14:schemeClr w14:val="tx1"/>
            </w14:solidFill>
          </w14:textFill>
        </w:rPr>
        <w:t>（</w:t>
      </w:r>
      <w:r>
        <w:rPr>
          <w:rFonts w:eastAsia="Times New Roman"/>
          <w:color w:val="000000" w:themeColor="text1"/>
          <w:spacing w:val="4"/>
          <w:sz w:val="24"/>
          <w:szCs w:val="24"/>
          <w:highlight w:val="none"/>
          <w14:textFill>
            <w14:solidFill>
              <w14:schemeClr w14:val="tx1"/>
            </w14:solidFill>
          </w14:textFill>
        </w:rPr>
        <w:t>3</w:t>
      </w:r>
      <w:r>
        <w:rPr>
          <w:rFonts w:ascii="宋体" w:hAnsi="宋体" w:cs="宋体"/>
          <w:color w:val="000000" w:themeColor="text1"/>
          <w:spacing w:val="4"/>
          <w:sz w:val="24"/>
          <w:szCs w:val="24"/>
          <w:highlight w:val="none"/>
          <w14:textFill>
            <w14:solidFill>
              <w14:schemeClr w14:val="tx1"/>
            </w14:solidFill>
          </w14:textFill>
        </w:rPr>
        <w:t>）咨询人出具进度付款证书，不应视为咨询人已同意、批准或接受了</w:t>
      </w:r>
      <w:r>
        <w:rPr>
          <w:rFonts w:ascii="宋体" w:hAnsi="宋体" w:cs="宋体"/>
          <w:color w:val="000000" w:themeColor="text1"/>
          <w:spacing w:val="3"/>
          <w:sz w:val="24"/>
          <w:szCs w:val="24"/>
          <w:highlight w:val="none"/>
          <w14:textFill>
            <w14:solidFill>
              <w14:schemeClr w14:val="tx1"/>
            </w14:solidFill>
          </w14:textFill>
        </w:rPr>
        <w:t>承包</w:t>
      </w:r>
      <w:r>
        <w:rPr>
          <w:rFonts w:ascii="宋体" w:hAnsi="宋体" w:cs="宋体"/>
          <w:color w:val="000000" w:themeColor="text1"/>
          <w:spacing w:val="-2"/>
          <w:sz w:val="24"/>
          <w:szCs w:val="24"/>
          <w:highlight w:val="none"/>
          <w14:textFill>
            <w14:solidFill>
              <w14:schemeClr w14:val="tx1"/>
            </w14:solidFill>
          </w14:textFill>
        </w:rPr>
        <w:t>人完成的该部分工作。</w:t>
      </w:r>
    </w:p>
    <w:p w14:paraId="4FCF77FA">
      <w:pPr>
        <w:spacing w:before="1" w:line="219" w:lineRule="auto"/>
        <w:ind w:left="499"/>
        <w:rPr>
          <w:rFonts w:ascii="宋体" w:hAnsi="宋体" w:cs="宋体"/>
          <w:color w:val="000000" w:themeColor="text1"/>
          <w:sz w:val="24"/>
          <w:szCs w:val="24"/>
          <w:highlight w:val="none"/>
          <w14:textFill>
            <w14:solidFill>
              <w14:schemeClr w14:val="tx1"/>
            </w14:solidFill>
          </w14:textFill>
        </w:rPr>
      </w:pPr>
      <w:r>
        <w:rPr>
          <w:rFonts w:eastAsia="Times New Roman"/>
          <w:color w:val="000000" w:themeColor="text1"/>
          <w:spacing w:val="-2"/>
          <w:sz w:val="24"/>
          <w:szCs w:val="24"/>
          <w:highlight w:val="none"/>
          <w14:textFill>
            <w14:solidFill>
              <w14:schemeClr w14:val="tx1"/>
            </w14:solidFill>
          </w14:textFill>
        </w:rPr>
        <w:t xml:space="preserve">17.3.4  </w:t>
      </w:r>
      <w:r>
        <w:rPr>
          <w:rFonts w:ascii="宋体" w:hAnsi="宋体" w:cs="宋体"/>
          <w:color w:val="000000" w:themeColor="text1"/>
          <w:spacing w:val="-2"/>
          <w:sz w:val="24"/>
          <w:szCs w:val="24"/>
          <w:highlight w:val="none"/>
          <w14:textFill>
            <w14:solidFill>
              <w14:schemeClr w14:val="tx1"/>
            </w14:solidFill>
          </w14:textFill>
        </w:rPr>
        <w:t>工程进度付款的修正</w:t>
      </w:r>
    </w:p>
    <w:p w14:paraId="1A070E2D">
      <w:pPr>
        <w:spacing w:before="114" w:line="308" w:lineRule="auto"/>
        <w:ind w:left="1" w:firstLine="478"/>
        <w:rPr>
          <w:rFonts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pacing w:val="1"/>
          <w:sz w:val="24"/>
          <w:szCs w:val="24"/>
          <w:highlight w:val="none"/>
          <w14:textFill>
            <w14:solidFill>
              <w14:schemeClr w14:val="tx1"/>
            </w14:solidFill>
          </w14:textFill>
        </w:rPr>
        <w:t>在对以往历次已签发的进度付款证书进行汇总和复核中发现</w:t>
      </w:r>
      <w:r>
        <w:rPr>
          <w:rFonts w:ascii="宋体" w:hAnsi="宋体" w:cs="宋体"/>
          <w:color w:val="000000" w:themeColor="text1"/>
          <w:sz w:val="24"/>
          <w:szCs w:val="24"/>
          <w:highlight w:val="none"/>
          <w14:textFill>
            <w14:solidFill>
              <w14:schemeClr w14:val="tx1"/>
            </w14:solidFill>
          </w14:textFill>
        </w:rPr>
        <w:t>错、漏或重复的，</w:t>
      </w:r>
      <w:r>
        <w:rPr>
          <w:rFonts w:ascii="宋体" w:hAnsi="宋体" w:cs="宋体"/>
          <w:color w:val="000000" w:themeColor="text1"/>
          <w:spacing w:val="1"/>
          <w:sz w:val="24"/>
          <w:szCs w:val="24"/>
          <w:highlight w:val="none"/>
          <w14:textFill>
            <w14:solidFill>
              <w14:schemeClr w14:val="tx1"/>
            </w14:solidFill>
          </w14:textFill>
        </w:rPr>
        <w:t>咨询人有权予以修正，承包人也有权提出修正申请。经</w:t>
      </w:r>
      <w:r>
        <w:rPr>
          <w:rFonts w:ascii="宋体" w:hAnsi="宋体" w:cs="宋体"/>
          <w:color w:val="000000" w:themeColor="text1"/>
          <w:sz w:val="24"/>
          <w:szCs w:val="24"/>
          <w:highlight w:val="none"/>
          <w14:textFill>
            <w14:solidFill>
              <w14:schemeClr w14:val="tx1"/>
            </w14:solidFill>
          </w14:textFill>
        </w:rPr>
        <w:t>双方复核同意的修正，应在</w:t>
      </w:r>
      <w:r>
        <w:rPr>
          <w:rFonts w:ascii="宋体" w:hAnsi="宋体" w:cs="宋体"/>
          <w:color w:val="000000" w:themeColor="text1"/>
          <w:spacing w:val="-1"/>
          <w:sz w:val="24"/>
          <w:szCs w:val="24"/>
          <w:highlight w:val="none"/>
          <w14:textFill>
            <w14:solidFill>
              <w14:schemeClr w14:val="tx1"/>
            </w14:solidFill>
          </w14:textFill>
        </w:rPr>
        <w:t>本次进度付款中支付或扣除。</w:t>
      </w:r>
    </w:p>
    <w:p w14:paraId="238520FE">
      <w:pPr>
        <w:spacing w:line="219" w:lineRule="auto"/>
        <w:ind w:left="499"/>
        <w:rPr>
          <w:rFonts w:ascii="宋体" w:hAnsi="宋体" w:cs="宋体"/>
          <w:color w:val="000000" w:themeColor="text1"/>
          <w:sz w:val="24"/>
          <w:szCs w:val="24"/>
          <w:highlight w:val="none"/>
          <w14:textFill>
            <w14:solidFill>
              <w14:schemeClr w14:val="tx1"/>
            </w14:solidFill>
          </w14:textFill>
        </w:rPr>
      </w:pPr>
      <w:r>
        <w:rPr>
          <w:rFonts w:eastAsia="Times New Roman"/>
          <w:color w:val="000000" w:themeColor="text1"/>
          <w:spacing w:val="-2"/>
          <w:sz w:val="24"/>
          <w:szCs w:val="24"/>
          <w:highlight w:val="none"/>
          <w14:textFill>
            <w14:solidFill>
              <w14:schemeClr w14:val="tx1"/>
            </w14:solidFill>
          </w14:textFill>
        </w:rPr>
        <w:t xml:space="preserve">17.3.5  </w:t>
      </w:r>
      <w:r>
        <w:rPr>
          <w:rFonts w:ascii="宋体" w:hAnsi="宋体" w:cs="宋体"/>
          <w:color w:val="000000" w:themeColor="text1"/>
          <w:spacing w:val="-2"/>
          <w:sz w:val="24"/>
          <w:szCs w:val="24"/>
          <w:highlight w:val="none"/>
          <w14:textFill>
            <w14:solidFill>
              <w14:schemeClr w14:val="tx1"/>
            </w14:solidFill>
          </w14:textFill>
        </w:rPr>
        <w:t>农民工工资支付</w:t>
      </w:r>
    </w:p>
    <w:p w14:paraId="5BFBE523">
      <w:pPr>
        <w:spacing w:before="117" w:line="307" w:lineRule="auto"/>
        <w:ind w:firstLine="480"/>
        <w:rPr>
          <w:rFonts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pacing w:val="1"/>
          <w:sz w:val="24"/>
          <w:szCs w:val="24"/>
          <w:highlight w:val="none"/>
          <w14:textFill>
            <w14:solidFill>
              <w14:schemeClr w14:val="tx1"/>
            </w14:solidFill>
          </w14:textFill>
        </w:rPr>
        <w:t>承包人应按时足额支付农民工工资，不得拖欠。养护作业</w:t>
      </w:r>
      <w:r>
        <w:rPr>
          <w:rFonts w:ascii="宋体" w:hAnsi="宋体" w:cs="宋体"/>
          <w:color w:val="000000" w:themeColor="text1"/>
          <w:sz w:val="24"/>
          <w:szCs w:val="24"/>
          <w:highlight w:val="none"/>
          <w14:textFill>
            <w14:solidFill>
              <w14:schemeClr w14:val="tx1"/>
            </w14:solidFill>
          </w14:textFill>
        </w:rPr>
        <w:t>适用农民工工资管理</w:t>
      </w:r>
      <w:r>
        <w:rPr>
          <w:rFonts w:ascii="宋体" w:hAnsi="宋体" w:cs="宋体"/>
          <w:color w:val="000000" w:themeColor="text1"/>
          <w:spacing w:val="-1"/>
          <w:sz w:val="24"/>
          <w:szCs w:val="24"/>
          <w:highlight w:val="none"/>
          <w14:textFill>
            <w14:solidFill>
              <w14:schemeClr w14:val="tx1"/>
            </w14:solidFill>
          </w14:textFill>
        </w:rPr>
        <w:t>相关法律法规以及地方政府规定的，承包人应按相关规定执行。</w:t>
      </w:r>
    </w:p>
    <w:p w14:paraId="40AB6F58">
      <w:pPr>
        <w:spacing w:before="1" w:line="219" w:lineRule="auto"/>
        <w:ind w:left="499"/>
        <w:rPr>
          <w:rFonts w:ascii="宋体" w:hAnsi="宋体" w:cs="宋体"/>
          <w:color w:val="000000" w:themeColor="text1"/>
          <w:sz w:val="24"/>
          <w:szCs w:val="24"/>
          <w:highlight w:val="none"/>
          <w14:textFill>
            <w14:solidFill>
              <w14:schemeClr w14:val="tx1"/>
            </w14:solidFill>
          </w14:textFill>
        </w:rPr>
      </w:pPr>
      <w:r>
        <w:rPr>
          <w:rFonts w:eastAsia="Times New Roman"/>
          <w:color w:val="000000" w:themeColor="text1"/>
          <w:spacing w:val="-2"/>
          <w:sz w:val="24"/>
          <w:szCs w:val="24"/>
          <w:highlight w:val="none"/>
          <w14:textFill>
            <w14:solidFill>
              <w14:schemeClr w14:val="tx1"/>
            </w14:solidFill>
          </w14:textFill>
        </w:rPr>
        <w:t xml:space="preserve">17.3.6  </w:t>
      </w:r>
      <w:r>
        <w:rPr>
          <w:rFonts w:ascii="宋体" w:hAnsi="宋体" w:cs="宋体"/>
          <w:color w:val="000000" w:themeColor="text1"/>
          <w:spacing w:val="-2"/>
          <w:sz w:val="24"/>
          <w:szCs w:val="24"/>
          <w:highlight w:val="none"/>
          <w14:textFill>
            <w14:solidFill>
              <w14:schemeClr w14:val="tx1"/>
            </w14:solidFill>
          </w14:textFill>
        </w:rPr>
        <w:t>安全生产费的支付</w:t>
      </w:r>
    </w:p>
    <w:p w14:paraId="2D6E2371">
      <w:pPr>
        <w:spacing w:before="114" w:line="304" w:lineRule="auto"/>
        <w:ind w:left="1" w:right="2" w:firstLine="483"/>
        <w:rPr>
          <w:rFonts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pacing w:val="1"/>
          <w:sz w:val="24"/>
          <w:szCs w:val="24"/>
          <w:highlight w:val="none"/>
          <w14:textFill>
            <w14:solidFill>
              <w14:schemeClr w14:val="tx1"/>
            </w14:solidFill>
          </w14:textFill>
        </w:rPr>
        <w:t>发包人应按照专用合同条款约定的比例和条</w:t>
      </w:r>
      <w:r>
        <w:rPr>
          <w:rFonts w:ascii="宋体" w:hAnsi="宋体" w:cs="宋体"/>
          <w:color w:val="000000" w:themeColor="text1"/>
          <w:sz w:val="24"/>
          <w:szCs w:val="24"/>
          <w:highlight w:val="none"/>
          <w14:textFill>
            <w14:solidFill>
              <w14:schemeClr w14:val="tx1"/>
            </w14:solidFill>
          </w14:textFill>
        </w:rPr>
        <w:t>件支付安全生产费。在开工日期后</w:t>
      </w:r>
      <w:r>
        <w:rPr>
          <w:rFonts w:eastAsia="Times New Roman"/>
          <w:color w:val="000000" w:themeColor="text1"/>
          <w:spacing w:val="-1"/>
          <w:sz w:val="24"/>
          <w:szCs w:val="24"/>
          <w:highlight w:val="none"/>
          <w14:textFill>
            <w14:solidFill>
              <w14:schemeClr w14:val="tx1"/>
            </w14:solidFill>
          </w14:textFill>
        </w:rPr>
        <w:t xml:space="preserve">30 </w:t>
      </w:r>
      <w:r>
        <w:rPr>
          <w:rFonts w:ascii="宋体" w:hAnsi="宋体" w:cs="宋体"/>
          <w:color w:val="000000" w:themeColor="text1"/>
          <w:spacing w:val="-1"/>
          <w:sz w:val="24"/>
          <w:szCs w:val="24"/>
          <w:highlight w:val="none"/>
          <w14:textFill>
            <w14:solidFill>
              <w14:schemeClr w14:val="tx1"/>
            </w14:solidFill>
          </w14:textFill>
        </w:rPr>
        <w:t>天内，发包人向承包人支付的安全生产费不得少于安全生产费总额的</w:t>
      </w:r>
      <w:r>
        <w:rPr>
          <w:rFonts w:ascii="宋体" w:hAnsi="宋体" w:cs="宋体"/>
          <w:color w:val="000000" w:themeColor="text1"/>
          <w:spacing w:val="-34"/>
          <w:sz w:val="24"/>
          <w:szCs w:val="24"/>
          <w:highlight w:val="none"/>
          <w14:textFill>
            <w14:solidFill>
              <w14:schemeClr w14:val="tx1"/>
            </w14:solidFill>
          </w14:textFill>
        </w:rPr>
        <w:t xml:space="preserve"> </w:t>
      </w:r>
      <w:r>
        <w:rPr>
          <w:rFonts w:eastAsia="Times New Roman"/>
          <w:color w:val="000000" w:themeColor="text1"/>
          <w:spacing w:val="-1"/>
          <w:sz w:val="24"/>
          <w:szCs w:val="24"/>
          <w:highlight w:val="none"/>
          <w14:textFill>
            <w14:solidFill>
              <w14:schemeClr w14:val="tx1"/>
            </w14:solidFill>
          </w14:textFill>
        </w:rPr>
        <w:t>50%</w:t>
      </w:r>
      <w:r>
        <w:rPr>
          <w:rFonts w:ascii="宋体" w:hAnsi="宋体" w:cs="宋体"/>
          <w:color w:val="000000" w:themeColor="text1"/>
          <w:spacing w:val="-1"/>
          <w:sz w:val="24"/>
          <w:szCs w:val="24"/>
          <w:highlight w:val="none"/>
          <w14:textFill>
            <w14:solidFill>
              <w14:schemeClr w14:val="tx1"/>
            </w14:solidFill>
          </w14:textFill>
        </w:rPr>
        <w:t>。</w:t>
      </w:r>
    </w:p>
    <w:p w14:paraId="4DFA26CE">
      <w:pPr>
        <w:spacing w:line="220" w:lineRule="auto"/>
        <w:ind w:left="487"/>
        <w:outlineLvl w:val="3"/>
        <w:rPr>
          <w:rFonts w:ascii="宋体" w:hAnsi="宋体" w:cs="宋体"/>
          <w:color w:val="000000" w:themeColor="text1"/>
          <w:sz w:val="24"/>
          <w:szCs w:val="24"/>
          <w:highlight w:val="none"/>
          <w14:textFill>
            <w14:solidFill>
              <w14:schemeClr w14:val="tx1"/>
            </w14:solidFill>
          </w14:textFill>
        </w:rPr>
      </w:pPr>
      <w:r>
        <w:rPr>
          <w:rFonts w:eastAsia="Times New Roman"/>
          <w:b/>
          <w:bCs/>
          <w:color w:val="000000" w:themeColor="text1"/>
          <w:spacing w:val="-3"/>
          <w:sz w:val="24"/>
          <w:szCs w:val="24"/>
          <w:highlight w:val="none"/>
          <w14:textFill>
            <w14:solidFill>
              <w14:schemeClr w14:val="tx1"/>
            </w14:solidFill>
          </w14:textFill>
        </w:rPr>
        <w:t xml:space="preserve">17.4  </w:t>
      </w:r>
      <w:r>
        <w:rPr>
          <w:rFonts w:ascii="宋体" w:hAnsi="宋体" w:cs="宋体"/>
          <w:b/>
          <w:bCs/>
          <w:color w:val="000000" w:themeColor="text1"/>
          <w:spacing w:val="-3"/>
          <w:sz w:val="24"/>
          <w:szCs w:val="24"/>
          <w:highlight w:val="none"/>
          <w14:textFill>
            <w14:solidFill>
              <w14:schemeClr w14:val="tx1"/>
            </w14:solidFill>
          </w14:textFill>
        </w:rPr>
        <w:t>质量保证金</w:t>
      </w:r>
    </w:p>
    <w:p w14:paraId="5BA27296">
      <w:pPr>
        <w:spacing w:before="122" w:line="308" w:lineRule="auto"/>
        <w:ind w:firstLine="498"/>
        <w:rPr>
          <w:rFonts w:ascii="宋体" w:hAnsi="宋体" w:cs="宋体"/>
          <w:color w:val="000000" w:themeColor="text1"/>
          <w:sz w:val="24"/>
          <w:szCs w:val="24"/>
          <w:highlight w:val="none"/>
          <w14:textFill>
            <w14:solidFill>
              <w14:schemeClr w14:val="tx1"/>
            </w14:solidFill>
          </w14:textFill>
        </w:rPr>
      </w:pPr>
      <w:r>
        <w:rPr>
          <w:rFonts w:eastAsia="Times New Roman"/>
          <w:color w:val="000000" w:themeColor="text1"/>
          <w:spacing w:val="3"/>
          <w:sz w:val="24"/>
          <w:szCs w:val="24"/>
          <w:highlight w:val="none"/>
          <w14:textFill>
            <w14:solidFill>
              <w14:schemeClr w14:val="tx1"/>
            </w14:solidFill>
          </w14:textFill>
        </w:rPr>
        <w:t>17.4.1</w:t>
      </w:r>
      <w:r>
        <w:rPr>
          <w:rFonts w:eastAsia="Times New Roman"/>
          <w:color w:val="000000" w:themeColor="text1"/>
          <w:spacing w:val="21"/>
          <w:w w:val="101"/>
          <w:sz w:val="24"/>
          <w:szCs w:val="24"/>
          <w:highlight w:val="none"/>
          <w14:textFill>
            <w14:solidFill>
              <w14:schemeClr w14:val="tx1"/>
            </w14:solidFill>
          </w14:textFill>
        </w:rPr>
        <w:t xml:space="preserve"> </w:t>
      </w:r>
      <w:r>
        <w:rPr>
          <w:rFonts w:ascii="宋体" w:hAnsi="宋体" w:cs="宋体"/>
          <w:color w:val="000000" w:themeColor="text1"/>
          <w:spacing w:val="3"/>
          <w:sz w:val="24"/>
          <w:szCs w:val="24"/>
          <w:highlight w:val="none"/>
          <w14:textFill>
            <w14:solidFill>
              <w14:schemeClr w14:val="tx1"/>
            </w14:solidFill>
          </w14:textFill>
        </w:rPr>
        <w:t>交工验收证书签发后</w:t>
      </w:r>
      <w:r>
        <w:rPr>
          <w:rFonts w:ascii="宋体" w:hAnsi="宋体" w:cs="宋体"/>
          <w:color w:val="000000" w:themeColor="text1"/>
          <w:spacing w:val="-25"/>
          <w:sz w:val="24"/>
          <w:szCs w:val="24"/>
          <w:highlight w:val="none"/>
          <w14:textFill>
            <w14:solidFill>
              <w14:schemeClr w14:val="tx1"/>
            </w14:solidFill>
          </w14:textFill>
        </w:rPr>
        <w:t xml:space="preserve"> </w:t>
      </w:r>
      <w:r>
        <w:rPr>
          <w:rFonts w:eastAsia="Times New Roman"/>
          <w:color w:val="000000" w:themeColor="text1"/>
          <w:spacing w:val="3"/>
          <w:sz w:val="24"/>
          <w:szCs w:val="24"/>
          <w:highlight w:val="none"/>
          <w14:textFill>
            <w14:solidFill>
              <w14:schemeClr w14:val="tx1"/>
            </w14:solidFill>
          </w14:textFill>
        </w:rPr>
        <w:t>14</w:t>
      </w:r>
      <w:r>
        <w:rPr>
          <w:rFonts w:eastAsia="Times New Roman"/>
          <w:color w:val="000000" w:themeColor="text1"/>
          <w:spacing w:val="19"/>
          <w:w w:val="101"/>
          <w:sz w:val="24"/>
          <w:szCs w:val="24"/>
          <w:highlight w:val="none"/>
          <w14:textFill>
            <w14:solidFill>
              <w14:schemeClr w14:val="tx1"/>
            </w14:solidFill>
          </w14:textFill>
        </w:rPr>
        <w:t xml:space="preserve"> </w:t>
      </w:r>
      <w:r>
        <w:rPr>
          <w:rFonts w:ascii="宋体" w:hAnsi="宋体" w:cs="宋体"/>
          <w:color w:val="000000" w:themeColor="text1"/>
          <w:spacing w:val="3"/>
          <w:sz w:val="24"/>
          <w:szCs w:val="24"/>
          <w:highlight w:val="none"/>
          <w14:textFill>
            <w14:solidFill>
              <w14:schemeClr w14:val="tx1"/>
            </w14:solidFill>
          </w14:textFill>
        </w:rPr>
        <w:t>天内，承包人应向发包人缴纳质量保证</w:t>
      </w:r>
      <w:r>
        <w:rPr>
          <w:rFonts w:ascii="宋体" w:hAnsi="宋体" w:cs="宋体"/>
          <w:color w:val="000000" w:themeColor="text1"/>
          <w:spacing w:val="2"/>
          <w:sz w:val="24"/>
          <w:szCs w:val="24"/>
          <w:highlight w:val="none"/>
          <w14:textFill>
            <w14:solidFill>
              <w14:schemeClr w14:val="tx1"/>
            </w14:solidFill>
          </w14:textFill>
        </w:rPr>
        <w:t>金。质</w:t>
      </w:r>
      <w:r>
        <w:rPr>
          <w:rFonts w:ascii="宋体" w:hAnsi="宋体" w:cs="宋体"/>
          <w:color w:val="000000" w:themeColor="text1"/>
          <w:spacing w:val="1"/>
          <w:sz w:val="24"/>
          <w:szCs w:val="24"/>
          <w:highlight w:val="none"/>
          <w14:textFill>
            <w14:solidFill>
              <w14:schemeClr w14:val="tx1"/>
            </w14:solidFill>
          </w14:textFill>
        </w:rPr>
        <w:t>量保证金可采用银行保函、现金、担保机构保函、保险公</w:t>
      </w:r>
      <w:r>
        <w:rPr>
          <w:rFonts w:ascii="宋体" w:hAnsi="宋体" w:cs="宋体"/>
          <w:color w:val="000000" w:themeColor="text1"/>
          <w:sz w:val="24"/>
          <w:szCs w:val="24"/>
          <w:highlight w:val="none"/>
          <w14:textFill>
            <w14:solidFill>
              <w14:schemeClr w14:val="tx1"/>
            </w14:solidFill>
          </w14:textFill>
        </w:rPr>
        <w:t>司保证保险以及专用合同</w:t>
      </w:r>
      <w:r>
        <w:rPr>
          <w:rFonts w:ascii="宋体" w:hAnsi="宋体" w:cs="宋体"/>
          <w:color w:val="000000" w:themeColor="text1"/>
          <w:spacing w:val="1"/>
          <w:sz w:val="24"/>
          <w:szCs w:val="24"/>
          <w:highlight w:val="none"/>
          <w14:textFill>
            <w14:solidFill>
              <w14:schemeClr w14:val="tx1"/>
            </w14:solidFill>
          </w14:textFill>
        </w:rPr>
        <w:t>条款约定的其他形式，金额应符合专用合同条款的约定。</w:t>
      </w:r>
      <w:r>
        <w:rPr>
          <w:rFonts w:ascii="宋体" w:hAnsi="宋体" w:cs="宋体"/>
          <w:color w:val="000000" w:themeColor="text1"/>
          <w:sz w:val="24"/>
          <w:szCs w:val="24"/>
          <w:highlight w:val="none"/>
          <w14:textFill>
            <w14:solidFill>
              <w14:schemeClr w14:val="tx1"/>
            </w14:solidFill>
          </w14:textFill>
        </w:rPr>
        <w:t>采用非现金形式时，出具</w:t>
      </w:r>
      <w:r>
        <w:rPr>
          <w:rFonts w:ascii="宋体" w:hAnsi="宋体" w:cs="宋体"/>
          <w:color w:val="000000" w:themeColor="text1"/>
          <w:spacing w:val="1"/>
          <w:sz w:val="24"/>
          <w:szCs w:val="24"/>
          <w:highlight w:val="none"/>
          <w14:textFill>
            <w14:solidFill>
              <w14:schemeClr w14:val="tx1"/>
            </w14:solidFill>
          </w14:textFill>
        </w:rPr>
        <w:t>担保的机构须具有相应担保能力，且按照发包人批准的格</w:t>
      </w:r>
      <w:r>
        <w:rPr>
          <w:rFonts w:ascii="宋体" w:hAnsi="宋体" w:cs="宋体"/>
          <w:color w:val="000000" w:themeColor="text1"/>
          <w:sz w:val="24"/>
          <w:szCs w:val="24"/>
          <w:highlight w:val="none"/>
          <w14:textFill>
            <w14:solidFill>
              <w14:schemeClr w14:val="tx1"/>
            </w14:solidFill>
          </w14:textFill>
        </w:rPr>
        <w:t>式出具，所需费用由承包</w:t>
      </w:r>
      <w:r>
        <w:rPr>
          <w:rFonts w:ascii="宋体" w:hAnsi="宋体" w:cs="宋体"/>
          <w:color w:val="000000" w:themeColor="text1"/>
          <w:spacing w:val="-3"/>
          <w:sz w:val="24"/>
          <w:szCs w:val="24"/>
          <w:highlight w:val="none"/>
          <w14:textFill>
            <w14:solidFill>
              <w14:schemeClr w14:val="tx1"/>
            </w14:solidFill>
          </w14:textFill>
        </w:rPr>
        <w:t>人承担。</w:t>
      </w:r>
    </w:p>
    <w:p w14:paraId="53F6F6C0">
      <w:pPr>
        <w:spacing w:before="1" w:line="307" w:lineRule="auto"/>
        <w:ind w:left="1" w:firstLine="480"/>
        <w:rPr>
          <w:rFonts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pacing w:val="1"/>
          <w:sz w:val="24"/>
          <w:szCs w:val="24"/>
          <w:highlight w:val="none"/>
          <w14:textFill>
            <w14:solidFill>
              <w14:schemeClr w14:val="tx1"/>
            </w14:solidFill>
          </w14:textFill>
        </w:rPr>
        <w:t>质量保证金采用现金形式提交的，发包人应在专用合同</w:t>
      </w:r>
      <w:r>
        <w:rPr>
          <w:rFonts w:ascii="宋体" w:hAnsi="宋体" w:cs="宋体"/>
          <w:color w:val="000000" w:themeColor="text1"/>
          <w:sz w:val="24"/>
          <w:szCs w:val="24"/>
          <w:highlight w:val="none"/>
          <w14:textFill>
            <w14:solidFill>
              <w14:schemeClr w14:val="tx1"/>
            </w14:solidFill>
          </w14:textFill>
        </w:rPr>
        <w:t>条款中明确利息的计算</w:t>
      </w:r>
      <w:r>
        <w:rPr>
          <w:rFonts w:ascii="宋体" w:hAnsi="宋体" w:cs="宋体"/>
          <w:color w:val="000000" w:themeColor="text1"/>
          <w:spacing w:val="-4"/>
          <w:sz w:val="24"/>
          <w:szCs w:val="24"/>
          <w:highlight w:val="none"/>
          <w14:textFill>
            <w14:solidFill>
              <w14:schemeClr w14:val="tx1"/>
            </w14:solidFill>
          </w14:textFill>
        </w:rPr>
        <w:t>方式。</w:t>
      </w:r>
    </w:p>
    <w:p w14:paraId="41452929">
      <w:pPr>
        <w:spacing w:line="310" w:lineRule="auto"/>
        <w:ind w:firstLine="499"/>
        <w:rPr>
          <w:rFonts w:ascii="宋体" w:hAnsi="宋体" w:cs="宋体"/>
          <w:color w:val="000000" w:themeColor="text1"/>
          <w:sz w:val="24"/>
          <w:szCs w:val="24"/>
          <w:highlight w:val="none"/>
          <w14:textFill>
            <w14:solidFill>
              <w14:schemeClr w14:val="tx1"/>
            </w14:solidFill>
          </w14:textFill>
        </w:rPr>
      </w:pPr>
      <w:r>
        <w:rPr>
          <w:rFonts w:eastAsia="Times New Roman"/>
          <w:color w:val="000000" w:themeColor="text1"/>
          <w:spacing w:val="2"/>
          <w:sz w:val="24"/>
          <w:szCs w:val="24"/>
          <w:highlight w:val="none"/>
          <w14:textFill>
            <w14:solidFill>
              <w14:schemeClr w14:val="tx1"/>
            </w14:solidFill>
          </w14:textFill>
        </w:rPr>
        <w:t xml:space="preserve">17.4.2  </w:t>
      </w:r>
      <w:r>
        <w:rPr>
          <w:rFonts w:ascii="宋体" w:hAnsi="宋体" w:cs="宋体"/>
          <w:color w:val="000000" w:themeColor="text1"/>
          <w:spacing w:val="2"/>
          <w:sz w:val="24"/>
          <w:szCs w:val="24"/>
          <w:highlight w:val="none"/>
          <w14:textFill>
            <w14:solidFill>
              <w14:schemeClr w14:val="tx1"/>
            </w14:solidFill>
          </w14:textFill>
        </w:rPr>
        <w:t>在第</w:t>
      </w:r>
      <w:r>
        <w:rPr>
          <w:rFonts w:ascii="宋体" w:hAnsi="宋体" w:cs="宋体"/>
          <w:color w:val="000000" w:themeColor="text1"/>
          <w:spacing w:val="-22"/>
          <w:sz w:val="24"/>
          <w:szCs w:val="24"/>
          <w:highlight w:val="none"/>
          <w14:textFill>
            <w14:solidFill>
              <w14:schemeClr w14:val="tx1"/>
            </w14:solidFill>
          </w14:textFill>
        </w:rPr>
        <w:t xml:space="preserve"> </w:t>
      </w:r>
      <w:r>
        <w:rPr>
          <w:rFonts w:eastAsia="Times New Roman"/>
          <w:color w:val="000000" w:themeColor="text1"/>
          <w:spacing w:val="2"/>
          <w:sz w:val="24"/>
          <w:szCs w:val="24"/>
          <w:highlight w:val="none"/>
          <w14:textFill>
            <w14:solidFill>
              <w14:schemeClr w14:val="tx1"/>
            </w14:solidFill>
          </w14:textFill>
        </w:rPr>
        <w:t xml:space="preserve">1.1.4.5  </w:t>
      </w:r>
      <w:r>
        <w:rPr>
          <w:rFonts w:ascii="宋体" w:hAnsi="宋体" w:cs="宋体"/>
          <w:color w:val="000000" w:themeColor="text1"/>
          <w:spacing w:val="2"/>
          <w:sz w:val="24"/>
          <w:szCs w:val="24"/>
          <w:highlight w:val="none"/>
          <w14:textFill>
            <w14:solidFill>
              <w14:schemeClr w14:val="tx1"/>
            </w14:solidFill>
          </w14:textFill>
        </w:rPr>
        <w:t>目约定的缺陷责任期满时，承包人向发包人申请到期</w:t>
      </w:r>
      <w:r>
        <w:rPr>
          <w:rFonts w:ascii="宋体" w:hAnsi="宋体" w:cs="宋体"/>
          <w:color w:val="000000" w:themeColor="text1"/>
          <w:spacing w:val="1"/>
          <w:sz w:val="24"/>
          <w:szCs w:val="24"/>
          <w:highlight w:val="none"/>
          <w14:textFill>
            <w14:solidFill>
              <w14:schemeClr w14:val="tx1"/>
            </w14:solidFill>
          </w14:textFill>
        </w:rPr>
        <w:t>应返</w:t>
      </w:r>
      <w:r>
        <w:rPr>
          <w:rFonts w:ascii="宋体" w:hAnsi="宋体" w:cs="宋体"/>
          <w:color w:val="000000" w:themeColor="text1"/>
          <w:spacing w:val="3"/>
          <w:sz w:val="24"/>
          <w:szCs w:val="24"/>
          <w:highlight w:val="none"/>
          <w14:textFill>
            <w14:solidFill>
              <w14:schemeClr w14:val="tx1"/>
            </w14:solidFill>
          </w14:textFill>
        </w:rPr>
        <w:t>还承包人剩余的质量保证金金额，发包人应在</w:t>
      </w:r>
      <w:r>
        <w:rPr>
          <w:rFonts w:ascii="宋体" w:hAnsi="宋体" w:cs="宋体"/>
          <w:color w:val="000000" w:themeColor="text1"/>
          <w:spacing w:val="-27"/>
          <w:sz w:val="24"/>
          <w:szCs w:val="24"/>
          <w:highlight w:val="none"/>
          <w14:textFill>
            <w14:solidFill>
              <w14:schemeClr w14:val="tx1"/>
            </w14:solidFill>
          </w14:textFill>
        </w:rPr>
        <w:t xml:space="preserve"> </w:t>
      </w:r>
      <w:r>
        <w:rPr>
          <w:rFonts w:eastAsia="Times New Roman"/>
          <w:color w:val="000000" w:themeColor="text1"/>
          <w:spacing w:val="3"/>
          <w:sz w:val="24"/>
          <w:szCs w:val="24"/>
          <w:highlight w:val="none"/>
          <w14:textFill>
            <w14:solidFill>
              <w14:schemeClr w14:val="tx1"/>
            </w14:solidFill>
          </w14:textFill>
        </w:rPr>
        <w:t>14</w:t>
      </w:r>
      <w:r>
        <w:rPr>
          <w:rFonts w:ascii="宋体" w:hAnsi="宋体" w:cs="宋体"/>
          <w:color w:val="000000" w:themeColor="text1"/>
          <w:spacing w:val="2"/>
          <w:sz w:val="24"/>
          <w:szCs w:val="24"/>
          <w:highlight w:val="none"/>
          <w14:textFill>
            <w14:solidFill>
              <w14:schemeClr w14:val="tx1"/>
            </w14:solidFill>
          </w14:textFill>
        </w:rPr>
        <w:t>天内会同承包人按照合同约定的</w:t>
      </w:r>
      <w:bookmarkStart w:id="163" w:name="bookmark227"/>
      <w:bookmarkEnd w:id="163"/>
      <w:r>
        <w:rPr>
          <w:rFonts w:ascii="宋体" w:hAnsi="宋体" w:cs="宋体"/>
          <w:color w:val="000000" w:themeColor="text1"/>
          <w:sz w:val="24"/>
          <w:szCs w:val="24"/>
          <w:highlight w:val="none"/>
          <w14:textFill>
            <w14:solidFill>
              <w14:schemeClr w14:val="tx1"/>
            </w14:solidFill>
          </w14:textFill>
        </w:rPr>
        <w:t>内容核实承包人是否完成缺陷责任。如无异议，发包人应当在核实后将剩</w:t>
      </w:r>
      <w:r>
        <w:rPr>
          <w:rFonts w:ascii="宋体" w:hAnsi="宋体" w:cs="宋体"/>
          <w:color w:val="000000" w:themeColor="text1"/>
          <w:spacing w:val="-1"/>
          <w:sz w:val="24"/>
          <w:szCs w:val="24"/>
          <w:highlight w:val="none"/>
          <w14:textFill>
            <w14:solidFill>
              <w14:schemeClr w14:val="tx1"/>
            </w14:solidFill>
          </w14:textFill>
        </w:rPr>
        <w:t>余保证金</w:t>
      </w:r>
      <w:r>
        <w:rPr>
          <w:rFonts w:ascii="宋体" w:hAnsi="宋体" w:cs="宋体"/>
          <w:color w:val="000000" w:themeColor="text1"/>
          <w:spacing w:val="-2"/>
          <w:sz w:val="24"/>
          <w:szCs w:val="24"/>
          <w:highlight w:val="none"/>
          <w14:textFill>
            <w14:solidFill>
              <w14:schemeClr w14:val="tx1"/>
            </w14:solidFill>
          </w14:textFill>
        </w:rPr>
        <w:t>返还承包人。</w:t>
      </w:r>
    </w:p>
    <w:p w14:paraId="4703BDAF">
      <w:pPr>
        <w:spacing w:line="305" w:lineRule="auto"/>
        <w:ind w:firstLine="498"/>
        <w:rPr>
          <w:rFonts w:ascii="宋体" w:hAnsi="宋体" w:cs="宋体"/>
          <w:color w:val="000000" w:themeColor="text1"/>
          <w:sz w:val="24"/>
          <w:szCs w:val="24"/>
          <w:highlight w:val="none"/>
          <w14:textFill>
            <w14:solidFill>
              <w14:schemeClr w14:val="tx1"/>
            </w14:solidFill>
          </w14:textFill>
        </w:rPr>
      </w:pPr>
      <w:r>
        <w:rPr>
          <w:rFonts w:eastAsia="Times New Roman"/>
          <w:color w:val="000000" w:themeColor="text1"/>
          <w:spacing w:val="-2"/>
          <w:sz w:val="24"/>
          <w:szCs w:val="24"/>
          <w:highlight w:val="none"/>
          <w14:textFill>
            <w14:solidFill>
              <w14:schemeClr w14:val="tx1"/>
            </w14:solidFill>
          </w14:textFill>
        </w:rPr>
        <w:t xml:space="preserve">17.4.3 </w:t>
      </w:r>
      <w:r>
        <w:rPr>
          <w:rFonts w:ascii="宋体" w:hAnsi="宋体" w:cs="宋体"/>
          <w:color w:val="000000" w:themeColor="text1"/>
          <w:spacing w:val="-2"/>
          <w:sz w:val="24"/>
          <w:szCs w:val="24"/>
          <w:highlight w:val="none"/>
          <w14:textFill>
            <w14:solidFill>
              <w14:schemeClr w14:val="tx1"/>
            </w14:solidFill>
          </w14:textFill>
        </w:rPr>
        <w:t>在第</w:t>
      </w:r>
      <w:r>
        <w:rPr>
          <w:rFonts w:ascii="宋体" w:hAnsi="宋体" w:cs="宋体"/>
          <w:color w:val="000000" w:themeColor="text1"/>
          <w:spacing w:val="-26"/>
          <w:sz w:val="24"/>
          <w:szCs w:val="24"/>
          <w:highlight w:val="none"/>
          <w14:textFill>
            <w14:solidFill>
              <w14:schemeClr w14:val="tx1"/>
            </w14:solidFill>
          </w14:textFill>
        </w:rPr>
        <w:t xml:space="preserve"> </w:t>
      </w:r>
      <w:r>
        <w:rPr>
          <w:rFonts w:eastAsia="Times New Roman"/>
          <w:color w:val="000000" w:themeColor="text1"/>
          <w:spacing w:val="-2"/>
          <w:sz w:val="24"/>
          <w:szCs w:val="24"/>
          <w:highlight w:val="none"/>
          <w14:textFill>
            <w14:solidFill>
              <w14:schemeClr w14:val="tx1"/>
            </w14:solidFill>
          </w14:textFill>
        </w:rPr>
        <w:t xml:space="preserve">1.1.4.5  </w:t>
      </w:r>
      <w:r>
        <w:rPr>
          <w:rFonts w:ascii="宋体" w:hAnsi="宋体" w:cs="宋体"/>
          <w:color w:val="000000" w:themeColor="text1"/>
          <w:spacing w:val="-2"/>
          <w:sz w:val="24"/>
          <w:szCs w:val="24"/>
          <w:highlight w:val="none"/>
          <w14:textFill>
            <w14:solidFill>
              <w14:schemeClr w14:val="tx1"/>
            </w14:solidFill>
          </w14:textFill>
        </w:rPr>
        <w:t>目约定的缺陷责任期满时，承包人没有完成缺陷责任的，发</w:t>
      </w:r>
      <w:r>
        <w:rPr>
          <w:rFonts w:ascii="宋体" w:hAnsi="宋体" w:cs="宋体"/>
          <w:color w:val="000000" w:themeColor="text1"/>
          <w:spacing w:val="1"/>
          <w:sz w:val="24"/>
          <w:szCs w:val="24"/>
          <w:highlight w:val="none"/>
          <w14:textFill>
            <w14:solidFill>
              <w14:schemeClr w14:val="tx1"/>
            </w14:solidFill>
          </w14:textFill>
        </w:rPr>
        <w:t>包人有权扣留与未履行责任剩余工作所需金额相应的质量</w:t>
      </w:r>
      <w:r>
        <w:rPr>
          <w:rFonts w:ascii="宋体" w:hAnsi="宋体" w:cs="宋体"/>
          <w:color w:val="000000" w:themeColor="text1"/>
          <w:sz w:val="24"/>
          <w:szCs w:val="24"/>
          <w:highlight w:val="none"/>
          <w14:textFill>
            <w14:solidFill>
              <w14:schemeClr w14:val="tx1"/>
            </w14:solidFill>
          </w14:textFill>
        </w:rPr>
        <w:t>保证金余额，并有权根据</w:t>
      </w:r>
      <w:r>
        <w:rPr>
          <w:rFonts w:ascii="宋体" w:hAnsi="宋体" w:cs="宋体"/>
          <w:color w:val="000000" w:themeColor="text1"/>
          <w:spacing w:val="-1"/>
          <w:sz w:val="24"/>
          <w:szCs w:val="24"/>
          <w:highlight w:val="none"/>
          <w14:textFill>
            <w14:solidFill>
              <w14:schemeClr w14:val="tx1"/>
            </w14:solidFill>
          </w14:textFill>
        </w:rPr>
        <w:t>第</w:t>
      </w:r>
      <w:r>
        <w:rPr>
          <w:rFonts w:ascii="宋体" w:hAnsi="宋体" w:cs="宋体"/>
          <w:color w:val="000000" w:themeColor="text1"/>
          <w:spacing w:val="-32"/>
          <w:sz w:val="24"/>
          <w:szCs w:val="24"/>
          <w:highlight w:val="none"/>
          <w14:textFill>
            <w14:solidFill>
              <w14:schemeClr w14:val="tx1"/>
            </w14:solidFill>
          </w14:textFill>
        </w:rPr>
        <w:t xml:space="preserve"> </w:t>
      </w:r>
      <w:r>
        <w:rPr>
          <w:rFonts w:eastAsia="Times New Roman"/>
          <w:color w:val="000000" w:themeColor="text1"/>
          <w:spacing w:val="-1"/>
          <w:sz w:val="24"/>
          <w:szCs w:val="24"/>
          <w:highlight w:val="none"/>
          <w14:textFill>
            <w14:solidFill>
              <w14:schemeClr w14:val="tx1"/>
            </w14:solidFill>
          </w14:textFill>
        </w:rPr>
        <w:t xml:space="preserve">19.3 </w:t>
      </w:r>
      <w:r>
        <w:rPr>
          <w:rFonts w:ascii="宋体" w:hAnsi="宋体" w:cs="宋体"/>
          <w:color w:val="000000" w:themeColor="text1"/>
          <w:spacing w:val="-1"/>
          <w:sz w:val="24"/>
          <w:szCs w:val="24"/>
          <w:highlight w:val="none"/>
          <w14:textFill>
            <w14:solidFill>
              <w14:schemeClr w14:val="tx1"/>
            </w14:solidFill>
          </w14:textFill>
        </w:rPr>
        <w:t>款约定要求延长缺陷责任期，直至</w:t>
      </w:r>
      <w:r>
        <w:rPr>
          <w:rFonts w:ascii="宋体" w:hAnsi="宋体" w:cs="宋体"/>
          <w:color w:val="000000" w:themeColor="text1"/>
          <w:spacing w:val="-2"/>
          <w:sz w:val="24"/>
          <w:szCs w:val="24"/>
          <w:highlight w:val="none"/>
          <w14:textFill>
            <w14:solidFill>
              <w14:schemeClr w14:val="tx1"/>
            </w14:solidFill>
          </w14:textFill>
        </w:rPr>
        <w:t>完成剩余工作为止。</w:t>
      </w:r>
    </w:p>
    <w:p w14:paraId="07B65369">
      <w:pPr>
        <w:spacing w:line="219" w:lineRule="auto"/>
        <w:ind w:left="486"/>
        <w:outlineLvl w:val="3"/>
        <w:rPr>
          <w:rFonts w:ascii="宋体" w:hAnsi="宋体" w:cs="宋体"/>
          <w:color w:val="000000" w:themeColor="text1"/>
          <w:sz w:val="24"/>
          <w:szCs w:val="24"/>
          <w:highlight w:val="none"/>
          <w14:textFill>
            <w14:solidFill>
              <w14:schemeClr w14:val="tx1"/>
            </w14:solidFill>
          </w14:textFill>
        </w:rPr>
      </w:pPr>
      <w:r>
        <w:rPr>
          <w:rFonts w:eastAsia="Times New Roman"/>
          <w:b/>
          <w:bCs/>
          <w:color w:val="000000" w:themeColor="text1"/>
          <w:spacing w:val="-5"/>
          <w:sz w:val="24"/>
          <w:szCs w:val="24"/>
          <w:highlight w:val="none"/>
          <w14:textFill>
            <w14:solidFill>
              <w14:schemeClr w14:val="tx1"/>
            </w14:solidFill>
          </w14:textFill>
        </w:rPr>
        <w:t>17.5</w:t>
      </w:r>
      <w:r>
        <w:rPr>
          <w:rFonts w:eastAsia="Times New Roman"/>
          <w:b/>
          <w:bCs/>
          <w:color w:val="000000" w:themeColor="text1"/>
          <w:spacing w:val="7"/>
          <w:sz w:val="24"/>
          <w:szCs w:val="24"/>
          <w:highlight w:val="none"/>
          <w14:textFill>
            <w14:solidFill>
              <w14:schemeClr w14:val="tx1"/>
            </w14:solidFill>
          </w14:textFill>
        </w:rPr>
        <w:t xml:space="preserve">  </w:t>
      </w:r>
      <w:r>
        <w:rPr>
          <w:rFonts w:ascii="宋体" w:hAnsi="宋体" w:cs="宋体"/>
          <w:b/>
          <w:bCs/>
          <w:color w:val="000000" w:themeColor="text1"/>
          <w:spacing w:val="-5"/>
          <w:sz w:val="24"/>
          <w:szCs w:val="24"/>
          <w:highlight w:val="none"/>
          <w14:textFill>
            <w14:solidFill>
              <w14:schemeClr w14:val="tx1"/>
            </w14:solidFill>
          </w14:textFill>
        </w:rPr>
        <w:t>交工结算</w:t>
      </w:r>
    </w:p>
    <w:p w14:paraId="2A6B480C">
      <w:pPr>
        <w:spacing w:before="125" w:line="219" w:lineRule="auto"/>
        <w:ind w:left="498"/>
        <w:rPr>
          <w:rFonts w:ascii="宋体" w:hAnsi="宋体" w:cs="宋体"/>
          <w:color w:val="000000" w:themeColor="text1"/>
          <w:sz w:val="24"/>
          <w:szCs w:val="24"/>
          <w:highlight w:val="none"/>
          <w14:textFill>
            <w14:solidFill>
              <w14:schemeClr w14:val="tx1"/>
            </w14:solidFill>
          </w14:textFill>
        </w:rPr>
      </w:pPr>
      <w:r>
        <w:rPr>
          <w:rFonts w:eastAsia="Times New Roman"/>
          <w:color w:val="000000" w:themeColor="text1"/>
          <w:spacing w:val="-4"/>
          <w:sz w:val="24"/>
          <w:szCs w:val="24"/>
          <w:highlight w:val="none"/>
          <w14:textFill>
            <w14:solidFill>
              <w14:schemeClr w14:val="tx1"/>
            </w14:solidFill>
          </w14:textFill>
        </w:rPr>
        <w:t>17.5.1</w:t>
      </w:r>
      <w:r>
        <w:rPr>
          <w:rFonts w:eastAsia="Times New Roman"/>
          <w:color w:val="000000" w:themeColor="text1"/>
          <w:spacing w:val="22"/>
          <w:w w:val="101"/>
          <w:sz w:val="24"/>
          <w:szCs w:val="24"/>
          <w:highlight w:val="none"/>
          <w14:textFill>
            <w14:solidFill>
              <w14:schemeClr w14:val="tx1"/>
            </w14:solidFill>
          </w14:textFill>
        </w:rPr>
        <w:t xml:space="preserve"> </w:t>
      </w:r>
      <w:r>
        <w:rPr>
          <w:rFonts w:ascii="宋体" w:hAnsi="宋体" w:cs="宋体"/>
          <w:color w:val="000000" w:themeColor="text1"/>
          <w:spacing w:val="-4"/>
          <w:sz w:val="24"/>
          <w:szCs w:val="24"/>
          <w:highlight w:val="none"/>
          <w14:textFill>
            <w14:solidFill>
              <w14:schemeClr w14:val="tx1"/>
            </w14:solidFill>
          </w14:textFill>
        </w:rPr>
        <w:t>交工付款申请单</w:t>
      </w:r>
    </w:p>
    <w:p w14:paraId="249BB8C2">
      <w:pPr>
        <w:spacing w:before="117" w:line="285" w:lineRule="auto"/>
        <w:ind w:firstLine="490"/>
        <w:rPr>
          <w:rFonts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pacing w:val="-1"/>
          <w:sz w:val="24"/>
          <w:szCs w:val="24"/>
          <w:highlight w:val="none"/>
          <w14:textFill>
            <w14:solidFill>
              <w14:schemeClr w14:val="tx1"/>
            </w14:solidFill>
          </w14:textFill>
        </w:rPr>
        <w:t>（</w:t>
      </w:r>
      <w:r>
        <w:rPr>
          <w:rFonts w:eastAsia="Times New Roman"/>
          <w:color w:val="000000" w:themeColor="text1"/>
          <w:spacing w:val="-1"/>
          <w:sz w:val="24"/>
          <w:szCs w:val="24"/>
          <w:highlight w:val="none"/>
          <w14:textFill>
            <w14:solidFill>
              <w14:schemeClr w14:val="tx1"/>
            </w14:solidFill>
          </w14:textFill>
        </w:rPr>
        <w:t>1</w:t>
      </w:r>
      <w:r>
        <w:rPr>
          <w:rFonts w:ascii="宋体" w:hAnsi="宋体" w:cs="宋体"/>
          <w:color w:val="000000" w:themeColor="text1"/>
          <w:spacing w:val="-1"/>
          <w:sz w:val="24"/>
          <w:szCs w:val="24"/>
          <w:highlight w:val="none"/>
          <w14:textFill>
            <w14:solidFill>
              <w14:schemeClr w14:val="tx1"/>
            </w14:solidFill>
          </w14:textFill>
        </w:rPr>
        <w:t>）承包人完成合同约定的全部养护项目并经咨询人验收合格</w:t>
      </w:r>
      <w:r>
        <w:rPr>
          <w:rFonts w:ascii="宋体" w:hAnsi="宋体" w:cs="宋体"/>
          <w:color w:val="000000" w:themeColor="text1"/>
          <w:spacing w:val="-13"/>
          <w:sz w:val="24"/>
          <w:szCs w:val="24"/>
          <w:highlight w:val="none"/>
          <w14:textFill>
            <w14:solidFill>
              <w14:schemeClr w14:val="tx1"/>
            </w14:solidFill>
          </w14:textFill>
        </w:rPr>
        <w:t xml:space="preserve"> </w:t>
      </w:r>
      <w:r>
        <w:rPr>
          <w:rFonts w:eastAsia="Times New Roman"/>
          <w:color w:val="000000" w:themeColor="text1"/>
          <w:spacing w:val="-1"/>
          <w:sz w:val="24"/>
          <w:szCs w:val="24"/>
          <w:highlight w:val="none"/>
          <w14:textFill>
            <w14:solidFill>
              <w14:schemeClr w14:val="tx1"/>
            </w14:solidFill>
          </w14:textFill>
        </w:rPr>
        <w:t xml:space="preserve">14 </w:t>
      </w:r>
      <w:r>
        <w:rPr>
          <w:rFonts w:ascii="宋体" w:hAnsi="宋体" w:cs="宋体"/>
          <w:color w:val="000000" w:themeColor="text1"/>
          <w:spacing w:val="-1"/>
          <w:sz w:val="24"/>
          <w:szCs w:val="24"/>
          <w:highlight w:val="none"/>
          <w14:textFill>
            <w14:solidFill>
              <w14:schemeClr w14:val="tx1"/>
            </w14:solidFill>
          </w14:textFill>
        </w:rPr>
        <w:t>天内，应按</w:t>
      </w:r>
      <w:r>
        <w:rPr>
          <w:rFonts w:ascii="宋体" w:hAnsi="宋体" w:cs="宋体"/>
          <w:color w:val="000000" w:themeColor="text1"/>
          <w:spacing w:val="1"/>
          <w:sz w:val="24"/>
          <w:szCs w:val="24"/>
          <w:highlight w:val="none"/>
          <w14:textFill>
            <w14:solidFill>
              <w14:schemeClr w14:val="tx1"/>
            </w14:solidFill>
          </w14:textFill>
        </w:rPr>
        <w:t>专用合同条款约定的份数向咨询人提交交工付款申请单</w:t>
      </w:r>
      <w:r>
        <w:rPr>
          <w:rFonts w:ascii="宋体" w:hAnsi="宋体" w:cs="宋体"/>
          <w:color w:val="000000" w:themeColor="text1"/>
          <w:sz w:val="24"/>
          <w:szCs w:val="24"/>
          <w:highlight w:val="none"/>
          <w14:textFill>
            <w14:solidFill>
              <w14:schemeClr w14:val="tx1"/>
            </w14:solidFill>
          </w14:textFill>
        </w:rPr>
        <w:t>，并提供相关证明材料。除</w:t>
      </w:r>
      <w:r>
        <w:rPr>
          <w:rFonts w:ascii="宋体" w:hAnsi="宋体" w:cs="宋体"/>
          <w:color w:val="000000" w:themeColor="text1"/>
          <w:spacing w:val="1"/>
          <w:sz w:val="24"/>
          <w:szCs w:val="24"/>
          <w:highlight w:val="none"/>
          <w14:textFill>
            <w14:solidFill>
              <w14:schemeClr w14:val="tx1"/>
            </w14:solidFill>
          </w14:textFill>
        </w:rPr>
        <w:t>专用合同条款另有约定外，交工付款申请单应包括下列</w:t>
      </w:r>
      <w:r>
        <w:rPr>
          <w:rFonts w:ascii="宋体" w:hAnsi="宋体" w:cs="宋体"/>
          <w:color w:val="000000" w:themeColor="text1"/>
          <w:sz w:val="24"/>
          <w:szCs w:val="24"/>
          <w:highlight w:val="none"/>
          <w14:textFill>
            <w14:solidFill>
              <w14:schemeClr w14:val="tx1"/>
            </w14:solidFill>
          </w14:textFill>
        </w:rPr>
        <w:t>内容：交工结算合同总价、</w:t>
      </w:r>
      <w:r>
        <w:rPr>
          <w:rFonts w:ascii="宋体" w:hAnsi="宋体" w:cs="宋体"/>
          <w:color w:val="000000" w:themeColor="text1"/>
          <w:spacing w:val="-1"/>
          <w:sz w:val="24"/>
          <w:szCs w:val="24"/>
          <w:highlight w:val="none"/>
          <w14:textFill>
            <w14:solidFill>
              <w14:schemeClr w14:val="tx1"/>
            </w14:solidFill>
          </w14:textFill>
        </w:rPr>
        <w:t>发包人已支付承包人的合同价款、应支付的交工付款金额。</w:t>
      </w:r>
    </w:p>
    <w:p w14:paraId="420762F4">
      <w:pPr>
        <w:spacing w:before="115" w:line="279" w:lineRule="auto"/>
        <w:ind w:left="1" w:firstLine="489"/>
        <w:rPr>
          <w:rFonts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pacing w:val="4"/>
          <w:sz w:val="24"/>
          <w:szCs w:val="24"/>
          <w:highlight w:val="none"/>
          <w14:textFill>
            <w14:solidFill>
              <w14:schemeClr w14:val="tx1"/>
            </w14:solidFill>
          </w14:textFill>
        </w:rPr>
        <w:t>（</w:t>
      </w:r>
      <w:r>
        <w:rPr>
          <w:rFonts w:eastAsia="Times New Roman"/>
          <w:color w:val="000000" w:themeColor="text1"/>
          <w:spacing w:val="4"/>
          <w:sz w:val="24"/>
          <w:szCs w:val="24"/>
          <w:highlight w:val="none"/>
          <w14:textFill>
            <w14:solidFill>
              <w14:schemeClr w14:val="tx1"/>
            </w14:solidFill>
          </w14:textFill>
        </w:rPr>
        <w:t>2</w:t>
      </w:r>
      <w:r>
        <w:rPr>
          <w:rFonts w:ascii="宋体" w:hAnsi="宋体" w:cs="宋体"/>
          <w:color w:val="000000" w:themeColor="text1"/>
          <w:spacing w:val="4"/>
          <w:sz w:val="24"/>
          <w:szCs w:val="24"/>
          <w:highlight w:val="none"/>
          <w14:textFill>
            <w14:solidFill>
              <w14:schemeClr w14:val="tx1"/>
            </w14:solidFill>
          </w14:textFill>
        </w:rPr>
        <w:t>）咨询人对交工付款申请单有异议的，有权要求承包人进行修正和提</w:t>
      </w:r>
      <w:r>
        <w:rPr>
          <w:rFonts w:ascii="宋体" w:hAnsi="宋体" w:cs="宋体"/>
          <w:color w:val="000000" w:themeColor="text1"/>
          <w:spacing w:val="3"/>
          <w:sz w:val="24"/>
          <w:szCs w:val="24"/>
          <w:highlight w:val="none"/>
          <w14:textFill>
            <w14:solidFill>
              <w14:schemeClr w14:val="tx1"/>
            </w14:solidFill>
          </w14:textFill>
        </w:rPr>
        <w:t>供补</w:t>
      </w:r>
      <w:r>
        <w:rPr>
          <w:rFonts w:ascii="宋体" w:hAnsi="宋体" w:cs="宋体"/>
          <w:color w:val="000000" w:themeColor="text1"/>
          <w:spacing w:val="1"/>
          <w:sz w:val="24"/>
          <w:szCs w:val="24"/>
          <w:highlight w:val="none"/>
          <w14:textFill>
            <w14:solidFill>
              <w14:schemeClr w14:val="tx1"/>
            </w14:solidFill>
          </w14:textFill>
        </w:rPr>
        <w:t>充资料。经咨询人和承包人协商后，由承包人向咨询</w:t>
      </w:r>
      <w:r>
        <w:rPr>
          <w:rFonts w:ascii="宋体" w:hAnsi="宋体" w:cs="宋体"/>
          <w:color w:val="000000" w:themeColor="text1"/>
          <w:sz w:val="24"/>
          <w:szCs w:val="24"/>
          <w:highlight w:val="none"/>
          <w14:textFill>
            <w14:solidFill>
              <w14:schemeClr w14:val="tx1"/>
            </w14:solidFill>
          </w14:textFill>
        </w:rPr>
        <w:t>人提交修正后的交工付款申请</w:t>
      </w:r>
      <w:r>
        <w:rPr>
          <w:rFonts w:ascii="宋体" w:hAnsi="宋体" w:cs="宋体"/>
          <w:color w:val="000000" w:themeColor="text1"/>
          <w:spacing w:val="-6"/>
          <w:sz w:val="24"/>
          <w:szCs w:val="24"/>
          <w:highlight w:val="none"/>
          <w14:textFill>
            <w14:solidFill>
              <w14:schemeClr w14:val="tx1"/>
            </w14:solidFill>
          </w14:textFill>
        </w:rPr>
        <w:t>单。</w:t>
      </w:r>
    </w:p>
    <w:p w14:paraId="28645598">
      <w:pPr>
        <w:spacing w:before="112" w:line="219" w:lineRule="auto"/>
        <w:ind w:left="498"/>
        <w:rPr>
          <w:rFonts w:ascii="宋体" w:hAnsi="宋体" w:cs="宋体"/>
          <w:color w:val="000000" w:themeColor="text1"/>
          <w:sz w:val="24"/>
          <w:szCs w:val="24"/>
          <w:highlight w:val="none"/>
          <w14:textFill>
            <w14:solidFill>
              <w14:schemeClr w14:val="tx1"/>
            </w14:solidFill>
          </w14:textFill>
        </w:rPr>
      </w:pPr>
      <w:r>
        <w:rPr>
          <w:rFonts w:eastAsia="Times New Roman"/>
          <w:color w:val="000000" w:themeColor="text1"/>
          <w:spacing w:val="-2"/>
          <w:sz w:val="24"/>
          <w:szCs w:val="24"/>
          <w:highlight w:val="none"/>
          <w14:textFill>
            <w14:solidFill>
              <w14:schemeClr w14:val="tx1"/>
            </w14:solidFill>
          </w14:textFill>
        </w:rPr>
        <w:t xml:space="preserve">17.5.2  </w:t>
      </w:r>
      <w:r>
        <w:rPr>
          <w:rFonts w:ascii="宋体" w:hAnsi="宋体" w:cs="宋体"/>
          <w:color w:val="000000" w:themeColor="text1"/>
          <w:spacing w:val="-2"/>
          <w:sz w:val="24"/>
          <w:szCs w:val="24"/>
          <w:highlight w:val="none"/>
          <w14:textFill>
            <w14:solidFill>
              <w14:schemeClr w14:val="tx1"/>
            </w14:solidFill>
          </w14:textFill>
        </w:rPr>
        <w:t>交工付款证书及支付时间</w:t>
      </w:r>
    </w:p>
    <w:p w14:paraId="56C8FF4B">
      <w:pPr>
        <w:spacing w:before="114" w:line="293" w:lineRule="auto"/>
        <w:ind w:left="1" w:firstLine="489"/>
        <w:rPr>
          <w:rFonts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pacing w:val="-1"/>
          <w:sz w:val="24"/>
          <w:szCs w:val="24"/>
          <w:highlight w:val="none"/>
          <w14:textFill>
            <w14:solidFill>
              <w14:schemeClr w14:val="tx1"/>
            </w14:solidFill>
          </w14:textFill>
        </w:rPr>
        <w:t>（</w:t>
      </w:r>
      <w:r>
        <w:rPr>
          <w:rFonts w:eastAsia="Times New Roman"/>
          <w:color w:val="000000" w:themeColor="text1"/>
          <w:spacing w:val="-1"/>
          <w:sz w:val="24"/>
          <w:szCs w:val="24"/>
          <w:highlight w:val="none"/>
          <w14:textFill>
            <w14:solidFill>
              <w14:schemeClr w14:val="tx1"/>
            </w14:solidFill>
          </w14:textFill>
        </w:rPr>
        <w:t>1</w:t>
      </w:r>
      <w:r>
        <w:rPr>
          <w:rFonts w:ascii="宋体" w:hAnsi="宋体" w:cs="宋体"/>
          <w:color w:val="000000" w:themeColor="text1"/>
          <w:spacing w:val="-1"/>
          <w:sz w:val="24"/>
          <w:szCs w:val="24"/>
          <w:highlight w:val="none"/>
          <w14:textFill>
            <w14:solidFill>
              <w14:schemeClr w14:val="tx1"/>
            </w14:solidFill>
          </w14:textFill>
        </w:rPr>
        <w:t>）咨询人在收到承包人提交的交工付款申请单后的</w:t>
      </w:r>
      <w:r>
        <w:rPr>
          <w:rFonts w:ascii="宋体" w:hAnsi="宋体" w:cs="宋体"/>
          <w:color w:val="000000" w:themeColor="text1"/>
          <w:spacing w:val="-28"/>
          <w:sz w:val="24"/>
          <w:szCs w:val="24"/>
          <w:highlight w:val="none"/>
          <w14:textFill>
            <w14:solidFill>
              <w14:schemeClr w14:val="tx1"/>
            </w14:solidFill>
          </w14:textFill>
        </w:rPr>
        <w:t xml:space="preserve"> </w:t>
      </w:r>
      <w:r>
        <w:rPr>
          <w:rFonts w:eastAsia="Times New Roman"/>
          <w:color w:val="000000" w:themeColor="text1"/>
          <w:spacing w:val="-1"/>
          <w:sz w:val="24"/>
          <w:szCs w:val="24"/>
          <w:highlight w:val="none"/>
          <w14:textFill>
            <w14:solidFill>
              <w14:schemeClr w14:val="tx1"/>
            </w14:solidFill>
          </w14:textFill>
        </w:rPr>
        <w:t>14</w:t>
      </w:r>
      <w:r>
        <w:rPr>
          <w:rFonts w:eastAsia="Times New Roman"/>
          <w:color w:val="000000" w:themeColor="text1"/>
          <w:spacing w:val="17"/>
          <w:sz w:val="24"/>
          <w:szCs w:val="24"/>
          <w:highlight w:val="none"/>
          <w14:textFill>
            <w14:solidFill>
              <w14:schemeClr w14:val="tx1"/>
            </w14:solidFill>
          </w14:textFill>
        </w:rPr>
        <w:t xml:space="preserve"> </w:t>
      </w:r>
      <w:r>
        <w:rPr>
          <w:rFonts w:ascii="宋体" w:hAnsi="宋体" w:cs="宋体"/>
          <w:color w:val="000000" w:themeColor="text1"/>
          <w:spacing w:val="-1"/>
          <w:sz w:val="24"/>
          <w:szCs w:val="24"/>
          <w:highlight w:val="none"/>
          <w14:textFill>
            <w14:solidFill>
              <w14:schemeClr w14:val="tx1"/>
            </w14:solidFill>
          </w14:textFill>
        </w:rPr>
        <w:t>天内完成核查，提出</w:t>
      </w:r>
      <w:r>
        <w:rPr>
          <w:rFonts w:ascii="宋体" w:hAnsi="宋体" w:cs="宋体"/>
          <w:color w:val="000000" w:themeColor="text1"/>
          <w:spacing w:val="1"/>
          <w:sz w:val="24"/>
          <w:szCs w:val="24"/>
          <w:highlight w:val="none"/>
          <w14:textFill>
            <w14:solidFill>
              <w14:schemeClr w14:val="tx1"/>
            </w14:solidFill>
          </w14:textFill>
        </w:rPr>
        <w:t>发包人到期应支付给承包人的价款送发包人审核并抄</w:t>
      </w:r>
      <w:r>
        <w:rPr>
          <w:rFonts w:ascii="宋体" w:hAnsi="宋体" w:cs="宋体"/>
          <w:color w:val="000000" w:themeColor="text1"/>
          <w:sz w:val="24"/>
          <w:szCs w:val="24"/>
          <w:highlight w:val="none"/>
          <w14:textFill>
            <w14:solidFill>
              <w14:schemeClr w14:val="tx1"/>
            </w14:solidFill>
          </w14:textFill>
        </w:rPr>
        <w:t>送承包人。发包人应在收到后</w:t>
      </w:r>
      <w:r>
        <w:rPr>
          <w:rFonts w:eastAsia="Times New Roman"/>
          <w:color w:val="000000" w:themeColor="text1"/>
          <w:spacing w:val="5"/>
          <w:sz w:val="24"/>
          <w:szCs w:val="24"/>
          <w:highlight w:val="none"/>
          <w14:textFill>
            <w14:solidFill>
              <w14:schemeClr w14:val="tx1"/>
            </w14:solidFill>
          </w14:textFill>
        </w:rPr>
        <w:t>14</w:t>
      </w:r>
      <w:r>
        <w:rPr>
          <w:rFonts w:eastAsia="Times New Roman"/>
          <w:color w:val="000000" w:themeColor="text1"/>
          <w:spacing w:val="21"/>
          <w:sz w:val="24"/>
          <w:szCs w:val="24"/>
          <w:highlight w:val="none"/>
          <w14:textFill>
            <w14:solidFill>
              <w14:schemeClr w14:val="tx1"/>
            </w14:solidFill>
          </w14:textFill>
        </w:rPr>
        <w:t xml:space="preserve"> </w:t>
      </w:r>
      <w:r>
        <w:rPr>
          <w:rFonts w:ascii="宋体" w:hAnsi="宋体" w:cs="宋体"/>
          <w:color w:val="000000" w:themeColor="text1"/>
          <w:spacing w:val="5"/>
          <w:sz w:val="24"/>
          <w:szCs w:val="24"/>
          <w:highlight w:val="none"/>
          <w14:textFill>
            <w14:solidFill>
              <w14:schemeClr w14:val="tx1"/>
            </w14:solidFill>
          </w14:textFill>
        </w:rPr>
        <w:t>天内审核完毕，由咨询人向承包人出具经发包人签认的交工付款证书。咨询人</w:t>
      </w:r>
      <w:r>
        <w:rPr>
          <w:rFonts w:ascii="宋体" w:hAnsi="宋体" w:cs="宋体"/>
          <w:color w:val="000000" w:themeColor="text1"/>
          <w:spacing w:val="1"/>
          <w:sz w:val="24"/>
          <w:szCs w:val="24"/>
          <w:highlight w:val="none"/>
          <w14:textFill>
            <w14:solidFill>
              <w14:schemeClr w14:val="tx1"/>
            </w14:solidFill>
          </w14:textFill>
        </w:rPr>
        <w:t>未在约定时间内核查，又未提出具体意见的，视</w:t>
      </w:r>
      <w:r>
        <w:rPr>
          <w:rFonts w:ascii="宋体" w:hAnsi="宋体" w:cs="宋体"/>
          <w:color w:val="000000" w:themeColor="text1"/>
          <w:sz w:val="24"/>
          <w:szCs w:val="24"/>
          <w:highlight w:val="none"/>
          <w14:textFill>
            <w14:solidFill>
              <w14:schemeClr w14:val="tx1"/>
            </w14:solidFill>
          </w14:textFill>
        </w:rPr>
        <w:t>为承包人提交的交工付款申请单已</w:t>
      </w:r>
      <w:r>
        <w:rPr>
          <w:rFonts w:ascii="宋体" w:hAnsi="宋体" w:cs="宋体"/>
          <w:color w:val="000000" w:themeColor="text1"/>
          <w:spacing w:val="1"/>
          <w:sz w:val="24"/>
          <w:szCs w:val="24"/>
          <w:highlight w:val="none"/>
          <w14:textFill>
            <w14:solidFill>
              <w14:schemeClr w14:val="tx1"/>
            </w14:solidFill>
          </w14:textFill>
        </w:rPr>
        <w:t>经咨询人核查同意；发包人未在约定时间内审核又未</w:t>
      </w:r>
      <w:r>
        <w:rPr>
          <w:rFonts w:ascii="宋体" w:hAnsi="宋体" w:cs="宋体"/>
          <w:color w:val="000000" w:themeColor="text1"/>
          <w:sz w:val="24"/>
          <w:szCs w:val="24"/>
          <w:highlight w:val="none"/>
          <w14:textFill>
            <w14:solidFill>
              <w14:schemeClr w14:val="tx1"/>
            </w14:solidFill>
          </w14:textFill>
        </w:rPr>
        <w:t>提出具体意见的，咨询人提出</w:t>
      </w:r>
      <w:r>
        <w:rPr>
          <w:rFonts w:ascii="宋体" w:hAnsi="宋体" w:cs="宋体"/>
          <w:color w:val="000000" w:themeColor="text1"/>
          <w:spacing w:val="-1"/>
          <w:sz w:val="24"/>
          <w:szCs w:val="24"/>
          <w:highlight w:val="none"/>
          <w14:textFill>
            <w14:solidFill>
              <w14:schemeClr w14:val="tx1"/>
            </w14:solidFill>
          </w14:textFill>
        </w:rPr>
        <w:t>发包人到期应支付给承包人的价款视为已经发包人同意。</w:t>
      </w:r>
    </w:p>
    <w:p w14:paraId="27AE12D7">
      <w:pPr>
        <w:spacing w:before="117" w:line="278" w:lineRule="auto"/>
        <w:ind w:left="1" w:firstLine="489"/>
        <w:rPr>
          <w:rFonts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pacing w:val="4"/>
          <w:sz w:val="24"/>
          <w:szCs w:val="24"/>
          <w:highlight w:val="none"/>
          <w14:textFill>
            <w14:solidFill>
              <w14:schemeClr w14:val="tx1"/>
            </w14:solidFill>
          </w14:textFill>
        </w:rPr>
        <w:t>（</w:t>
      </w:r>
      <w:r>
        <w:rPr>
          <w:rFonts w:eastAsia="Times New Roman"/>
          <w:color w:val="000000" w:themeColor="text1"/>
          <w:spacing w:val="4"/>
          <w:sz w:val="24"/>
          <w:szCs w:val="24"/>
          <w:highlight w:val="none"/>
          <w14:textFill>
            <w14:solidFill>
              <w14:schemeClr w14:val="tx1"/>
            </w14:solidFill>
          </w14:textFill>
        </w:rPr>
        <w:t>2</w:t>
      </w:r>
      <w:r>
        <w:rPr>
          <w:rFonts w:ascii="宋体" w:hAnsi="宋体" w:cs="宋体"/>
          <w:color w:val="000000" w:themeColor="text1"/>
          <w:spacing w:val="4"/>
          <w:sz w:val="24"/>
          <w:szCs w:val="24"/>
          <w:highlight w:val="none"/>
          <w14:textFill>
            <w14:solidFill>
              <w14:schemeClr w14:val="tx1"/>
            </w14:solidFill>
          </w14:textFill>
        </w:rPr>
        <w:t>）发包人应在咨询人出具交工付款证书且承包人提交了合格的增值税</w:t>
      </w:r>
      <w:r>
        <w:rPr>
          <w:rFonts w:ascii="宋体" w:hAnsi="宋体" w:cs="宋体"/>
          <w:color w:val="000000" w:themeColor="text1"/>
          <w:spacing w:val="3"/>
          <w:sz w:val="24"/>
          <w:szCs w:val="24"/>
          <w:highlight w:val="none"/>
          <w14:textFill>
            <w14:solidFill>
              <w14:schemeClr w14:val="tx1"/>
            </w14:solidFill>
          </w14:textFill>
        </w:rPr>
        <w:t>发票</w:t>
      </w:r>
      <w:r>
        <w:rPr>
          <w:rFonts w:ascii="宋体" w:hAnsi="宋体" w:cs="宋体"/>
          <w:color w:val="000000" w:themeColor="text1"/>
          <w:sz w:val="24"/>
          <w:szCs w:val="24"/>
          <w:highlight w:val="none"/>
          <w14:textFill>
            <w14:solidFill>
              <w14:schemeClr w14:val="tx1"/>
            </w14:solidFill>
          </w14:textFill>
        </w:rPr>
        <w:t>后的</w:t>
      </w:r>
      <w:r>
        <w:rPr>
          <w:rFonts w:ascii="宋体" w:hAnsi="宋体" w:cs="宋体"/>
          <w:color w:val="000000" w:themeColor="text1"/>
          <w:spacing w:val="-29"/>
          <w:sz w:val="24"/>
          <w:szCs w:val="24"/>
          <w:highlight w:val="none"/>
          <w14:textFill>
            <w14:solidFill>
              <w14:schemeClr w14:val="tx1"/>
            </w14:solidFill>
          </w14:textFill>
        </w:rPr>
        <w:t xml:space="preserve"> </w:t>
      </w:r>
      <w:r>
        <w:rPr>
          <w:rFonts w:eastAsia="Times New Roman"/>
          <w:color w:val="000000" w:themeColor="text1"/>
          <w:sz w:val="24"/>
          <w:szCs w:val="24"/>
          <w:highlight w:val="none"/>
          <w14:textFill>
            <w14:solidFill>
              <w14:schemeClr w14:val="tx1"/>
            </w14:solidFill>
          </w14:textFill>
        </w:rPr>
        <w:t>14</w:t>
      </w:r>
      <w:r>
        <w:rPr>
          <w:rFonts w:eastAsia="Times New Roman"/>
          <w:color w:val="000000" w:themeColor="text1"/>
          <w:spacing w:val="16"/>
          <w:w w:val="101"/>
          <w:sz w:val="24"/>
          <w:szCs w:val="24"/>
          <w:highlight w:val="none"/>
          <w14:textFill>
            <w14:solidFill>
              <w14:schemeClr w14:val="tx1"/>
            </w14:solidFill>
          </w14:textFill>
        </w:rPr>
        <w:t xml:space="preserve"> </w:t>
      </w:r>
      <w:r>
        <w:rPr>
          <w:rFonts w:ascii="宋体" w:hAnsi="宋体" w:cs="宋体"/>
          <w:color w:val="000000" w:themeColor="text1"/>
          <w:sz w:val="24"/>
          <w:szCs w:val="24"/>
          <w:highlight w:val="none"/>
          <w14:textFill>
            <w14:solidFill>
              <w14:schemeClr w14:val="tx1"/>
            </w14:solidFill>
          </w14:textFill>
        </w:rPr>
        <w:t>天内，将应支付款支付给承包人。发包人不按期支付的，按第</w:t>
      </w:r>
      <w:r>
        <w:rPr>
          <w:rFonts w:ascii="宋体" w:hAnsi="宋体" w:cs="宋体"/>
          <w:color w:val="000000" w:themeColor="text1"/>
          <w:spacing w:val="-27"/>
          <w:sz w:val="24"/>
          <w:szCs w:val="24"/>
          <w:highlight w:val="none"/>
          <w14:textFill>
            <w14:solidFill>
              <w14:schemeClr w14:val="tx1"/>
            </w14:solidFill>
          </w14:textFill>
        </w:rPr>
        <w:t xml:space="preserve"> </w:t>
      </w:r>
      <w:r>
        <w:rPr>
          <w:rFonts w:eastAsia="Times New Roman"/>
          <w:color w:val="000000" w:themeColor="text1"/>
          <w:sz w:val="24"/>
          <w:szCs w:val="24"/>
          <w:highlight w:val="none"/>
          <w14:textFill>
            <w14:solidFill>
              <w14:schemeClr w14:val="tx1"/>
            </w14:solidFill>
          </w14:textFill>
        </w:rPr>
        <w:t>17.3.3</w:t>
      </w:r>
      <w:r>
        <w:rPr>
          <w:rFonts w:ascii="宋体" w:hAnsi="宋体" w:cs="宋体"/>
          <w:color w:val="000000" w:themeColor="text1"/>
          <w:sz w:val="24"/>
          <w:szCs w:val="24"/>
          <w:highlight w:val="none"/>
          <w14:textFill>
            <w14:solidFill>
              <w14:schemeClr w14:val="tx1"/>
            </w14:solidFill>
          </w14:textFill>
        </w:rPr>
        <w:t>（</w:t>
      </w:r>
      <w:r>
        <w:rPr>
          <w:rFonts w:eastAsia="Times New Roman"/>
          <w:color w:val="000000" w:themeColor="text1"/>
          <w:spacing w:val="-1"/>
          <w:sz w:val="24"/>
          <w:szCs w:val="24"/>
          <w:highlight w:val="none"/>
          <w14:textFill>
            <w14:solidFill>
              <w14:schemeClr w14:val="tx1"/>
            </w14:solidFill>
          </w14:textFill>
        </w:rPr>
        <w:t>2</w:t>
      </w:r>
      <w:r>
        <w:rPr>
          <w:rFonts w:ascii="宋体" w:hAnsi="宋体" w:cs="宋体"/>
          <w:color w:val="000000" w:themeColor="text1"/>
          <w:spacing w:val="-1"/>
          <w:sz w:val="24"/>
          <w:szCs w:val="24"/>
          <w:highlight w:val="none"/>
          <w14:textFill>
            <w14:solidFill>
              <w14:schemeClr w14:val="tx1"/>
            </w14:solidFill>
          </w14:textFill>
        </w:rPr>
        <w:t>）目的约定，将逾期付款违约金支付给承包人。</w:t>
      </w:r>
    </w:p>
    <w:p w14:paraId="69CE9B44">
      <w:pPr>
        <w:spacing w:before="116" w:line="278" w:lineRule="auto"/>
        <w:ind w:left="4" w:firstLine="486"/>
        <w:rPr>
          <w:rFonts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pacing w:val="4"/>
          <w:sz w:val="24"/>
          <w:szCs w:val="24"/>
          <w:highlight w:val="none"/>
          <w14:textFill>
            <w14:solidFill>
              <w14:schemeClr w14:val="tx1"/>
            </w14:solidFill>
          </w14:textFill>
        </w:rPr>
        <w:t>（</w:t>
      </w:r>
      <w:r>
        <w:rPr>
          <w:rFonts w:eastAsia="Times New Roman"/>
          <w:color w:val="000000" w:themeColor="text1"/>
          <w:spacing w:val="4"/>
          <w:sz w:val="24"/>
          <w:szCs w:val="24"/>
          <w:highlight w:val="none"/>
          <w14:textFill>
            <w14:solidFill>
              <w14:schemeClr w14:val="tx1"/>
            </w14:solidFill>
          </w14:textFill>
        </w:rPr>
        <w:t>3</w:t>
      </w:r>
      <w:r>
        <w:rPr>
          <w:rFonts w:ascii="宋体" w:hAnsi="宋体" w:cs="宋体"/>
          <w:color w:val="000000" w:themeColor="text1"/>
          <w:spacing w:val="4"/>
          <w:sz w:val="24"/>
          <w:szCs w:val="24"/>
          <w:highlight w:val="none"/>
          <w14:textFill>
            <w14:solidFill>
              <w14:schemeClr w14:val="tx1"/>
            </w14:solidFill>
          </w14:textFill>
        </w:rPr>
        <w:t>）承包人对发包人签认的交工付款证书有异议的，发包人可出具交工</w:t>
      </w:r>
      <w:r>
        <w:rPr>
          <w:rFonts w:ascii="宋体" w:hAnsi="宋体" w:cs="宋体"/>
          <w:color w:val="000000" w:themeColor="text1"/>
          <w:spacing w:val="3"/>
          <w:sz w:val="24"/>
          <w:szCs w:val="24"/>
          <w:highlight w:val="none"/>
          <w14:textFill>
            <w14:solidFill>
              <w14:schemeClr w14:val="tx1"/>
            </w14:solidFill>
          </w14:textFill>
        </w:rPr>
        <w:t>付款</w:t>
      </w:r>
      <w:r>
        <w:rPr>
          <w:rFonts w:ascii="宋体" w:hAnsi="宋体" w:cs="宋体"/>
          <w:color w:val="000000" w:themeColor="text1"/>
          <w:spacing w:val="4"/>
          <w:sz w:val="24"/>
          <w:szCs w:val="24"/>
          <w:highlight w:val="none"/>
          <w14:textFill>
            <w14:solidFill>
              <w14:schemeClr w14:val="tx1"/>
            </w14:solidFill>
          </w14:textFill>
        </w:rPr>
        <w:t>申请单中承包人已同意部分的临时付款证书</w:t>
      </w:r>
      <w:r>
        <w:rPr>
          <w:rFonts w:ascii="宋体" w:hAnsi="宋体" w:cs="宋体"/>
          <w:color w:val="000000" w:themeColor="text1"/>
          <w:spacing w:val="3"/>
          <w:sz w:val="24"/>
          <w:szCs w:val="24"/>
          <w:highlight w:val="none"/>
          <w14:textFill>
            <w14:solidFill>
              <w14:schemeClr w14:val="tx1"/>
            </w14:solidFill>
          </w14:textFill>
        </w:rPr>
        <w:t>。存在争议的部分，按第</w:t>
      </w:r>
      <w:r>
        <w:rPr>
          <w:rFonts w:ascii="宋体" w:hAnsi="宋体" w:cs="宋体"/>
          <w:color w:val="000000" w:themeColor="text1"/>
          <w:spacing w:val="-50"/>
          <w:sz w:val="24"/>
          <w:szCs w:val="24"/>
          <w:highlight w:val="none"/>
          <w14:textFill>
            <w14:solidFill>
              <w14:schemeClr w14:val="tx1"/>
            </w14:solidFill>
          </w14:textFill>
        </w:rPr>
        <w:t xml:space="preserve"> </w:t>
      </w:r>
      <w:r>
        <w:rPr>
          <w:rFonts w:eastAsia="Times New Roman"/>
          <w:color w:val="000000" w:themeColor="text1"/>
          <w:spacing w:val="3"/>
          <w:sz w:val="24"/>
          <w:szCs w:val="24"/>
          <w:highlight w:val="none"/>
          <w14:textFill>
            <w14:solidFill>
              <w14:schemeClr w14:val="tx1"/>
            </w14:solidFill>
          </w14:textFill>
        </w:rPr>
        <w:t xml:space="preserve">24 </w:t>
      </w:r>
      <w:r>
        <w:rPr>
          <w:rFonts w:ascii="宋体" w:hAnsi="宋体" w:cs="宋体"/>
          <w:color w:val="000000" w:themeColor="text1"/>
          <w:spacing w:val="3"/>
          <w:sz w:val="24"/>
          <w:szCs w:val="24"/>
          <w:highlight w:val="none"/>
          <w14:textFill>
            <w14:solidFill>
              <w14:schemeClr w14:val="tx1"/>
            </w14:solidFill>
          </w14:textFill>
        </w:rPr>
        <w:t>条的约定</w:t>
      </w:r>
      <w:r>
        <w:rPr>
          <w:rFonts w:ascii="宋体" w:hAnsi="宋体" w:cs="宋体"/>
          <w:color w:val="000000" w:themeColor="text1"/>
          <w:spacing w:val="-5"/>
          <w:sz w:val="24"/>
          <w:szCs w:val="24"/>
          <w:highlight w:val="none"/>
          <w14:textFill>
            <w14:solidFill>
              <w14:schemeClr w14:val="tx1"/>
            </w14:solidFill>
          </w14:textFill>
        </w:rPr>
        <w:t>办理。</w:t>
      </w:r>
    </w:p>
    <w:p w14:paraId="4B198472">
      <w:pPr>
        <w:spacing w:before="107" w:line="219" w:lineRule="auto"/>
        <w:ind w:left="486"/>
        <w:outlineLvl w:val="3"/>
        <w:rPr>
          <w:rFonts w:ascii="宋体" w:hAnsi="宋体" w:cs="宋体"/>
          <w:color w:val="000000" w:themeColor="text1"/>
          <w:sz w:val="24"/>
          <w:szCs w:val="24"/>
          <w:highlight w:val="none"/>
          <w14:textFill>
            <w14:solidFill>
              <w14:schemeClr w14:val="tx1"/>
            </w14:solidFill>
          </w14:textFill>
        </w:rPr>
      </w:pPr>
      <w:r>
        <w:rPr>
          <w:rFonts w:eastAsia="Times New Roman"/>
          <w:b/>
          <w:bCs/>
          <w:color w:val="000000" w:themeColor="text1"/>
          <w:spacing w:val="-5"/>
          <w:sz w:val="24"/>
          <w:szCs w:val="24"/>
          <w:highlight w:val="none"/>
          <w14:textFill>
            <w14:solidFill>
              <w14:schemeClr w14:val="tx1"/>
            </w14:solidFill>
          </w14:textFill>
        </w:rPr>
        <w:t>17.6</w:t>
      </w:r>
      <w:r>
        <w:rPr>
          <w:rFonts w:eastAsia="Times New Roman"/>
          <w:b/>
          <w:bCs/>
          <w:color w:val="000000" w:themeColor="text1"/>
          <w:spacing w:val="7"/>
          <w:sz w:val="24"/>
          <w:szCs w:val="24"/>
          <w:highlight w:val="none"/>
          <w14:textFill>
            <w14:solidFill>
              <w14:schemeClr w14:val="tx1"/>
            </w14:solidFill>
          </w14:textFill>
        </w:rPr>
        <w:t xml:space="preserve">  </w:t>
      </w:r>
      <w:r>
        <w:rPr>
          <w:rFonts w:ascii="宋体" w:hAnsi="宋体" w:cs="宋体"/>
          <w:b/>
          <w:bCs/>
          <w:color w:val="000000" w:themeColor="text1"/>
          <w:spacing w:val="-5"/>
          <w:sz w:val="24"/>
          <w:szCs w:val="24"/>
          <w:highlight w:val="none"/>
          <w14:textFill>
            <w14:solidFill>
              <w14:schemeClr w14:val="tx1"/>
            </w14:solidFill>
          </w14:textFill>
        </w:rPr>
        <w:t>最终结清</w:t>
      </w:r>
    </w:p>
    <w:p w14:paraId="2B4E4042">
      <w:pPr>
        <w:spacing w:before="125" w:line="219" w:lineRule="auto"/>
        <w:ind w:left="498"/>
        <w:rPr>
          <w:rFonts w:ascii="宋体" w:hAnsi="宋体" w:cs="宋体"/>
          <w:color w:val="000000" w:themeColor="text1"/>
          <w:sz w:val="24"/>
          <w:szCs w:val="24"/>
          <w:highlight w:val="none"/>
          <w14:textFill>
            <w14:solidFill>
              <w14:schemeClr w14:val="tx1"/>
            </w14:solidFill>
          </w14:textFill>
        </w:rPr>
      </w:pPr>
      <w:r>
        <w:rPr>
          <w:rFonts w:eastAsia="Times New Roman"/>
          <w:color w:val="000000" w:themeColor="text1"/>
          <w:spacing w:val="-2"/>
          <w:sz w:val="24"/>
          <w:szCs w:val="24"/>
          <w:highlight w:val="none"/>
          <w14:textFill>
            <w14:solidFill>
              <w14:schemeClr w14:val="tx1"/>
            </w14:solidFill>
          </w14:textFill>
        </w:rPr>
        <w:t xml:space="preserve">17.6.1  </w:t>
      </w:r>
      <w:r>
        <w:rPr>
          <w:rFonts w:ascii="宋体" w:hAnsi="宋体" w:cs="宋体"/>
          <w:color w:val="000000" w:themeColor="text1"/>
          <w:spacing w:val="-2"/>
          <w:sz w:val="24"/>
          <w:szCs w:val="24"/>
          <w:highlight w:val="none"/>
          <w14:textFill>
            <w14:solidFill>
              <w14:schemeClr w14:val="tx1"/>
            </w14:solidFill>
          </w14:textFill>
        </w:rPr>
        <w:t>最终结清申请单</w:t>
      </w:r>
    </w:p>
    <w:p w14:paraId="23136F9A">
      <w:pPr>
        <w:spacing w:before="112" w:line="279" w:lineRule="auto"/>
        <w:ind w:right="2" w:firstLine="491"/>
        <w:rPr>
          <w:rFonts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pacing w:val="-1"/>
          <w:sz w:val="24"/>
          <w:szCs w:val="24"/>
          <w:highlight w:val="none"/>
          <w14:textFill>
            <w14:solidFill>
              <w14:schemeClr w14:val="tx1"/>
            </w14:solidFill>
          </w14:textFill>
        </w:rPr>
        <w:t>（</w:t>
      </w:r>
      <w:r>
        <w:rPr>
          <w:rFonts w:eastAsia="Times New Roman"/>
          <w:color w:val="000000" w:themeColor="text1"/>
          <w:spacing w:val="-1"/>
          <w:sz w:val="24"/>
          <w:szCs w:val="24"/>
          <w:highlight w:val="none"/>
          <w14:textFill>
            <w14:solidFill>
              <w14:schemeClr w14:val="tx1"/>
            </w14:solidFill>
          </w14:textFill>
        </w:rPr>
        <w:t>1</w:t>
      </w:r>
      <w:r>
        <w:rPr>
          <w:rFonts w:ascii="宋体" w:hAnsi="宋体" w:cs="宋体"/>
          <w:color w:val="000000" w:themeColor="text1"/>
          <w:spacing w:val="-1"/>
          <w:sz w:val="24"/>
          <w:szCs w:val="24"/>
          <w:highlight w:val="none"/>
          <w14:textFill>
            <w14:solidFill>
              <w14:schemeClr w14:val="tx1"/>
            </w14:solidFill>
          </w14:textFill>
        </w:rPr>
        <w:t>）缺陷责任期终止证书签发后</w:t>
      </w:r>
      <w:r>
        <w:rPr>
          <w:rFonts w:ascii="宋体" w:hAnsi="宋体" w:cs="宋体"/>
          <w:color w:val="000000" w:themeColor="text1"/>
          <w:spacing w:val="-30"/>
          <w:sz w:val="24"/>
          <w:szCs w:val="24"/>
          <w:highlight w:val="none"/>
          <w14:textFill>
            <w14:solidFill>
              <w14:schemeClr w14:val="tx1"/>
            </w14:solidFill>
          </w14:textFill>
        </w:rPr>
        <w:t xml:space="preserve"> </w:t>
      </w:r>
      <w:r>
        <w:rPr>
          <w:rFonts w:eastAsia="Times New Roman"/>
          <w:color w:val="000000" w:themeColor="text1"/>
          <w:spacing w:val="-1"/>
          <w:sz w:val="24"/>
          <w:szCs w:val="24"/>
          <w:highlight w:val="none"/>
          <w14:textFill>
            <w14:solidFill>
              <w14:schemeClr w14:val="tx1"/>
            </w14:solidFill>
          </w14:textFill>
        </w:rPr>
        <w:t>14</w:t>
      </w:r>
      <w:r>
        <w:rPr>
          <w:rFonts w:ascii="宋体" w:hAnsi="宋体" w:cs="宋体"/>
          <w:color w:val="000000" w:themeColor="text1"/>
          <w:spacing w:val="-1"/>
          <w:sz w:val="24"/>
          <w:szCs w:val="24"/>
          <w:highlight w:val="none"/>
          <w14:textFill>
            <w14:solidFill>
              <w14:schemeClr w14:val="tx1"/>
            </w14:solidFill>
          </w14:textFill>
        </w:rPr>
        <w:t>天内，承包人应按专用合同条款约定的份</w:t>
      </w:r>
      <w:r>
        <w:rPr>
          <w:rFonts w:ascii="宋体" w:hAnsi="宋体" w:cs="宋体"/>
          <w:color w:val="000000" w:themeColor="text1"/>
          <w:spacing w:val="1"/>
          <w:sz w:val="24"/>
          <w:szCs w:val="24"/>
          <w:highlight w:val="none"/>
          <w14:textFill>
            <w14:solidFill>
              <w14:schemeClr w14:val="tx1"/>
            </w14:solidFill>
          </w14:textFill>
        </w:rPr>
        <w:t>数向咨询人提交最终结清申请单，并提供相关证明材</w:t>
      </w:r>
      <w:r>
        <w:rPr>
          <w:rFonts w:ascii="宋体" w:hAnsi="宋体" w:cs="宋体"/>
          <w:color w:val="000000" w:themeColor="text1"/>
          <w:sz w:val="24"/>
          <w:szCs w:val="24"/>
          <w:highlight w:val="none"/>
          <w14:textFill>
            <w14:solidFill>
              <w14:schemeClr w14:val="tx1"/>
            </w14:solidFill>
          </w14:textFill>
        </w:rPr>
        <w:t>料。最终结清申请单中的总金额应认为是代表了根据合同约定应付给承包人</w:t>
      </w:r>
      <w:r>
        <w:rPr>
          <w:rFonts w:ascii="宋体" w:hAnsi="宋体" w:cs="宋体"/>
          <w:color w:val="000000" w:themeColor="text1"/>
          <w:spacing w:val="-1"/>
          <w:sz w:val="24"/>
          <w:szCs w:val="24"/>
          <w:highlight w:val="none"/>
          <w14:textFill>
            <w14:solidFill>
              <w14:schemeClr w14:val="tx1"/>
            </w14:solidFill>
          </w14:textFill>
        </w:rPr>
        <w:t>的全部款项的最后结算。</w:t>
      </w:r>
    </w:p>
    <w:p w14:paraId="3659AAB3">
      <w:pPr>
        <w:spacing w:before="115" w:line="263" w:lineRule="auto"/>
        <w:ind w:firstLine="491"/>
        <w:rPr>
          <w:color w:val="000000" w:themeColor="text1"/>
          <w:highlight w:val="none"/>
          <w14:textFill>
            <w14:solidFill>
              <w14:schemeClr w14:val="tx1"/>
            </w14:solidFill>
          </w14:textFill>
        </w:rPr>
      </w:pPr>
      <w:r>
        <w:rPr>
          <w:rFonts w:ascii="宋体" w:hAnsi="宋体" w:cs="宋体"/>
          <w:color w:val="000000" w:themeColor="text1"/>
          <w:spacing w:val="4"/>
          <w:sz w:val="24"/>
          <w:szCs w:val="24"/>
          <w:highlight w:val="none"/>
          <w14:textFill>
            <w14:solidFill>
              <w14:schemeClr w14:val="tx1"/>
            </w14:solidFill>
          </w14:textFill>
        </w:rPr>
        <w:t>（</w:t>
      </w:r>
      <w:r>
        <w:rPr>
          <w:rFonts w:eastAsia="Times New Roman"/>
          <w:color w:val="000000" w:themeColor="text1"/>
          <w:spacing w:val="4"/>
          <w:sz w:val="24"/>
          <w:szCs w:val="24"/>
          <w:highlight w:val="none"/>
          <w14:textFill>
            <w14:solidFill>
              <w14:schemeClr w14:val="tx1"/>
            </w14:solidFill>
          </w14:textFill>
        </w:rPr>
        <w:t>2</w:t>
      </w:r>
      <w:r>
        <w:rPr>
          <w:rFonts w:ascii="宋体" w:hAnsi="宋体" w:cs="宋体"/>
          <w:color w:val="000000" w:themeColor="text1"/>
          <w:spacing w:val="4"/>
          <w:sz w:val="24"/>
          <w:szCs w:val="24"/>
          <w:highlight w:val="none"/>
          <w14:textFill>
            <w14:solidFill>
              <w14:schemeClr w14:val="tx1"/>
            </w14:solidFill>
          </w14:textFill>
        </w:rPr>
        <w:t>）发包人对最终结清申请单内容有异议的，有权要求承包人进行修正</w:t>
      </w:r>
      <w:r>
        <w:rPr>
          <w:rFonts w:ascii="宋体" w:hAnsi="宋体" w:cs="宋体"/>
          <w:color w:val="000000" w:themeColor="text1"/>
          <w:spacing w:val="3"/>
          <w:sz w:val="24"/>
          <w:szCs w:val="24"/>
          <w:highlight w:val="none"/>
          <w14:textFill>
            <w14:solidFill>
              <w14:schemeClr w14:val="tx1"/>
            </w14:solidFill>
          </w14:textFill>
        </w:rPr>
        <w:t>和提</w:t>
      </w:r>
      <w:r>
        <w:rPr>
          <w:rFonts w:ascii="宋体" w:hAnsi="宋体" w:cs="宋体"/>
          <w:color w:val="000000" w:themeColor="text1"/>
          <w:spacing w:val="-1"/>
          <w:sz w:val="24"/>
          <w:szCs w:val="24"/>
          <w:highlight w:val="none"/>
          <w14:textFill>
            <w14:solidFill>
              <w14:schemeClr w14:val="tx1"/>
            </w14:solidFill>
          </w14:textFill>
        </w:rPr>
        <w:t>供补充资料，由承包人向咨询人提交修正后的最终结清申请单。</w:t>
      </w:r>
    </w:p>
    <w:p w14:paraId="65A09173">
      <w:pPr>
        <w:spacing w:before="78" w:line="219" w:lineRule="auto"/>
        <w:ind w:left="498"/>
        <w:rPr>
          <w:rFonts w:ascii="宋体" w:hAnsi="宋体" w:cs="宋体"/>
          <w:color w:val="000000" w:themeColor="text1"/>
          <w:sz w:val="24"/>
          <w:szCs w:val="24"/>
          <w:highlight w:val="none"/>
          <w14:textFill>
            <w14:solidFill>
              <w14:schemeClr w14:val="tx1"/>
            </w14:solidFill>
          </w14:textFill>
        </w:rPr>
      </w:pPr>
      <w:r>
        <w:rPr>
          <w:rFonts w:eastAsia="Times New Roman"/>
          <w:color w:val="000000" w:themeColor="text1"/>
          <w:spacing w:val="-2"/>
          <w:sz w:val="24"/>
          <w:szCs w:val="24"/>
          <w:highlight w:val="none"/>
          <w14:textFill>
            <w14:solidFill>
              <w14:schemeClr w14:val="tx1"/>
            </w14:solidFill>
          </w14:textFill>
        </w:rPr>
        <w:t xml:space="preserve">17.6.2  </w:t>
      </w:r>
      <w:r>
        <w:rPr>
          <w:rFonts w:ascii="宋体" w:hAnsi="宋体" w:cs="宋体"/>
          <w:color w:val="000000" w:themeColor="text1"/>
          <w:spacing w:val="-2"/>
          <w:sz w:val="24"/>
          <w:szCs w:val="24"/>
          <w:highlight w:val="none"/>
          <w14:textFill>
            <w14:solidFill>
              <w14:schemeClr w14:val="tx1"/>
            </w14:solidFill>
          </w14:textFill>
        </w:rPr>
        <w:t>最终结清证书和支付时间</w:t>
      </w:r>
    </w:p>
    <w:p w14:paraId="2B050751">
      <w:pPr>
        <w:spacing w:before="113" w:line="293" w:lineRule="auto"/>
        <w:ind w:firstLine="491"/>
        <w:rPr>
          <w:rFonts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w:t>
      </w:r>
      <w:r>
        <w:rPr>
          <w:rFonts w:eastAsia="Times New Roman"/>
          <w:color w:val="000000" w:themeColor="text1"/>
          <w:sz w:val="24"/>
          <w:szCs w:val="24"/>
          <w:highlight w:val="none"/>
          <w14:textFill>
            <w14:solidFill>
              <w14:schemeClr w14:val="tx1"/>
            </w14:solidFill>
          </w14:textFill>
        </w:rPr>
        <w:t>1</w:t>
      </w:r>
      <w:r>
        <w:rPr>
          <w:rFonts w:ascii="宋体" w:hAnsi="宋体" w:cs="宋体"/>
          <w:color w:val="000000" w:themeColor="text1"/>
          <w:sz w:val="24"/>
          <w:szCs w:val="24"/>
          <w:highlight w:val="none"/>
          <w14:textFill>
            <w14:solidFill>
              <w14:schemeClr w14:val="tx1"/>
            </w14:solidFill>
          </w14:textFill>
        </w:rPr>
        <w:t>）咨询人收到承包人提交的最终结清申</w:t>
      </w:r>
      <w:r>
        <w:rPr>
          <w:rFonts w:ascii="宋体" w:hAnsi="宋体" w:cs="宋体"/>
          <w:color w:val="000000" w:themeColor="text1"/>
          <w:spacing w:val="-1"/>
          <w:sz w:val="24"/>
          <w:szCs w:val="24"/>
          <w:highlight w:val="none"/>
          <w14:textFill>
            <w14:solidFill>
              <w14:schemeClr w14:val="tx1"/>
            </w14:solidFill>
          </w14:textFill>
        </w:rPr>
        <w:t>请单后的</w:t>
      </w:r>
      <w:r>
        <w:rPr>
          <w:rFonts w:ascii="宋体" w:hAnsi="宋体" w:cs="宋体"/>
          <w:color w:val="000000" w:themeColor="text1"/>
          <w:spacing w:val="-32"/>
          <w:sz w:val="24"/>
          <w:szCs w:val="24"/>
          <w:highlight w:val="none"/>
          <w14:textFill>
            <w14:solidFill>
              <w14:schemeClr w14:val="tx1"/>
            </w14:solidFill>
          </w14:textFill>
        </w:rPr>
        <w:t xml:space="preserve"> </w:t>
      </w:r>
      <w:r>
        <w:rPr>
          <w:rFonts w:eastAsia="Times New Roman"/>
          <w:color w:val="000000" w:themeColor="text1"/>
          <w:spacing w:val="-1"/>
          <w:sz w:val="24"/>
          <w:szCs w:val="24"/>
          <w:highlight w:val="none"/>
          <w14:textFill>
            <w14:solidFill>
              <w14:schemeClr w14:val="tx1"/>
            </w14:solidFill>
          </w14:textFill>
        </w:rPr>
        <w:t xml:space="preserve">14 </w:t>
      </w:r>
      <w:r>
        <w:rPr>
          <w:rFonts w:ascii="宋体" w:hAnsi="宋体" w:cs="宋体"/>
          <w:color w:val="000000" w:themeColor="text1"/>
          <w:spacing w:val="-1"/>
          <w:sz w:val="24"/>
          <w:szCs w:val="24"/>
          <w:highlight w:val="none"/>
          <w14:textFill>
            <w14:solidFill>
              <w14:schemeClr w14:val="tx1"/>
            </w14:solidFill>
          </w14:textFill>
        </w:rPr>
        <w:t>天内，提出发包人应支</w:t>
      </w:r>
      <w:r>
        <w:rPr>
          <w:rFonts w:ascii="宋体" w:hAnsi="宋体" w:cs="宋体"/>
          <w:color w:val="000000" w:themeColor="text1"/>
          <w:spacing w:val="3"/>
          <w:sz w:val="24"/>
          <w:szCs w:val="24"/>
          <w:highlight w:val="none"/>
          <w14:textFill>
            <w14:solidFill>
              <w14:schemeClr w14:val="tx1"/>
            </w14:solidFill>
          </w14:textFill>
        </w:rPr>
        <w:t>付给承包人的价款送发包人审核并抄送承包人。</w:t>
      </w:r>
      <w:r>
        <w:rPr>
          <w:rFonts w:ascii="宋体" w:hAnsi="宋体" w:cs="宋体"/>
          <w:color w:val="000000" w:themeColor="text1"/>
          <w:spacing w:val="2"/>
          <w:sz w:val="24"/>
          <w:szCs w:val="24"/>
          <w:highlight w:val="none"/>
          <w14:textFill>
            <w14:solidFill>
              <w14:schemeClr w14:val="tx1"/>
            </w14:solidFill>
          </w14:textFill>
        </w:rPr>
        <w:t>发包人应在收到后</w:t>
      </w:r>
      <w:r>
        <w:rPr>
          <w:rFonts w:ascii="宋体" w:hAnsi="宋体" w:cs="宋体"/>
          <w:color w:val="000000" w:themeColor="text1"/>
          <w:spacing w:val="-27"/>
          <w:sz w:val="24"/>
          <w:szCs w:val="24"/>
          <w:highlight w:val="none"/>
          <w14:textFill>
            <w14:solidFill>
              <w14:schemeClr w14:val="tx1"/>
            </w14:solidFill>
          </w14:textFill>
        </w:rPr>
        <w:t xml:space="preserve"> </w:t>
      </w:r>
      <w:r>
        <w:rPr>
          <w:rFonts w:eastAsia="Times New Roman"/>
          <w:color w:val="000000" w:themeColor="text1"/>
          <w:spacing w:val="2"/>
          <w:sz w:val="24"/>
          <w:szCs w:val="24"/>
          <w:highlight w:val="none"/>
          <w14:textFill>
            <w14:solidFill>
              <w14:schemeClr w14:val="tx1"/>
            </w14:solidFill>
          </w14:textFill>
        </w:rPr>
        <w:t>14</w:t>
      </w:r>
      <w:r>
        <w:rPr>
          <w:rFonts w:ascii="宋体" w:hAnsi="宋体" w:cs="宋体"/>
          <w:color w:val="000000" w:themeColor="text1"/>
          <w:spacing w:val="2"/>
          <w:sz w:val="24"/>
          <w:szCs w:val="24"/>
          <w:highlight w:val="none"/>
          <w14:textFill>
            <w14:solidFill>
              <w14:schemeClr w14:val="tx1"/>
            </w14:solidFill>
          </w14:textFill>
        </w:rPr>
        <w:t>天内审核完</w:t>
      </w:r>
      <w:r>
        <w:rPr>
          <w:rFonts w:ascii="宋体" w:hAnsi="宋体" w:cs="宋体"/>
          <w:color w:val="000000" w:themeColor="text1"/>
          <w:spacing w:val="1"/>
          <w:sz w:val="24"/>
          <w:szCs w:val="24"/>
          <w:highlight w:val="none"/>
          <w14:textFill>
            <w14:solidFill>
              <w14:schemeClr w14:val="tx1"/>
            </w14:solidFill>
          </w14:textFill>
        </w:rPr>
        <w:t>毕，由咨询人向承包人出具经发包人签认的最终结清证书</w:t>
      </w:r>
      <w:r>
        <w:rPr>
          <w:rFonts w:ascii="宋体" w:hAnsi="宋体" w:cs="宋体"/>
          <w:color w:val="000000" w:themeColor="text1"/>
          <w:sz w:val="24"/>
          <w:szCs w:val="24"/>
          <w:highlight w:val="none"/>
          <w14:textFill>
            <w14:solidFill>
              <w14:schemeClr w14:val="tx1"/>
            </w14:solidFill>
          </w14:textFill>
        </w:rPr>
        <w:t>。咨询人未在约定时间内</w:t>
      </w:r>
      <w:r>
        <w:rPr>
          <w:rFonts w:ascii="宋体" w:hAnsi="宋体" w:cs="宋体"/>
          <w:color w:val="000000" w:themeColor="text1"/>
          <w:spacing w:val="1"/>
          <w:sz w:val="24"/>
          <w:szCs w:val="24"/>
          <w:highlight w:val="none"/>
          <w14:textFill>
            <w14:solidFill>
              <w14:schemeClr w14:val="tx1"/>
            </w14:solidFill>
          </w14:textFill>
        </w:rPr>
        <w:t>核查，又未提出具体意见的，视为承包人提交的最终结清</w:t>
      </w:r>
      <w:r>
        <w:rPr>
          <w:rFonts w:ascii="宋体" w:hAnsi="宋体" w:cs="宋体"/>
          <w:color w:val="000000" w:themeColor="text1"/>
          <w:sz w:val="24"/>
          <w:szCs w:val="24"/>
          <w:highlight w:val="none"/>
          <w14:textFill>
            <w14:solidFill>
              <w14:schemeClr w14:val="tx1"/>
            </w14:solidFill>
          </w14:textFill>
        </w:rPr>
        <w:t>申请单已经咨询人核查同</w:t>
      </w:r>
      <w:r>
        <w:rPr>
          <w:rFonts w:ascii="宋体" w:hAnsi="宋体" w:cs="宋体"/>
          <w:color w:val="000000" w:themeColor="text1"/>
          <w:spacing w:val="1"/>
          <w:sz w:val="24"/>
          <w:szCs w:val="24"/>
          <w:highlight w:val="none"/>
          <w14:textFill>
            <w14:solidFill>
              <w14:schemeClr w14:val="tx1"/>
            </w14:solidFill>
          </w14:textFill>
        </w:rPr>
        <w:t>意；发包人未在约定时间内审核又未提出具体意见的，咨</w:t>
      </w:r>
      <w:r>
        <w:rPr>
          <w:rFonts w:ascii="宋体" w:hAnsi="宋体" w:cs="宋体"/>
          <w:color w:val="000000" w:themeColor="text1"/>
          <w:sz w:val="24"/>
          <w:szCs w:val="24"/>
          <w:highlight w:val="none"/>
          <w14:textFill>
            <w14:solidFill>
              <w14:schemeClr w14:val="tx1"/>
            </w14:solidFill>
          </w14:textFill>
        </w:rPr>
        <w:t>询人提出应支付给承包人</w:t>
      </w:r>
      <w:r>
        <w:rPr>
          <w:rFonts w:ascii="宋体" w:hAnsi="宋体" w:cs="宋体"/>
          <w:color w:val="000000" w:themeColor="text1"/>
          <w:spacing w:val="-1"/>
          <w:sz w:val="24"/>
          <w:szCs w:val="24"/>
          <w:highlight w:val="none"/>
          <w14:textFill>
            <w14:solidFill>
              <w14:schemeClr w14:val="tx1"/>
            </w14:solidFill>
          </w14:textFill>
        </w:rPr>
        <w:t>的价款视为已经发包人同意。</w:t>
      </w:r>
    </w:p>
    <w:p w14:paraId="5B199C28">
      <w:pPr>
        <w:spacing w:before="117" w:line="278" w:lineRule="auto"/>
        <w:ind w:left="1" w:firstLine="489"/>
        <w:rPr>
          <w:rFonts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pacing w:val="4"/>
          <w:sz w:val="24"/>
          <w:szCs w:val="24"/>
          <w:highlight w:val="none"/>
          <w14:textFill>
            <w14:solidFill>
              <w14:schemeClr w14:val="tx1"/>
            </w14:solidFill>
          </w14:textFill>
        </w:rPr>
        <w:t>（</w:t>
      </w:r>
      <w:r>
        <w:rPr>
          <w:rFonts w:eastAsia="Times New Roman"/>
          <w:color w:val="000000" w:themeColor="text1"/>
          <w:spacing w:val="4"/>
          <w:sz w:val="24"/>
          <w:szCs w:val="24"/>
          <w:highlight w:val="none"/>
          <w14:textFill>
            <w14:solidFill>
              <w14:schemeClr w14:val="tx1"/>
            </w14:solidFill>
          </w14:textFill>
        </w:rPr>
        <w:t>2</w:t>
      </w:r>
      <w:r>
        <w:rPr>
          <w:rFonts w:ascii="宋体" w:hAnsi="宋体" w:cs="宋体"/>
          <w:color w:val="000000" w:themeColor="text1"/>
          <w:spacing w:val="4"/>
          <w:sz w:val="24"/>
          <w:szCs w:val="24"/>
          <w:highlight w:val="none"/>
          <w14:textFill>
            <w14:solidFill>
              <w14:schemeClr w14:val="tx1"/>
            </w14:solidFill>
          </w14:textFill>
        </w:rPr>
        <w:t>）发包人应在咨询人出具最终结清证书且承包人提交了合格的增值税</w:t>
      </w:r>
      <w:r>
        <w:rPr>
          <w:rFonts w:ascii="宋体" w:hAnsi="宋体" w:cs="宋体"/>
          <w:color w:val="000000" w:themeColor="text1"/>
          <w:spacing w:val="3"/>
          <w:sz w:val="24"/>
          <w:szCs w:val="24"/>
          <w:highlight w:val="none"/>
          <w14:textFill>
            <w14:solidFill>
              <w14:schemeClr w14:val="tx1"/>
            </w14:solidFill>
          </w14:textFill>
        </w:rPr>
        <w:t>发票</w:t>
      </w:r>
      <w:r>
        <w:rPr>
          <w:rFonts w:ascii="宋体" w:hAnsi="宋体" w:cs="宋体"/>
          <w:color w:val="000000" w:themeColor="text1"/>
          <w:spacing w:val="1"/>
          <w:sz w:val="24"/>
          <w:szCs w:val="24"/>
          <w:highlight w:val="none"/>
          <w14:textFill>
            <w14:solidFill>
              <w14:schemeClr w14:val="tx1"/>
            </w14:solidFill>
          </w14:textFill>
        </w:rPr>
        <w:t>后的</w:t>
      </w:r>
      <w:r>
        <w:rPr>
          <w:rFonts w:ascii="宋体" w:hAnsi="宋体" w:cs="宋体"/>
          <w:color w:val="000000" w:themeColor="text1"/>
          <w:spacing w:val="-52"/>
          <w:sz w:val="24"/>
          <w:szCs w:val="24"/>
          <w:highlight w:val="none"/>
          <w14:textFill>
            <w14:solidFill>
              <w14:schemeClr w14:val="tx1"/>
            </w14:solidFill>
          </w14:textFill>
        </w:rPr>
        <w:t xml:space="preserve"> </w:t>
      </w:r>
      <w:r>
        <w:rPr>
          <w:rFonts w:eastAsia="Times New Roman"/>
          <w:color w:val="000000" w:themeColor="text1"/>
          <w:spacing w:val="1"/>
          <w:sz w:val="24"/>
          <w:szCs w:val="24"/>
          <w:highlight w:val="none"/>
          <w14:textFill>
            <w14:solidFill>
              <w14:schemeClr w14:val="tx1"/>
            </w14:solidFill>
          </w14:textFill>
        </w:rPr>
        <w:t>28</w:t>
      </w:r>
      <w:r>
        <w:rPr>
          <w:rFonts w:ascii="宋体" w:hAnsi="宋体" w:cs="宋体"/>
          <w:color w:val="000000" w:themeColor="text1"/>
          <w:spacing w:val="1"/>
          <w:sz w:val="24"/>
          <w:szCs w:val="24"/>
          <w:highlight w:val="none"/>
          <w14:textFill>
            <w14:solidFill>
              <w14:schemeClr w14:val="tx1"/>
            </w14:solidFill>
          </w14:textFill>
        </w:rPr>
        <w:t>天内，将应支付款支付给承包人。发包</w:t>
      </w:r>
      <w:r>
        <w:rPr>
          <w:rFonts w:ascii="宋体" w:hAnsi="宋体" w:cs="宋体"/>
          <w:color w:val="000000" w:themeColor="text1"/>
          <w:sz w:val="24"/>
          <w:szCs w:val="24"/>
          <w:highlight w:val="none"/>
          <w14:textFill>
            <w14:solidFill>
              <w14:schemeClr w14:val="tx1"/>
            </w14:solidFill>
          </w14:textFill>
        </w:rPr>
        <w:t>人不按期支付的，按第</w:t>
      </w:r>
      <w:r>
        <w:rPr>
          <w:rFonts w:ascii="宋体" w:hAnsi="宋体" w:cs="宋体"/>
          <w:color w:val="000000" w:themeColor="text1"/>
          <w:spacing w:val="-27"/>
          <w:sz w:val="24"/>
          <w:szCs w:val="24"/>
          <w:highlight w:val="none"/>
          <w14:textFill>
            <w14:solidFill>
              <w14:schemeClr w14:val="tx1"/>
            </w14:solidFill>
          </w14:textFill>
        </w:rPr>
        <w:t xml:space="preserve"> </w:t>
      </w:r>
      <w:r>
        <w:rPr>
          <w:rFonts w:eastAsia="Times New Roman"/>
          <w:color w:val="000000" w:themeColor="text1"/>
          <w:sz w:val="24"/>
          <w:szCs w:val="24"/>
          <w:highlight w:val="none"/>
          <w14:textFill>
            <w14:solidFill>
              <w14:schemeClr w14:val="tx1"/>
            </w14:solidFill>
          </w14:textFill>
        </w:rPr>
        <w:t>17.3.3</w:t>
      </w:r>
      <w:r>
        <w:rPr>
          <w:rFonts w:ascii="宋体" w:hAnsi="宋体" w:cs="宋体"/>
          <w:color w:val="000000" w:themeColor="text1"/>
          <w:sz w:val="24"/>
          <w:szCs w:val="24"/>
          <w:highlight w:val="none"/>
          <w14:textFill>
            <w14:solidFill>
              <w14:schemeClr w14:val="tx1"/>
            </w14:solidFill>
          </w14:textFill>
        </w:rPr>
        <w:t>（</w:t>
      </w:r>
      <w:r>
        <w:rPr>
          <w:rFonts w:eastAsia="Times New Roman"/>
          <w:color w:val="000000" w:themeColor="text1"/>
          <w:sz w:val="24"/>
          <w:szCs w:val="24"/>
          <w:highlight w:val="none"/>
          <w14:textFill>
            <w14:solidFill>
              <w14:schemeClr w14:val="tx1"/>
            </w14:solidFill>
          </w14:textFill>
        </w:rPr>
        <w:t>2</w:t>
      </w:r>
      <w:r>
        <w:rPr>
          <w:rFonts w:ascii="宋体" w:hAnsi="宋体" w:cs="宋体"/>
          <w:color w:val="000000" w:themeColor="text1"/>
          <w:sz w:val="24"/>
          <w:szCs w:val="24"/>
          <w:highlight w:val="none"/>
          <w14:textFill>
            <w14:solidFill>
              <w14:schemeClr w14:val="tx1"/>
            </w14:solidFill>
          </w14:textFill>
        </w:rPr>
        <w:t>）</w:t>
      </w:r>
      <w:r>
        <w:rPr>
          <w:rFonts w:ascii="宋体" w:hAnsi="宋体" w:cs="宋体"/>
          <w:color w:val="000000" w:themeColor="text1"/>
          <w:spacing w:val="-1"/>
          <w:sz w:val="24"/>
          <w:szCs w:val="24"/>
          <w:highlight w:val="none"/>
          <w14:textFill>
            <w14:solidFill>
              <w14:schemeClr w14:val="tx1"/>
            </w14:solidFill>
          </w14:textFill>
        </w:rPr>
        <w:t>目的约定，将逾期付款违约金支付给承包人。</w:t>
      </w:r>
    </w:p>
    <w:p w14:paraId="733B3AE5">
      <w:pPr>
        <w:spacing w:before="115" w:line="219" w:lineRule="auto"/>
        <w:ind w:right="35"/>
        <w:jc w:val="center"/>
        <w:rPr>
          <w:rFonts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pacing w:val="-1"/>
          <w:sz w:val="24"/>
          <w:szCs w:val="24"/>
          <w:highlight w:val="none"/>
          <w14:textFill>
            <w14:solidFill>
              <w14:schemeClr w14:val="tx1"/>
            </w14:solidFill>
          </w14:textFill>
        </w:rPr>
        <w:t>（</w:t>
      </w:r>
      <w:r>
        <w:rPr>
          <w:rFonts w:eastAsia="Times New Roman"/>
          <w:color w:val="000000" w:themeColor="text1"/>
          <w:spacing w:val="-1"/>
          <w:sz w:val="24"/>
          <w:szCs w:val="24"/>
          <w:highlight w:val="none"/>
          <w14:textFill>
            <w14:solidFill>
              <w14:schemeClr w14:val="tx1"/>
            </w14:solidFill>
          </w14:textFill>
        </w:rPr>
        <w:t>3</w:t>
      </w:r>
      <w:r>
        <w:rPr>
          <w:rFonts w:ascii="宋体" w:hAnsi="宋体" w:cs="宋体"/>
          <w:color w:val="000000" w:themeColor="text1"/>
          <w:spacing w:val="-1"/>
          <w:sz w:val="24"/>
          <w:szCs w:val="24"/>
          <w:highlight w:val="none"/>
          <w14:textFill>
            <w14:solidFill>
              <w14:schemeClr w14:val="tx1"/>
            </w14:solidFill>
          </w14:textFill>
        </w:rPr>
        <w:t>）承包人对发包人签认的最终结清证书有异议的，按第</w:t>
      </w:r>
      <w:r>
        <w:rPr>
          <w:rFonts w:ascii="宋体" w:hAnsi="宋体" w:cs="宋体"/>
          <w:color w:val="000000" w:themeColor="text1"/>
          <w:spacing w:val="-46"/>
          <w:sz w:val="24"/>
          <w:szCs w:val="24"/>
          <w:highlight w:val="none"/>
          <w14:textFill>
            <w14:solidFill>
              <w14:schemeClr w14:val="tx1"/>
            </w14:solidFill>
          </w14:textFill>
        </w:rPr>
        <w:t xml:space="preserve"> </w:t>
      </w:r>
      <w:r>
        <w:rPr>
          <w:rFonts w:eastAsia="Times New Roman"/>
          <w:color w:val="000000" w:themeColor="text1"/>
          <w:spacing w:val="-1"/>
          <w:sz w:val="24"/>
          <w:szCs w:val="24"/>
          <w:highlight w:val="none"/>
          <w14:textFill>
            <w14:solidFill>
              <w14:schemeClr w14:val="tx1"/>
            </w14:solidFill>
          </w14:textFill>
        </w:rPr>
        <w:t xml:space="preserve">24 </w:t>
      </w:r>
      <w:r>
        <w:rPr>
          <w:rFonts w:ascii="宋体" w:hAnsi="宋体" w:cs="宋体"/>
          <w:color w:val="000000" w:themeColor="text1"/>
          <w:spacing w:val="-1"/>
          <w:sz w:val="24"/>
          <w:szCs w:val="24"/>
          <w:highlight w:val="none"/>
          <w14:textFill>
            <w14:solidFill>
              <w14:schemeClr w14:val="tx1"/>
            </w14:solidFill>
          </w14:textFill>
        </w:rPr>
        <w:t>条的约定办理。</w:t>
      </w:r>
    </w:p>
    <w:p w14:paraId="5727F557">
      <w:pPr>
        <w:spacing w:before="105" w:line="219" w:lineRule="auto"/>
        <w:ind w:left="486"/>
        <w:outlineLvl w:val="3"/>
        <w:rPr>
          <w:rFonts w:ascii="宋体" w:hAnsi="宋体" w:cs="宋体"/>
          <w:color w:val="000000" w:themeColor="text1"/>
          <w:sz w:val="24"/>
          <w:szCs w:val="24"/>
          <w:highlight w:val="none"/>
          <w14:textFill>
            <w14:solidFill>
              <w14:schemeClr w14:val="tx1"/>
            </w14:solidFill>
          </w14:textFill>
        </w:rPr>
      </w:pPr>
      <w:r>
        <w:rPr>
          <w:rFonts w:eastAsia="Times New Roman"/>
          <w:b/>
          <w:bCs/>
          <w:color w:val="000000" w:themeColor="text1"/>
          <w:spacing w:val="-3"/>
          <w:sz w:val="24"/>
          <w:szCs w:val="24"/>
          <w:highlight w:val="none"/>
          <w14:textFill>
            <w14:solidFill>
              <w14:schemeClr w14:val="tx1"/>
            </w14:solidFill>
          </w14:textFill>
        </w:rPr>
        <w:t xml:space="preserve">17.7  </w:t>
      </w:r>
      <w:r>
        <w:rPr>
          <w:rFonts w:ascii="宋体" w:hAnsi="宋体" w:cs="宋体"/>
          <w:b/>
          <w:bCs/>
          <w:color w:val="000000" w:themeColor="text1"/>
          <w:spacing w:val="-3"/>
          <w:sz w:val="24"/>
          <w:szCs w:val="24"/>
          <w:highlight w:val="none"/>
          <w14:textFill>
            <w14:solidFill>
              <w14:schemeClr w14:val="tx1"/>
            </w14:solidFill>
          </w14:textFill>
        </w:rPr>
        <w:t>财政资金申请与支付</w:t>
      </w:r>
    </w:p>
    <w:p w14:paraId="41043BCD">
      <w:pPr>
        <w:spacing w:before="124" w:line="309" w:lineRule="auto"/>
        <w:ind w:right="2" w:firstLine="483"/>
        <w:rPr>
          <w:rFonts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pacing w:val="2"/>
          <w:sz w:val="24"/>
          <w:szCs w:val="24"/>
          <w:highlight w:val="none"/>
          <w14:textFill>
            <w14:solidFill>
              <w14:schemeClr w14:val="tx1"/>
            </w14:solidFill>
          </w14:textFill>
        </w:rPr>
        <w:t>发包人应在专用合同条款中明确养护项目资金</w:t>
      </w:r>
      <w:r>
        <w:rPr>
          <w:rFonts w:ascii="宋体" w:hAnsi="宋体" w:cs="宋体"/>
          <w:color w:val="000000" w:themeColor="text1"/>
          <w:spacing w:val="1"/>
          <w:sz w:val="24"/>
          <w:szCs w:val="24"/>
          <w:highlight w:val="none"/>
          <w14:textFill>
            <w14:solidFill>
              <w14:schemeClr w14:val="tx1"/>
            </w14:solidFill>
          </w14:textFill>
        </w:rPr>
        <w:t>来源。第</w:t>
      </w:r>
      <w:r>
        <w:rPr>
          <w:rFonts w:ascii="宋体" w:hAnsi="宋体" w:cs="宋体"/>
          <w:color w:val="000000" w:themeColor="text1"/>
          <w:spacing w:val="-30"/>
          <w:sz w:val="24"/>
          <w:szCs w:val="24"/>
          <w:highlight w:val="none"/>
          <w14:textFill>
            <w14:solidFill>
              <w14:schemeClr w14:val="tx1"/>
            </w14:solidFill>
          </w14:textFill>
        </w:rPr>
        <w:t xml:space="preserve"> </w:t>
      </w:r>
      <w:r>
        <w:rPr>
          <w:rFonts w:eastAsia="Times New Roman"/>
          <w:color w:val="000000" w:themeColor="text1"/>
          <w:spacing w:val="1"/>
          <w:sz w:val="24"/>
          <w:szCs w:val="24"/>
          <w:highlight w:val="none"/>
          <w14:textFill>
            <w14:solidFill>
              <w14:schemeClr w14:val="tx1"/>
            </w14:solidFill>
          </w14:textFill>
        </w:rPr>
        <w:t>17.3</w:t>
      </w:r>
      <w:r>
        <w:rPr>
          <w:rFonts w:eastAsia="Times New Roman"/>
          <w:color w:val="000000" w:themeColor="text1"/>
          <w:spacing w:val="18"/>
          <w:sz w:val="24"/>
          <w:szCs w:val="24"/>
          <w:highlight w:val="none"/>
          <w14:textFill>
            <w14:solidFill>
              <w14:schemeClr w14:val="tx1"/>
            </w14:solidFill>
          </w14:textFill>
        </w:rPr>
        <w:t xml:space="preserve"> </w:t>
      </w:r>
      <w:r>
        <w:rPr>
          <w:rFonts w:ascii="宋体" w:hAnsi="宋体" w:cs="宋体"/>
          <w:color w:val="000000" w:themeColor="text1"/>
          <w:spacing w:val="1"/>
          <w:sz w:val="24"/>
          <w:szCs w:val="24"/>
          <w:highlight w:val="none"/>
          <w14:textFill>
            <w14:solidFill>
              <w14:schemeClr w14:val="tx1"/>
            </w14:solidFill>
          </w14:textFill>
        </w:rPr>
        <w:t>款、第</w:t>
      </w:r>
      <w:r>
        <w:rPr>
          <w:rFonts w:ascii="宋体" w:hAnsi="宋体" w:cs="宋体"/>
          <w:color w:val="000000" w:themeColor="text1"/>
          <w:spacing w:val="-27"/>
          <w:sz w:val="24"/>
          <w:szCs w:val="24"/>
          <w:highlight w:val="none"/>
          <w14:textFill>
            <w14:solidFill>
              <w14:schemeClr w14:val="tx1"/>
            </w14:solidFill>
          </w14:textFill>
        </w:rPr>
        <w:t xml:space="preserve"> </w:t>
      </w:r>
      <w:r>
        <w:rPr>
          <w:rFonts w:eastAsia="Times New Roman"/>
          <w:color w:val="000000" w:themeColor="text1"/>
          <w:spacing w:val="1"/>
          <w:sz w:val="24"/>
          <w:szCs w:val="24"/>
          <w:highlight w:val="none"/>
          <w14:textFill>
            <w14:solidFill>
              <w14:schemeClr w14:val="tx1"/>
            </w14:solidFill>
          </w14:textFill>
        </w:rPr>
        <w:t xml:space="preserve">17.5 </w:t>
      </w:r>
      <w:r>
        <w:rPr>
          <w:rFonts w:ascii="宋体" w:hAnsi="宋体" w:cs="宋体"/>
          <w:color w:val="000000" w:themeColor="text1"/>
          <w:spacing w:val="1"/>
          <w:sz w:val="24"/>
          <w:szCs w:val="24"/>
          <w:highlight w:val="none"/>
          <w14:textFill>
            <w14:solidFill>
              <w14:schemeClr w14:val="tx1"/>
            </w14:solidFill>
          </w14:textFill>
        </w:rPr>
        <w:t>款和</w:t>
      </w:r>
      <w:r>
        <w:rPr>
          <w:rFonts w:ascii="宋体" w:hAnsi="宋体" w:cs="宋体"/>
          <w:color w:val="000000" w:themeColor="text1"/>
          <w:spacing w:val="4"/>
          <w:sz w:val="24"/>
          <w:szCs w:val="24"/>
          <w:highlight w:val="none"/>
          <w14:textFill>
            <w14:solidFill>
              <w14:schemeClr w14:val="tx1"/>
            </w14:solidFill>
          </w14:textFill>
        </w:rPr>
        <w:t>第</w:t>
      </w:r>
      <w:r>
        <w:rPr>
          <w:rFonts w:ascii="宋体" w:hAnsi="宋体" w:cs="宋体"/>
          <w:color w:val="000000" w:themeColor="text1"/>
          <w:spacing w:val="-23"/>
          <w:sz w:val="24"/>
          <w:szCs w:val="24"/>
          <w:highlight w:val="none"/>
          <w14:textFill>
            <w14:solidFill>
              <w14:schemeClr w14:val="tx1"/>
            </w14:solidFill>
          </w14:textFill>
        </w:rPr>
        <w:t xml:space="preserve"> </w:t>
      </w:r>
      <w:r>
        <w:rPr>
          <w:rFonts w:eastAsia="Times New Roman"/>
          <w:color w:val="000000" w:themeColor="text1"/>
          <w:spacing w:val="4"/>
          <w:sz w:val="24"/>
          <w:szCs w:val="24"/>
          <w:highlight w:val="none"/>
          <w14:textFill>
            <w14:solidFill>
              <w14:schemeClr w14:val="tx1"/>
            </w14:solidFill>
          </w14:textFill>
        </w:rPr>
        <w:t>17.6</w:t>
      </w:r>
      <w:r>
        <w:rPr>
          <w:rFonts w:eastAsia="Times New Roman"/>
          <w:color w:val="000000" w:themeColor="text1"/>
          <w:spacing w:val="17"/>
          <w:w w:val="101"/>
          <w:sz w:val="24"/>
          <w:szCs w:val="24"/>
          <w:highlight w:val="none"/>
          <w14:textFill>
            <w14:solidFill>
              <w14:schemeClr w14:val="tx1"/>
            </w14:solidFill>
          </w14:textFill>
        </w:rPr>
        <w:t xml:space="preserve"> </w:t>
      </w:r>
      <w:r>
        <w:rPr>
          <w:rFonts w:ascii="宋体" w:hAnsi="宋体" w:cs="宋体"/>
          <w:color w:val="000000" w:themeColor="text1"/>
          <w:spacing w:val="4"/>
          <w:sz w:val="24"/>
          <w:szCs w:val="24"/>
          <w:highlight w:val="none"/>
          <w14:textFill>
            <w14:solidFill>
              <w14:schemeClr w14:val="tx1"/>
            </w14:solidFill>
          </w14:textFill>
        </w:rPr>
        <w:t>款约定的支付资金来源于财政资金的，应按照国库集中支付等国家相关规</w:t>
      </w:r>
      <w:r>
        <w:rPr>
          <w:rFonts w:ascii="宋体" w:hAnsi="宋体" w:cs="宋体"/>
          <w:color w:val="000000" w:themeColor="text1"/>
          <w:spacing w:val="-2"/>
          <w:sz w:val="24"/>
          <w:szCs w:val="24"/>
          <w:highlight w:val="none"/>
          <w14:textFill>
            <w14:solidFill>
              <w14:schemeClr w14:val="tx1"/>
            </w14:solidFill>
          </w14:textFill>
        </w:rPr>
        <w:t>定办理申请与支付。</w:t>
      </w:r>
    </w:p>
    <w:p w14:paraId="2864C592">
      <w:pPr>
        <w:spacing w:before="308" w:line="219" w:lineRule="auto"/>
        <w:ind w:left="486"/>
        <w:outlineLvl w:val="2"/>
        <w:rPr>
          <w:rFonts w:ascii="宋体" w:hAnsi="宋体" w:cs="宋体"/>
          <w:color w:val="000000" w:themeColor="text1"/>
          <w:sz w:val="24"/>
          <w:szCs w:val="24"/>
          <w:highlight w:val="none"/>
          <w14:textFill>
            <w14:solidFill>
              <w14:schemeClr w14:val="tx1"/>
            </w14:solidFill>
          </w14:textFill>
        </w:rPr>
      </w:pPr>
      <w:bookmarkStart w:id="164" w:name="bookmark42"/>
      <w:bookmarkEnd w:id="164"/>
      <w:bookmarkStart w:id="165" w:name="bookmark41"/>
      <w:bookmarkEnd w:id="165"/>
      <w:bookmarkStart w:id="166" w:name="_Toc27845"/>
      <w:r>
        <w:rPr>
          <w:rFonts w:eastAsia="Times New Roman"/>
          <w:b/>
          <w:bCs/>
          <w:color w:val="000000" w:themeColor="text1"/>
          <w:spacing w:val="-6"/>
          <w:sz w:val="24"/>
          <w:szCs w:val="24"/>
          <w:highlight w:val="none"/>
          <w14:textFill>
            <w14:solidFill>
              <w14:schemeClr w14:val="tx1"/>
            </w14:solidFill>
          </w14:textFill>
        </w:rPr>
        <w:t>18.</w:t>
      </w:r>
      <w:r>
        <w:rPr>
          <w:rFonts w:eastAsia="Times New Roman"/>
          <w:b/>
          <w:bCs/>
          <w:color w:val="000000" w:themeColor="text1"/>
          <w:spacing w:val="8"/>
          <w:sz w:val="24"/>
          <w:szCs w:val="24"/>
          <w:highlight w:val="none"/>
          <w14:textFill>
            <w14:solidFill>
              <w14:schemeClr w14:val="tx1"/>
            </w14:solidFill>
          </w14:textFill>
        </w:rPr>
        <w:t xml:space="preserve">  </w:t>
      </w:r>
      <w:r>
        <w:rPr>
          <w:rFonts w:ascii="宋体" w:hAnsi="宋体" w:cs="宋体"/>
          <w:b/>
          <w:bCs/>
          <w:color w:val="000000" w:themeColor="text1"/>
          <w:spacing w:val="-6"/>
          <w:sz w:val="24"/>
          <w:szCs w:val="24"/>
          <w:highlight w:val="none"/>
          <w14:textFill>
            <w14:solidFill>
              <w14:schemeClr w14:val="tx1"/>
            </w14:solidFill>
          </w14:textFill>
        </w:rPr>
        <w:t>工程验收</w:t>
      </w:r>
      <w:bookmarkEnd w:id="166"/>
    </w:p>
    <w:p w14:paraId="01E19EDA">
      <w:pPr>
        <w:spacing w:before="260" w:line="219" w:lineRule="auto"/>
        <w:ind w:left="486"/>
        <w:outlineLvl w:val="3"/>
        <w:rPr>
          <w:rFonts w:ascii="宋体" w:hAnsi="宋体" w:cs="宋体"/>
          <w:color w:val="000000" w:themeColor="text1"/>
          <w:sz w:val="24"/>
          <w:szCs w:val="24"/>
          <w:highlight w:val="none"/>
          <w14:textFill>
            <w14:solidFill>
              <w14:schemeClr w14:val="tx1"/>
            </w14:solidFill>
          </w14:textFill>
        </w:rPr>
      </w:pPr>
      <w:r>
        <w:rPr>
          <w:rFonts w:eastAsia="Times New Roman"/>
          <w:b/>
          <w:bCs/>
          <w:color w:val="000000" w:themeColor="text1"/>
          <w:spacing w:val="-3"/>
          <w:sz w:val="24"/>
          <w:szCs w:val="24"/>
          <w:highlight w:val="none"/>
          <w14:textFill>
            <w14:solidFill>
              <w14:schemeClr w14:val="tx1"/>
            </w14:solidFill>
          </w14:textFill>
        </w:rPr>
        <w:t xml:space="preserve">18.1  </w:t>
      </w:r>
      <w:r>
        <w:rPr>
          <w:rFonts w:ascii="宋体" w:hAnsi="宋体" w:cs="宋体"/>
          <w:b/>
          <w:bCs/>
          <w:color w:val="000000" w:themeColor="text1"/>
          <w:spacing w:val="-3"/>
          <w:sz w:val="24"/>
          <w:szCs w:val="24"/>
          <w:highlight w:val="none"/>
          <w14:textFill>
            <w14:solidFill>
              <w14:schemeClr w14:val="tx1"/>
            </w14:solidFill>
          </w14:textFill>
        </w:rPr>
        <w:t>工程验收的含义</w:t>
      </w:r>
    </w:p>
    <w:p w14:paraId="7F5AF586">
      <w:pPr>
        <w:spacing w:before="125" w:line="263" w:lineRule="auto"/>
        <w:ind w:left="1" w:right="2" w:firstLine="496"/>
        <w:rPr>
          <w:rFonts w:ascii="宋体" w:hAnsi="宋体" w:cs="宋体"/>
          <w:color w:val="000000" w:themeColor="text1"/>
          <w:sz w:val="24"/>
          <w:szCs w:val="24"/>
          <w:highlight w:val="none"/>
          <w14:textFill>
            <w14:solidFill>
              <w14:schemeClr w14:val="tx1"/>
            </w14:solidFill>
          </w14:textFill>
        </w:rPr>
      </w:pPr>
      <w:r>
        <w:rPr>
          <w:rFonts w:eastAsia="Times New Roman"/>
          <w:color w:val="000000" w:themeColor="text1"/>
          <w:sz w:val="24"/>
          <w:szCs w:val="24"/>
          <w:highlight w:val="none"/>
          <w14:textFill>
            <w14:solidFill>
              <w14:schemeClr w14:val="tx1"/>
            </w14:solidFill>
          </w14:textFill>
        </w:rPr>
        <w:t xml:space="preserve">18.1.1  </w:t>
      </w:r>
      <w:r>
        <w:rPr>
          <w:rFonts w:ascii="宋体" w:hAnsi="宋体" w:cs="宋体"/>
          <w:color w:val="000000" w:themeColor="text1"/>
          <w:sz w:val="24"/>
          <w:szCs w:val="24"/>
          <w:highlight w:val="none"/>
          <w14:textFill>
            <w14:solidFill>
              <w14:schemeClr w14:val="tx1"/>
            </w14:solidFill>
          </w14:textFill>
        </w:rPr>
        <w:t>工程验收指养护工程全部工作完成后，由专用合同条款约定的验收单位</w:t>
      </w:r>
      <w:r>
        <w:rPr>
          <w:rFonts w:ascii="宋体" w:hAnsi="宋体" w:cs="宋体"/>
          <w:color w:val="000000" w:themeColor="text1"/>
          <w:spacing w:val="-1"/>
          <w:sz w:val="24"/>
          <w:szCs w:val="24"/>
          <w:highlight w:val="none"/>
          <w14:textFill>
            <w14:solidFill>
              <w14:schemeClr w14:val="tx1"/>
            </w14:solidFill>
          </w14:textFill>
        </w:rPr>
        <w:t>按合同要求进行的验收，但不包括日常养护的验收。</w:t>
      </w:r>
    </w:p>
    <w:p w14:paraId="75476A96">
      <w:pPr>
        <w:spacing w:before="115" w:line="264" w:lineRule="auto"/>
        <w:ind w:left="11" w:right="2" w:firstLine="487"/>
        <w:rPr>
          <w:rFonts w:ascii="宋体" w:hAnsi="宋体" w:cs="宋体"/>
          <w:color w:val="000000" w:themeColor="text1"/>
          <w:sz w:val="24"/>
          <w:szCs w:val="24"/>
          <w:highlight w:val="none"/>
          <w14:textFill>
            <w14:solidFill>
              <w14:schemeClr w14:val="tx1"/>
            </w14:solidFill>
          </w14:textFill>
        </w:rPr>
      </w:pPr>
      <w:r>
        <w:rPr>
          <w:rFonts w:eastAsia="Times New Roman"/>
          <w:color w:val="000000" w:themeColor="text1"/>
          <w:sz w:val="24"/>
          <w:szCs w:val="24"/>
          <w:highlight w:val="none"/>
          <w14:textFill>
            <w14:solidFill>
              <w14:schemeClr w14:val="tx1"/>
            </w14:solidFill>
          </w14:textFill>
        </w:rPr>
        <w:t xml:space="preserve">18.1.2  </w:t>
      </w:r>
      <w:r>
        <w:rPr>
          <w:rFonts w:ascii="宋体" w:hAnsi="宋体" w:cs="宋体"/>
          <w:color w:val="000000" w:themeColor="text1"/>
          <w:sz w:val="24"/>
          <w:szCs w:val="24"/>
          <w:highlight w:val="none"/>
          <w14:textFill>
            <w14:solidFill>
              <w14:schemeClr w14:val="tx1"/>
            </w14:solidFill>
          </w14:textFill>
        </w:rPr>
        <w:t>养护工程的验收可采用一阶段或两阶段验收。工程验收方式和组织验收</w:t>
      </w:r>
      <w:r>
        <w:rPr>
          <w:rFonts w:ascii="宋体" w:hAnsi="宋体" w:cs="宋体"/>
          <w:color w:val="000000" w:themeColor="text1"/>
          <w:spacing w:val="-2"/>
          <w:sz w:val="24"/>
          <w:szCs w:val="24"/>
          <w:highlight w:val="none"/>
          <w14:textFill>
            <w14:solidFill>
              <w14:schemeClr w14:val="tx1"/>
            </w14:solidFill>
          </w14:textFill>
        </w:rPr>
        <w:t>时间在专用合同条款中约定。</w:t>
      </w:r>
    </w:p>
    <w:p w14:paraId="718C295D">
      <w:pPr>
        <w:spacing w:before="104" w:line="219" w:lineRule="auto"/>
        <w:ind w:left="486"/>
        <w:outlineLvl w:val="3"/>
        <w:rPr>
          <w:rFonts w:ascii="宋体" w:hAnsi="宋体" w:cs="宋体"/>
          <w:color w:val="000000" w:themeColor="text1"/>
          <w:sz w:val="24"/>
          <w:szCs w:val="24"/>
          <w:highlight w:val="none"/>
          <w14:textFill>
            <w14:solidFill>
              <w14:schemeClr w14:val="tx1"/>
            </w14:solidFill>
          </w14:textFill>
        </w:rPr>
      </w:pPr>
      <w:r>
        <w:rPr>
          <w:rFonts w:eastAsia="Times New Roman"/>
          <w:b/>
          <w:bCs/>
          <w:color w:val="000000" w:themeColor="text1"/>
          <w:spacing w:val="-3"/>
          <w:sz w:val="24"/>
          <w:szCs w:val="24"/>
          <w:highlight w:val="none"/>
          <w14:textFill>
            <w14:solidFill>
              <w14:schemeClr w14:val="tx1"/>
            </w14:solidFill>
          </w14:textFill>
        </w:rPr>
        <w:t xml:space="preserve">18.2  </w:t>
      </w:r>
      <w:r>
        <w:rPr>
          <w:rFonts w:ascii="宋体" w:hAnsi="宋体" w:cs="宋体"/>
          <w:b/>
          <w:bCs/>
          <w:color w:val="000000" w:themeColor="text1"/>
          <w:spacing w:val="-3"/>
          <w:sz w:val="24"/>
          <w:szCs w:val="24"/>
          <w:highlight w:val="none"/>
          <w14:textFill>
            <w14:solidFill>
              <w14:schemeClr w14:val="tx1"/>
            </w14:solidFill>
          </w14:textFill>
        </w:rPr>
        <w:t>验收条件</w:t>
      </w:r>
    </w:p>
    <w:p w14:paraId="1BD50814">
      <w:pPr>
        <w:spacing w:before="126" w:line="219" w:lineRule="auto"/>
        <w:ind w:left="495"/>
        <w:rPr>
          <w:rFonts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pacing w:val="-1"/>
          <w:sz w:val="24"/>
          <w:szCs w:val="24"/>
          <w:highlight w:val="none"/>
          <w14:textFill>
            <w14:solidFill>
              <w14:schemeClr w14:val="tx1"/>
            </w14:solidFill>
          </w14:textFill>
        </w:rPr>
        <w:t>当养护工程具备以下条件时，应当及时组织工程验</w:t>
      </w:r>
      <w:r>
        <w:rPr>
          <w:rFonts w:ascii="宋体" w:hAnsi="宋体" w:cs="宋体"/>
          <w:color w:val="000000" w:themeColor="text1"/>
          <w:spacing w:val="-2"/>
          <w:sz w:val="24"/>
          <w:szCs w:val="24"/>
          <w:highlight w:val="none"/>
          <w14:textFill>
            <w14:solidFill>
              <w14:schemeClr w14:val="tx1"/>
            </w14:solidFill>
          </w14:textFill>
        </w:rPr>
        <w:t>收：</w:t>
      </w:r>
    </w:p>
    <w:p w14:paraId="40E96C24">
      <w:pPr>
        <w:spacing w:before="116" w:line="219" w:lineRule="auto"/>
        <w:ind w:left="491"/>
        <w:rPr>
          <w:rFonts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pacing w:val="-2"/>
          <w:sz w:val="24"/>
          <w:szCs w:val="24"/>
          <w:highlight w:val="none"/>
          <w14:textFill>
            <w14:solidFill>
              <w14:schemeClr w14:val="tx1"/>
            </w14:solidFill>
          </w14:textFill>
        </w:rPr>
        <w:t>（</w:t>
      </w:r>
      <w:r>
        <w:rPr>
          <w:rFonts w:eastAsia="Times New Roman"/>
          <w:color w:val="000000" w:themeColor="text1"/>
          <w:spacing w:val="-2"/>
          <w:sz w:val="24"/>
          <w:szCs w:val="24"/>
          <w:highlight w:val="none"/>
          <w14:textFill>
            <w14:solidFill>
              <w14:schemeClr w14:val="tx1"/>
            </w14:solidFill>
          </w14:textFill>
        </w:rPr>
        <w:t>1</w:t>
      </w:r>
      <w:r>
        <w:rPr>
          <w:rFonts w:ascii="宋体" w:hAnsi="宋体" w:cs="宋体"/>
          <w:color w:val="000000" w:themeColor="text1"/>
          <w:spacing w:val="-2"/>
          <w:sz w:val="24"/>
          <w:szCs w:val="24"/>
          <w:highlight w:val="none"/>
          <w14:textFill>
            <w14:solidFill>
              <w14:schemeClr w14:val="tx1"/>
            </w14:solidFill>
          </w14:textFill>
        </w:rPr>
        <w:t>）完成设计文件和合同约定的各项内容；</w:t>
      </w:r>
    </w:p>
    <w:p w14:paraId="3A1D83F4">
      <w:pPr>
        <w:spacing w:before="114" w:line="219" w:lineRule="auto"/>
        <w:ind w:left="491"/>
        <w:rPr>
          <w:rFonts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pacing w:val="-1"/>
          <w:sz w:val="24"/>
          <w:szCs w:val="24"/>
          <w:highlight w:val="none"/>
          <w14:textFill>
            <w14:solidFill>
              <w14:schemeClr w14:val="tx1"/>
            </w14:solidFill>
          </w14:textFill>
        </w:rPr>
        <w:t>（</w:t>
      </w:r>
      <w:r>
        <w:rPr>
          <w:rFonts w:eastAsia="Times New Roman"/>
          <w:color w:val="000000" w:themeColor="text1"/>
          <w:spacing w:val="-1"/>
          <w:sz w:val="24"/>
          <w:szCs w:val="24"/>
          <w:highlight w:val="none"/>
          <w14:textFill>
            <w14:solidFill>
              <w14:schemeClr w14:val="tx1"/>
            </w14:solidFill>
          </w14:textFill>
        </w:rPr>
        <w:t>2</w:t>
      </w:r>
      <w:r>
        <w:rPr>
          <w:rFonts w:ascii="宋体" w:hAnsi="宋体" w:cs="宋体"/>
          <w:color w:val="000000" w:themeColor="text1"/>
          <w:spacing w:val="-1"/>
          <w:sz w:val="24"/>
          <w:szCs w:val="24"/>
          <w:highlight w:val="none"/>
          <w14:textFill>
            <w14:solidFill>
              <w14:schemeClr w14:val="tx1"/>
            </w14:solidFill>
          </w14:textFill>
        </w:rPr>
        <w:t>）完成全部技术档案和养护管理资料整理归档；</w:t>
      </w:r>
    </w:p>
    <w:p w14:paraId="5DEE5A07">
      <w:pPr>
        <w:spacing w:before="116" w:line="219" w:lineRule="auto"/>
        <w:ind w:left="491"/>
        <w:rPr>
          <w:rFonts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pacing w:val="-1"/>
          <w:sz w:val="24"/>
          <w:szCs w:val="24"/>
          <w:highlight w:val="none"/>
          <w14:textFill>
            <w14:solidFill>
              <w14:schemeClr w14:val="tx1"/>
            </w14:solidFill>
          </w14:textFill>
        </w:rPr>
        <w:t>（</w:t>
      </w:r>
      <w:r>
        <w:rPr>
          <w:rFonts w:eastAsia="Times New Roman"/>
          <w:color w:val="000000" w:themeColor="text1"/>
          <w:spacing w:val="-1"/>
          <w:sz w:val="24"/>
          <w:szCs w:val="24"/>
          <w:highlight w:val="none"/>
          <w14:textFill>
            <w14:solidFill>
              <w14:schemeClr w14:val="tx1"/>
            </w14:solidFill>
          </w14:textFill>
        </w:rPr>
        <w:t>3</w:t>
      </w:r>
      <w:r>
        <w:rPr>
          <w:rFonts w:ascii="宋体" w:hAnsi="宋体" w:cs="宋体"/>
          <w:color w:val="000000" w:themeColor="text1"/>
          <w:spacing w:val="-1"/>
          <w:sz w:val="24"/>
          <w:szCs w:val="24"/>
          <w:highlight w:val="none"/>
          <w14:textFill>
            <w14:solidFill>
              <w14:schemeClr w14:val="tx1"/>
            </w14:solidFill>
          </w14:textFill>
        </w:rPr>
        <w:t>）承包人按相关标准、规范和规定对养护质量自检合格；</w:t>
      </w:r>
    </w:p>
    <w:p w14:paraId="04B8C4EC">
      <w:pPr>
        <w:spacing w:before="116" w:line="219" w:lineRule="auto"/>
        <w:ind w:left="491"/>
        <w:rPr>
          <w:rFonts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pacing w:val="-2"/>
          <w:sz w:val="24"/>
          <w:szCs w:val="24"/>
          <w:highlight w:val="none"/>
          <w14:textFill>
            <w14:solidFill>
              <w14:schemeClr w14:val="tx1"/>
            </w14:solidFill>
          </w14:textFill>
        </w:rPr>
        <w:t>（</w:t>
      </w:r>
      <w:r>
        <w:rPr>
          <w:rFonts w:eastAsia="Times New Roman"/>
          <w:color w:val="000000" w:themeColor="text1"/>
          <w:spacing w:val="-2"/>
          <w:sz w:val="24"/>
          <w:szCs w:val="24"/>
          <w:highlight w:val="none"/>
          <w14:textFill>
            <w14:solidFill>
              <w14:schemeClr w14:val="tx1"/>
            </w14:solidFill>
          </w14:textFill>
        </w:rPr>
        <w:t>4</w:t>
      </w:r>
      <w:r>
        <w:rPr>
          <w:rFonts w:ascii="宋体" w:hAnsi="宋体" w:cs="宋体"/>
          <w:color w:val="000000" w:themeColor="text1"/>
          <w:spacing w:val="-2"/>
          <w:sz w:val="24"/>
          <w:szCs w:val="24"/>
          <w:highlight w:val="none"/>
          <w14:textFill>
            <w14:solidFill>
              <w14:schemeClr w14:val="tx1"/>
            </w14:solidFill>
          </w14:textFill>
        </w:rPr>
        <w:t>）养护质量缺陷问题已整改完毕；</w:t>
      </w:r>
    </w:p>
    <w:p w14:paraId="65F4DF5F">
      <w:pPr>
        <w:spacing w:before="113" w:line="218" w:lineRule="auto"/>
        <w:ind w:left="491"/>
        <w:rPr>
          <w:rFonts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pacing w:val="-1"/>
          <w:sz w:val="24"/>
          <w:szCs w:val="24"/>
          <w:highlight w:val="none"/>
          <w14:textFill>
            <w14:solidFill>
              <w14:schemeClr w14:val="tx1"/>
            </w14:solidFill>
          </w14:textFill>
        </w:rPr>
        <w:t>（</w:t>
      </w:r>
      <w:r>
        <w:rPr>
          <w:rFonts w:eastAsia="Times New Roman"/>
          <w:color w:val="000000" w:themeColor="text1"/>
          <w:spacing w:val="-1"/>
          <w:sz w:val="24"/>
          <w:szCs w:val="24"/>
          <w:highlight w:val="none"/>
          <w14:textFill>
            <w14:solidFill>
              <w14:schemeClr w14:val="tx1"/>
            </w14:solidFill>
          </w14:textFill>
        </w:rPr>
        <w:t>5</w:t>
      </w:r>
      <w:r>
        <w:rPr>
          <w:rFonts w:ascii="宋体" w:hAnsi="宋体" w:cs="宋体"/>
          <w:color w:val="000000" w:themeColor="text1"/>
          <w:spacing w:val="-1"/>
          <w:sz w:val="24"/>
          <w:szCs w:val="24"/>
          <w:highlight w:val="none"/>
          <w14:textFill>
            <w14:solidFill>
              <w14:schemeClr w14:val="tx1"/>
            </w14:solidFill>
          </w14:textFill>
        </w:rPr>
        <w:t>）参与养护工程的相关单位完成工作总结报告；</w:t>
      </w:r>
    </w:p>
    <w:p w14:paraId="0DA2D0FF">
      <w:pPr>
        <w:spacing w:before="118" w:line="219" w:lineRule="auto"/>
        <w:ind w:left="491"/>
        <w:rPr>
          <w:rFonts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pacing w:val="-1"/>
          <w:sz w:val="24"/>
          <w:szCs w:val="24"/>
          <w:highlight w:val="none"/>
          <w14:textFill>
            <w14:solidFill>
              <w14:schemeClr w14:val="tx1"/>
            </w14:solidFill>
          </w14:textFill>
        </w:rPr>
        <w:t>（</w:t>
      </w:r>
      <w:r>
        <w:rPr>
          <w:rFonts w:eastAsia="Times New Roman"/>
          <w:color w:val="000000" w:themeColor="text1"/>
          <w:spacing w:val="-1"/>
          <w:sz w:val="24"/>
          <w:szCs w:val="24"/>
          <w:highlight w:val="none"/>
          <w14:textFill>
            <w14:solidFill>
              <w14:schemeClr w14:val="tx1"/>
            </w14:solidFill>
          </w14:textFill>
        </w:rPr>
        <w:t>6</w:t>
      </w:r>
      <w:r>
        <w:rPr>
          <w:rFonts w:ascii="宋体" w:hAnsi="宋体" w:cs="宋体"/>
          <w:color w:val="000000" w:themeColor="text1"/>
          <w:spacing w:val="-1"/>
          <w:sz w:val="24"/>
          <w:szCs w:val="24"/>
          <w:highlight w:val="none"/>
          <w14:textFill>
            <w14:solidFill>
              <w14:schemeClr w14:val="tx1"/>
            </w14:solidFill>
          </w14:textFill>
        </w:rPr>
        <w:t>）开展了监理咨询的，咨询人对工程质量评定为合格；</w:t>
      </w:r>
    </w:p>
    <w:p w14:paraId="298E5BFE">
      <w:pPr>
        <w:spacing w:before="116" w:line="262" w:lineRule="auto"/>
        <w:ind w:left="5" w:firstLine="485"/>
        <w:rPr>
          <w:rFonts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pacing w:val="4"/>
          <w:sz w:val="24"/>
          <w:szCs w:val="24"/>
          <w:highlight w:val="none"/>
          <w14:textFill>
            <w14:solidFill>
              <w14:schemeClr w14:val="tx1"/>
            </w14:solidFill>
          </w14:textFill>
        </w:rPr>
        <w:t>（</w:t>
      </w:r>
      <w:r>
        <w:rPr>
          <w:rFonts w:eastAsia="Times New Roman"/>
          <w:color w:val="000000" w:themeColor="text1"/>
          <w:spacing w:val="4"/>
          <w:sz w:val="24"/>
          <w:szCs w:val="24"/>
          <w:highlight w:val="none"/>
          <w14:textFill>
            <w14:solidFill>
              <w14:schemeClr w14:val="tx1"/>
            </w14:solidFill>
          </w14:textFill>
        </w:rPr>
        <w:t>7</w:t>
      </w:r>
      <w:r>
        <w:rPr>
          <w:rFonts w:ascii="宋体" w:hAnsi="宋体" w:cs="宋体"/>
          <w:color w:val="000000" w:themeColor="text1"/>
          <w:spacing w:val="4"/>
          <w:sz w:val="24"/>
          <w:szCs w:val="24"/>
          <w:highlight w:val="none"/>
          <w14:textFill>
            <w14:solidFill>
              <w14:schemeClr w14:val="tx1"/>
            </w14:solidFill>
          </w14:textFill>
        </w:rPr>
        <w:t>）按规定需进行专业检测的，检测机构对工程质量鉴定完毕并出具检</w:t>
      </w:r>
      <w:r>
        <w:rPr>
          <w:rFonts w:ascii="宋体" w:hAnsi="宋体" w:cs="宋体"/>
          <w:color w:val="000000" w:themeColor="text1"/>
          <w:spacing w:val="3"/>
          <w:sz w:val="24"/>
          <w:szCs w:val="24"/>
          <w:highlight w:val="none"/>
          <w14:textFill>
            <w14:solidFill>
              <w14:schemeClr w14:val="tx1"/>
            </w14:solidFill>
          </w14:textFill>
        </w:rPr>
        <w:t>测报</w:t>
      </w:r>
      <w:r>
        <w:rPr>
          <w:rFonts w:ascii="宋体" w:hAnsi="宋体" w:cs="宋体"/>
          <w:color w:val="000000" w:themeColor="text1"/>
          <w:spacing w:val="-8"/>
          <w:sz w:val="24"/>
          <w:szCs w:val="24"/>
          <w:highlight w:val="none"/>
          <w14:textFill>
            <w14:solidFill>
              <w14:schemeClr w14:val="tx1"/>
            </w14:solidFill>
          </w14:textFill>
        </w:rPr>
        <w:t>告；</w:t>
      </w:r>
    </w:p>
    <w:p w14:paraId="44922008">
      <w:pPr>
        <w:spacing w:before="118" w:line="219" w:lineRule="auto"/>
        <w:ind w:left="491"/>
        <w:rPr>
          <w:rFonts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pacing w:val="-3"/>
          <w:sz w:val="24"/>
          <w:szCs w:val="24"/>
          <w:highlight w:val="none"/>
          <w14:textFill>
            <w14:solidFill>
              <w14:schemeClr w14:val="tx1"/>
            </w14:solidFill>
          </w14:textFill>
        </w:rPr>
        <w:t>（</w:t>
      </w:r>
      <w:r>
        <w:rPr>
          <w:rFonts w:eastAsia="Times New Roman"/>
          <w:color w:val="000000" w:themeColor="text1"/>
          <w:spacing w:val="-3"/>
          <w:sz w:val="24"/>
          <w:szCs w:val="24"/>
          <w:highlight w:val="none"/>
          <w14:textFill>
            <w14:solidFill>
              <w14:schemeClr w14:val="tx1"/>
            </w14:solidFill>
          </w14:textFill>
        </w:rPr>
        <w:t>8</w:t>
      </w:r>
      <w:r>
        <w:rPr>
          <w:rFonts w:ascii="宋体" w:hAnsi="宋体" w:cs="宋体"/>
          <w:color w:val="000000" w:themeColor="text1"/>
          <w:spacing w:val="-3"/>
          <w:sz w:val="24"/>
          <w:szCs w:val="24"/>
          <w:highlight w:val="none"/>
          <w14:textFill>
            <w14:solidFill>
              <w14:schemeClr w14:val="tx1"/>
            </w14:solidFill>
          </w14:textFill>
        </w:rPr>
        <w:t>）完成财务决算；</w:t>
      </w:r>
    </w:p>
    <w:p w14:paraId="6D41CE44">
      <w:pPr>
        <w:spacing w:before="115" w:line="219" w:lineRule="auto"/>
        <w:ind w:left="491"/>
        <w:rPr>
          <w:rFonts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pacing w:val="-2"/>
          <w:sz w:val="24"/>
          <w:szCs w:val="24"/>
          <w:highlight w:val="none"/>
          <w14:textFill>
            <w14:solidFill>
              <w14:schemeClr w14:val="tx1"/>
            </w14:solidFill>
          </w14:textFill>
        </w:rPr>
        <w:t>（</w:t>
      </w:r>
      <w:r>
        <w:rPr>
          <w:rFonts w:eastAsia="Times New Roman"/>
          <w:color w:val="000000" w:themeColor="text1"/>
          <w:spacing w:val="-2"/>
          <w:sz w:val="24"/>
          <w:szCs w:val="24"/>
          <w:highlight w:val="none"/>
          <w14:textFill>
            <w14:solidFill>
              <w14:schemeClr w14:val="tx1"/>
            </w14:solidFill>
          </w14:textFill>
        </w:rPr>
        <w:t>9</w:t>
      </w:r>
      <w:r>
        <w:rPr>
          <w:rFonts w:ascii="宋体" w:hAnsi="宋体" w:cs="宋体"/>
          <w:color w:val="000000" w:themeColor="text1"/>
          <w:spacing w:val="-2"/>
          <w:sz w:val="24"/>
          <w:szCs w:val="24"/>
          <w:highlight w:val="none"/>
          <w14:textFill>
            <w14:solidFill>
              <w14:schemeClr w14:val="tx1"/>
            </w14:solidFill>
          </w14:textFill>
        </w:rPr>
        <w:t>）法律、法规、规章规定的其他条件。</w:t>
      </w:r>
    </w:p>
    <w:p w14:paraId="756799FA">
      <w:pPr>
        <w:spacing w:before="78" w:line="219" w:lineRule="auto"/>
        <w:ind w:left="488"/>
        <w:outlineLvl w:val="3"/>
        <w:rPr>
          <w:rFonts w:ascii="宋体" w:hAnsi="宋体" w:cs="宋体"/>
          <w:color w:val="000000" w:themeColor="text1"/>
          <w:sz w:val="24"/>
          <w:szCs w:val="24"/>
          <w:highlight w:val="none"/>
          <w14:textFill>
            <w14:solidFill>
              <w14:schemeClr w14:val="tx1"/>
            </w14:solidFill>
          </w14:textFill>
        </w:rPr>
      </w:pPr>
      <w:r>
        <w:rPr>
          <w:rFonts w:eastAsia="Times New Roman"/>
          <w:b/>
          <w:bCs/>
          <w:color w:val="000000" w:themeColor="text1"/>
          <w:spacing w:val="-3"/>
          <w:sz w:val="24"/>
          <w:szCs w:val="24"/>
          <w:highlight w:val="none"/>
          <w14:textFill>
            <w14:solidFill>
              <w14:schemeClr w14:val="tx1"/>
            </w14:solidFill>
          </w14:textFill>
        </w:rPr>
        <w:t xml:space="preserve">18.3  </w:t>
      </w:r>
      <w:r>
        <w:rPr>
          <w:rFonts w:ascii="宋体" w:hAnsi="宋体" w:cs="宋体"/>
          <w:b/>
          <w:bCs/>
          <w:color w:val="000000" w:themeColor="text1"/>
          <w:spacing w:val="-3"/>
          <w:sz w:val="24"/>
          <w:szCs w:val="24"/>
          <w:highlight w:val="none"/>
          <w14:textFill>
            <w14:solidFill>
              <w14:schemeClr w14:val="tx1"/>
            </w14:solidFill>
          </w14:textFill>
        </w:rPr>
        <w:t>验收程序</w:t>
      </w:r>
    </w:p>
    <w:p w14:paraId="3DC12D1B">
      <w:pPr>
        <w:spacing w:before="125" w:line="262" w:lineRule="auto"/>
        <w:ind w:left="7" w:right="166" w:firstLine="492"/>
        <w:rPr>
          <w:rFonts w:ascii="宋体" w:hAnsi="宋体" w:cs="宋体"/>
          <w:color w:val="000000" w:themeColor="text1"/>
          <w:sz w:val="24"/>
          <w:szCs w:val="24"/>
          <w:highlight w:val="none"/>
          <w14:textFill>
            <w14:solidFill>
              <w14:schemeClr w14:val="tx1"/>
            </w14:solidFill>
          </w14:textFill>
        </w:rPr>
      </w:pPr>
      <w:r>
        <w:rPr>
          <w:rFonts w:eastAsia="Times New Roman"/>
          <w:color w:val="000000" w:themeColor="text1"/>
          <w:spacing w:val="4"/>
          <w:sz w:val="24"/>
          <w:szCs w:val="24"/>
          <w:highlight w:val="none"/>
          <w14:textFill>
            <w14:solidFill>
              <w14:schemeClr w14:val="tx1"/>
            </w14:solidFill>
          </w14:textFill>
        </w:rPr>
        <w:t xml:space="preserve">18.3.1  </w:t>
      </w:r>
      <w:r>
        <w:rPr>
          <w:rFonts w:ascii="宋体" w:hAnsi="宋体" w:cs="宋体"/>
          <w:color w:val="000000" w:themeColor="text1"/>
          <w:spacing w:val="4"/>
          <w:sz w:val="24"/>
          <w:szCs w:val="24"/>
          <w:highlight w:val="none"/>
          <w14:textFill>
            <w14:solidFill>
              <w14:schemeClr w14:val="tx1"/>
            </w14:solidFill>
          </w14:textFill>
        </w:rPr>
        <w:t>养护工程具备第</w:t>
      </w:r>
      <w:r>
        <w:rPr>
          <w:rFonts w:ascii="宋体" w:hAnsi="宋体" w:cs="宋体"/>
          <w:color w:val="000000" w:themeColor="text1"/>
          <w:spacing w:val="-24"/>
          <w:sz w:val="24"/>
          <w:szCs w:val="24"/>
          <w:highlight w:val="none"/>
          <w14:textFill>
            <w14:solidFill>
              <w14:schemeClr w14:val="tx1"/>
            </w14:solidFill>
          </w14:textFill>
        </w:rPr>
        <w:t xml:space="preserve"> </w:t>
      </w:r>
      <w:r>
        <w:rPr>
          <w:rFonts w:eastAsia="Times New Roman"/>
          <w:color w:val="000000" w:themeColor="text1"/>
          <w:spacing w:val="4"/>
          <w:sz w:val="24"/>
          <w:szCs w:val="24"/>
          <w:highlight w:val="none"/>
          <w14:textFill>
            <w14:solidFill>
              <w14:schemeClr w14:val="tx1"/>
            </w14:solidFill>
          </w14:textFill>
        </w:rPr>
        <w:t>18.2</w:t>
      </w:r>
      <w:r>
        <w:rPr>
          <w:rFonts w:ascii="宋体" w:hAnsi="宋体" w:cs="宋体"/>
          <w:color w:val="000000" w:themeColor="text1"/>
          <w:spacing w:val="4"/>
          <w:sz w:val="24"/>
          <w:szCs w:val="24"/>
          <w:highlight w:val="none"/>
          <w14:textFill>
            <w14:solidFill>
              <w14:schemeClr w14:val="tx1"/>
            </w14:solidFill>
          </w14:textFill>
        </w:rPr>
        <w:t>款所述验收</w:t>
      </w:r>
      <w:r>
        <w:rPr>
          <w:rFonts w:ascii="宋体" w:hAnsi="宋体" w:cs="宋体"/>
          <w:color w:val="000000" w:themeColor="text1"/>
          <w:spacing w:val="3"/>
          <w:sz w:val="24"/>
          <w:szCs w:val="24"/>
          <w:highlight w:val="none"/>
          <w14:textFill>
            <w14:solidFill>
              <w14:schemeClr w14:val="tx1"/>
            </w14:solidFill>
          </w14:textFill>
        </w:rPr>
        <w:t>条件后，承包人应按照专用合同条款</w:t>
      </w:r>
      <w:r>
        <w:rPr>
          <w:rFonts w:ascii="宋体" w:hAnsi="宋体" w:cs="宋体"/>
          <w:color w:val="000000" w:themeColor="text1"/>
          <w:spacing w:val="-1"/>
          <w:sz w:val="24"/>
          <w:szCs w:val="24"/>
          <w:highlight w:val="none"/>
          <w14:textFill>
            <w14:solidFill>
              <w14:schemeClr w14:val="tx1"/>
            </w14:solidFill>
          </w14:textFill>
        </w:rPr>
        <w:t>约定的期限和份数提供完整的工程验收资料及验收申请报告。</w:t>
      </w:r>
    </w:p>
    <w:p w14:paraId="1A603B7E">
      <w:pPr>
        <w:spacing w:before="116" w:line="293" w:lineRule="auto"/>
        <w:ind w:right="164" w:firstLine="500"/>
        <w:rPr>
          <w:rFonts w:ascii="宋体" w:hAnsi="宋体" w:cs="宋体"/>
          <w:color w:val="000000" w:themeColor="text1"/>
          <w:sz w:val="24"/>
          <w:szCs w:val="24"/>
          <w:highlight w:val="none"/>
          <w14:textFill>
            <w14:solidFill>
              <w14:schemeClr w14:val="tx1"/>
            </w14:solidFill>
          </w14:textFill>
        </w:rPr>
      </w:pPr>
      <w:r>
        <w:rPr>
          <w:rFonts w:eastAsia="Times New Roman"/>
          <w:color w:val="000000" w:themeColor="text1"/>
          <w:sz w:val="24"/>
          <w:szCs w:val="24"/>
          <w:highlight w:val="none"/>
          <w14:textFill>
            <w14:solidFill>
              <w14:schemeClr w14:val="tx1"/>
            </w14:solidFill>
          </w14:textFill>
        </w:rPr>
        <w:t xml:space="preserve">18.3.2  </w:t>
      </w:r>
      <w:r>
        <w:rPr>
          <w:rFonts w:ascii="宋体" w:hAnsi="宋体" w:cs="宋体"/>
          <w:color w:val="000000" w:themeColor="text1"/>
          <w:sz w:val="24"/>
          <w:szCs w:val="24"/>
          <w:highlight w:val="none"/>
          <w14:textFill>
            <w14:solidFill>
              <w14:schemeClr w14:val="tx1"/>
            </w14:solidFill>
          </w14:textFill>
        </w:rPr>
        <w:t>咨询人审查后认为尚不具备工程验收条件的，应在收到工程验收申请报</w:t>
      </w:r>
      <w:r>
        <w:rPr>
          <w:rFonts w:ascii="宋体" w:hAnsi="宋体" w:cs="宋体"/>
          <w:color w:val="000000" w:themeColor="text1"/>
          <w:spacing w:val="3"/>
          <w:sz w:val="24"/>
          <w:szCs w:val="24"/>
          <w:highlight w:val="none"/>
          <w14:textFill>
            <w14:solidFill>
              <w14:schemeClr w14:val="tx1"/>
            </w14:solidFill>
          </w14:textFill>
        </w:rPr>
        <w:t>告后的</w:t>
      </w:r>
      <w:r>
        <w:rPr>
          <w:rFonts w:ascii="宋体" w:hAnsi="宋体" w:cs="宋体"/>
          <w:color w:val="000000" w:themeColor="text1"/>
          <w:spacing w:val="-29"/>
          <w:sz w:val="24"/>
          <w:szCs w:val="24"/>
          <w:highlight w:val="none"/>
          <w14:textFill>
            <w14:solidFill>
              <w14:schemeClr w14:val="tx1"/>
            </w14:solidFill>
          </w14:textFill>
        </w:rPr>
        <w:t xml:space="preserve"> </w:t>
      </w:r>
      <w:r>
        <w:rPr>
          <w:rFonts w:eastAsia="Times New Roman"/>
          <w:color w:val="000000" w:themeColor="text1"/>
          <w:spacing w:val="3"/>
          <w:sz w:val="24"/>
          <w:szCs w:val="24"/>
          <w:highlight w:val="none"/>
          <w14:textFill>
            <w14:solidFill>
              <w14:schemeClr w14:val="tx1"/>
            </w14:solidFill>
          </w14:textFill>
        </w:rPr>
        <w:t>14</w:t>
      </w:r>
      <w:r>
        <w:rPr>
          <w:rFonts w:eastAsia="Times New Roman"/>
          <w:color w:val="000000" w:themeColor="text1"/>
          <w:spacing w:val="19"/>
          <w:sz w:val="24"/>
          <w:szCs w:val="24"/>
          <w:highlight w:val="none"/>
          <w14:textFill>
            <w14:solidFill>
              <w14:schemeClr w14:val="tx1"/>
            </w14:solidFill>
          </w14:textFill>
        </w:rPr>
        <w:t xml:space="preserve"> </w:t>
      </w:r>
      <w:r>
        <w:rPr>
          <w:rFonts w:ascii="宋体" w:hAnsi="宋体" w:cs="宋体"/>
          <w:color w:val="000000" w:themeColor="text1"/>
          <w:spacing w:val="3"/>
          <w:sz w:val="24"/>
          <w:szCs w:val="24"/>
          <w:highlight w:val="none"/>
          <w14:textFill>
            <w14:solidFill>
              <w14:schemeClr w14:val="tx1"/>
            </w14:solidFill>
          </w14:textFill>
        </w:rPr>
        <w:t>天内通知承包人，指出在颁发交工验收证</w:t>
      </w:r>
      <w:r>
        <w:rPr>
          <w:rFonts w:ascii="宋体" w:hAnsi="宋体" w:cs="宋体"/>
          <w:color w:val="000000" w:themeColor="text1"/>
          <w:spacing w:val="2"/>
          <w:sz w:val="24"/>
          <w:szCs w:val="24"/>
          <w:highlight w:val="none"/>
          <w14:textFill>
            <w14:solidFill>
              <w14:schemeClr w14:val="tx1"/>
            </w14:solidFill>
          </w14:textFill>
        </w:rPr>
        <w:t>书前承包人还需进行的工作内</w:t>
      </w:r>
      <w:r>
        <w:rPr>
          <w:rFonts w:ascii="宋体" w:hAnsi="宋体" w:cs="宋体"/>
          <w:color w:val="000000" w:themeColor="text1"/>
          <w:spacing w:val="1"/>
          <w:sz w:val="24"/>
          <w:szCs w:val="24"/>
          <w:highlight w:val="none"/>
          <w14:textFill>
            <w14:solidFill>
              <w14:schemeClr w14:val="tx1"/>
            </w14:solidFill>
          </w14:textFill>
        </w:rPr>
        <w:t>容。承包人完成咨询人通知的全部工作内容后，应再次提交工</w:t>
      </w:r>
      <w:r>
        <w:rPr>
          <w:rFonts w:ascii="宋体" w:hAnsi="宋体" w:cs="宋体"/>
          <w:color w:val="000000" w:themeColor="text1"/>
          <w:sz w:val="24"/>
          <w:szCs w:val="24"/>
          <w:highlight w:val="none"/>
          <w14:textFill>
            <w14:solidFill>
              <w14:schemeClr w14:val="tx1"/>
            </w14:solidFill>
          </w14:textFill>
        </w:rPr>
        <w:t>程验收申请报告，直</w:t>
      </w:r>
      <w:r>
        <w:rPr>
          <w:rFonts w:ascii="宋体" w:hAnsi="宋体" w:cs="宋体"/>
          <w:color w:val="000000" w:themeColor="text1"/>
          <w:spacing w:val="3"/>
          <w:sz w:val="24"/>
          <w:szCs w:val="24"/>
          <w:highlight w:val="none"/>
          <w14:textFill>
            <w14:solidFill>
              <w14:schemeClr w14:val="tx1"/>
            </w14:solidFill>
          </w14:textFill>
        </w:rPr>
        <w:t>至咨询人同意为止。咨询人收到工程验收申请报告后</w:t>
      </w:r>
      <w:r>
        <w:rPr>
          <w:rFonts w:ascii="宋体" w:hAnsi="宋体" w:cs="宋体"/>
          <w:color w:val="000000" w:themeColor="text1"/>
          <w:spacing w:val="-29"/>
          <w:sz w:val="24"/>
          <w:szCs w:val="24"/>
          <w:highlight w:val="none"/>
          <w14:textFill>
            <w14:solidFill>
              <w14:schemeClr w14:val="tx1"/>
            </w14:solidFill>
          </w14:textFill>
        </w:rPr>
        <w:t xml:space="preserve"> </w:t>
      </w:r>
      <w:r>
        <w:rPr>
          <w:rFonts w:eastAsia="Times New Roman"/>
          <w:color w:val="000000" w:themeColor="text1"/>
          <w:spacing w:val="2"/>
          <w:sz w:val="24"/>
          <w:szCs w:val="24"/>
          <w:highlight w:val="none"/>
          <w14:textFill>
            <w14:solidFill>
              <w14:schemeClr w14:val="tx1"/>
            </w14:solidFill>
          </w14:textFill>
        </w:rPr>
        <w:t>14</w:t>
      </w:r>
      <w:r>
        <w:rPr>
          <w:rFonts w:eastAsia="Times New Roman"/>
          <w:color w:val="000000" w:themeColor="text1"/>
          <w:spacing w:val="19"/>
          <w:sz w:val="24"/>
          <w:szCs w:val="24"/>
          <w:highlight w:val="none"/>
          <w14:textFill>
            <w14:solidFill>
              <w14:schemeClr w14:val="tx1"/>
            </w14:solidFill>
          </w14:textFill>
        </w:rPr>
        <w:t xml:space="preserve"> </w:t>
      </w:r>
      <w:r>
        <w:rPr>
          <w:rFonts w:ascii="宋体" w:hAnsi="宋体" w:cs="宋体"/>
          <w:color w:val="000000" w:themeColor="text1"/>
          <w:spacing w:val="2"/>
          <w:sz w:val="24"/>
          <w:szCs w:val="24"/>
          <w:highlight w:val="none"/>
          <w14:textFill>
            <w14:solidFill>
              <w14:schemeClr w14:val="tx1"/>
            </w14:solidFill>
          </w14:textFill>
        </w:rPr>
        <w:t>天内不予答复的，视为同</w:t>
      </w:r>
      <w:r>
        <w:rPr>
          <w:rFonts w:ascii="宋体" w:hAnsi="宋体" w:cs="宋体"/>
          <w:color w:val="000000" w:themeColor="text1"/>
          <w:spacing w:val="3"/>
          <w:sz w:val="24"/>
          <w:szCs w:val="24"/>
          <w:highlight w:val="none"/>
          <w14:textFill>
            <w14:solidFill>
              <w14:schemeClr w14:val="tx1"/>
            </w14:solidFill>
          </w14:textFill>
        </w:rPr>
        <w:t>意承包人的工程验收申请，并应在收到工程验收</w:t>
      </w:r>
      <w:r>
        <w:rPr>
          <w:rFonts w:ascii="宋体" w:hAnsi="宋体" w:cs="宋体"/>
          <w:color w:val="000000" w:themeColor="text1"/>
          <w:spacing w:val="2"/>
          <w:sz w:val="24"/>
          <w:szCs w:val="24"/>
          <w:highlight w:val="none"/>
          <w14:textFill>
            <w14:solidFill>
              <w14:schemeClr w14:val="tx1"/>
            </w14:solidFill>
          </w14:textFill>
        </w:rPr>
        <w:t>申请报告后</w:t>
      </w:r>
      <w:r>
        <w:rPr>
          <w:rFonts w:ascii="宋体" w:hAnsi="宋体" w:cs="宋体"/>
          <w:color w:val="000000" w:themeColor="text1"/>
          <w:spacing w:val="-27"/>
          <w:sz w:val="24"/>
          <w:szCs w:val="24"/>
          <w:highlight w:val="none"/>
          <w14:textFill>
            <w14:solidFill>
              <w14:schemeClr w14:val="tx1"/>
            </w14:solidFill>
          </w14:textFill>
        </w:rPr>
        <w:t xml:space="preserve"> </w:t>
      </w:r>
      <w:r>
        <w:rPr>
          <w:rFonts w:eastAsia="Times New Roman"/>
          <w:color w:val="000000" w:themeColor="text1"/>
          <w:spacing w:val="2"/>
          <w:sz w:val="24"/>
          <w:szCs w:val="24"/>
          <w:highlight w:val="none"/>
          <w14:textFill>
            <w14:solidFill>
              <w14:schemeClr w14:val="tx1"/>
            </w14:solidFill>
          </w14:textFill>
        </w:rPr>
        <w:t>14</w:t>
      </w:r>
      <w:r>
        <w:rPr>
          <w:rFonts w:eastAsia="Times New Roman"/>
          <w:color w:val="000000" w:themeColor="text1"/>
          <w:spacing w:val="19"/>
          <w:sz w:val="24"/>
          <w:szCs w:val="24"/>
          <w:highlight w:val="none"/>
          <w14:textFill>
            <w14:solidFill>
              <w14:schemeClr w14:val="tx1"/>
            </w14:solidFill>
          </w14:textFill>
        </w:rPr>
        <w:t xml:space="preserve"> </w:t>
      </w:r>
      <w:r>
        <w:rPr>
          <w:rFonts w:ascii="宋体" w:hAnsi="宋体" w:cs="宋体"/>
          <w:color w:val="000000" w:themeColor="text1"/>
          <w:spacing w:val="2"/>
          <w:sz w:val="24"/>
          <w:szCs w:val="24"/>
          <w:highlight w:val="none"/>
          <w14:textFill>
            <w14:solidFill>
              <w14:schemeClr w14:val="tx1"/>
            </w14:solidFill>
          </w14:textFill>
        </w:rPr>
        <w:t>天内提请验收单位</w:t>
      </w:r>
      <w:r>
        <w:rPr>
          <w:rFonts w:ascii="宋体" w:hAnsi="宋体" w:cs="宋体"/>
          <w:color w:val="000000" w:themeColor="text1"/>
          <w:spacing w:val="-2"/>
          <w:sz w:val="24"/>
          <w:szCs w:val="24"/>
          <w:highlight w:val="none"/>
          <w14:textFill>
            <w14:solidFill>
              <w14:schemeClr w14:val="tx1"/>
            </w14:solidFill>
          </w14:textFill>
        </w:rPr>
        <w:t>进行工程验收。</w:t>
      </w:r>
    </w:p>
    <w:p w14:paraId="50CF9626">
      <w:pPr>
        <w:spacing w:before="115" w:line="264" w:lineRule="auto"/>
        <w:ind w:left="3" w:right="166" w:firstLine="496"/>
        <w:rPr>
          <w:rFonts w:ascii="宋体" w:hAnsi="宋体" w:cs="宋体"/>
          <w:color w:val="000000" w:themeColor="text1"/>
          <w:sz w:val="24"/>
          <w:szCs w:val="24"/>
          <w:highlight w:val="none"/>
          <w14:textFill>
            <w14:solidFill>
              <w14:schemeClr w14:val="tx1"/>
            </w14:solidFill>
          </w14:textFill>
        </w:rPr>
      </w:pPr>
      <w:r>
        <w:rPr>
          <w:rFonts w:eastAsia="Times New Roman"/>
          <w:color w:val="000000" w:themeColor="text1"/>
          <w:sz w:val="24"/>
          <w:szCs w:val="24"/>
          <w:highlight w:val="none"/>
          <w14:textFill>
            <w14:solidFill>
              <w14:schemeClr w14:val="tx1"/>
            </w14:solidFill>
          </w14:textFill>
        </w:rPr>
        <w:t xml:space="preserve">18.3.3  </w:t>
      </w:r>
      <w:r>
        <w:rPr>
          <w:rFonts w:ascii="宋体" w:hAnsi="宋体" w:cs="宋体"/>
          <w:color w:val="000000" w:themeColor="text1"/>
          <w:sz w:val="24"/>
          <w:szCs w:val="24"/>
          <w:highlight w:val="none"/>
          <w14:textFill>
            <w14:solidFill>
              <w14:schemeClr w14:val="tx1"/>
            </w14:solidFill>
          </w14:textFill>
        </w:rPr>
        <w:t>咨询人审查后认为已具备工程验收条件的，应在收到工程验收申请报告</w:t>
      </w:r>
      <w:r>
        <w:rPr>
          <w:rFonts w:ascii="宋体" w:hAnsi="宋体" w:cs="宋体"/>
          <w:color w:val="000000" w:themeColor="text1"/>
          <w:spacing w:val="-3"/>
          <w:sz w:val="24"/>
          <w:szCs w:val="24"/>
          <w:highlight w:val="none"/>
          <w14:textFill>
            <w14:solidFill>
              <w14:schemeClr w14:val="tx1"/>
            </w14:solidFill>
          </w14:textFill>
        </w:rPr>
        <w:t>后的</w:t>
      </w:r>
      <w:r>
        <w:rPr>
          <w:rFonts w:ascii="宋体" w:hAnsi="宋体" w:cs="宋体"/>
          <w:color w:val="000000" w:themeColor="text1"/>
          <w:spacing w:val="-19"/>
          <w:sz w:val="24"/>
          <w:szCs w:val="24"/>
          <w:highlight w:val="none"/>
          <w14:textFill>
            <w14:solidFill>
              <w14:schemeClr w14:val="tx1"/>
            </w14:solidFill>
          </w14:textFill>
        </w:rPr>
        <w:t xml:space="preserve"> </w:t>
      </w:r>
      <w:r>
        <w:rPr>
          <w:rFonts w:eastAsia="Times New Roman"/>
          <w:color w:val="000000" w:themeColor="text1"/>
          <w:spacing w:val="-3"/>
          <w:sz w:val="24"/>
          <w:szCs w:val="24"/>
          <w:highlight w:val="none"/>
          <w14:textFill>
            <w14:solidFill>
              <w14:schemeClr w14:val="tx1"/>
            </w14:solidFill>
          </w14:textFill>
        </w:rPr>
        <w:t xml:space="preserve">14 </w:t>
      </w:r>
      <w:r>
        <w:rPr>
          <w:rFonts w:ascii="宋体" w:hAnsi="宋体" w:cs="宋体"/>
          <w:color w:val="000000" w:themeColor="text1"/>
          <w:spacing w:val="-3"/>
          <w:sz w:val="24"/>
          <w:szCs w:val="24"/>
          <w:highlight w:val="none"/>
          <w14:textFill>
            <w14:solidFill>
              <w14:schemeClr w14:val="tx1"/>
            </w14:solidFill>
          </w14:textFill>
        </w:rPr>
        <w:t>天内提请验收单位组织验收。</w:t>
      </w:r>
    </w:p>
    <w:p w14:paraId="139A56AD">
      <w:pPr>
        <w:spacing w:before="115" w:line="285" w:lineRule="auto"/>
        <w:ind w:left="3" w:right="18" w:firstLine="496"/>
        <w:rPr>
          <w:rFonts w:ascii="宋体" w:hAnsi="宋体" w:cs="宋体"/>
          <w:color w:val="000000" w:themeColor="text1"/>
          <w:sz w:val="24"/>
          <w:szCs w:val="24"/>
          <w:highlight w:val="none"/>
          <w14:textFill>
            <w14:solidFill>
              <w14:schemeClr w14:val="tx1"/>
            </w14:solidFill>
          </w14:textFill>
        </w:rPr>
      </w:pPr>
      <w:r>
        <w:rPr>
          <w:rFonts w:eastAsia="Times New Roman"/>
          <w:color w:val="000000" w:themeColor="text1"/>
          <w:sz w:val="24"/>
          <w:szCs w:val="24"/>
          <w:highlight w:val="none"/>
          <w14:textFill>
            <w14:solidFill>
              <w14:schemeClr w14:val="tx1"/>
            </w14:solidFill>
          </w14:textFill>
        </w:rPr>
        <w:t xml:space="preserve">18.3.4  </w:t>
      </w:r>
      <w:r>
        <w:rPr>
          <w:rFonts w:ascii="宋体" w:hAnsi="宋体" w:cs="宋体"/>
          <w:color w:val="000000" w:themeColor="text1"/>
          <w:sz w:val="24"/>
          <w:szCs w:val="24"/>
          <w:highlight w:val="none"/>
          <w14:textFill>
            <w14:solidFill>
              <w14:schemeClr w14:val="tx1"/>
            </w14:solidFill>
          </w14:textFill>
        </w:rPr>
        <w:t>养护工程通过验收的，由咨询人向承包人出具经验收单位签认的交工验</w:t>
      </w:r>
      <w:r>
        <w:rPr>
          <w:rFonts w:ascii="宋体" w:hAnsi="宋体" w:cs="宋体"/>
          <w:color w:val="000000" w:themeColor="text1"/>
          <w:spacing w:val="1"/>
          <w:sz w:val="24"/>
          <w:szCs w:val="24"/>
          <w:highlight w:val="none"/>
          <w14:textFill>
            <w14:solidFill>
              <w14:schemeClr w14:val="tx1"/>
            </w14:solidFill>
          </w14:textFill>
        </w:rPr>
        <w:t>收证书。未通过验收的，由承包人承担养护责任，验</w:t>
      </w:r>
      <w:r>
        <w:rPr>
          <w:rFonts w:ascii="宋体" w:hAnsi="宋体" w:cs="宋体"/>
          <w:color w:val="000000" w:themeColor="text1"/>
          <w:sz w:val="24"/>
          <w:szCs w:val="24"/>
          <w:highlight w:val="none"/>
          <w14:textFill>
            <w14:solidFill>
              <w14:schemeClr w14:val="tx1"/>
            </w14:solidFill>
          </w14:textFill>
        </w:rPr>
        <w:t>收不合格的，由承包人在限期</w:t>
      </w:r>
      <w:r>
        <w:rPr>
          <w:rFonts w:ascii="宋体" w:hAnsi="宋体" w:cs="宋体"/>
          <w:color w:val="000000" w:themeColor="text1"/>
          <w:spacing w:val="-2"/>
          <w:sz w:val="24"/>
          <w:szCs w:val="24"/>
          <w:highlight w:val="none"/>
          <w14:textFill>
            <w14:solidFill>
              <w14:schemeClr w14:val="tx1"/>
            </w14:solidFill>
          </w14:textFill>
        </w:rPr>
        <w:t>内返修，产生的返修费用由承包人承担。返修工作完成后，咨询人复查达到要求的，</w:t>
      </w:r>
      <w:r>
        <w:rPr>
          <w:rFonts w:ascii="宋体" w:hAnsi="宋体" w:cs="宋体"/>
          <w:color w:val="000000" w:themeColor="text1"/>
          <w:spacing w:val="-1"/>
          <w:sz w:val="24"/>
          <w:szCs w:val="24"/>
          <w:highlight w:val="none"/>
          <w14:textFill>
            <w14:solidFill>
              <w14:schemeClr w14:val="tx1"/>
            </w14:solidFill>
          </w14:textFill>
        </w:rPr>
        <w:t>经验收单位同意后，再向承包人出具交工验收证书。</w:t>
      </w:r>
    </w:p>
    <w:p w14:paraId="47BFCDF9">
      <w:pPr>
        <w:spacing w:before="117" w:line="263" w:lineRule="auto"/>
        <w:ind w:left="29" w:right="225" w:firstLine="471"/>
        <w:rPr>
          <w:rFonts w:ascii="宋体" w:hAnsi="宋体" w:cs="宋体"/>
          <w:color w:val="000000" w:themeColor="text1"/>
          <w:sz w:val="24"/>
          <w:szCs w:val="24"/>
          <w:highlight w:val="none"/>
          <w14:textFill>
            <w14:solidFill>
              <w14:schemeClr w14:val="tx1"/>
            </w14:solidFill>
          </w14:textFill>
        </w:rPr>
      </w:pPr>
      <w:r>
        <w:rPr>
          <w:rFonts w:eastAsia="Times New Roman"/>
          <w:color w:val="000000" w:themeColor="text1"/>
          <w:spacing w:val="-1"/>
          <w:sz w:val="24"/>
          <w:szCs w:val="24"/>
          <w:highlight w:val="none"/>
          <w14:textFill>
            <w14:solidFill>
              <w14:schemeClr w14:val="tx1"/>
            </w14:solidFill>
          </w14:textFill>
        </w:rPr>
        <w:t xml:space="preserve">18.3.5  </w:t>
      </w:r>
      <w:r>
        <w:rPr>
          <w:rFonts w:ascii="宋体" w:hAnsi="宋体" w:cs="宋体"/>
          <w:color w:val="000000" w:themeColor="text1"/>
          <w:spacing w:val="-1"/>
          <w:sz w:val="24"/>
          <w:szCs w:val="24"/>
          <w:highlight w:val="none"/>
          <w14:textFill>
            <w14:solidFill>
              <w14:schemeClr w14:val="tx1"/>
            </w14:solidFill>
          </w14:textFill>
        </w:rPr>
        <w:t>除专用合同条款另有约定外，经验</w:t>
      </w:r>
      <w:r>
        <w:rPr>
          <w:rFonts w:ascii="宋体" w:hAnsi="宋体" w:cs="宋体"/>
          <w:color w:val="000000" w:themeColor="text1"/>
          <w:spacing w:val="-2"/>
          <w:sz w:val="24"/>
          <w:szCs w:val="24"/>
          <w:highlight w:val="none"/>
          <w14:textFill>
            <w14:solidFill>
              <w14:schemeClr w14:val="tx1"/>
            </w14:solidFill>
          </w14:textFill>
        </w:rPr>
        <w:t>收合格工程的实际交（竣）工日期，以最终提交验收申请报告的日期为准，并在验收证书中写明。</w:t>
      </w:r>
    </w:p>
    <w:p w14:paraId="0971629E">
      <w:pPr>
        <w:spacing w:before="116" w:line="278" w:lineRule="auto"/>
        <w:ind w:right="166" w:firstLine="500"/>
        <w:rPr>
          <w:rFonts w:ascii="宋体" w:hAnsi="宋体" w:cs="宋体"/>
          <w:color w:val="000000" w:themeColor="text1"/>
          <w:sz w:val="24"/>
          <w:szCs w:val="24"/>
          <w:highlight w:val="none"/>
          <w14:textFill>
            <w14:solidFill>
              <w14:schemeClr w14:val="tx1"/>
            </w14:solidFill>
          </w14:textFill>
        </w:rPr>
      </w:pPr>
      <w:r>
        <w:rPr>
          <w:rFonts w:eastAsia="Times New Roman"/>
          <w:color w:val="000000" w:themeColor="text1"/>
          <w:spacing w:val="3"/>
          <w:sz w:val="24"/>
          <w:szCs w:val="24"/>
          <w:highlight w:val="none"/>
          <w14:textFill>
            <w14:solidFill>
              <w14:schemeClr w14:val="tx1"/>
            </w14:solidFill>
          </w14:textFill>
        </w:rPr>
        <w:t xml:space="preserve">18.3.6 </w:t>
      </w:r>
      <w:r>
        <w:rPr>
          <w:rFonts w:ascii="宋体" w:hAnsi="宋体" w:cs="宋体"/>
          <w:color w:val="000000" w:themeColor="text1"/>
          <w:spacing w:val="3"/>
          <w:sz w:val="24"/>
          <w:szCs w:val="24"/>
          <w:highlight w:val="none"/>
          <w14:textFill>
            <w14:solidFill>
              <w14:schemeClr w14:val="tx1"/>
            </w14:solidFill>
          </w14:textFill>
        </w:rPr>
        <w:t>验收单位在收到承包人工程验收申请报告</w:t>
      </w:r>
      <w:r>
        <w:rPr>
          <w:rFonts w:eastAsia="Times New Roman"/>
          <w:color w:val="000000" w:themeColor="text1"/>
          <w:spacing w:val="3"/>
          <w:sz w:val="24"/>
          <w:szCs w:val="24"/>
          <w:highlight w:val="none"/>
          <w14:textFill>
            <w14:solidFill>
              <w14:schemeClr w14:val="tx1"/>
            </w14:solidFill>
          </w14:textFill>
        </w:rPr>
        <w:t>7</w:t>
      </w:r>
      <w:r>
        <w:rPr>
          <w:rFonts w:eastAsia="Times New Roman"/>
          <w:color w:val="000000" w:themeColor="text1"/>
          <w:spacing w:val="17"/>
          <w:sz w:val="24"/>
          <w:szCs w:val="24"/>
          <w:highlight w:val="none"/>
          <w14:textFill>
            <w14:solidFill>
              <w14:schemeClr w14:val="tx1"/>
            </w14:solidFill>
          </w14:textFill>
        </w:rPr>
        <w:t xml:space="preserve"> </w:t>
      </w:r>
      <w:r>
        <w:rPr>
          <w:rFonts w:ascii="宋体" w:hAnsi="宋体" w:cs="宋体"/>
          <w:color w:val="000000" w:themeColor="text1"/>
          <w:spacing w:val="3"/>
          <w:sz w:val="24"/>
          <w:szCs w:val="24"/>
          <w:highlight w:val="none"/>
          <w14:textFill>
            <w14:solidFill>
              <w14:schemeClr w14:val="tx1"/>
            </w14:solidFill>
          </w14:textFill>
        </w:rPr>
        <w:t>天未进行验</w:t>
      </w:r>
      <w:r>
        <w:rPr>
          <w:rFonts w:ascii="宋体" w:hAnsi="宋体" w:cs="宋体"/>
          <w:color w:val="000000" w:themeColor="text1"/>
          <w:spacing w:val="2"/>
          <w:sz w:val="24"/>
          <w:szCs w:val="24"/>
          <w:highlight w:val="none"/>
          <w14:textFill>
            <w14:solidFill>
              <w14:schemeClr w14:val="tx1"/>
            </w14:solidFill>
          </w14:textFill>
        </w:rPr>
        <w:t>收的，或验收后</w:t>
      </w:r>
      <w:r>
        <w:rPr>
          <w:rFonts w:eastAsia="Times New Roman"/>
          <w:color w:val="000000" w:themeColor="text1"/>
          <w:spacing w:val="2"/>
          <w:sz w:val="24"/>
          <w:szCs w:val="24"/>
          <w:highlight w:val="none"/>
          <w14:textFill>
            <w14:solidFill>
              <w14:schemeClr w14:val="tx1"/>
            </w14:solidFill>
          </w14:textFill>
        </w:rPr>
        <w:t>7</w:t>
      </w:r>
      <w:r>
        <w:rPr>
          <w:rFonts w:eastAsia="Times New Roman"/>
          <w:color w:val="000000" w:themeColor="text1"/>
          <w:spacing w:val="16"/>
          <w:w w:val="101"/>
          <w:sz w:val="24"/>
          <w:szCs w:val="24"/>
          <w:highlight w:val="none"/>
          <w14:textFill>
            <w14:solidFill>
              <w14:schemeClr w14:val="tx1"/>
            </w14:solidFill>
          </w14:textFill>
        </w:rPr>
        <w:t xml:space="preserve"> </w:t>
      </w:r>
      <w:r>
        <w:rPr>
          <w:rFonts w:ascii="宋体" w:hAnsi="宋体" w:cs="宋体"/>
          <w:color w:val="000000" w:themeColor="text1"/>
          <w:spacing w:val="2"/>
          <w:sz w:val="24"/>
          <w:szCs w:val="24"/>
          <w:highlight w:val="none"/>
          <w14:textFill>
            <w14:solidFill>
              <w14:schemeClr w14:val="tx1"/>
            </w14:solidFill>
          </w14:textFill>
        </w:rPr>
        <w:t>天内不提出修改意见，视为验收合格。实际交（竣）工日期以提交工程</w:t>
      </w:r>
      <w:r>
        <w:rPr>
          <w:rFonts w:ascii="宋体" w:hAnsi="宋体" w:cs="宋体"/>
          <w:color w:val="000000" w:themeColor="text1"/>
          <w:spacing w:val="1"/>
          <w:sz w:val="24"/>
          <w:szCs w:val="24"/>
          <w:highlight w:val="none"/>
          <w14:textFill>
            <w14:solidFill>
              <w14:schemeClr w14:val="tx1"/>
            </w14:solidFill>
          </w14:textFill>
        </w:rPr>
        <w:t>验收申请</w:t>
      </w:r>
      <w:r>
        <w:rPr>
          <w:rFonts w:ascii="宋体" w:hAnsi="宋体" w:cs="宋体"/>
          <w:color w:val="000000" w:themeColor="text1"/>
          <w:sz w:val="24"/>
          <w:szCs w:val="24"/>
          <w:highlight w:val="none"/>
          <w14:textFill>
            <w14:solidFill>
              <w14:schemeClr w14:val="tx1"/>
            </w14:solidFill>
          </w14:textFill>
        </w:rPr>
        <w:t>报告的日期为准，但验收单位由于不可抗力不</w:t>
      </w:r>
      <w:r>
        <w:rPr>
          <w:rFonts w:ascii="宋体" w:hAnsi="宋体" w:cs="宋体"/>
          <w:color w:val="000000" w:themeColor="text1"/>
          <w:spacing w:val="-1"/>
          <w:sz w:val="24"/>
          <w:szCs w:val="24"/>
          <w:highlight w:val="none"/>
          <w14:textFill>
            <w14:solidFill>
              <w14:schemeClr w14:val="tx1"/>
            </w14:solidFill>
          </w14:textFill>
        </w:rPr>
        <w:t>能进行验收的除外。</w:t>
      </w:r>
    </w:p>
    <w:p w14:paraId="2405F13B">
      <w:pPr>
        <w:spacing w:before="114" w:line="264" w:lineRule="auto"/>
        <w:ind w:left="1" w:right="166" w:firstLine="498"/>
        <w:rPr>
          <w:rFonts w:ascii="宋体" w:hAnsi="宋体" w:cs="宋体"/>
          <w:color w:val="000000" w:themeColor="text1"/>
          <w:sz w:val="24"/>
          <w:szCs w:val="24"/>
          <w:highlight w:val="none"/>
          <w14:textFill>
            <w14:solidFill>
              <w14:schemeClr w14:val="tx1"/>
            </w14:solidFill>
          </w14:textFill>
        </w:rPr>
      </w:pPr>
      <w:r>
        <w:rPr>
          <w:rFonts w:eastAsia="Times New Roman"/>
          <w:color w:val="000000" w:themeColor="text1"/>
          <w:sz w:val="24"/>
          <w:szCs w:val="24"/>
          <w:highlight w:val="none"/>
          <w14:textFill>
            <w14:solidFill>
              <w14:schemeClr w14:val="tx1"/>
            </w14:solidFill>
          </w14:textFill>
        </w:rPr>
        <w:t xml:space="preserve">18.3.7  </w:t>
      </w:r>
      <w:r>
        <w:rPr>
          <w:rFonts w:ascii="宋体" w:hAnsi="宋体" w:cs="宋体"/>
          <w:color w:val="000000" w:themeColor="text1"/>
          <w:sz w:val="24"/>
          <w:szCs w:val="24"/>
          <w:highlight w:val="none"/>
          <w14:textFill>
            <w14:solidFill>
              <w14:schemeClr w14:val="tx1"/>
            </w14:solidFill>
          </w14:textFill>
        </w:rPr>
        <w:t>组织办理工程验收和签发交工验收证书的费用由验收单位承担。但按照</w:t>
      </w:r>
      <w:r>
        <w:rPr>
          <w:rFonts w:ascii="宋体" w:hAnsi="宋体" w:cs="宋体"/>
          <w:color w:val="000000" w:themeColor="text1"/>
          <w:spacing w:val="-1"/>
          <w:sz w:val="24"/>
          <w:szCs w:val="24"/>
          <w:highlight w:val="none"/>
          <w14:textFill>
            <w14:solidFill>
              <w14:schemeClr w14:val="tx1"/>
            </w14:solidFill>
          </w14:textFill>
        </w:rPr>
        <w:t>第</w:t>
      </w:r>
      <w:r>
        <w:rPr>
          <w:rFonts w:ascii="宋体" w:hAnsi="宋体" w:cs="宋体"/>
          <w:color w:val="000000" w:themeColor="text1"/>
          <w:spacing w:val="-32"/>
          <w:sz w:val="24"/>
          <w:szCs w:val="24"/>
          <w:highlight w:val="none"/>
          <w14:textFill>
            <w14:solidFill>
              <w14:schemeClr w14:val="tx1"/>
            </w14:solidFill>
          </w14:textFill>
        </w:rPr>
        <w:t xml:space="preserve"> </w:t>
      </w:r>
      <w:r>
        <w:rPr>
          <w:rFonts w:eastAsia="Times New Roman"/>
          <w:color w:val="000000" w:themeColor="text1"/>
          <w:spacing w:val="-1"/>
          <w:sz w:val="24"/>
          <w:szCs w:val="24"/>
          <w:highlight w:val="none"/>
          <w14:textFill>
            <w14:solidFill>
              <w14:schemeClr w14:val="tx1"/>
            </w14:solidFill>
          </w14:textFill>
        </w:rPr>
        <w:t xml:space="preserve">18.3.4 </w:t>
      </w:r>
      <w:r>
        <w:rPr>
          <w:rFonts w:ascii="宋体" w:hAnsi="宋体" w:cs="宋体"/>
          <w:color w:val="000000" w:themeColor="text1"/>
          <w:spacing w:val="-1"/>
          <w:sz w:val="24"/>
          <w:szCs w:val="24"/>
          <w:highlight w:val="none"/>
          <w14:textFill>
            <w14:solidFill>
              <w14:schemeClr w14:val="tx1"/>
            </w14:solidFill>
          </w14:textFill>
        </w:rPr>
        <w:t>项约定达不到合格标准的工程验收费用</w:t>
      </w:r>
      <w:r>
        <w:rPr>
          <w:rFonts w:ascii="宋体" w:hAnsi="宋体" w:cs="宋体"/>
          <w:color w:val="000000" w:themeColor="text1"/>
          <w:spacing w:val="-2"/>
          <w:sz w:val="24"/>
          <w:szCs w:val="24"/>
          <w:highlight w:val="none"/>
          <w14:textFill>
            <w14:solidFill>
              <w14:schemeClr w14:val="tx1"/>
            </w14:solidFill>
          </w14:textFill>
        </w:rPr>
        <w:t>由承包人承担。</w:t>
      </w:r>
    </w:p>
    <w:p w14:paraId="4BF09445">
      <w:pPr>
        <w:spacing w:before="107" w:line="219" w:lineRule="auto"/>
        <w:ind w:left="488"/>
        <w:outlineLvl w:val="3"/>
        <w:rPr>
          <w:rFonts w:ascii="宋体" w:hAnsi="宋体" w:cs="宋体"/>
          <w:color w:val="000000" w:themeColor="text1"/>
          <w:sz w:val="24"/>
          <w:szCs w:val="24"/>
          <w:highlight w:val="none"/>
          <w14:textFill>
            <w14:solidFill>
              <w14:schemeClr w14:val="tx1"/>
            </w14:solidFill>
          </w14:textFill>
        </w:rPr>
      </w:pPr>
      <w:r>
        <w:rPr>
          <w:rFonts w:eastAsia="Times New Roman"/>
          <w:b/>
          <w:bCs/>
          <w:color w:val="000000" w:themeColor="text1"/>
          <w:spacing w:val="-3"/>
          <w:sz w:val="24"/>
          <w:szCs w:val="24"/>
          <w:highlight w:val="none"/>
          <w14:textFill>
            <w14:solidFill>
              <w14:schemeClr w14:val="tx1"/>
            </w14:solidFill>
          </w14:textFill>
        </w:rPr>
        <w:t xml:space="preserve">18.4  </w:t>
      </w:r>
      <w:r>
        <w:rPr>
          <w:rFonts w:ascii="宋体" w:hAnsi="宋体" w:cs="宋体"/>
          <w:b/>
          <w:bCs/>
          <w:color w:val="000000" w:themeColor="text1"/>
          <w:spacing w:val="-3"/>
          <w:sz w:val="24"/>
          <w:szCs w:val="24"/>
          <w:highlight w:val="none"/>
          <w14:textFill>
            <w14:solidFill>
              <w14:schemeClr w14:val="tx1"/>
            </w14:solidFill>
          </w14:textFill>
        </w:rPr>
        <w:t>单位养护工程验收</w:t>
      </w:r>
    </w:p>
    <w:p w14:paraId="65111C50">
      <w:pPr>
        <w:spacing w:before="122" w:line="293" w:lineRule="auto"/>
        <w:ind w:right="164" w:firstLine="500"/>
        <w:rPr>
          <w:rFonts w:ascii="宋体" w:hAnsi="宋体" w:cs="宋体"/>
          <w:color w:val="000000" w:themeColor="text1"/>
          <w:sz w:val="24"/>
          <w:szCs w:val="24"/>
          <w:highlight w:val="none"/>
          <w14:textFill>
            <w14:solidFill>
              <w14:schemeClr w14:val="tx1"/>
            </w14:solidFill>
          </w14:textFill>
        </w:rPr>
      </w:pPr>
      <w:r>
        <w:rPr>
          <w:rFonts w:eastAsia="Times New Roman"/>
          <w:color w:val="000000" w:themeColor="text1"/>
          <w:sz w:val="24"/>
          <w:szCs w:val="24"/>
          <w:highlight w:val="none"/>
          <w14:textFill>
            <w14:solidFill>
              <w14:schemeClr w14:val="tx1"/>
            </w14:solidFill>
          </w14:textFill>
        </w:rPr>
        <w:t xml:space="preserve">18.4.1  </w:t>
      </w:r>
      <w:r>
        <w:rPr>
          <w:rFonts w:ascii="宋体" w:hAnsi="宋体" w:cs="宋体"/>
          <w:color w:val="000000" w:themeColor="text1"/>
          <w:sz w:val="24"/>
          <w:szCs w:val="24"/>
          <w:highlight w:val="none"/>
          <w14:textFill>
            <w14:solidFill>
              <w14:schemeClr w14:val="tx1"/>
            </w14:solidFill>
          </w14:textFill>
        </w:rPr>
        <w:t>发包人根据合同进度计划安排，在全部工程交工前需要使用已经交工的</w:t>
      </w:r>
      <w:r>
        <w:rPr>
          <w:rFonts w:ascii="宋体" w:hAnsi="宋体" w:cs="宋体"/>
          <w:color w:val="000000" w:themeColor="text1"/>
          <w:spacing w:val="1"/>
          <w:sz w:val="24"/>
          <w:szCs w:val="24"/>
          <w:highlight w:val="none"/>
          <w14:textFill>
            <w14:solidFill>
              <w14:schemeClr w14:val="tx1"/>
            </w14:solidFill>
          </w14:textFill>
        </w:rPr>
        <w:t>单位养护工程时，或承包人提出经发包人同意时，可进行</w:t>
      </w:r>
      <w:r>
        <w:rPr>
          <w:rFonts w:ascii="宋体" w:hAnsi="宋体" w:cs="宋体"/>
          <w:color w:val="000000" w:themeColor="text1"/>
          <w:sz w:val="24"/>
          <w:szCs w:val="24"/>
          <w:highlight w:val="none"/>
          <w14:textFill>
            <w14:solidFill>
              <w14:schemeClr w14:val="tx1"/>
            </w14:solidFill>
          </w14:textFill>
        </w:rPr>
        <w:t>单位养护工程验收。验收</w:t>
      </w:r>
      <w:r>
        <w:rPr>
          <w:rFonts w:ascii="宋体" w:hAnsi="宋体" w:cs="宋体"/>
          <w:color w:val="000000" w:themeColor="text1"/>
          <w:spacing w:val="4"/>
          <w:sz w:val="24"/>
          <w:szCs w:val="24"/>
          <w:highlight w:val="none"/>
          <w14:textFill>
            <w14:solidFill>
              <w14:schemeClr w14:val="tx1"/>
            </w14:solidFill>
          </w14:textFill>
        </w:rPr>
        <w:t>的程序可参照第</w:t>
      </w:r>
      <w:r>
        <w:rPr>
          <w:rFonts w:ascii="宋体" w:hAnsi="宋体" w:cs="宋体"/>
          <w:color w:val="000000" w:themeColor="text1"/>
          <w:spacing w:val="-19"/>
          <w:sz w:val="24"/>
          <w:szCs w:val="24"/>
          <w:highlight w:val="none"/>
          <w14:textFill>
            <w14:solidFill>
              <w14:schemeClr w14:val="tx1"/>
            </w14:solidFill>
          </w14:textFill>
        </w:rPr>
        <w:t xml:space="preserve"> </w:t>
      </w:r>
      <w:r>
        <w:rPr>
          <w:rFonts w:eastAsia="Times New Roman"/>
          <w:color w:val="000000" w:themeColor="text1"/>
          <w:spacing w:val="4"/>
          <w:sz w:val="24"/>
          <w:szCs w:val="24"/>
          <w:highlight w:val="none"/>
          <w14:textFill>
            <w14:solidFill>
              <w14:schemeClr w14:val="tx1"/>
            </w14:solidFill>
          </w14:textFill>
        </w:rPr>
        <w:t>18.3</w:t>
      </w:r>
      <w:r>
        <w:rPr>
          <w:rFonts w:eastAsia="Times New Roman"/>
          <w:color w:val="000000" w:themeColor="text1"/>
          <w:spacing w:val="18"/>
          <w:sz w:val="24"/>
          <w:szCs w:val="24"/>
          <w:highlight w:val="none"/>
          <w14:textFill>
            <w14:solidFill>
              <w14:schemeClr w14:val="tx1"/>
            </w14:solidFill>
          </w14:textFill>
        </w:rPr>
        <w:t xml:space="preserve"> </w:t>
      </w:r>
      <w:r>
        <w:rPr>
          <w:rFonts w:ascii="宋体" w:hAnsi="宋体" w:cs="宋体"/>
          <w:color w:val="000000" w:themeColor="text1"/>
          <w:spacing w:val="4"/>
          <w:sz w:val="24"/>
          <w:szCs w:val="24"/>
          <w:highlight w:val="none"/>
          <w14:textFill>
            <w14:solidFill>
              <w14:schemeClr w14:val="tx1"/>
            </w14:solidFill>
          </w14:textFill>
        </w:rPr>
        <w:t>款的约定进行。验收合格后，由咨询人向承包人出具经发包</w:t>
      </w:r>
      <w:r>
        <w:rPr>
          <w:rFonts w:ascii="宋体" w:hAnsi="宋体" w:cs="宋体"/>
          <w:color w:val="000000" w:themeColor="text1"/>
          <w:spacing w:val="1"/>
          <w:sz w:val="24"/>
          <w:szCs w:val="24"/>
          <w:highlight w:val="none"/>
          <w14:textFill>
            <w14:solidFill>
              <w14:schemeClr w14:val="tx1"/>
            </w14:solidFill>
          </w14:textFill>
        </w:rPr>
        <w:t>人签认的单位养护工程交工验收证书。已签发单位养护工程交</w:t>
      </w:r>
      <w:r>
        <w:rPr>
          <w:rFonts w:ascii="宋体" w:hAnsi="宋体" w:cs="宋体"/>
          <w:color w:val="000000" w:themeColor="text1"/>
          <w:sz w:val="24"/>
          <w:szCs w:val="24"/>
          <w:highlight w:val="none"/>
          <w14:textFill>
            <w14:solidFill>
              <w14:schemeClr w14:val="tx1"/>
            </w14:solidFill>
          </w14:textFill>
        </w:rPr>
        <w:t>工验收证书的养护工</w:t>
      </w:r>
      <w:r>
        <w:rPr>
          <w:rFonts w:ascii="宋体" w:hAnsi="宋体" w:cs="宋体"/>
          <w:color w:val="000000" w:themeColor="text1"/>
          <w:spacing w:val="1"/>
          <w:sz w:val="24"/>
          <w:szCs w:val="24"/>
          <w:highlight w:val="none"/>
          <w14:textFill>
            <w14:solidFill>
              <w14:schemeClr w14:val="tx1"/>
            </w14:solidFill>
          </w14:textFill>
        </w:rPr>
        <w:t>程由发包人负责照管。单位养护工程的验收成果和结论作</w:t>
      </w:r>
      <w:r>
        <w:rPr>
          <w:rFonts w:ascii="宋体" w:hAnsi="宋体" w:cs="宋体"/>
          <w:color w:val="000000" w:themeColor="text1"/>
          <w:sz w:val="24"/>
          <w:szCs w:val="24"/>
          <w:highlight w:val="none"/>
          <w14:textFill>
            <w14:solidFill>
              <w14:schemeClr w14:val="tx1"/>
            </w14:solidFill>
          </w14:textFill>
        </w:rPr>
        <w:t>为全部养护工程验收申请</w:t>
      </w:r>
      <w:r>
        <w:rPr>
          <w:rFonts w:ascii="宋体" w:hAnsi="宋体" w:cs="宋体"/>
          <w:color w:val="000000" w:themeColor="text1"/>
          <w:spacing w:val="-2"/>
          <w:sz w:val="24"/>
          <w:szCs w:val="24"/>
          <w:highlight w:val="none"/>
          <w14:textFill>
            <w14:solidFill>
              <w14:schemeClr w14:val="tx1"/>
            </w14:solidFill>
          </w14:textFill>
        </w:rPr>
        <w:t>报告的附件。</w:t>
      </w:r>
    </w:p>
    <w:p w14:paraId="770CA97B">
      <w:pPr>
        <w:spacing w:before="115" w:line="264" w:lineRule="auto"/>
        <w:ind w:left="2" w:firstLine="497"/>
        <w:rPr>
          <w:rFonts w:ascii="宋体" w:hAnsi="宋体" w:cs="宋体"/>
          <w:color w:val="000000" w:themeColor="text1"/>
          <w:sz w:val="24"/>
          <w:szCs w:val="24"/>
          <w:highlight w:val="none"/>
          <w14:textFill>
            <w14:solidFill>
              <w14:schemeClr w14:val="tx1"/>
            </w14:solidFill>
          </w14:textFill>
        </w:rPr>
      </w:pPr>
      <w:r>
        <w:rPr>
          <w:rFonts w:eastAsia="Times New Roman"/>
          <w:color w:val="000000" w:themeColor="text1"/>
          <w:sz w:val="24"/>
          <w:szCs w:val="24"/>
          <w:highlight w:val="none"/>
          <w14:textFill>
            <w14:solidFill>
              <w14:schemeClr w14:val="tx1"/>
            </w14:solidFill>
          </w14:textFill>
        </w:rPr>
        <w:t xml:space="preserve">18.4.2  </w:t>
      </w:r>
      <w:r>
        <w:rPr>
          <w:rFonts w:ascii="宋体" w:hAnsi="宋体" w:cs="宋体"/>
          <w:color w:val="000000" w:themeColor="text1"/>
          <w:sz w:val="24"/>
          <w:szCs w:val="24"/>
          <w:highlight w:val="none"/>
          <w14:textFill>
            <w14:solidFill>
              <w14:schemeClr w14:val="tx1"/>
            </w14:solidFill>
          </w14:textFill>
        </w:rPr>
        <w:t>发包人在全部工程交工前，使用已接收的单位养护工程导致承包人费用</w:t>
      </w:r>
      <w:r>
        <w:rPr>
          <w:rFonts w:ascii="宋体" w:hAnsi="宋体" w:cs="宋体"/>
          <w:color w:val="000000" w:themeColor="text1"/>
          <w:spacing w:val="-1"/>
          <w:sz w:val="24"/>
          <w:szCs w:val="24"/>
          <w:highlight w:val="none"/>
          <w14:textFill>
            <w14:solidFill>
              <w14:schemeClr w14:val="tx1"/>
            </w14:solidFill>
          </w14:textFill>
        </w:rPr>
        <w:t>增加的，发包人应承担由此增加的费用和（或）工</w:t>
      </w:r>
      <w:r>
        <w:rPr>
          <w:rFonts w:ascii="宋体" w:hAnsi="宋体" w:cs="宋体"/>
          <w:color w:val="000000" w:themeColor="text1"/>
          <w:spacing w:val="-2"/>
          <w:sz w:val="24"/>
          <w:szCs w:val="24"/>
          <w:highlight w:val="none"/>
          <w14:textFill>
            <w14:solidFill>
              <w14:schemeClr w14:val="tx1"/>
            </w14:solidFill>
          </w14:textFill>
        </w:rPr>
        <w:t>期延误，并支付承包人合理利润。</w:t>
      </w:r>
    </w:p>
    <w:p w14:paraId="006AC760">
      <w:pPr>
        <w:spacing w:before="106" w:line="219" w:lineRule="auto"/>
        <w:ind w:left="488"/>
        <w:outlineLvl w:val="3"/>
        <w:rPr>
          <w:rFonts w:ascii="宋体" w:hAnsi="宋体" w:cs="宋体"/>
          <w:color w:val="000000" w:themeColor="text1"/>
          <w:sz w:val="24"/>
          <w:szCs w:val="24"/>
          <w:highlight w:val="none"/>
          <w14:textFill>
            <w14:solidFill>
              <w14:schemeClr w14:val="tx1"/>
            </w14:solidFill>
          </w14:textFill>
        </w:rPr>
      </w:pPr>
      <w:r>
        <w:rPr>
          <w:rFonts w:eastAsia="Times New Roman"/>
          <w:b/>
          <w:bCs/>
          <w:color w:val="000000" w:themeColor="text1"/>
          <w:spacing w:val="-3"/>
          <w:sz w:val="24"/>
          <w:szCs w:val="24"/>
          <w:highlight w:val="none"/>
          <w14:textFill>
            <w14:solidFill>
              <w14:schemeClr w14:val="tx1"/>
            </w14:solidFill>
          </w14:textFill>
        </w:rPr>
        <w:t xml:space="preserve">18.5  </w:t>
      </w:r>
      <w:r>
        <w:rPr>
          <w:rFonts w:ascii="宋体" w:hAnsi="宋体" w:cs="宋体"/>
          <w:b/>
          <w:bCs/>
          <w:color w:val="000000" w:themeColor="text1"/>
          <w:spacing w:val="-3"/>
          <w:sz w:val="24"/>
          <w:szCs w:val="24"/>
          <w:highlight w:val="none"/>
          <w14:textFill>
            <w14:solidFill>
              <w14:schemeClr w14:val="tx1"/>
            </w14:solidFill>
          </w14:textFill>
        </w:rPr>
        <w:t>交（竣）工清场</w:t>
      </w:r>
    </w:p>
    <w:p w14:paraId="12B1181D">
      <w:pPr>
        <w:spacing w:before="124" w:line="310" w:lineRule="auto"/>
        <w:ind w:left="2" w:firstLine="497"/>
        <w:rPr>
          <w:rFonts w:ascii="宋体" w:hAnsi="宋体" w:cs="宋体"/>
          <w:color w:val="000000" w:themeColor="text1"/>
          <w:sz w:val="24"/>
          <w:szCs w:val="24"/>
          <w:highlight w:val="none"/>
          <w14:textFill>
            <w14:solidFill>
              <w14:schemeClr w14:val="tx1"/>
            </w14:solidFill>
          </w14:textFill>
        </w:rPr>
      </w:pPr>
      <w:r>
        <w:rPr>
          <w:rFonts w:eastAsia="Times New Roman"/>
          <w:color w:val="000000" w:themeColor="text1"/>
          <w:spacing w:val="1"/>
          <w:sz w:val="24"/>
          <w:szCs w:val="24"/>
          <w:highlight w:val="none"/>
          <w14:textFill>
            <w14:solidFill>
              <w14:schemeClr w14:val="tx1"/>
            </w14:solidFill>
          </w14:textFill>
        </w:rPr>
        <w:t>18.5.1</w:t>
      </w:r>
      <w:r>
        <w:rPr>
          <w:rFonts w:eastAsia="Times New Roman"/>
          <w:color w:val="000000" w:themeColor="text1"/>
          <w:spacing w:val="27"/>
          <w:sz w:val="24"/>
          <w:szCs w:val="24"/>
          <w:highlight w:val="none"/>
          <w14:textFill>
            <w14:solidFill>
              <w14:schemeClr w14:val="tx1"/>
            </w14:solidFill>
          </w14:textFill>
        </w:rPr>
        <w:t xml:space="preserve"> </w:t>
      </w:r>
      <w:r>
        <w:rPr>
          <w:rFonts w:ascii="宋体" w:hAnsi="宋体" w:cs="宋体"/>
          <w:color w:val="000000" w:themeColor="text1"/>
          <w:spacing w:val="1"/>
          <w:sz w:val="24"/>
          <w:szCs w:val="24"/>
          <w:highlight w:val="none"/>
          <w14:textFill>
            <w14:solidFill>
              <w14:schemeClr w14:val="tx1"/>
            </w14:solidFill>
          </w14:textFill>
        </w:rPr>
        <w:t>除合同另有约定外，交工验收证书颁发后，承包人应按以下要求对养护</w:t>
      </w:r>
      <w:r>
        <w:rPr>
          <w:rFonts w:ascii="宋体" w:hAnsi="宋体" w:cs="宋体"/>
          <w:color w:val="000000" w:themeColor="text1"/>
          <w:spacing w:val="-1"/>
          <w:sz w:val="24"/>
          <w:szCs w:val="24"/>
          <w:highlight w:val="none"/>
          <w14:textFill>
            <w14:solidFill>
              <w14:schemeClr w14:val="tx1"/>
            </w14:solidFill>
          </w14:textFill>
        </w:rPr>
        <w:t>作业场地进行清理，直至咨询人检验合格为止。交</w:t>
      </w:r>
      <w:r>
        <w:rPr>
          <w:rFonts w:ascii="宋体" w:hAnsi="宋体" w:cs="宋体"/>
          <w:color w:val="000000" w:themeColor="text1"/>
          <w:spacing w:val="-2"/>
          <w:sz w:val="24"/>
          <w:szCs w:val="24"/>
          <w:highlight w:val="none"/>
          <w14:textFill>
            <w14:solidFill>
              <w14:schemeClr w14:val="tx1"/>
            </w14:solidFill>
          </w14:textFill>
        </w:rPr>
        <w:t>（竣）工清场费用由承包人承担。</w:t>
      </w:r>
    </w:p>
    <w:p w14:paraId="3B1C8DA9">
      <w:pPr>
        <w:spacing w:before="78" w:line="264" w:lineRule="auto"/>
        <w:ind w:left="21" w:firstLine="470"/>
        <w:rPr>
          <w:rFonts w:ascii="宋体" w:hAnsi="宋体" w:cs="宋体"/>
          <w:color w:val="000000" w:themeColor="text1"/>
          <w:sz w:val="24"/>
          <w:szCs w:val="24"/>
          <w:highlight w:val="none"/>
          <w14:textFill>
            <w14:solidFill>
              <w14:schemeClr w14:val="tx1"/>
            </w14:solidFill>
          </w14:textFill>
        </w:rPr>
      </w:pPr>
      <w:bookmarkStart w:id="167" w:name="bookmark228"/>
      <w:bookmarkEnd w:id="167"/>
      <w:r>
        <w:rPr>
          <w:rFonts w:ascii="宋体" w:hAnsi="宋体" w:cs="宋体"/>
          <w:color w:val="000000" w:themeColor="text1"/>
          <w:spacing w:val="4"/>
          <w:sz w:val="24"/>
          <w:szCs w:val="24"/>
          <w:highlight w:val="none"/>
          <w14:textFill>
            <w14:solidFill>
              <w14:schemeClr w14:val="tx1"/>
            </w14:solidFill>
          </w14:textFill>
        </w:rPr>
        <w:t>（</w:t>
      </w:r>
      <w:r>
        <w:rPr>
          <w:rFonts w:eastAsia="Times New Roman"/>
          <w:color w:val="000000" w:themeColor="text1"/>
          <w:spacing w:val="4"/>
          <w:sz w:val="24"/>
          <w:szCs w:val="24"/>
          <w:highlight w:val="none"/>
          <w14:textFill>
            <w14:solidFill>
              <w14:schemeClr w14:val="tx1"/>
            </w14:solidFill>
          </w14:textFill>
        </w:rPr>
        <w:t>1</w:t>
      </w:r>
      <w:r>
        <w:rPr>
          <w:rFonts w:ascii="宋体" w:hAnsi="宋体" w:cs="宋体"/>
          <w:color w:val="000000" w:themeColor="text1"/>
          <w:spacing w:val="4"/>
          <w:sz w:val="24"/>
          <w:szCs w:val="24"/>
          <w:highlight w:val="none"/>
          <w14:textFill>
            <w14:solidFill>
              <w14:schemeClr w14:val="tx1"/>
            </w14:solidFill>
          </w14:textFill>
        </w:rPr>
        <w:t>）养护作业场地内残留的垃圾及附近道路、河道的施工堆积物已全部</w:t>
      </w:r>
      <w:r>
        <w:rPr>
          <w:rFonts w:ascii="宋体" w:hAnsi="宋体" w:cs="宋体"/>
          <w:color w:val="000000" w:themeColor="text1"/>
          <w:spacing w:val="3"/>
          <w:sz w:val="24"/>
          <w:szCs w:val="24"/>
          <w:highlight w:val="none"/>
          <w14:textFill>
            <w14:solidFill>
              <w14:schemeClr w14:val="tx1"/>
            </w14:solidFill>
          </w14:textFill>
        </w:rPr>
        <w:t>清除</w:t>
      </w:r>
      <w:r>
        <w:rPr>
          <w:rFonts w:ascii="宋体" w:hAnsi="宋体" w:cs="宋体"/>
          <w:color w:val="000000" w:themeColor="text1"/>
          <w:spacing w:val="-4"/>
          <w:sz w:val="24"/>
          <w:szCs w:val="24"/>
          <w:highlight w:val="none"/>
          <w14:textFill>
            <w14:solidFill>
              <w14:schemeClr w14:val="tx1"/>
            </w14:solidFill>
          </w14:textFill>
        </w:rPr>
        <w:t>出场并妥善处置；</w:t>
      </w:r>
    </w:p>
    <w:p w14:paraId="34F5C856">
      <w:pPr>
        <w:spacing w:before="113" w:line="219" w:lineRule="auto"/>
        <w:ind w:left="492"/>
        <w:rPr>
          <w:rFonts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pacing w:val="-1"/>
          <w:sz w:val="24"/>
          <w:szCs w:val="24"/>
          <w:highlight w:val="none"/>
          <w14:textFill>
            <w14:solidFill>
              <w14:schemeClr w14:val="tx1"/>
            </w14:solidFill>
          </w14:textFill>
        </w:rPr>
        <w:t>（</w:t>
      </w:r>
      <w:r>
        <w:rPr>
          <w:rFonts w:eastAsia="Times New Roman"/>
          <w:color w:val="000000" w:themeColor="text1"/>
          <w:spacing w:val="-1"/>
          <w:sz w:val="24"/>
          <w:szCs w:val="24"/>
          <w:highlight w:val="none"/>
          <w14:textFill>
            <w14:solidFill>
              <w14:schemeClr w14:val="tx1"/>
            </w14:solidFill>
          </w14:textFill>
        </w:rPr>
        <w:t>2</w:t>
      </w:r>
      <w:r>
        <w:rPr>
          <w:rFonts w:ascii="宋体" w:hAnsi="宋体" w:cs="宋体"/>
          <w:color w:val="000000" w:themeColor="text1"/>
          <w:spacing w:val="-1"/>
          <w:sz w:val="24"/>
          <w:szCs w:val="24"/>
          <w:highlight w:val="none"/>
          <w14:textFill>
            <w14:solidFill>
              <w14:schemeClr w14:val="tx1"/>
            </w14:solidFill>
          </w14:textFill>
        </w:rPr>
        <w:t>）临时工程已拆除，场地已按合同要求进行清理、平整或复原；</w:t>
      </w:r>
    </w:p>
    <w:p w14:paraId="1B413E6E">
      <w:pPr>
        <w:spacing w:before="116" w:line="263" w:lineRule="auto"/>
        <w:ind w:left="3" w:firstLine="488"/>
        <w:rPr>
          <w:rFonts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pacing w:val="4"/>
          <w:sz w:val="24"/>
          <w:szCs w:val="24"/>
          <w:highlight w:val="none"/>
          <w14:textFill>
            <w14:solidFill>
              <w14:schemeClr w14:val="tx1"/>
            </w14:solidFill>
          </w14:textFill>
        </w:rPr>
        <w:t>（</w:t>
      </w:r>
      <w:r>
        <w:rPr>
          <w:rFonts w:eastAsia="Times New Roman"/>
          <w:color w:val="000000" w:themeColor="text1"/>
          <w:spacing w:val="4"/>
          <w:sz w:val="24"/>
          <w:szCs w:val="24"/>
          <w:highlight w:val="none"/>
          <w14:textFill>
            <w14:solidFill>
              <w14:schemeClr w14:val="tx1"/>
            </w14:solidFill>
          </w14:textFill>
        </w:rPr>
        <w:t>3</w:t>
      </w:r>
      <w:r>
        <w:rPr>
          <w:rFonts w:ascii="宋体" w:hAnsi="宋体" w:cs="宋体"/>
          <w:color w:val="000000" w:themeColor="text1"/>
          <w:spacing w:val="4"/>
          <w:sz w:val="24"/>
          <w:szCs w:val="24"/>
          <w:highlight w:val="none"/>
          <w14:textFill>
            <w14:solidFill>
              <w14:schemeClr w14:val="tx1"/>
            </w14:solidFill>
          </w14:textFill>
        </w:rPr>
        <w:t>）按合同约定应撤离的承包人设备和剩余的材料，包括废弃的养护作</w:t>
      </w:r>
      <w:r>
        <w:rPr>
          <w:rFonts w:ascii="宋体" w:hAnsi="宋体" w:cs="宋体"/>
          <w:color w:val="000000" w:themeColor="text1"/>
          <w:spacing w:val="3"/>
          <w:sz w:val="24"/>
          <w:szCs w:val="24"/>
          <w:highlight w:val="none"/>
          <w14:textFill>
            <w14:solidFill>
              <w14:schemeClr w14:val="tx1"/>
            </w14:solidFill>
          </w14:textFill>
        </w:rPr>
        <w:t>业设</w:t>
      </w:r>
      <w:r>
        <w:rPr>
          <w:rFonts w:ascii="宋体" w:hAnsi="宋体" w:cs="宋体"/>
          <w:color w:val="000000" w:themeColor="text1"/>
          <w:spacing w:val="-1"/>
          <w:sz w:val="24"/>
          <w:szCs w:val="24"/>
          <w:highlight w:val="none"/>
          <w14:textFill>
            <w14:solidFill>
              <w14:schemeClr w14:val="tx1"/>
            </w14:solidFill>
          </w14:textFill>
        </w:rPr>
        <w:t>备和材料，已按计划撤离养护作业场地；</w:t>
      </w:r>
    </w:p>
    <w:p w14:paraId="3DAAE44C">
      <w:pPr>
        <w:spacing w:before="114" w:line="219" w:lineRule="auto"/>
        <w:ind w:left="492"/>
        <w:rPr>
          <w:rFonts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pacing w:val="-1"/>
          <w:sz w:val="24"/>
          <w:szCs w:val="24"/>
          <w:highlight w:val="none"/>
          <w14:textFill>
            <w14:solidFill>
              <w14:schemeClr w14:val="tx1"/>
            </w14:solidFill>
          </w14:textFill>
        </w:rPr>
        <w:t>（</w:t>
      </w:r>
      <w:r>
        <w:rPr>
          <w:rFonts w:eastAsia="Times New Roman"/>
          <w:color w:val="000000" w:themeColor="text1"/>
          <w:spacing w:val="-1"/>
          <w:sz w:val="24"/>
          <w:szCs w:val="24"/>
          <w:highlight w:val="none"/>
          <w14:textFill>
            <w14:solidFill>
              <w14:schemeClr w14:val="tx1"/>
            </w14:solidFill>
          </w14:textFill>
        </w:rPr>
        <w:t>4</w:t>
      </w:r>
      <w:r>
        <w:rPr>
          <w:rFonts w:ascii="宋体" w:hAnsi="宋体" w:cs="宋体"/>
          <w:color w:val="000000" w:themeColor="text1"/>
          <w:spacing w:val="-1"/>
          <w:sz w:val="24"/>
          <w:szCs w:val="24"/>
          <w:highlight w:val="none"/>
          <w14:textFill>
            <w14:solidFill>
              <w14:schemeClr w14:val="tx1"/>
            </w14:solidFill>
          </w14:textFill>
        </w:rPr>
        <w:t>）咨询人指示的其他场地清理工作已全部完成。</w:t>
      </w:r>
    </w:p>
    <w:p w14:paraId="3D8F3E84">
      <w:pPr>
        <w:spacing w:before="117" w:line="305" w:lineRule="auto"/>
        <w:ind w:left="4" w:firstLine="494"/>
        <w:rPr>
          <w:rFonts w:ascii="宋体" w:hAnsi="宋体" w:cs="宋体"/>
          <w:color w:val="000000" w:themeColor="text1"/>
          <w:sz w:val="24"/>
          <w:szCs w:val="24"/>
          <w:highlight w:val="none"/>
          <w14:textFill>
            <w14:solidFill>
              <w14:schemeClr w14:val="tx1"/>
            </w14:solidFill>
          </w14:textFill>
        </w:rPr>
      </w:pPr>
      <w:r>
        <w:rPr>
          <w:rFonts w:eastAsia="Times New Roman"/>
          <w:color w:val="000000" w:themeColor="text1"/>
          <w:spacing w:val="2"/>
          <w:sz w:val="24"/>
          <w:szCs w:val="24"/>
          <w:highlight w:val="none"/>
          <w14:textFill>
            <w14:solidFill>
              <w14:schemeClr w14:val="tx1"/>
            </w14:solidFill>
          </w14:textFill>
        </w:rPr>
        <w:t xml:space="preserve">18.5.2 </w:t>
      </w:r>
      <w:r>
        <w:rPr>
          <w:rFonts w:ascii="宋体" w:hAnsi="宋体" w:cs="宋体"/>
          <w:color w:val="000000" w:themeColor="text1"/>
          <w:spacing w:val="2"/>
          <w:sz w:val="24"/>
          <w:szCs w:val="24"/>
          <w:highlight w:val="none"/>
          <w14:textFill>
            <w14:solidFill>
              <w14:schemeClr w14:val="tx1"/>
            </w14:solidFill>
          </w14:textFill>
        </w:rPr>
        <w:t>承包人未按咨询人的要求恢复临时占地，或</w:t>
      </w:r>
      <w:r>
        <w:rPr>
          <w:rFonts w:ascii="宋体" w:hAnsi="宋体" w:cs="宋体"/>
          <w:color w:val="000000" w:themeColor="text1"/>
          <w:spacing w:val="1"/>
          <w:sz w:val="24"/>
          <w:szCs w:val="24"/>
          <w:highlight w:val="none"/>
          <w14:textFill>
            <w14:solidFill>
              <w14:schemeClr w14:val="tx1"/>
            </w14:solidFill>
          </w14:textFill>
        </w:rPr>
        <w:t>者场地清理未达到合同约定的，发包人有权委托其他人恢复或清理，所发生</w:t>
      </w:r>
      <w:r>
        <w:rPr>
          <w:rFonts w:ascii="宋体" w:hAnsi="宋体" w:cs="宋体"/>
          <w:color w:val="000000" w:themeColor="text1"/>
          <w:sz w:val="24"/>
          <w:szCs w:val="24"/>
          <w:highlight w:val="none"/>
          <w14:textFill>
            <w14:solidFill>
              <w14:schemeClr w14:val="tx1"/>
            </w14:solidFill>
          </w14:textFill>
        </w:rPr>
        <w:t>的金额从拟支付给承包人的款项中</w:t>
      </w:r>
      <w:r>
        <w:rPr>
          <w:rFonts w:ascii="宋体" w:hAnsi="宋体" w:cs="宋体"/>
          <w:color w:val="000000" w:themeColor="text1"/>
          <w:spacing w:val="-5"/>
          <w:sz w:val="24"/>
          <w:szCs w:val="24"/>
          <w:highlight w:val="none"/>
          <w14:textFill>
            <w14:solidFill>
              <w14:schemeClr w14:val="tx1"/>
            </w14:solidFill>
          </w14:textFill>
        </w:rPr>
        <w:t>扣除。</w:t>
      </w:r>
    </w:p>
    <w:p w14:paraId="52B8ACFA">
      <w:pPr>
        <w:spacing w:line="219" w:lineRule="auto"/>
        <w:ind w:left="487"/>
        <w:outlineLvl w:val="3"/>
        <w:rPr>
          <w:rFonts w:ascii="宋体" w:hAnsi="宋体" w:cs="宋体"/>
          <w:color w:val="000000" w:themeColor="text1"/>
          <w:sz w:val="24"/>
          <w:szCs w:val="24"/>
          <w:highlight w:val="none"/>
          <w14:textFill>
            <w14:solidFill>
              <w14:schemeClr w14:val="tx1"/>
            </w14:solidFill>
          </w14:textFill>
        </w:rPr>
      </w:pPr>
      <w:r>
        <w:rPr>
          <w:rFonts w:eastAsia="Times New Roman"/>
          <w:b/>
          <w:bCs/>
          <w:color w:val="000000" w:themeColor="text1"/>
          <w:spacing w:val="-3"/>
          <w:sz w:val="24"/>
          <w:szCs w:val="24"/>
          <w:highlight w:val="none"/>
          <w14:textFill>
            <w14:solidFill>
              <w14:schemeClr w14:val="tx1"/>
            </w14:solidFill>
          </w14:textFill>
        </w:rPr>
        <w:t xml:space="preserve">18.6  </w:t>
      </w:r>
      <w:r>
        <w:rPr>
          <w:rFonts w:ascii="宋体" w:hAnsi="宋体" w:cs="宋体"/>
          <w:b/>
          <w:bCs/>
          <w:color w:val="000000" w:themeColor="text1"/>
          <w:spacing w:val="-3"/>
          <w:sz w:val="24"/>
          <w:szCs w:val="24"/>
          <w:highlight w:val="none"/>
          <w14:textFill>
            <w14:solidFill>
              <w14:schemeClr w14:val="tx1"/>
            </w14:solidFill>
          </w14:textFill>
        </w:rPr>
        <w:t>养护队伍的撤离</w:t>
      </w:r>
    </w:p>
    <w:p w14:paraId="24B872B9">
      <w:pPr>
        <w:spacing w:before="124" w:line="309" w:lineRule="auto"/>
        <w:ind w:left="1" w:firstLine="483"/>
        <w:rPr>
          <w:rFonts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pacing w:val="3"/>
          <w:sz w:val="24"/>
          <w:szCs w:val="24"/>
          <w:highlight w:val="none"/>
          <w14:textFill>
            <w14:solidFill>
              <w14:schemeClr w14:val="tx1"/>
            </w14:solidFill>
          </w14:textFill>
        </w:rPr>
        <w:t>交工验收证书颁发后</w:t>
      </w:r>
      <w:r>
        <w:rPr>
          <w:rFonts w:ascii="宋体" w:hAnsi="宋体" w:cs="宋体"/>
          <w:color w:val="000000" w:themeColor="text1"/>
          <w:spacing w:val="-43"/>
          <w:sz w:val="24"/>
          <w:szCs w:val="24"/>
          <w:highlight w:val="none"/>
          <w14:textFill>
            <w14:solidFill>
              <w14:schemeClr w14:val="tx1"/>
            </w14:solidFill>
          </w14:textFill>
        </w:rPr>
        <w:t xml:space="preserve"> </w:t>
      </w:r>
      <w:r>
        <w:rPr>
          <w:rFonts w:eastAsia="Times New Roman"/>
          <w:color w:val="000000" w:themeColor="text1"/>
          <w:spacing w:val="3"/>
          <w:sz w:val="24"/>
          <w:szCs w:val="24"/>
          <w:highlight w:val="none"/>
          <w14:textFill>
            <w14:solidFill>
              <w14:schemeClr w14:val="tx1"/>
            </w14:solidFill>
          </w14:textFill>
        </w:rPr>
        <w:t>28</w:t>
      </w:r>
      <w:r>
        <w:rPr>
          <w:rFonts w:eastAsia="Times New Roman"/>
          <w:color w:val="000000" w:themeColor="text1"/>
          <w:spacing w:val="19"/>
          <w:sz w:val="24"/>
          <w:szCs w:val="24"/>
          <w:highlight w:val="none"/>
          <w14:textFill>
            <w14:solidFill>
              <w14:schemeClr w14:val="tx1"/>
            </w14:solidFill>
          </w14:textFill>
        </w:rPr>
        <w:t xml:space="preserve"> </w:t>
      </w:r>
      <w:r>
        <w:rPr>
          <w:rFonts w:ascii="宋体" w:hAnsi="宋体" w:cs="宋体"/>
          <w:color w:val="000000" w:themeColor="text1"/>
          <w:spacing w:val="3"/>
          <w:sz w:val="24"/>
          <w:szCs w:val="24"/>
          <w:highlight w:val="none"/>
          <w14:textFill>
            <w14:solidFill>
              <w14:schemeClr w14:val="tx1"/>
            </w14:solidFill>
          </w14:textFill>
        </w:rPr>
        <w:t>天内，除经咨询人同意需在缺陷责任期内继续工作和</w:t>
      </w:r>
      <w:r>
        <w:rPr>
          <w:rFonts w:ascii="宋体" w:hAnsi="宋体" w:cs="宋体"/>
          <w:color w:val="000000" w:themeColor="text1"/>
          <w:spacing w:val="1"/>
          <w:sz w:val="24"/>
          <w:szCs w:val="24"/>
          <w:highlight w:val="none"/>
          <w14:textFill>
            <w14:solidFill>
              <w14:schemeClr w14:val="tx1"/>
            </w14:solidFill>
          </w14:textFill>
        </w:rPr>
        <w:t>使用的人员、养护作业设备和临时工程外，其余的人员</w:t>
      </w:r>
      <w:r>
        <w:rPr>
          <w:rFonts w:ascii="宋体" w:hAnsi="宋体" w:cs="宋体"/>
          <w:color w:val="000000" w:themeColor="text1"/>
          <w:sz w:val="24"/>
          <w:szCs w:val="24"/>
          <w:highlight w:val="none"/>
          <w14:textFill>
            <w14:solidFill>
              <w14:schemeClr w14:val="tx1"/>
            </w14:solidFill>
          </w14:textFill>
        </w:rPr>
        <w:t>、养护作业设备和临时工程</w:t>
      </w:r>
      <w:r>
        <w:rPr>
          <w:rFonts w:ascii="宋体" w:hAnsi="宋体" w:cs="宋体"/>
          <w:color w:val="000000" w:themeColor="text1"/>
          <w:spacing w:val="1"/>
          <w:sz w:val="24"/>
          <w:szCs w:val="24"/>
          <w:highlight w:val="none"/>
          <w14:textFill>
            <w14:solidFill>
              <w14:schemeClr w14:val="tx1"/>
            </w14:solidFill>
          </w14:textFill>
        </w:rPr>
        <w:t>均应撤离养护作业场地或拆除。除合同另有约定外，缺</w:t>
      </w:r>
      <w:r>
        <w:rPr>
          <w:rFonts w:ascii="宋体" w:hAnsi="宋体" w:cs="宋体"/>
          <w:color w:val="000000" w:themeColor="text1"/>
          <w:sz w:val="24"/>
          <w:szCs w:val="24"/>
          <w:highlight w:val="none"/>
          <w14:textFill>
            <w14:solidFill>
              <w14:schemeClr w14:val="tx1"/>
            </w14:solidFill>
          </w14:textFill>
        </w:rPr>
        <w:t>陷责任期满时，承包人的人</w:t>
      </w:r>
      <w:r>
        <w:rPr>
          <w:rFonts w:ascii="宋体" w:hAnsi="宋体" w:cs="宋体"/>
          <w:color w:val="000000" w:themeColor="text1"/>
          <w:spacing w:val="-1"/>
          <w:sz w:val="24"/>
          <w:szCs w:val="24"/>
          <w:highlight w:val="none"/>
          <w14:textFill>
            <w14:solidFill>
              <w14:schemeClr w14:val="tx1"/>
            </w14:solidFill>
          </w14:textFill>
        </w:rPr>
        <w:t>员和养护作业设备应全部撤离养护作业场地。</w:t>
      </w:r>
    </w:p>
    <w:p w14:paraId="5E61DD71">
      <w:pPr>
        <w:spacing w:before="305" w:line="219" w:lineRule="auto"/>
        <w:ind w:left="487"/>
        <w:outlineLvl w:val="2"/>
        <w:rPr>
          <w:rFonts w:ascii="宋体" w:hAnsi="宋体" w:cs="宋体"/>
          <w:color w:val="000000" w:themeColor="text1"/>
          <w:sz w:val="24"/>
          <w:szCs w:val="24"/>
          <w:highlight w:val="none"/>
          <w14:textFill>
            <w14:solidFill>
              <w14:schemeClr w14:val="tx1"/>
            </w14:solidFill>
          </w14:textFill>
        </w:rPr>
      </w:pPr>
      <w:bookmarkStart w:id="168" w:name="bookmark44"/>
      <w:bookmarkEnd w:id="168"/>
      <w:bookmarkStart w:id="169" w:name="bookmark43"/>
      <w:bookmarkEnd w:id="169"/>
      <w:bookmarkStart w:id="170" w:name="_Toc9597"/>
      <w:r>
        <w:rPr>
          <w:rFonts w:eastAsia="Times New Roman"/>
          <w:b/>
          <w:bCs/>
          <w:color w:val="000000" w:themeColor="text1"/>
          <w:spacing w:val="-3"/>
          <w:sz w:val="24"/>
          <w:szCs w:val="24"/>
          <w:highlight w:val="none"/>
          <w14:textFill>
            <w14:solidFill>
              <w14:schemeClr w14:val="tx1"/>
            </w14:solidFill>
          </w14:textFill>
        </w:rPr>
        <w:t xml:space="preserve">19.  </w:t>
      </w:r>
      <w:r>
        <w:rPr>
          <w:rFonts w:ascii="宋体" w:hAnsi="宋体" w:cs="宋体"/>
          <w:b/>
          <w:bCs/>
          <w:color w:val="000000" w:themeColor="text1"/>
          <w:spacing w:val="-3"/>
          <w:sz w:val="24"/>
          <w:szCs w:val="24"/>
          <w:highlight w:val="none"/>
          <w14:textFill>
            <w14:solidFill>
              <w14:schemeClr w14:val="tx1"/>
            </w14:solidFill>
          </w14:textFill>
        </w:rPr>
        <w:t>缺陷责任</w:t>
      </w:r>
      <w:bookmarkEnd w:id="170"/>
    </w:p>
    <w:p w14:paraId="369C2C3A">
      <w:pPr>
        <w:spacing w:before="261" w:line="219" w:lineRule="auto"/>
        <w:ind w:left="487"/>
        <w:outlineLvl w:val="3"/>
        <w:rPr>
          <w:rFonts w:ascii="宋体" w:hAnsi="宋体" w:cs="宋体"/>
          <w:color w:val="000000" w:themeColor="text1"/>
          <w:sz w:val="24"/>
          <w:szCs w:val="24"/>
          <w:highlight w:val="none"/>
          <w14:textFill>
            <w14:solidFill>
              <w14:schemeClr w14:val="tx1"/>
            </w14:solidFill>
          </w14:textFill>
        </w:rPr>
      </w:pPr>
      <w:r>
        <w:rPr>
          <w:rFonts w:eastAsia="Times New Roman"/>
          <w:b/>
          <w:bCs/>
          <w:color w:val="000000" w:themeColor="text1"/>
          <w:spacing w:val="-3"/>
          <w:sz w:val="24"/>
          <w:szCs w:val="24"/>
          <w:highlight w:val="none"/>
          <w14:textFill>
            <w14:solidFill>
              <w14:schemeClr w14:val="tx1"/>
            </w14:solidFill>
          </w14:textFill>
        </w:rPr>
        <w:t xml:space="preserve">19.1  </w:t>
      </w:r>
      <w:r>
        <w:rPr>
          <w:rFonts w:ascii="宋体" w:hAnsi="宋体" w:cs="宋体"/>
          <w:b/>
          <w:bCs/>
          <w:color w:val="000000" w:themeColor="text1"/>
          <w:spacing w:val="-3"/>
          <w:sz w:val="24"/>
          <w:szCs w:val="24"/>
          <w:highlight w:val="none"/>
          <w14:textFill>
            <w14:solidFill>
              <w14:schemeClr w14:val="tx1"/>
            </w14:solidFill>
          </w14:textFill>
        </w:rPr>
        <w:t>缺陷责任期</w:t>
      </w:r>
    </w:p>
    <w:p w14:paraId="3F2609AE">
      <w:pPr>
        <w:spacing w:before="124" w:line="264" w:lineRule="auto"/>
        <w:ind w:left="7" w:right="2" w:firstLine="492"/>
        <w:rPr>
          <w:rFonts w:ascii="宋体" w:hAnsi="宋体" w:cs="宋体"/>
          <w:color w:val="000000" w:themeColor="text1"/>
          <w:sz w:val="24"/>
          <w:szCs w:val="24"/>
          <w:highlight w:val="none"/>
          <w14:textFill>
            <w14:solidFill>
              <w14:schemeClr w14:val="tx1"/>
            </w14:solidFill>
          </w14:textFill>
        </w:rPr>
      </w:pPr>
      <w:r>
        <w:rPr>
          <w:rFonts w:eastAsia="Times New Roman"/>
          <w:color w:val="000000" w:themeColor="text1"/>
          <w:sz w:val="24"/>
          <w:szCs w:val="24"/>
          <w:highlight w:val="none"/>
          <w14:textFill>
            <w14:solidFill>
              <w14:schemeClr w14:val="tx1"/>
            </w14:solidFill>
          </w14:textFill>
        </w:rPr>
        <w:t xml:space="preserve">19.1.1  </w:t>
      </w:r>
      <w:r>
        <w:rPr>
          <w:rFonts w:ascii="宋体" w:hAnsi="宋体" w:cs="宋体"/>
          <w:color w:val="000000" w:themeColor="text1"/>
          <w:sz w:val="24"/>
          <w:szCs w:val="24"/>
          <w:highlight w:val="none"/>
          <w14:textFill>
            <w14:solidFill>
              <w14:schemeClr w14:val="tx1"/>
            </w14:solidFill>
          </w14:textFill>
        </w:rPr>
        <w:t>缺陷责任期内因承包人原因产生的质量缺陷，承包人应承担质量缺陷修</w:t>
      </w:r>
      <w:r>
        <w:rPr>
          <w:rFonts w:ascii="宋体" w:hAnsi="宋体" w:cs="宋体"/>
          <w:color w:val="000000" w:themeColor="text1"/>
          <w:spacing w:val="-3"/>
          <w:sz w:val="24"/>
          <w:szCs w:val="24"/>
          <w:highlight w:val="none"/>
          <w14:textFill>
            <w14:solidFill>
              <w14:schemeClr w14:val="tx1"/>
            </w14:solidFill>
          </w14:textFill>
        </w:rPr>
        <w:t>复责任义务。</w:t>
      </w:r>
    </w:p>
    <w:p w14:paraId="76864D6F">
      <w:pPr>
        <w:spacing w:before="112" w:line="279" w:lineRule="auto"/>
        <w:ind w:right="2" w:firstLine="499"/>
        <w:rPr>
          <w:rFonts w:ascii="宋体" w:hAnsi="宋体" w:cs="宋体"/>
          <w:color w:val="000000" w:themeColor="text1"/>
          <w:sz w:val="24"/>
          <w:szCs w:val="24"/>
          <w:highlight w:val="none"/>
          <w14:textFill>
            <w14:solidFill>
              <w14:schemeClr w14:val="tx1"/>
            </w14:solidFill>
          </w14:textFill>
        </w:rPr>
      </w:pPr>
      <w:r>
        <w:rPr>
          <w:rFonts w:eastAsia="Times New Roman"/>
          <w:color w:val="000000" w:themeColor="text1"/>
          <w:sz w:val="24"/>
          <w:szCs w:val="24"/>
          <w:highlight w:val="none"/>
          <w14:textFill>
            <w14:solidFill>
              <w14:schemeClr w14:val="tx1"/>
            </w14:solidFill>
          </w14:textFill>
        </w:rPr>
        <w:t xml:space="preserve">19.1.2  </w:t>
      </w:r>
      <w:r>
        <w:rPr>
          <w:rFonts w:ascii="宋体" w:hAnsi="宋体" w:cs="宋体"/>
          <w:color w:val="000000" w:themeColor="text1"/>
          <w:sz w:val="24"/>
          <w:szCs w:val="24"/>
          <w:highlight w:val="none"/>
          <w14:textFill>
            <w14:solidFill>
              <w14:schemeClr w14:val="tx1"/>
            </w14:solidFill>
          </w14:textFill>
        </w:rPr>
        <w:t>养护工程的缺陷责任期自全部养护工程实际交工日期起计算，具体期限</w:t>
      </w:r>
      <w:r>
        <w:rPr>
          <w:rFonts w:ascii="宋体" w:hAnsi="宋体" w:cs="宋体"/>
          <w:color w:val="000000" w:themeColor="text1"/>
          <w:spacing w:val="3"/>
          <w:sz w:val="24"/>
          <w:szCs w:val="24"/>
          <w:highlight w:val="none"/>
          <w14:textFill>
            <w14:solidFill>
              <w14:schemeClr w14:val="tx1"/>
            </w14:solidFill>
          </w14:textFill>
        </w:rPr>
        <w:t>在专用合同条款中约定，但最长不超过</w:t>
      </w:r>
      <w:r>
        <w:rPr>
          <w:rFonts w:ascii="宋体" w:hAnsi="宋体" w:cs="宋体"/>
          <w:color w:val="000000" w:themeColor="text1"/>
          <w:spacing w:val="-27"/>
          <w:sz w:val="24"/>
          <w:szCs w:val="24"/>
          <w:highlight w:val="none"/>
          <w14:textFill>
            <w14:solidFill>
              <w14:schemeClr w14:val="tx1"/>
            </w14:solidFill>
          </w14:textFill>
        </w:rPr>
        <w:t xml:space="preserve"> </w:t>
      </w:r>
      <w:r>
        <w:rPr>
          <w:rFonts w:eastAsia="Times New Roman"/>
          <w:color w:val="000000" w:themeColor="text1"/>
          <w:spacing w:val="3"/>
          <w:sz w:val="24"/>
          <w:szCs w:val="24"/>
          <w:highlight w:val="none"/>
          <w14:textFill>
            <w14:solidFill>
              <w14:schemeClr w14:val="tx1"/>
            </w14:solidFill>
          </w14:textFill>
        </w:rPr>
        <w:t>12</w:t>
      </w:r>
      <w:r>
        <w:rPr>
          <w:rFonts w:ascii="宋体" w:hAnsi="宋体" w:cs="宋体"/>
          <w:color w:val="000000" w:themeColor="text1"/>
          <w:spacing w:val="3"/>
          <w:sz w:val="24"/>
          <w:szCs w:val="24"/>
          <w:highlight w:val="none"/>
          <w14:textFill>
            <w14:solidFill>
              <w14:schemeClr w14:val="tx1"/>
            </w14:solidFill>
          </w14:textFill>
        </w:rPr>
        <w:t>个月。在全部工程交工验收前，已经发</w:t>
      </w:r>
      <w:r>
        <w:rPr>
          <w:rFonts w:ascii="宋体" w:hAnsi="宋体" w:cs="宋体"/>
          <w:color w:val="000000" w:themeColor="text1"/>
          <w:sz w:val="24"/>
          <w:szCs w:val="24"/>
          <w:highlight w:val="none"/>
          <w14:textFill>
            <w14:solidFill>
              <w14:schemeClr w14:val="tx1"/>
            </w14:solidFill>
          </w14:textFill>
        </w:rPr>
        <w:t>包人提前验收的单位养护工程，其缺陷责任期</w:t>
      </w:r>
      <w:r>
        <w:rPr>
          <w:rFonts w:ascii="宋体" w:hAnsi="宋体" w:cs="宋体"/>
          <w:color w:val="000000" w:themeColor="text1"/>
          <w:spacing w:val="-1"/>
          <w:sz w:val="24"/>
          <w:szCs w:val="24"/>
          <w:highlight w:val="none"/>
          <w14:textFill>
            <w14:solidFill>
              <w14:schemeClr w14:val="tx1"/>
            </w14:solidFill>
          </w14:textFill>
        </w:rPr>
        <w:t>的起算日期相应提前。</w:t>
      </w:r>
    </w:p>
    <w:p w14:paraId="20DE0476">
      <w:pPr>
        <w:spacing w:before="104" w:line="219" w:lineRule="auto"/>
        <w:ind w:left="487"/>
        <w:outlineLvl w:val="3"/>
        <w:rPr>
          <w:rFonts w:ascii="宋体" w:hAnsi="宋体" w:cs="宋体"/>
          <w:color w:val="000000" w:themeColor="text1"/>
          <w:sz w:val="24"/>
          <w:szCs w:val="24"/>
          <w:highlight w:val="none"/>
          <w14:textFill>
            <w14:solidFill>
              <w14:schemeClr w14:val="tx1"/>
            </w14:solidFill>
          </w14:textFill>
        </w:rPr>
      </w:pPr>
      <w:r>
        <w:rPr>
          <w:rFonts w:eastAsia="Times New Roman"/>
          <w:b/>
          <w:bCs/>
          <w:color w:val="000000" w:themeColor="text1"/>
          <w:spacing w:val="-3"/>
          <w:sz w:val="24"/>
          <w:szCs w:val="24"/>
          <w:highlight w:val="none"/>
          <w14:textFill>
            <w14:solidFill>
              <w14:schemeClr w14:val="tx1"/>
            </w14:solidFill>
          </w14:textFill>
        </w:rPr>
        <w:t xml:space="preserve">19.2  </w:t>
      </w:r>
      <w:r>
        <w:rPr>
          <w:rFonts w:ascii="宋体" w:hAnsi="宋体" w:cs="宋体"/>
          <w:b/>
          <w:bCs/>
          <w:color w:val="000000" w:themeColor="text1"/>
          <w:spacing w:val="-3"/>
          <w:sz w:val="24"/>
          <w:szCs w:val="24"/>
          <w:highlight w:val="none"/>
          <w14:textFill>
            <w14:solidFill>
              <w14:schemeClr w14:val="tx1"/>
            </w14:solidFill>
          </w14:textFill>
        </w:rPr>
        <w:t>缺陷责任</w:t>
      </w:r>
    </w:p>
    <w:p w14:paraId="783C029A">
      <w:pPr>
        <w:spacing w:before="126" w:line="219" w:lineRule="auto"/>
        <w:ind w:left="499"/>
        <w:rPr>
          <w:rFonts w:ascii="宋体" w:hAnsi="宋体" w:cs="宋体"/>
          <w:color w:val="000000" w:themeColor="text1"/>
          <w:sz w:val="24"/>
          <w:szCs w:val="24"/>
          <w:highlight w:val="none"/>
          <w14:textFill>
            <w14:solidFill>
              <w14:schemeClr w14:val="tx1"/>
            </w14:solidFill>
          </w14:textFill>
        </w:rPr>
      </w:pPr>
      <w:r>
        <w:rPr>
          <w:rFonts w:eastAsia="Times New Roman"/>
          <w:color w:val="000000" w:themeColor="text1"/>
          <w:spacing w:val="-1"/>
          <w:sz w:val="24"/>
          <w:szCs w:val="24"/>
          <w:highlight w:val="none"/>
          <w14:textFill>
            <w14:solidFill>
              <w14:schemeClr w14:val="tx1"/>
            </w14:solidFill>
          </w14:textFill>
        </w:rPr>
        <w:t xml:space="preserve">19.2.1  </w:t>
      </w:r>
      <w:r>
        <w:rPr>
          <w:rFonts w:ascii="宋体" w:hAnsi="宋体" w:cs="宋体"/>
          <w:color w:val="000000" w:themeColor="text1"/>
          <w:spacing w:val="-1"/>
          <w:sz w:val="24"/>
          <w:szCs w:val="24"/>
          <w:highlight w:val="none"/>
          <w14:textFill>
            <w14:solidFill>
              <w14:schemeClr w14:val="tx1"/>
            </w14:solidFill>
          </w14:textFill>
        </w:rPr>
        <w:t>承包人应在缺陷责任期内对已验收的养护项目承担缺陷责任。</w:t>
      </w:r>
    </w:p>
    <w:p w14:paraId="218B3BAE">
      <w:pPr>
        <w:spacing w:before="116" w:line="278" w:lineRule="auto"/>
        <w:ind w:firstLine="499"/>
        <w:rPr>
          <w:rFonts w:ascii="宋体" w:hAnsi="宋体" w:cs="宋体"/>
          <w:color w:val="000000" w:themeColor="text1"/>
          <w:sz w:val="24"/>
          <w:szCs w:val="24"/>
          <w:highlight w:val="none"/>
          <w14:textFill>
            <w14:solidFill>
              <w14:schemeClr w14:val="tx1"/>
            </w14:solidFill>
          </w14:textFill>
        </w:rPr>
      </w:pPr>
      <w:r>
        <w:rPr>
          <w:rFonts w:eastAsia="Times New Roman"/>
          <w:color w:val="000000" w:themeColor="text1"/>
          <w:sz w:val="24"/>
          <w:szCs w:val="24"/>
          <w:highlight w:val="none"/>
          <w14:textFill>
            <w14:solidFill>
              <w14:schemeClr w14:val="tx1"/>
            </w14:solidFill>
          </w14:textFill>
        </w:rPr>
        <w:t xml:space="preserve">19.2.2  </w:t>
      </w:r>
      <w:r>
        <w:rPr>
          <w:rFonts w:ascii="宋体" w:hAnsi="宋体" w:cs="宋体"/>
          <w:color w:val="000000" w:themeColor="text1"/>
          <w:sz w:val="24"/>
          <w:szCs w:val="24"/>
          <w:highlight w:val="none"/>
          <w14:textFill>
            <w14:solidFill>
              <w14:schemeClr w14:val="tx1"/>
            </w14:solidFill>
          </w14:textFill>
        </w:rPr>
        <w:t>缺陷责任期内，发包人对已验收的养护项目负责日常维护工作。发包人</w:t>
      </w:r>
      <w:r>
        <w:rPr>
          <w:rFonts w:ascii="宋体" w:hAnsi="宋体" w:cs="宋体"/>
          <w:color w:val="000000" w:themeColor="text1"/>
          <w:spacing w:val="1"/>
          <w:sz w:val="24"/>
          <w:szCs w:val="24"/>
          <w:highlight w:val="none"/>
          <w14:textFill>
            <w14:solidFill>
              <w14:schemeClr w14:val="tx1"/>
            </w14:solidFill>
          </w14:textFill>
        </w:rPr>
        <w:t>在使用过程中，发现已验收的养护项目存在新的缺陷或已修</w:t>
      </w:r>
      <w:r>
        <w:rPr>
          <w:rFonts w:ascii="宋体" w:hAnsi="宋体" w:cs="宋体"/>
          <w:color w:val="000000" w:themeColor="text1"/>
          <w:sz w:val="24"/>
          <w:szCs w:val="24"/>
          <w:highlight w:val="none"/>
          <w14:textFill>
            <w14:solidFill>
              <w14:schemeClr w14:val="tx1"/>
            </w14:solidFill>
          </w14:textFill>
        </w:rPr>
        <w:t>复的缺陷部位或部件又</w:t>
      </w:r>
      <w:r>
        <w:rPr>
          <w:rFonts w:ascii="宋体" w:hAnsi="宋体" w:cs="宋体"/>
          <w:color w:val="000000" w:themeColor="text1"/>
          <w:spacing w:val="-1"/>
          <w:sz w:val="24"/>
          <w:szCs w:val="24"/>
          <w:highlight w:val="none"/>
          <w14:textFill>
            <w14:solidFill>
              <w14:schemeClr w14:val="tx1"/>
            </w14:solidFill>
          </w14:textFill>
        </w:rPr>
        <w:t>遭损坏的，承包人应负责修复，直至检验合格为止。</w:t>
      </w:r>
    </w:p>
    <w:p w14:paraId="248ED15B">
      <w:pPr>
        <w:spacing w:before="116" w:line="307" w:lineRule="auto"/>
        <w:ind w:left="2" w:firstLine="477"/>
        <w:rPr>
          <w:rFonts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pacing w:val="1"/>
          <w:sz w:val="24"/>
          <w:szCs w:val="24"/>
          <w:highlight w:val="none"/>
          <w14:textFill>
            <w14:solidFill>
              <w14:schemeClr w14:val="tx1"/>
            </w14:solidFill>
          </w14:textFill>
        </w:rPr>
        <w:t>在缺陷责任期内，承包人应尽快完成在交工验收证书中写明</w:t>
      </w:r>
      <w:r>
        <w:rPr>
          <w:rFonts w:ascii="宋体" w:hAnsi="宋体" w:cs="宋体"/>
          <w:color w:val="000000" w:themeColor="text1"/>
          <w:sz w:val="24"/>
          <w:szCs w:val="24"/>
          <w:highlight w:val="none"/>
          <w14:textFill>
            <w14:solidFill>
              <w14:schemeClr w14:val="tx1"/>
            </w14:solidFill>
          </w14:textFill>
        </w:rPr>
        <w:t>的未完成工作，并</w:t>
      </w:r>
      <w:r>
        <w:rPr>
          <w:rFonts w:ascii="宋体" w:hAnsi="宋体" w:cs="宋体"/>
          <w:color w:val="000000" w:themeColor="text1"/>
          <w:spacing w:val="-1"/>
          <w:sz w:val="24"/>
          <w:szCs w:val="24"/>
          <w:highlight w:val="none"/>
          <w14:textFill>
            <w14:solidFill>
              <w14:schemeClr w14:val="tx1"/>
            </w14:solidFill>
          </w14:textFill>
        </w:rPr>
        <w:t>完成对养护项目缺陷的修复或咨询人指令的修补工作。</w:t>
      </w:r>
    </w:p>
    <w:p w14:paraId="4CF5280D">
      <w:pPr>
        <w:spacing w:before="1" w:line="278" w:lineRule="auto"/>
        <w:ind w:firstLine="498"/>
        <w:rPr>
          <w:rFonts w:ascii="宋体" w:hAnsi="宋体" w:cs="宋体"/>
          <w:color w:val="000000" w:themeColor="text1"/>
          <w:sz w:val="24"/>
          <w:szCs w:val="24"/>
          <w:highlight w:val="none"/>
          <w14:textFill>
            <w14:solidFill>
              <w14:schemeClr w14:val="tx1"/>
            </w14:solidFill>
          </w14:textFill>
        </w:rPr>
      </w:pPr>
      <w:r>
        <w:rPr>
          <w:rFonts w:eastAsia="Times New Roman"/>
          <w:color w:val="000000" w:themeColor="text1"/>
          <w:sz w:val="24"/>
          <w:szCs w:val="24"/>
          <w:highlight w:val="none"/>
          <w14:textFill>
            <w14:solidFill>
              <w14:schemeClr w14:val="tx1"/>
            </w14:solidFill>
          </w14:textFill>
        </w:rPr>
        <w:t xml:space="preserve">19.2.3  </w:t>
      </w:r>
      <w:r>
        <w:rPr>
          <w:rFonts w:ascii="宋体" w:hAnsi="宋体" w:cs="宋体"/>
          <w:color w:val="000000" w:themeColor="text1"/>
          <w:sz w:val="24"/>
          <w:szCs w:val="24"/>
          <w:highlight w:val="none"/>
          <w14:textFill>
            <w14:solidFill>
              <w14:schemeClr w14:val="tx1"/>
            </w14:solidFill>
          </w14:textFill>
        </w:rPr>
        <w:t>咨询人和承包人应共同查清缺陷和（或）损坏的原因。经查明属承包人</w:t>
      </w:r>
      <w:r>
        <w:rPr>
          <w:rFonts w:ascii="宋体" w:hAnsi="宋体" w:cs="宋体"/>
          <w:color w:val="000000" w:themeColor="text1"/>
          <w:spacing w:val="1"/>
          <w:sz w:val="24"/>
          <w:szCs w:val="24"/>
          <w:highlight w:val="none"/>
          <w14:textFill>
            <w14:solidFill>
              <w14:schemeClr w14:val="tx1"/>
            </w14:solidFill>
          </w14:textFill>
        </w:rPr>
        <w:t>原因造成的，应由承包人承担修复和查验的费用。经查验</w:t>
      </w:r>
      <w:r>
        <w:rPr>
          <w:rFonts w:ascii="宋体" w:hAnsi="宋体" w:cs="宋体"/>
          <w:color w:val="000000" w:themeColor="text1"/>
          <w:sz w:val="24"/>
          <w:szCs w:val="24"/>
          <w:highlight w:val="none"/>
          <w14:textFill>
            <w14:solidFill>
              <w14:schemeClr w14:val="tx1"/>
            </w14:solidFill>
          </w14:textFill>
        </w:rPr>
        <w:t>属发包人原因造成的，发</w:t>
      </w:r>
      <w:r>
        <w:rPr>
          <w:rFonts w:ascii="宋体" w:hAnsi="宋体" w:cs="宋体"/>
          <w:color w:val="000000" w:themeColor="text1"/>
          <w:spacing w:val="-1"/>
          <w:sz w:val="24"/>
          <w:szCs w:val="24"/>
          <w:highlight w:val="none"/>
          <w14:textFill>
            <w14:solidFill>
              <w14:schemeClr w14:val="tx1"/>
            </w14:solidFill>
          </w14:textFill>
        </w:rPr>
        <w:t>包人应承担修复和查验的费用，并支付承包人合理利润。</w:t>
      </w:r>
    </w:p>
    <w:p w14:paraId="68395F7D">
      <w:pPr>
        <w:spacing w:before="115" w:line="264" w:lineRule="auto"/>
        <w:ind w:right="2" w:firstLine="498"/>
        <w:rPr>
          <w:color w:val="000000" w:themeColor="text1"/>
          <w:highlight w:val="none"/>
          <w14:textFill>
            <w14:solidFill>
              <w14:schemeClr w14:val="tx1"/>
            </w14:solidFill>
          </w14:textFill>
        </w:rPr>
      </w:pPr>
      <w:r>
        <w:rPr>
          <w:rFonts w:eastAsia="Times New Roman"/>
          <w:color w:val="000000" w:themeColor="text1"/>
          <w:sz w:val="24"/>
          <w:szCs w:val="24"/>
          <w:highlight w:val="none"/>
          <w14:textFill>
            <w14:solidFill>
              <w14:schemeClr w14:val="tx1"/>
            </w14:solidFill>
          </w14:textFill>
        </w:rPr>
        <w:t xml:space="preserve">19.2.4  </w:t>
      </w:r>
      <w:r>
        <w:rPr>
          <w:rFonts w:ascii="宋体" w:hAnsi="宋体" w:cs="宋体"/>
          <w:color w:val="000000" w:themeColor="text1"/>
          <w:sz w:val="24"/>
          <w:szCs w:val="24"/>
          <w:highlight w:val="none"/>
          <w14:textFill>
            <w14:solidFill>
              <w14:schemeClr w14:val="tx1"/>
            </w14:solidFill>
          </w14:textFill>
        </w:rPr>
        <w:t>承包人不能在合理时间内修复缺陷的，发包人可自行修复或委托其他人</w:t>
      </w:r>
      <w:r>
        <w:rPr>
          <w:rFonts w:ascii="宋体" w:hAnsi="宋体" w:cs="宋体"/>
          <w:color w:val="000000" w:themeColor="text1"/>
          <w:spacing w:val="-1"/>
          <w:sz w:val="24"/>
          <w:szCs w:val="24"/>
          <w:highlight w:val="none"/>
          <w14:textFill>
            <w14:solidFill>
              <w14:schemeClr w14:val="tx1"/>
            </w14:solidFill>
          </w14:textFill>
        </w:rPr>
        <w:t>修复，所需费用和利润的承担，按第</w:t>
      </w:r>
      <w:r>
        <w:rPr>
          <w:rFonts w:ascii="宋体" w:hAnsi="宋体" w:cs="宋体"/>
          <w:color w:val="000000" w:themeColor="text1"/>
          <w:spacing w:val="-32"/>
          <w:sz w:val="24"/>
          <w:szCs w:val="24"/>
          <w:highlight w:val="none"/>
          <w14:textFill>
            <w14:solidFill>
              <w14:schemeClr w14:val="tx1"/>
            </w14:solidFill>
          </w14:textFill>
        </w:rPr>
        <w:t xml:space="preserve"> </w:t>
      </w:r>
      <w:r>
        <w:rPr>
          <w:rFonts w:eastAsia="Times New Roman"/>
          <w:color w:val="000000" w:themeColor="text1"/>
          <w:spacing w:val="-1"/>
          <w:sz w:val="24"/>
          <w:szCs w:val="24"/>
          <w:highlight w:val="none"/>
          <w14:textFill>
            <w14:solidFill>
              <w14:schemeClr w14:val="tx1"/>
            </w14:solidFill>
          </w14:textFill>
        </w:rPr>
        <w:t>19.</w:t>
      </w:r>
      <w:r>
        <w:rPr>
          <w:rFonts w:eastAsia="Times New Roman"/>
          <w:color w:val="000000" w:themeColor="text1"/>
          <w:spacing w:val="-2"/>
          <w:sz w:val="24"/>
          <w:szCs w:val="24"/>
          <w:highlight w:val="none"/>
          <w14:textFill>
            <w14:solidFill>
              <w14:schemeClr w14:val="tx1"/>
            </w14:solidFill>
          </w14:textFill>
        </w:rPr>
        <w:t xml:space="preserve">2.3 </w:t>
      </w:r>
      <w:r>
        <w:rPr>
          <w:rFonts w:ascii="宋体" w:hAnsi="宋体" w:cs="宋体"/>
          <w:color w:val="000000" w:themeColor="text1"/>
          <w:spacing w:val="-2"/>
          <w:sz w:val="24"/>
          <w:szCs w:val="24"/>
          <w:highlight w:val="none"/>
          <w14:textFill>
            <w14:solidFill>
              <w14:schemeClr w14:val="tx1"/>
            </w14:solidFill>
          </w14:textFill>
        </w:rPr>
        <w:t>项约定办理。</w:t>
      </w:r>
    </w:p>
    <w:p w14:paraId="48B76E09">
      <w:pPr>
        <w:spacing w:before="78" w:line="219" w:lineRule="auto"/>
        <w:ind w:left="486"/>
        <w:outlineLvl w:val="3"/>
        <w:rPr>
          <w:rFonts w:ascii="宋体" w:hAnsi="宋体" w:cs="宋体"/>
          <w:color w:val="000000" w:themeColor="text1"/>
          <w:sz w:val="24"/>
          <w:szCs w:val="24"/>
          <w:highlight w:val="none"/>
          <w14:textFill>
            <w14:solidFill>
              <w14:schemeClr w14:val="tx1"/>
            </w14:solidFill>
          </w14:textFill>
        </w:rPr>
      </w:pPr>
      <w:bookmarkStart w:id="171" w:name="bookmark229"/>
      <w:bookmarkEnd w:id="171"/>
      <w:r>
        <w:rPr>
          <w:rFonts w:eastAsia="Times New Roman"/>
          <w:b/>
          <w:bCs/>
          <w:color w:val="000000" w:themeColor="text1"/>
          <w:spacing w:val="-3"/>
          <w:sz w:val="24"/>
          <w:szCs w:val="24"/>
          <w:highlight w:val="none"/>
          <w14:textFill>
            <w14:solidFill>
              <w14:schemeClr w14:val="tx1"/>
            </w14:solidFill>
          </w14:textFill>
        </w:rPr>
        <w:t xml:space="preserve">19.3  </w:t>
      </w:r>
      <w:r>
        <w:rPr>
          <w:rFonts w:ascii="宋体" w:hAnsi="宋体" w:cs="宋体"/>
          <w:b/>
          <w:bCs/>
          <w:color w:val="000000" w:themeColor="text1"/>
          <w:spacing w:val="-3"/>
          <w:sz w:val="24"/>
          <w:szCs w:val="24"/>
          <w:highlight w:val="none"/>
          <w14:textFill>
            <w14:solidFill>
              <w14:schemeClr w14:val="tx1"/>
            </w14:solidFill>
          </w14:textFill>
        </w:rPr>
        <w:t>缺陷责任期的延长</w:t>
      </w:r>
    </w:p>
    <w:p w14:paraId="34DE4263">
      <w:pPr>
        <w:spacing w:before="126" w:line="305" w:lineRule="auto"/>
        <w:ind w:right="25" w:firstLine="508"/>
        <w:rPr>
          <w:rFonts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由于承包人原因造成某项缺陷或损坏使某单位养护工程、养护单元或</w:t>
      </w:r>
      <w:r>
        <w:rPr>
          <w:rFonts w:ascii="宋体" w:hAnsi="宋体" w:cs="宋体"/>
          <w:color w:val="000000" w:themeColor="text1"/>
          <w:spacing w:val="-1"/>
          <w:sz w:val="24"/>
          <w:szCs w:val="24"/>
          <w:highlight w:val="none"/>
          <w14:textFill>
            <w14:solidFill>
              <w14:schemeClr w14:val="tx1"/>
            </w14:solidFill>
          </w14:textFill>
        </w:rPr>
        <w:t>工程设备</w:t>
      </w:r>
      <w:r>
        <w:rPr>
          <w:rFonts w:ascii="宋体" w:hAnsi="宋体" w:cs="宋体"/>
          <w:color w:val="000000" w:themeColor="text1"/>
          <w:spacing w:val="1"/>
          <w:sz w:val="24"/>
          <w:szCs w:val="24"/>
          <w:highlight w:val="none"/>
          <w14:textFill>
            <w14:solidFill>
              <w14:schemeClr w14:val="tx1"/>
            </w14:solidFill>
          </w14:textFill>
        </w:rPr>
        <w:t>不能按原定目标使用而需要再次检查、检验和修复的，</w:t>
      </w:r>
      <w:r>
        <w:rPr>
          <w:rFonts w:ascii="宋体" w:hAnsi="宋体" w:cs="宋体"/>
          <w:color w:val="000000" w:themeColor="text1"/>
          <w:sz w:val="24"/>
          <w:szCs w:val="24"/>
          <w:highlight w:val="none"/>
          <w14:textFill>
            <w14:solidFill>
              <w14:schemeClr w14:val="tx1"/>
            </w14:solidFill>
          </w14:textFill>
        </w:rPr>
        <w:t>发包人有权要求承包人相应</w:t>
      </w:r>
      <w:r>
        <w:rPr>
          <w:rFonts w:ascii="宋体" w:hAnsi="宋体" w:cs="宋体"/>
          <w:color w:val="000000" w:themeColor="text1"/>
          <w:spacing w:val="-2"/>
          <w:sz w:val="24"/>
          <w:szCs w:val="24"/>
          <w:highlight w:val="none"/>
          <w14:textFill>
            <w14:solidFill>
              <w14:schemeClr w14:val="tx1"/>
            </w14:solidFill>
          </w14:textFill>
        </w:rPr>
        <w:t>延长缺陷责任期，但缺陷责任期最长不超过</w:t>
      </w:r>
      <w:r>
        <w:rPr>
          <w:rFonts w:ascii="宋体" w:hAnsi="宋体" w:cs="宋体"/>
          <w:color w:val="000000" w:themeColor="text1"/>
          <w:spacing w:val="-22"/>
          <w:sz w:val="24"/>
          <w:szCs w:val="24"/>
          <w:highlight w:val="none"/>
          <w14:textFill>
            <w14:solidFill>
              <w14:schemeClr w14:val="tx1"/>
            </w14:solidFill>
          </w14:textFill>
        </w:rPr>
        <w:t xml:space="preserve"> </w:t>
      </w:r>
      <w:r>
        <w:rPr>
          <w:rFonts w:eastAsia="Times New Roman"/>
          <w:color w:val="000000" w:themeColor="text1"/>
          <w:spacing w:val="-2"/>
          <w:sz w:val="24"/>
          <w:szCs w:val="24"/>
          <w:highlight w:val="none"/>
          <w14:textFill>
            <w14:solidFill>
              <w14:schemeClr w14:val="tx1"/>
            </w14:solidFill>
          </w14:textFill>
        </w:rPr>
        <w:t xml:space="preserve">12 </w:t>
      </w:r>
      <w:r>
        <w:rPr>
          <w:rFonts w:ascii="宋体" w:hAnsi="宋体" w:cs="宋体"/>
          <w:color w:val="000000" w:themeColor="text1"/>
          <w:spacing w:val="-2"/>
          <w:sz w:val="24"/>
          <w:szCs w:val="24"/>
          <w:highlight w:val="none"/>
          <w14:textFill>
            <w14:solidFill>
              <w14:schemeClr w14:val="tx1"/>
            </w14:solidFill>
          </w14:textFill>
        </w:rPr>
        <w:t>个月。</w:t>
      </w:r>
    </w:p>
    <w:p w14:paraId="23BB63AA">
      <w:pPr>
        <w:spacing w:line="219" w:lineRule="auto"/>
        <w:ind w:left="486"/>
        <w:outlineLvl w:val="3"/>
        <w:rPr>
          <w:rFonts w:ascii="宋体" w:hAnsi="宋体" w:cs="宋体"/>
          <w:color w:val="000000" w:themeColor="text1"/>
          <w:sz w:val="24"/>
          <w:szCs w:val="24"/>
          <w:highlight w:val="none"/>
          <w14:textFill>
            <w14:solidFill>
              <w14:schemeClr w14:val="tx1"/>
            </w14:solidFill>
          </w14:textFill>
        </w:rPr>
      </w:pPr>
      <w:r>
        <w:rPr>
          <w:rFonts w:eastAsia="Times New Roman"/>
          <w:b/>
          <w:bCs/>
          <w:color w:val="000000" w:themeColor="text1"/>
          <w:spacing w:val="-3"/>
          <w:sz w:val="24"/>
          <w:szCs w:val="24"/>
          <w:highlight w:val="none"/>
          <w14:textFill>
            <w14:solidFill>
              <w14:schemeClr w14:val="tx1"/>
            </w14:solidFill>
          </w14:textFill>
        </w:rPr>
        <w:t xml:space="preserve">19.4  </w:t>
      </w:r>
      <w:r>
        <w:rPr>
          <w:rFonts w:ascii="宋体" w:hAnsi="宋体" w:cs="宋体"/>
          <w:b/>
          <w:bCs/>
          <w:color w:val="000000" w:themeColor="text1"/>
          <w:spacing w:val="-3"/>
          <w:sz w:val="24"/>
          <w:szCs w:val="24"/>
          <w:highlight w:val="none"/>
          <w14:textFill>
            <w14:solidFill>
              <w14:schemeClr w14:val="tx1"/>
            </w14:solidFill>
          </w14:textFill>
        </w:rPr>
        <w:t>进一步试验</w:t>
      </w:r>
    </w:p>
    <w:p w14:paraId="67B7CE9D">
      <w:pPr>
        <w:spacing w:before="123" w:line="305" w:lineRule="auto"/>
        <w:ind w:left="2" w:right="25" w:firstLine="476"/>
        <w:rPr>
          <w:rFonts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pacing w:val="1"/>
          <w:sz w:val="24"/>
          <w:szCs w:val="24"/>
          <w:highlight w:val="none"/>
          <w14:textFill>
            <w14:solidFill>
              <w14:schemeClr w14:val="tx1"/>
            </w14:solidFill>
          </w14:textFill>
        </w:rPr>
        <w:t>任何一项缺陷或损坏修复后，经检查证明其影响了某单位养</w:t>
      </w:r>
      <w:r>
        <w:rPr>
          <w:rFonts w:ascii="宋体" w:hAnsi="宋体" w:cs="宋体"/>
          <w:color w:val="000000" w:themeColor="text1"/>
          <w:sz w:val="24"/>
          <w:szCs w:val="24"/>
          <w:highlight w:val="none"/>
          <w14:textFill>
            <w14:solidFill>
              <w14:schemeClr w14:val="tx1"/>
            </w14:solidFill>
          </w14:textFill>
        </w:rPr>
        <w:t>护工程、养护单元</w:t>
      </w:r>
      <w:r>
        <w:rPr>
          <w:rFonts w:ascii="宋体" w:hAnsi="宋体" w:cs="宋体"/>
          <w:color w:val="000000" w:themeColor="text1"/>
          <w:spacing w:val="1"/>
          <w:sz w:val="24"/>
          <w:szCs w:val="24"/>
          <w:highlight w:val="none"/>
          <w14:textFill>
            <w14:solidFill>
              <w14:schemeClr w14:val="tx1"/>
            </w14:solidFill>
          </w14:textFill>
        </w:rPr>
        <w:t>或工程设备的使用性能，承包人应重新进行合同约</w:t>
      </w:r>
      <w:r>
        <w:rPr>
          <w:rFonts w:ascii="宋体" w:hAnsi="宋体" w:cs="宋体"/>
          <w:color w:val="000000" w:themeColor="text1"/>
          <w:sz w:val="24"/>
          <w:szCs w:val="24"/>
          <w:highlight w:val="none"/>
          <w14:textFill>
            <w14:solidFill>
              <w14:schemeClr w14:val="tx1"/>
            </w14:solidFill>
          </w14:textFill>
        </w:rPr>
        <w:t>定的试验，试验的全部费用应由</w:t>
      </w:r>
      <w:r>
        <w:rPr>
          <w:rFonts w:ascii="宋体" w:hAnsi="宋体" w:cs="宋体"/>
          <w:color w:val="000000" w:themeColor="text1"/>
          <w:spacing w:val="-3"/>
          <w:sz w:val="24"/>
          <w:szCs w:val="24"/>
          <w:highlight w:val="none"/>
          <w14:textFill>
            <w14:solidFill>
              <w14:schemeClr w14:val="tx1"/>
            </w14:solidFill>
          </w14:textFill>
        </w:rPr>
        <w:t>责任方承担。</w:t>
      </w:r>
    </w:p>
    <w:p w14:paraId="2943F398">
      <w:pPr>
        <w:spacing w:line="219" w:lineRule="auto"/>
        <w:ind w:left="486"/>
        <w:outlineLvl w:val="3"/>
        <w:rPr>
          <w:rFonts w:ascii="宋体" w:hAnsi="宋体" w:cs="宋体"/>
          <w:color w:val="000000" w:themeColor="text1"/>
          <w:sz w:val="24"/>
          <w:szCs w:val="24"/>
          <w:highlight w:val="none"/>
          <w14:textFill>
            <w14:solidFill>
              <w14:schemeClr w14:val="tx1"/>
            </w14:solidFill>
          </w14:textFill>
        </w:rPr>
      </w:pPr>
      <w:r>
        <w:rPr>
          <w:rFonts w:eastAsia="Times New Roman"/>
          <w:b/>
          <w:bCs/>
          <w:color w:val="000000" w:themeColor="text1"/>
          <w:spacing w:val="-3"/>
          <w:sz w:val="24"/>
          <w:szCs w:val="24"/>
          <w:highlight w:val="none"/>
          <w14:textFill>
            <w14:solidFill>
              <w14:schemeClr w14:val="tx1"/>
            </w14:solidFill>
          </w14:textFill>
        </w:rPr>
        <w:t xml:space="preserve">19.5  </w:t>
      </w:r>
      <w:r>
        <w:rPr>
          <w:rFonts w:ascii="宋体" w:hAnsi="宋体" w:cs="宋体"/>
          <w:b/>
          <w:bCs/>
          <w:color w:val="000000" w:themeColor="text1"/>
          <w:spacing w:val="-3"/>
          <w:sz w:val="24"/>
          <w:szCs w:val="24"/>
          <w:highlight w:val="none"/>
          <w14:textFill>
            <w14:solidFill>
              <w14:schemeClr w14:val="tx1"/>
            </w14:solidFill>
          </w14:textFill>
        </w:rPr>
        <w:t>承包人的进入权</w:t>
      </w:r>
    </w:p>
    <w:p w14:paraId="1F82BA6C">
      <w:pPr>
        <w:spacing w:before="126" w:line="307" w:lineRule="auto"/>
        <w:ind w:left="1" w:right="25" w:firstLine="478"/>
        <w:rPr>
          <w:rFonts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pacing w:val="1"/>
          <w:sz w:val="24"/>
          <w:szCs w:val="24"/>
          <w:highlight w:val="none"/>
          <w14:textFill>
            <w14:solidFill>
              <w14:schemeClr w14:val="tx1"/>
            </w14:solidFill>
          </w14:textFill>
        </w:rPr>
        <w:t>缺陷责任期内承包人为缺陷修复工作需要，有权进入养护</w:t>
      </w:r>
      <w:r>
        <w:rPr>
          <w:rFonts w:ascii="宋体" w:hAnsi="宋体" w:cs="宋体"/>
          <w:color w:val="000000" w:themeColor="text1"/>
          <w:sz w:val="24"/>
          <w:szCs w:val="24"/>
          <w:highlight w:val="none"/>
          <w14:textFill>
            <w14:solidFill>
              <w14:schemeClr w14:val="tx1"/>
            </w14:solidFill>
          </w14:textFill>
        </w:rPr>
        <w:t>路段，但应遵守发包</w:t>
      </w:r>
      <w:r>
        <w:rPr>
          <w:rFonts w:ascii="宋体" w:hAnsi="宋体" w:cs="宋体"/>
          <w:color w:val="000000" w:themeColor="text1"/>
          <w:spacing w:val="-2"/>
          <w:sz w:val="24"/>
          <w:szCs w:val="24"/>
          <w:highlight w:val="none"/>
          <w14:textFill>
            <w14:solidFill>
              <w14:schemeClr w14:val="tx1"/>
            </w14:solidFill>
          </w14:textFill>
        </w:rPr>
        <w:t>人的保安和保密规定。</w:t>
      </w:r>
    </w:p>
    <w:p w14:paraId="775915C7">
      <w:pPr>
        <w:spacing w:before="2" w:line="304" w:lineRule="auto"/>
        <w:ind w:left="1" w:right="25" w:firstLine="478"/>
        <w:rPr>
          <w:rFonts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pacing w:val="1"/>
          <w:sz w:val="24"/>
          <w:szCs w:val="24"/>
          <w:highlight w:val="none"/>
          <w14:textFill>
            <w14:solidFill>
              <w14:schemeClr w14:val="tx1"/>
            </w14:solidFill>
          </w14:textFill>
        </w:rPr>
        <w:t>承包人在缺陷修复施工过程中，应服从发包人的有关安全</w:t>
      </w:r>
      <w:r>
        <w:rPr>
          <w:rFonts w:ascii="宋体" w:hAnsi="宋体" w:cs="宋体"/>
          <w:color w:val="000000" w:themeColor="text1"/>
          <w:sz w:val="24"/>
          <w:szCs w:val="24"/>
          <w:highlight w:val="none"/>
          <w14:textFill>
            <w14:solidFill>
              <w14:schemeClr w14:val="tx1"/>
            </w14:solidFill>
          </w14:textFill>
        </w:rPr>
        <w:t>管理规定，由于承包人自身原因造成的人员伤亡、设备和材料的损毁</w:t>
      </w:r>
      <w:r>
        <w:rPr>
          <w:rFonts w:ascii="宋体" w:hAnsi="宋体" w:cs="宋体"/>
          <w:color w:val="000000" w:themeColor="text1"/>
          <w:spacing w:val="-1"/>
          <w:sz w:val="24"/>
          <w:szCs w:val="24"/>
          <w:highlight w:val="none"/>
          <w14:textFill>
            <w14:solidFill>
              <w14:schemeClr w14:val="tx1"/>
            </w14:solidFill>
          </w14:textFill>
        </w:rPr>
        <w:t>及罚款等责任由承包人自负。</w:t>
      </w:r>
    </w:p>
    <w:p w14:paraId="76C18C59">
      <w:pPr>
        <w:spacing w:before="1" w:line="218" w:lineRule="auto"/>
        <w:ind w:left="486"/>
        <w:outlineLvl w:val="3"/>
        <w:rPr>
          <w:rFonts w:ascii="宋体" w:hAnsi="宋体" w:cs="宋体"/>
          <w:color w:val="000000" w:themeColor="text1"/>
          <w:sz w:val="24"/>
          <w:szCs w:val="24"/>
          <w:highlight w:val="none"/>
          <w14:textFill>
            <w14:solidFill>
              <w14:schemeClr w14:val="tx1"/>
            </w14:solidFill>
          </w14:textFill>
        </w:rPr>
      </w:pPr>
      <w:r>
        <w:rPr>
          <w:rFonts w:eastAsia="Times New Roman"/>
          <w:b/>
          <w:bCs/>
          <w:color w:val="000000" w:themeColor="text1"/>
          <w:spacing w:val="-3"/>
          <w:sz w:val="24"/>
          <w:szCs w:val="24"/>
          <w:highlight w:val="none"/>
          <w14:textFill>
            <w14:solidFill>
              <w14:schemeClr w14:val="tx1"/>
            </w14:solidFill>
          </w14:textFill>
        </w:rPr>
        <w:t xml:space="preserve">19.6  </w:t>
      </w:r>
      <w:r>
        <w:rPr>
          <w:rFonts w:ascii="宋体" w:hAnsi="宋体" w:cs="宋体"/>
          <w:b/>
          <w:bCs/>
          <w:color w:val="000000" w:themeColor="text1"/>
          <w:spacing w:val="-3"/>
          <w:sz w:val="24"/>
          <w:szCs w:val="24"/>
          <w:highlight w:val="none"/>
          <w14:textFill>
            <w14:solidFill>
              <w14:schemeClr w14:val="tx1"/>
            </w14:solidFill>
          </w14:textFill>
        </w:rPr>
        <w:t>缺陷责任期终止证书</w:t>
      </w:r>
    </w:p>
    <w:p w14:paraId="76574576">
      <w:pPr>
        <w:spacing w:before="123" w:line="310" w:lineRule="auto"/>
        <w:ind w:right="25" w:firstLine="479"/>
        <w:rPr>
          <w:rFonts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pacing w:val="-3"/>
          <w:sz w:val="24"/>
          <w:szCs w:val="24"/>
          <w:highlight w:val="none"/>
          <w14:textFill>
            <w14:solidFill>
              <w14:schemeClr w14:val="tx1"/>
            </w14:solidFill>
          </w14:textFill>
        </w:rPr>
        <w:t>在第</w:t>
      </w:r>
      <w:r>
        <w:rPr>
          <w:rFonts w:ascii="宋体" w:hAnsi="宋体" w:cs="宋体"/>
          <w:color w:val="000000" w:themeColor="text1"/>
          <w:spacing w:val="-32"/>
          <w:sz w:val="24"/>
          <w:szCs w:val="24"/>
          <w:highlight w:val="none"/>
          <w14:textFill>
            <w14:solidFill>
              <w14:schemeClr w14:val="tx1"/>
            </w14:solidFill>
          </w14:textFill>
        </w:rPr>
        <w:t xml:space="preserve"> </w:t>
      </w:r>
      <w:r>
        <w:rPr>
          <w:rFonts w:eastAsia="Times New Roman"/>
          <w:color w:val="000000" w:themeColor="text1"/>
          <w:spacing w:val="-3"/>
          <w:sz w:val="24"/>
          <w:szCs w:val="24"/>
          <w:highlight w:val="none"/>
          <w14:textFill>
            <w14:solidFill>
              <w14:schemeClr w14:val="tx1"/>
            </w14:solidFill>
          </w14:textFill>
        </w:rPr>
        <w:t>1.1.4.5</w:t>
      </w:r>
      <w:r>
        <w:rPr>
          <w:rFonts w:eastAsia="Times New Roman"/>
          <w:color w:val="000000" w:themeColor="text1"/>
          <w:spacing w:val="55"/>
          <w:w w:val="101"/>
          <w:sz w:val="24"/>
          <w:szCs w:val="24"/>
          <w:highlight w:val="none"/>
          <w14:textFill>
            <w14:solidFill>
              <w14:schemeClr w14:val="tx1"/>
            </w14:solidFill>
          </w14:textFill>
        </w:rPr>
        <w:t xml:space="preserve"> </w:t>
      </w:r>
      <w:r>
        <w:rPr>
          <w:rFonts w:ascii="宋体" w:hAnsi="宋体" w:cs="宋体"/>
          <w:color w:val="000000" w:themeColor="text1"/>
          <w:spacing w:val="-3"/>
          <w:sz w:val="24"/>
          <w:szCs w:val="24"/>
          <w:highlight w:val="none"/>
          <w14:textFill>
            <w14:solidFill>
              <w14:schemeClr w14:val="tx1"/>
            </w14:solidFill>
          </w14:textFill>
        </w:rPr>
        <w:t>目约定的缺陷责任期，包括根据第</w:t>
      </w:r>
      <w:r>
        <w:rPr>
          <w:rFonts w:ascii="宋体" w:hAnsi="宋体" w:cs="宋体"/>
          <w:color w:val="000000" w:themeColor="text1"/>
          <w:spacing w:val="-30"/>
          <w:sz w:val="24"/>
          <w:szCs w:val="24"/>
          <w:highlight w:val="none"/>
          <w14:textFill>
            <w14:solidFill>
              <w14:schemeClr w14:val="tx1"/>
            </w14:solidFill>
          </w14:textFill>
        </w:rPr>
        <w:t xml:space="preserve"> </w:t>
      </w:r>
      <w:r>
        <w:rPr>
          <w:rFonts w:eastAsia="Times New Roman"/>
          <w:color w:val="000000" w:themeColor="text1"/>
          <w:spacing w:val="-3"/>
          <w:sz w:val="24"/>
          <w:szCs w:val="24"/>
          <w:highlight w:val="none"/>
          <w14:textFill>
            <w14:solidFill>
              <w14:schemeClr w14:val="tx1"/>
            </w14:solidFill>
          </w14:textFill>
        </w:rPr>
        <w:t xml:space="preserve">19.3 </w:t>
      </w:r>
      <w:r>
        <w:rPr>
          <w:rFonts w:ascii="宋体" w:hAnsi="宋体" w:cs="宋体"/>
          <w:color w:val="000000" w:themeColor="text1"/>
          <w:spacing w:val="-4"/>
          <w:sz w:val="24"/>
          <w:szCs w:val="24"/>
          <w:highlight w:val="none"/>
          <w14:textFill>
            <w14:solidFill>
              <w14:schemeClr w14:val="tx1"/>
            </w14:solidFill>
          </w14:textFill>
        </w:rPr>
        <w:t>款延长的期限终止后</w:t>
      </w:r>
      <w:r>
        <w:rPr>
          <w:rFonts w:ascii="宋体" w:hAnsi="宋体" w:cs="宋体"/>
          <w:color w:val="000000" w:themeColor="text1"/>
          <w:spacing w:val="-29"/>
          <w:sz w:val="24"/>
          <w:szCs w:val="24"/>
          <w:highlight w:val="none"/>
          <w14:textFill>
            <w14:solidFill>
              <w14:schemeClr w14:val="tx1"/>
            </w14:solidFill>
          </w14:textFill>
        </w:rPr>
        <w:t xml:space="preserve"> </w:t>
      </w:r>
      <w:r>
        <w:rPr>
          <w:rFonts w:eastAsia="Times New Roman"/>
          <w:color w:val="000000" w:themeColor="text1"/>
          <w:spacing w:val="-4"/>
          <w:sz w:val="24"/>
          <w:szCs w:val="24"/>
          <w:highlight w:val="none"/>
          <w14:textFill>
            <w14:solidFill>
              <w14:schemeClr w14:val="tx1"/>
            </w14:solidFill>
          </w14:textFill>
        </w:rPr>
        <w:t>14</w:t>
      </w:r>
      <w:r>
        <w:rPr>
          <w:rFonts w:eastAsia="Times New Roman"/>
          <w:color w:val="000000" w:themeColor="text1"/>
          <w:spacing w:val="17"/>
          <w:sz w:val="24"/>
          <w:szCs w:val="24"/>
          <w:highlight w:val="none"/>
          <w14:textFill>
            <w14:solidFill>
              <w14:schemeClr w14:val="tx1"/>
            </w14:solidFill>
          </w14:textFill>
        </w:rPr>
        <w:t xml:space="preserve"> </w:t>
      </w:r>
      <w:r>
        <w:rPr>
          <w:rFonts w:ascii="宋体" w:hAnsi="宋体" w:cs="宋体"/>
          <w:color w:val="000000" w:themeColor="text1"/>
          <w:spacing w:val="-4"/>
          <w:sz w:val="24"/>
          <w:szCs w:val="24"/>
          <w:highlight w:val="none"/>
          <w14:textFill>
            <w14:solidFill>
              <w14:schemeClr w14:val="tx1"/>
            </w14:solidFill>
          </w14:textFill>
        </w:rPr>
        <w:t>天</w:t>
      </w:r>
      <w:r>
        <w:rPr>
          <w:rFonts w:ascii="宋体" w:hAnsi="宋体" w:cs="宋体"/>
          <w:color w:val="000000" w:themeColor="text1"/>
          <w:spacing w:val="1"/>
          <w:sz w:val="24"/>
          <w:szCs w:val="24"/>
          <w:highlight w:val="none"/>
          <w14:textFill>
            <w14:solidFill>
              <w14:schemeClr w14:val="tx1"/>
            </w14:solidFill>
          </w14:textFill>
        </w:rPr>
        <w:t>内，由咨询人向承包人出具经发包人签认的缺陷责任期终</w:t>
      </w:r>
      <w:r>
        <w:rPr>
          <w:rFonts w:ascii="宋体" w:hAnsi="宋体" w:cs="宋体"/>
          <w:color w:val="000000" w:themeColor="text1"/>
          <w:sz w:val="24"/>
          <w:szCs w:val="24"/>
          <w:highlight w:val="none"/>
          <w14:textFill>
            <w14:solidFill>
              <w14:schemeClr w14:val="tx1"/>
            </w14:solidFill>
          </w14:textFill>
        </w:rPr>
        <w:t>止证书，并退还剩余的质</w:t>
      </w:r>
      <w:r>
        <w:rPr>
          <w:rFonts w:ascii="宋体" w:hAnsi="宋体" w:cs="宋体"/>
          <w:color w:val="000000" w:themeColor="text1"/>
          <w:spacing w:val="-2"/>
          <w:sz w:val="24"/>
          <w:szCs w:val="24"/>
          <w:highlight w:val="none"/>
          <w14:textFill>
            <w14:solidFill>
              <w14:schemeClr w14:val="tx1"/>
            </w14:solidFill>
          </w14:textFill>
        </w:rPr>
        <w:t>量保证金。</w:t>
      </w:r>
    </w:p>
    <w:p w14:paraId="3C9A32A7">
      <w:pPr>
        <w:spacing w:before="304" w:line="220" w:lineRule="auto"/>
        <w:ind w:left="476"/>
        <w:outlineLvl w:val="2"/>
        <w:rPr>
          <w:rFonts w:ascii="宋体" w:hAnsi="宋体" w:cs="宋体"/>
          <w:color w:val="000000" w:themeColor="text1"/>
          <w:sz w:val="24"/>
          <w:szCs w:val="24"/>
          <w:highlight w:val="none"/>
          <w14:textFill>
            <w14:solidFill>
              <w14:schemeClr w14:val="tx1"/>
            </w14:solidFill>
          </w14:textFill>
        </w:rPr>
      </w:pPr>
      <w:bookmarkStart w:id="172" w:name="bookmark45"/>
      <w:bookmarkEnd w:id="172"/>
      <w:bookmarkStart w:id="173" w:name="bookmark46"/>
      <w:bookmarkEnd w:id="173"/>
      <w:bookmarkStart w:id="174" w:name="_Toc10875"/>
      <w:r>
        <w:rPr>
          <w:rFonts w:eastAsia="Times New Roman"/>
          <w:b/>
          <w:bCs/>
          <w:color w:val="000000" w:themeColor="text1"/>
          <w:spacing w:val="-5"/>
          <w:sz w:val="24"/>
          <w:szCs w:val="24"/>
          <w:highlight w:val="none"/>
          <w14:textFill>
            <w14:solidFill>
              <w14:schemeClr w14:val="tx1"/>
            </w14:solidFill>
          </w14:textFill>
        </w:rPr>
        <w:t>20.</w:t>
      </w:r>
      <w:r>
        <w:rPr>
          <w:rFonts w:eastAsia="Times New Roman"/>
          <w:b/>
          <w:bCs/>
          <w:color w:val="000000" w:themeColor="text1"/>
          <w:spacing w:val="6"/>
          <w:sz w:val="24"/>
          <w:szCs w:val="24"/>
          <w:highlight w:val="none"/>
          <w14:textFill>
            <w14:solidFill>
              <w14:schemeClr w14:val="tx1"/>
            </w14:solidFill>
          </w14:textFill>
        </w:rPr>
        <w:t xml:space="preserve">  </w:t>
      </w:r>
      <w:r>
        <w:rPr>
          <w:rFonts w:ascii="宋体" w:hAnsi="宋体" w:cs="宋体"/>
          <w:b/>
          <w:bCs/>
          <w:color w:val="000000" w:themeColor="text1"/>
          <w:spacing w:val="-5"/>
          <w:sz w:val="24"/>
          <w:szCs w:val="24"/>
          <w:highlight w:val="none"/>
          <w14:textFill>
            <w14:solidFill>
              <w14:schemeClr w14:val="tx1"/>
            </w14:solidFill>
          </w14:textFill>
        </w:rPr>
        <w:t>保险</w:t>
      </w:r>
      <w:bookmarkEnd w:id="174"/>
    </w:p>
    <w:p w14:paraId="7547859F">
      <w:pPr>
        <w:spacing w:before="259" w:line="219" w:lineRule="auto"/>
        <w:ind w:left="476"/>
        <w:outlineLvl w:val="3"/>
        <w:rPr>
          <w:rFonts w:ascii="宋体" w:hAnsi="宋体" w:cs="宋体"/>
          <w:color w:val="000000" w:themeColor="text1"/>
          <w:sz w:val="24"/>
          <w:szCs w:val="24"/>
          <w:highlight w:val="none"/>
          <w14:textFill>
            <w14:solidFill>
              <w14:schemeClr w14:val="tx1"/>
            </w14:solidFill>
          </w14:textFill>
        </w:rPr>
      </w:pPr>
      <w:r>
        <w:rPr>
          <w:rFonts w:eastAsia="Times New Roman"/>
          <w:b/>
          <w:bCs/>
          <w:color w:val="000000" w:themeColor="text1"/>
          <w:spacing w:val="-2"/>
          <w:sz w:val="24"/>
          <w:szCs w:val="24"/>
          <w:highlight w:val="none"/>
          <w14:textFill>
            <w14:solidFill>
              <w14:schemeClr w14:val="tx1"/>
            </w14:solidFill>
          </w14:textFill>
        </w:rPr>
        <w:t xml:space="preserve">20.1  </w:t>
      </w:r>
      <w:r>
        <w:rPr>
          <w:rFonts w:ascii="宋体" w:hAnsi="宋体" w:cs="宋体"/>
          <w:b/>
          <w:bCs/>
          <w:color w:val="000000" w:themeColor="text1"/>
          <w:spacing w:val="-2"/>
          <w:sz w:val="24"/>
          <w:szCs w:val="24"/>
          <w:highlight w:val="none"/>
          <w14:textFill>
            <w14:solidFill>
              <w14:schemeClr w14:val="tx1"/>
            </w14:solidFill>
          </w14:textFill>
        </w:rPr>
        <w:t>安全生产责任保险</w:t>
      </w:r>
    </w:p>
    <w:p w14:paraId="75B86ADB">
      <w:pPr>
        <w:spacing w:before="126" w:line="305" w:lineRule="auto"/>
        <w:ind w:left="8" w:right="25" w:firstLine="475"/>
        <w:rPr>
          <w:rFonts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pacing w:val="1"/>
          <w:sz w:val="24"/>
          <w:szCs w:val="24"/>
          <w:highlight w:val="none"/>
          <w14:textFill>
            <w14:solidFill>
              <w14:schemeClr w14:val="tx1"/>
            </w14:solidFill>
          </w14:textFill>
        </w:rPr>
        <w:t>发包人应依照有关法律规定在专用合同条款</w:t>
      </w:r>
      <w:r>
        <w:rPr>
          <w:rFonts w:ascii="宋体" w:hAnsi="宋体" w:cs="宋体"/>
          <w:color w:val="000000" w:themeColor="text1"/>
          <w:sz w:val="24"/>
          <w:szCs w:val="24"/>
          <w:highlight w:val="none"/>
          <w14:textFill>
            <w14:solidFill>
              <w14:schemeClr w14:val="tx1"/>
            </w14:solidFill>
          </w14:textFill>
        </w:rPr>
        <w:t>中约定承包人是否需投保安全生产责任保险。承包人需投保安全生产责任保险的，具体的保险金额、保险期限等有关</w:t>
      </w:r>
      <w:r>
        <w:rPr>
          <w:rFonts w:ascii="宋体" w:hAnsi="宋体" w:cs="宋体"/>
          <w:color w:val="000000" w:themeColor="text1"/>
          <w:spacing w:val="-2"/>
          <w:sz w:val="24"/>
          <w:szCs w:val="24"/>
          <w:highlight w:val="none"/>
          <w14:textFill>
            <w14:solidFill>
              <w14:schemeClr w14:val="tx1"/>
            </w14:solidFill>
          </w14:textFill>
        </w:rPr>
        <w:t>内容在专用合同条款中约定。</w:t>
      </w:r>
    </w:p>
    <w:p w14:paraId="7D077B44">
      <w:pPr>
        <w:spacing w:line="219" w:lineRule="auto"/>
        <w:ind w:left="476"/>
        <w:outlineLvl w:val="3"/>
        <w:rPr>
          <w:rFonts w:ascii="宋体" w:hAnsi="宋体" w:cs="宋体"/>
          <w:color w:val="000000" w:themeColor="text1"/>
          <w:sz w:val="24"/>
          <w:szCs w:val="24"/>
          <w:highlight w:val="none"/>
          <w14:textFill>
            <w14:solidFill>
              <w14:schemeClr w14:val="tx1"/>
            </w14:solidFill>
          </w14:textFill>
        </w:rPr>
      </w:pPr>
      <w:r>
        <w:rPr>
          <w:rFonts w:eastAsia="Times New Roman"/>
          <w:b/>
          <w:bCs/>
          <w:color w:val="000000" w:themeColor="text1"/>
          <w:spacing w:val="-2"/>
          <w:sz w:val="24"/>
          <w:szCs w:val="24"/>
          <w:highlight w:val="none"/>
          <w14:textFill>
            <w14:solidFill>
              <w14:schemeClr w14:val="tx1"/>
            </w14:solidFill>
          </w14:textFill>
        </w:rPr>
        <w:t xml:space="preserve">20.2  </w:t>
      </w:r>
      <w:r>
        <w:rPr>
          <w:rFonts w:ascii="宋体" w:hAnsi="宋体" w:cs="宋体"/>
          <w:b/>
          <w:bCs/>
          <w:color w:val="000000" w:themeColor="text1"/>
          <w:spacing w:val="-2"/>
          <w:sz w:val="24"/>
          <w:szCs w:val="24"/>
          <w:highlight w:val="none"/>
          <w14:textFill>
            <w14:solidFill>
              <w14:schemeClr w14:val="tx1"/>
            </w14:solidFill>
          </w14:textFill>
        </w:rPr>
        <w:t>工程保险及第三者责任险</w:t>
      </w:r>
    </w:p>
    <w:p w14:paraId="4C98654F">
      <w:pPr>
        <w:spacing w:before="99" w:line="220" w:lineRule="auto"/>
        <w:ind w:left="475"/>
        <w:rPr>
          <w:rFonts w:ascii="宋体" w:hAnsi="宋体" w:cs="宋体"/>
          <w:color w:val="000000" w:themeColor="text1"/>
          <w:sz w:val="24"/>
          <w:szCs w:val="24"/>
          <w:highlight w:val="none"/>
          <w14:textFill>
            <w14:solidFill>
              <w14:schemeClr w14:val="tx1"/>
            </w14:solidFill>
          </w14:textFill>
        </w:rPr>
      </w:pPr>
      <w:r>
        <w:rPr>
          <w:rFonts w:eastAsia="Times New Roman"/>
          <w:color w:val="000000" w:themeColor="text1"/>
          <w:spacing w:val="-1"/>
          <w:sz w:val="24"/>
          <w:szCs w:val="24"/>
          <w:highlight w:val="none"/>
          <w14:textFill>
            <w14:solidFill>
              <w14:schemeClr w14:val="tx1"/>
            </w14:solidFill>
          </w14:textFill>
        </w:rPr>
        <w:t xml:space="preserve">20.2.1  </w:t>
      </w:r>
      <w:r>
        <w:rPr>
          <w:rFonts w:ascii="宋体" w:hAnsi="宋体" w:cs="宋体"/>
          <w:color w:val="000000" w:themeColor="text1"/>
          <w:spacing w:val="-1"/>
          <w:sz w:val="24"/>
          <w:szCs w:val="24"/>
          <w:highlight w:val="none"/>
          <w14:textFill>
            <w14:solidFill>
              <w14:schemeClr w14:val="tx1"/>
            </w14:solidFill>
          </w14:textFill>
        </w:rPr>
        <w:t>工程保险</w:t>
      </w:r>
    </w:p>
    <w:p w14:paraId="639B360E">
      <w:pPr>
        <w:spacing w:before="95" w:line="292" w:lineRule="auto"/>
        <w:ind w:right="25" w:firstLine="493"/>
        <w:rPr>
          <w:rFonts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除专用合同条款另有约定外，承包人应以发包人和承包人的共同名义向双方同</w:t>
      </w:r>
      <w:r>
        <w:rPr>
          <w:rFonts w:ascii="宋体" w:hAnsi="宋体" w:cs="宋体"/>
          <w:color w:val="000000" w:themeColor="text1"/>
          <w:spacing w:val="1"/>
          <w:sz w:val="24"/>
          <w:szCs w:val="24"/>
          <w:highlight w:val="none"/>
          <w14:textFill>
            <w14:solidFill>
              <w14:schemeClr w14:val="tx1"/>
            </w14:solidFill>
          </w14:textFill>
        </w:rPr>
        <w:t>意的保险人投保建筑工程一切险、安装工程一切险。具</w:t>
      </w:r>
      <w:r>
        <w:rPr>
          <w:rFonts w:ascii="宋体" w:hAnsi="宋体" w:cs="宋体"/>
          <w:color w:val="000000" w:themeColor="text1"/>
          <w:sz w:val="24"/>
          <w:szCs w:val="24"/>
          <w:highlight w:val="none"/>
          <w14:textFill>
            <w14:solidFill>
              <w14:schemeClr w14:val="tx1"/>
            </w14:solidFill>
          </w14:textFill>
        </w:rPr>
        <w:t>体的投保险种、保险范围、</w:t>
      </w:r>
      <w:r>
        <w:rPr>
          <w:rFonts w:ascii="宋体" w:hAnsi="宋体" w:cs="宋体"/>
          <w:color w:val="000000" w:themeColor="text1"/>
          <w:spacing w:val="-1"/>
          <w:sz w:val="24"/>
          <w:szCs w:val="24"/>
          <w:highlight w:val="none"/>
          <w14:textFill>
            <w14:solidFill>
              <w14:schemeClr w14:val="tx1"/>
            </w14:solidFill>
          </w14:textFill>
        </w:rPr>
        <w:t>保险金额、保险费率、保险期限等有关内容在专用合同条款中约定。</w:t>
      </w:r>
    </w:p>
    <w:p w14:paraId="52846374">
      <w:pPr>
        <w:spacing w:line="219" w:lineRule="auto"/>
        <w:ind w:left="475"/>
        <w:rPr>
          <w:rFonts w:ascii="宋体" w:hAnsi="宋体" w:cs="宋体"/>
          <w:color w:val="000000" w:themeColor="text1"/>
          <w:sz w:val="24"/>
          <w:szCs w:val="24"/>
          <w:highlight w:val="none"/>
          <w14:textFill>
            <w14:solidFill>
              <w14:schemeClr w14:val="tx1"/>
            </w14:solidFill>
          </w14:textFill>
        </w:rPr>
      </w:pPr>
      <w:r>
        <w:rPr>
          <w:rFonts w:eastAsia="Times New Roman"/>
          <w:color w:val="000000" w:themeColor="text1"/>
          <w:spacing w:val="-1"/>
          <w:sz w:val="24"/>
          <w:szCs w:val="24"/>
          <w:highlight w:val="none"/>
          <w14:textFill>
            <w14:solidFill>
              <w14:schemeClr w14:val="tx1"/>
            </w14:solidFill>
          </w14:textFill>
        </w:rPr>
        <w:t xml:space="preserve">20.2.2  </w:t>
      </w:r>
      <w:r>
        <w:rPr>
          <w:rFonts w:ascii="宋体" w:hAnsi="宋体" w:cs="宋体"/>
          <w:color w:val="000000" w:themeColor="text1"/>
          <w:spacing w:val="-1"/>
          <w:sz w:val="24"/>
          <w:szCs w:val="24"/>
          <w:highlight w:val="none"/>
          <w14:textFill>
            <w14:solidFill>
              <w14:schemeClr w14:val="tx1"/>
            </w14:solidFill>
          </w14:textFill>
        </w:rPr>
        <w:t>第三者责任险</w:t>
      </w:r>
    </w:p>
    <w:p w14:paraId="4B0F285D">
      <w:pPr>
        <w:spacing w:before="94" w:line="274" w:lineRule="auto"/>
        <w:ind w:right="25" w:firstLine="490"/>
        <w:rPr>
          <w:rFonts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pacing w:val="4"/>
          <w:sz w:val="24"/>
          <w:szCs w:val="24"/>
          <w:highlight w:val="none"/>
          <w14:textFill>
            <w14:solidFill>
              <w14:schemeClr w14:val="tx1"/>
            </w14:solidFill>
          </w14:textFill>
        </w:rPr>
        <w:t>（</w:t>
      </w:r>
      <w:r>
        <w:rPr>
          <w:rFonts w:eastAsia="Times New Roman"/>
          <w:color w:val="000000" w:themeColor="text1"/>
          <w:spacing w:val="4"/>
          <w:sz w:val="24"/>
          <w:szCs w:val="24"/>
          <w:highlight w:val="none"/>
          <w14:textFill>
            <w14:solidFill>
              <w14:schemeClr w14:val="tx1"/>
            </w14:solidFill>
          </w14:textFill>
        </w:rPr>
        <w:t>1</w:t>
      </w:r>
      <w:r>
        <w:rPr>
          <w:rFonts w:ascii="宋体" w:hAnsi="宋体" w:cs="宋体"/>
          <w:color w:val="000000" w:themeColor="text1"/>
          <w:spacing w:val="4"/>
          <w:sz w:val="24"/>
          <w:szCs w:val="24"/>
          <w:highlight w:val="none"/>
          <w14:textFill>
            <w14:solidFill>
              <w14:schemeClr w14:val="tx1"/>
            </w14:solidFill>
          </w14:textFill>
        </w:rPr>
        <w:t>）第三者责任系指在保险期内，对因工程意外事故造成的、依法应由</w:t>
      </w:r>
      <w:r>
        <w:rPr>
          <w:rFonts w:ascii="宋体" w:hAnsi="宋体" w:cs="宋体"/>
          <w:color w:val="000000" w:themeColor="text1"/>
          <w:spacing w:val="3"/>
          <w:sz w:val="24"/>
          <w:szCs w:val="24"/>
          <w:highlight w:val="none"/>
          <w14:textFill>
            <w14:solidFill>
              <w14:schemeClr w14:val="tx1"/>
            </w14:solidFill>
          </w14:textFill>
        </w:rPr>
        <w:t>被保</w:t>
      </w:r>
      <w:r>
        <w:rPr>
          <w:rFonts w:ascii="宋体" w:hAnsi="宋体" w:cs="宋体"/>
          <w:color w:val="000000" w:themeColor="text1"/>
          <w:spacing w:val="1"/>
          <w:sz w:val="24"/>
          <w:szCs w:val="24"/>
          <w:highlight w:val="none"/>
          <w14:textFill>
            <w14:solidFill>
              <w14:schemeClr w14:val="tx1"/>
            </w14:solidFill>
          </w14:textFill>
        </w:rPr>
        <w:t>险人负责的养护作业场地内及毗邻地区的第三者人身伤</w:t>
      </w:r>
      <w:r>
        <w:rPr>
          <w:rFonts w:ascii="宋体" w:hAnsi="宋体" w:cs="宋体"/>
          <w:color w:val="000000" w:themeColor="text1"/>
          <w:sz w:val="24"/>
          <w:szCs w:val="24"/>
          <w:highlight w:val="none"/>
          <w14:textFill>
            <w14:solidFill>
              <w14:schemeClr w14:val="tx1"/>
            </w14:solidFill>
          </w14:textFill>
        </w:rPr>
        <w:t>亡、疾病或财产损失（本合</w:t>
      </w:r>
      <w:r>
        <w:rPr>
          <w:rFonts w:ascii="宋体" w:hAnsi="宋体" w:cs="宋体"/>
          <w:color w:val="000000" w:themeColor="text1"/>
          <w:spacing w:val="3"/>
          <w:sz w:val="24"/>
          <w:szCs w:val="24"/>
          <w:highlight w:val="none"/>
          <w14:textFill>
            <w14:solidFill>
              <w14:schemeClr w14:val="tx1"/>
            </w14:solidFill>
          </w14:textFill>
        </w:rPr>
        <w:t>同约定的养护项目除外</w:t>
      </w:r>
      <w:r>
        <w:rPr>
          <w:rFonts w:ascii="宋体" w:hAnsi="宋体" w:cs="宋体"/>
          <w:color w:val="000000" w:themeColor="text1"/>
          <w:spacing w:val="-36"/>
          <w:sz w:val="24"/>
          <w:szCs w:val="24"/>
          <w:highlight w:val="none"/>
          <w14:textFill>
            <w14:solidFill>
              <w14:schemeClr w14:val="tx1"/>
            </w14:solidFill>
          </w14:textFill>
        </w:rPr>
        <w:t>），</w:t>
      </w:r>
      <w:r>
        <w:rPr>
          <w:rFonts w:ascii="宋体" w:hAnsi="宋体" w:cs="宋体"/>
          <w:color w:val="000000" w:themeColor="text1"/>
          <w:spacing w:val="3"/>
          <w:sz w:val="24"/>
          <w:szCs w:val="24"/>
          <w:highlight w:val="none"/>
          <w14:textFill>
            <w14:solidFill>
              <w14:schemeClr w14:val="tx1"/>
            </w14:solidFill>
          </w14:textFill>
        </w:rPr>
        <w:t>以及被保险人因此而支付的诉讼费</w:t>
      </w:r>
      <w:r>
        <w:rPr>
          <w:rFonts w:ascii="宋体" w:hAnsi="宋体" w:cs="宋体"/>
          <w:color w:val="000000" w:themeColor="text1"/>
          <w:spacing w:val="2"/>
          <w:sz w:val="24"/>
          <w:szCs w:val="24"/>
          <w:highlight w:val="none"/>
          <w14:textFill>
            <w14:solidFill>
              <w14:schemeClr w14:val="tx1"/>
            </w14:solidFill>
          </w14:textFill>
        </w:rPr>
        <w:t>用和事先经保险人书</w:t>
      </w:r>
      <w:r>
        <w:rPr>
          <w:rFonts w:ascii="宋体" w:hAnsi="宋体" w:cs="宋体"/>
          <w:color w:val="000000" w:themeColor="text1"/>
          <w:spacing w:val="-1"/>
          <w:sz w:val="24"/>
          <w:szCs w:val="24"/>
          <w:highlight w:val="none"/>
          <w14:textFill>
            <w14:solidFill>
              <w14:schemeClr w14:val="tx1"/>
            </w14:solidFill>
          </w14:textFill>
        </w:rPr>
        <w:t>面同意支付的其他费用等赔偿责任。</w:t>
      </w:r>
    </w:p>
    <w:p w14:paraId="3C100B68">
      <w:pPr>
        <w:spacing w:before="94" w:line="274" w:lineRule="auto"/>
        <w:ind w:right="25" w:firstLine="496" w:firstLineChars="200"/>
        <w:rPr>
          <w:rFonts w:ascii="宋体" w:hAnsi="宋体" w:cs="宋体"/>
          <w:color w:val="000000" w:themeColor="text1"/>
          <w:spacing w:val="4"/>
          <w:sz w:val="24"/>
          <w:szCs w:val="24"/>
          <w:highlight w:val="none"/>
          <w14:textFill>
            <w14:solidFill>
              <w14:schemeClr w14:val="tx1"/>
            </w14:solidFill>
          </w14:textFill>
        </w:rPr>
      </w:pPr>
      <w:r>
        <w:rPr>
          <w:rFonts w:ascii="宋体" w:hAnsi="宋体" w:cs="宋体"/>
          <w:color w:val="000000" w:themeColor="text1"/>
          <w:spacing w:val="4"/>
          <w:sz w:val="24"/>
          <w:szCs w:val="24"/>
          <w:highlight w:val="none"/>
          <w14:textFill>
            <w14:solidFill>
              <w14:schemeClr w14:val="tx1"/>
            </w14:solidFill>
          </w14:textFill>
        </w:rPr>
        <w:t>（2）在缺陷责任期终止证书颁发前，承包人应以承包人和发包人的共同名义，投保第三者责任险，其保险费率、最低投保金额等有关内容在专用合同条款中约定。</w:t>
      </w:r>
    </w:p>
    <w:p w14:paraId="2BBFE3BF">
      <w:pPr>
        <w:spacing w:before="111" w:line="219" w:lineRule="auto"/>
        <w:ind w:left="475"/>
        <w:outlineLvl w:val="3"/>
        <w:rPr>
          <w:rFonts w:ascii="宋体" w:hAnsi="宋体" w:cs="宋体"/>
          <w:color w:val="000000" w:themeColor="text1"/>
          <w:sz w:val="24"/>
          <w:szCs w:val="24"/>
          <w:highlight w:val="none"/>
          <w14:textFill>
            <w14:solidFill>
              <w14:schemeClr w14:val="tx1"/>
            </w14:solidFill>
          </w14:textFill>
        </w:rPr>
      </w:pPr>
      <w:r>
        <w:rPr>
          <w:rFonts w:eastAsia="Times New Roman"/>
          <w:b/>
          <w:bCs/>
          <w:color w:val="000000" w:themeColor="text1"/>
          <w:spacing w:val="-4"/>
          <w:sz w:val="24"/>
          <w:szCs w:val="24"/>
          <w:highlight w:val="none"/>
          <w14:textFill>
            <w14:solidFill>
              <w14:schemeClr w14:val="tx1"/>
            </w14:solidFill>
          </w14:textFill>
        </w:rPr>
        <w:t>20.3</w:t>
      </w:r>
      <w:r>
        <w:rPr>
          <w:rFonts w:eastAsia="Times New Roman"/>
          <w:b/>
          <w:bCs/>
          <w:color w:val="000000" w:themeColor="text1"/>
          <w:spacing w:val="8"/>
          <w:sz w:val="24"/>
          <w:szCs w:val="24"/>
          <w:highlight w:val="none"/>
          <w14:textFill>
            <w14:solidFill>
              <w14:schemeClr w14:val="tx1"/>
            </w14:solidFill>
          </w14:textFill>
        </w:rPr>
        <w:t xml:space="preserve">  </w:t>
      </w:r>
      <w:r>
        <w:rPr>
          <w:rFonts w:ascii="宋体" w:hAnsi="宋体" w:cs="宋体"/>
          <w:b/>
          <w:bCs/>
          <w:color w:val="000000" w:themeColor="text1"/>
          <w:spacing w:val="-4"/>
          <w:sz w:val="24"/>
          <w:szCs w:val="24"/>
          <w:highlight w:val="none"/>
          <w14:textFill>
            <w14:solidFill>
              <w14:schemeClr w14:val="tx1"/>
            </w14:solidFill>
          </w14:textFill>
        </w:rPr>
        <w:t>工伤保险</w:t>
      </w:r>
    </w:p>
    <w:p w14:paraId="11EA179E">
      <w:pPr>
        <w:spacing w:before="124" w:line="264" w:lineRule="auto"/>
        <w:ind w:right="166" w:firstLine="473"/>
        <w:rPr>
          <w:rFonts w:ascii="宋体" w:hAnsi="宋体" w:cs="宋体"/>
          <w:color w:val="000000" w:themeColor="text1"/>
          <w:sz w:val="24"/>
          <w:szCs w:val="24"/>
          <w:highlight w:val="none"/>
          <w14:textFill>
            <w14:solidFill>
              <w14:schemeClr w14:val="tx1"/>
            </w14:solidFill>
          </w14:textFill>
        </w:rPr>
      </w:pPr>
      <w:r>
        <w:rPr>
          <w:rFonts w:eastAsia="Times New Roman"/>
          <w:color w:val="000000" w:themeColor="text1"/>
          <w:spacing w:val="1"/>
          <w:sz w:val="24"/>
          <w:szCs w:val="24"/>
          <w:highlight w:val="none"/>
          <w14:textFill>
            <w14:solidFill>
              <w14:schemeClr w14:val="tx1"/>
            </w14:solidFill>
          </w14:textFill>
        </w:rPr>
        <w:t xml:space="preserve">20.3.1  </w:t>
      </w:r>
      <w:r>
        <w:rPr>
          <w:rFonts w:ascii="宋体" w:hAnsi="宋体" w:cs="宋体"/>
          <w:color w:val="000000" w:themeColor="text1"/>
          <w:spacing w:val="1"/>
          <w:sz w:val="24"/>
          <w:szCs w:val="24"/>
          <w:highlight w:val="none"/>
          <w14:textFill>
            <w14:solidFill>
              <w14:schemeClr w14:val="tx1"/>
            </w14:solidFill>
          </w14:textFill>
        </w:rPr>
        <w:t>承包人应依照有关法律规定参加工伤保险，</w:t>
      </w:r>
      <w:r>
        <w:rPr>
          <w:rFonts w:ascii="宋体" w:hAnsi="宋体" w:cs="宋体"/>
          <w:color w:val="000000" w:themeColor="text1"/>
          <w:sz w:val="24"/>
          <w:szCs w:val="24"/>
          <w:highlight w:val="none"/>
          <w14:textFill>
            <w14:solidFill>
              <w14:schemeClr w14:val="tx1"/>
            </w14:solidFill>
          </w14:textFill>
        </w:rPr>
        <w:t>为其履行合同所雇用的全部</w:t>
      </w:r>
      <w:r>
        <w:rPr>
          <w:rFonts w:ascii="宋体" w:hAnsi="宋体" w:cs="宋体"/>
          <w:color w:val="000000" w:themeColor="text1"/>
          <w:spacing w:val="-1"/>
          <w:sz w:val="24"/>
          <w:szCs w:val="24"/>
          <w:highlight w:val="none"/>
          <w14:textFill>
            <w14:solidFill>
              <w14:schemeClr w14:val="tx1"/>
            </w14:solidFill>
          </w14:textFill>
        </w:rPr>
        <w:t>人员缴纳工伤保险费，并要求其分包人也进行此项保险。</w:t>
      </w:r>
    </w:p>
    <w:p w14:paraId="0A8A6D3B">
      <w:pPr>
        <w:spacing w:before="112" w:line="264" w:lineRule="auto"/>
        <w:ind w:left="8" w:right="166" w:firstLine="466"/>
        <w:rPr>
          <w:rFonts w:ascii="宋体" w:hAnsi="宋体" w:cs="宋体"/>
          <w:color w:val="000000" w:themeColor="text1"/>
          <w:sz w:val="24"/>
          <w:szCs w:val="24"/>
          <w:highlight w:val="none"/>
          <w14:textFill>
            <w14:solidFill>
              <w14:schemeClr w14:val="tx1"/>
            </w14:solidFill>
          </w14:textFill>
        </w:rPr>
      </w:pPr>
      <w:r>
        <w:rPr>
          <w:rFonts w:eastAsia="Times New Roman"/>
          <w:color w:val="000000" w:themeColor="text1"/>
          <w:spacing w:val="1"/>
          <w:sz w:val="24"/>
          <w:szCs w:val="24"/>
          <w:highlight w:val="none"/>
          <w14:textFill>
            <w14:solidFill>
              <w14:schemeClr w14:val="tx1"/>
            </w14:solidFill>
          </w14:textFill>
        </w:rPr>
        <w:t>20.3.2</w:t>
      </w:r>
      <w:r>
        <w:rPr>
          <w:rFonts w:eastAsia="Times New Roman"/>
          <w:color w:val="000000" w:themeColor="text1"/>
          <w:spacing w:val="59"/>
          <w:sz w:val="24"/>
          <w:szCs w:val="24"/>
          <w:highlight w:val="none"/>
          <w14:textFill>
            <w14:solidFill>
              <w14:schemeClr w14:val="tx1"/>
            </w14:solidFill>
          </w14:textFill>
        </w:rPr>
        <w:t xml:space="preserve"> </w:t>
      </w:r>
      <w:r>
        <w:rPr>
          <w:rFonts w:ascii="宋体" w:hAnsi="宋体" w:cs="宋体"/>
          <w:color w:val="000000" w:themeColor="text1"/>
          <w:spacing w:val="1"/>
          <w:sz w:val="24"/>
          <w:szCs w:val="24"/>
          <w:highlight w:val="none"/>
          <w14:textFill>
            <w14:solidFill>
              <w14:schemeClr w14:val="tx1"/>
            </w14:solidFill>
          </w14:textFill>
        </w:rPr>
        <w:t>发包人应依照有关法律规定参加工伤保险，为其现</w:t>
      </w:r>
      <w:r>
        <w:rPr>
          <w:rFonts w:ascii="宋体" w:hAnsi="宋体" w:cs="宋体"/>
          <w:color w:val="000000" w:themeColor="text1"/>
          <w:sz w:val="24"/>
          <w:szCs w:val="24"/>
          <w:highlight w:val="none"/>
          <w14:textFill>
            <w14:solidFill>
              <w14:schemeClr w14:val="tx1"/>
            </w14:solidFill>
          </w14:textFill>
        </w:rPr>
        <w:t>场机构雇用的全部人</w:t>
      </w:r>
      <w:r>
        <w:rPr>
          <w:rFonts w:ascii="宋体" w:hAnsi="宋体" w:cs="宋体"/>
          <w:color w:val="000000" w:themeColor="text1"/>
          <w:spacing w:val="-1"/>
          <w:sz w:val="24"/>
          <w:szCs w:val="24"/>
          <w:highlight w:val="none"/>
          <w14:textFill>
            <w14:solidFill>
              <w14:schemeClr w14:val="tx1"/>
            </w14:solidFill>
          </w14:textFill>
        </w:rPr>
        <w:t>员缴纳工伤保险费，并要求其咨询人也进行此项保险。</w:t>
      </w:r>
    </w:p>
    <w:p w14:paraId="22A3473C">
      <w:pPr>
        <w:spacing w:before="106" w:line="219" w:lineRule="auto"/>
        <w:ind w:left="475"/>
        <w:outlineLvl w:val="3"/>
        <w:rPr>
          <w:rFonts w:ascii="宋体" w:hAnsi="宋体" w:cs="宋体"/>
          <w:color w:val="000000" w:themeColor="text1"/>
          <w:sz w:val="24"/>
          <w:szCs w:val="24"/>
          <w:highlight w:val="none"/>
          <w14:textFill>
            <w14:solidFill>
              <w14:schemeClr w14:val="tx1"/>
            </w14:solidFill>
          </w14:textFill>
        </w:rPr>
      </w:pPr>
      <w:r>
        <w:rPr>
          <w:rFonts w:eastAsia="Times New Roman"/>
          <w:b/>
          <w:bCs/>
          <w:color w:val="000000" w:themeColor="text1"/>
          <w:spacing w:val="-2"/>
          <w:sz w:val="24"/>
          <w:szCs w:val="24"/>
          <w:highlight w:val="none"/>
          <w14:textFill>
            <w14:solidFill>
              <w14:schemeClr w14:val="tx1"/>
            </w14:solidFill>
          </w14:textFill>
        </w:rPr>
        <w:t xml:space="preserve">20.4  </w:t>
      </w:r>
      <w:r>
        <w:rPr>
          <w:rFonts w:ascii="宋体" w:hAnsi="宋体" w:cs="宋体"/>
          <w:b/>
          <w:bCs/>
          <w:color w:val="000000" w:themeColor="text1"/>
          <w:spacing w:val="-2"/>
          <w:sz w:val="24"/>
          <w:szCs w:val="24"/>
          <w:highlight w:val="none"/>
          <w14:textFill>
            <w14:solidFill>
              <w14:schemeClr w14:val="tx1"/>
            </w14:solidFill>
          </w14:textFill>
        </w:rPr>
        <w:t>人身意外伤害险</w:t>
      </w:r>
    </w:p>
    <w:p w14:paraId="6BBD592C">
      <w:pPr>
        <w:spacing w:before="122" w:line="264" w:lineRule="auto"/>
        <w:ind w:left="3" w:right="166" w:firstLine="470"/>
        <w:rPr>
          <w:rFonts w:ascii="宋体" w:hAnsi="宋体" w:cs="宋体"/>
          <w:color w:val="000000" w:themeColor="text1"/>
          <w:sz w:val="24"/>
          <w:szCs w:val="24"/>
          <w:highlight w:val="none"/>
          <w14:textFill>
            <w14:solidFill>
              <w14:schemeClr w14:val="tx1"/>
            </w14:solidFill>
          </w14:textFill>
        </w:rPr>
      </w:pPr>
      <w:r>
        <w:rPr>
          <w:rFonts w:eastAsia="Times New Roman"/>
          <w:color w:val="000000" w:themeColor="text1"/>
          <w:spacing w:val="2"/>
          <w:sz w:val="24"/>
          <w:szCs w:val="24"/>
          <w:highlight w:val="none"/>
          <w14:textFill>
            <w14:solidFill>
              <w14:schemeClr w14:val="tx1"/>
            </w14:solidFill>
          </w14:textFill>
        </w:rPr>
        <w:t xml:space="preserve">20.4.1 </w:t>
      </w:r>
      <w:r>
        <w:rPr>
          <w:rFonts w:ascii="宋体" w:hAnsi="宋体" w:cs="宋体"/>
          <w:color w:val="000000" w:themeColor="text1"/>
          <w:spacing w:val="2"/>
          <w:sz w:val="24"/>
          <w:szCs w:val="24"/>
          <w:highlight w:val="none"/>
          <w14:textFill>
            <w14:solidFill>
              <w14:schemeClr w14:val="tx1"/>
            </w14:solidFill>
          </w14:textFill>
        </w:rPr>
        <w:t>承包人应在整个养护作业期间为其现场机构雇用的全部人员投保人身意</w:t>
      </w:r>
      <w:r>
        <w:rPr>
          <w:rFonts w:ascii="宋体" w:hAnsi="宋体" w:cs="宋体"/>
          <w:color w:val="000000" w:themeColor="text1"/>
          <w:spacing w:val="-1"/>
          <w:sz w:val="24"/>
          <w:szCs w:val="24"/>
          <w:highlight w:val="none"/>
          <w14:textFill>
            <w14:solidFill>
              <w14:schemeClr w14:val="tx1"/>
            </w14:solidFill>
          </w14:textFill>
        </w:rPr>
        <w:t>外伤害险，缴纳保险费，并要求其分包人也进行此项保险。</w:t>
      </w:r>
    </w:p>
    <w:p w14:paraId="2E718C07">
      <w:pPr>
        <w:spacing w:before="116" w:line="263" w:lineRule="auto"/>
        <w:ind w:left="3" w:right="166" w:firstLine="470"/>
        <w:rPr>
          <w:rFonts w:ascii="宋体" w:hAnsi="宋体" w:cs="宋体"/>
          <w:color w:val="000000" w:themeColor="text1"/>
          <w:sz w:val="24"/>
          <w:szCs w:val="24"/>
          <w:highlight w:val="none"/>
          <w14:textFill>
            <w14:solidFill>
              <w14:schemeClr w14:val="tx1"/>
            </w14:solidFill>
          </w14:textFill>
        </w:rPr>
      </w:pPr>
      <w:r>
        <w:rPr>
          <w:rFonts w:eastAsia="Times New Roman"/>
          <w:color w:val="000000" w:themeColor="text1"/>
          <w:spacing w:val="1"/>
          <w:sz w:val="24"/>
          <w:szCs w:val="24"/>
          <w:highlight w:val="none"/>
          <w14:textFill>
            <w14:solidFill>
              <w14:schemeClr w14:val="tx1"/>
            </w14:solidFill>
          </w14:textFill>
        </w:rPr>
        <w:t xml:space="preserve">20.4.2  </w:t>
      </w:r>
      <w:r>
        <w:rPr>
          <w:rFonts w:ascii="宋体" w:hAnsi="宋体" w:cs="宋体"/>
          <w:color w:val="000000" w:themeColor="text1"/>
          <w:spacing w:val="1"/>
          <w:sz w:val="24"/>
          <w:szCs w:val="24"/>
          <w:highlight w:val="none"/>
          <w14:textFill>
            <w14:solidFill>
              <w14:schemeClr w14:val="tx1"/>
            </w14:solidFill>
          </w14:textFill>
        </w:rPr>
        <w:t>发包人应在整个养护作业期间为其现场机构</w:t>
      </w:r>
      <w:r>
        <w:rPr>
          <w:rFonts w:ascii="宋体" w:hAnsi="宋体" w:cs="宋体"/>
          <w:color w:val="000000" w:themeColor="text1"/>
          <w:sz w:val="24"/>
          <w:szCs w:val="24"/>
          <w:highlight w:val="none"/>
          <w14:textFill>
            <w14:solidFill>
              <w14:schemeClr w14:val="tx1"/>
            </w14:solidFill>
          </w14:textFill>
        </w:rPr>
        <w:t>雇用的全部人员投保人身意</w:t>
      </w:r>
      <w:r>
        <w:rPr>
          <w:rFonts w:ascii="宋体" w:hAnsi="宋体" w:cs="宋体"/>
          <w:color w:val="000000" w:themeColor="text1"/>
          <w:spacing w:val="-1"/>
          <w:sz w:val="24"/>
          <w:szCs w:val="24"/>
          <w:highlight w:val="none"/>
          <w14:textFill>
            <w14:solidFill>
              <w14:schemeClr w14:val="tx1"/>
            </w14:solidFill>
          </w14:textFill>
        </w:rPr>
        <w:t>外伤害险，缴纳保险费，并要求其咨询人也进行此项保险。</w:t>
      </w:r>
    </w:p>
    <w:p w14:paraId="1BA773DD">
      <w:pPr>
        <w:spacing w:before="106" w:line="220" w:lineRule="auto"/>
        <w:ind w:left="475"/>
        <w:outlineLvl w:val="3"/>
        <w:rPr>
          <w:rFonts w:ascii="宋体" w:hAnsi="宋体" w:cs="宋体"/>
          <w:color w:val="000000" w:themeColor="text1"/>
          <w:sz w:val="24"/>
          <w:szCs w:val="24"/>
          <w:highlight w:val="none"/>
          <w14:textFill>
            <w14:solidFill>
              <w14:schemeClr w14:val="tx1"/>
            </w14:solidFill>
          </w14:textFill>
        </w:rPr>
      </w:pPr>
      <w:r>
        <w:rPr>
          <w:rFonts w:eastAsia="Times New Roman"/>
          <w:b/>
          <w:bCs/>
          <w:color w:val="000000" w:themeColor="text1"/>
          <w:spacing w:val="-2"/>
          <w:sz w:val="24"/>
          <w:szCs w:val="24"/>
          <w:highlight w:val="none"/>
          <w14:textFill>
            <w14:solidFill>
              <w14:schemeClr w14:val="tx1"/>
            </w14:solidFill>
          </w14:textFill>
        </w:rPr>
        <w:t xml:space="preserve">20.5  </w:t>
      </w:r>
      <w:r>
        <w:rPr>
          <w:rFonts w:ascii="宋体" w:hAnsi="宋体" w:cs="宋体"/>
          <w:b/>
          <w:bCs/>
          <w:color w:val="000000" w:themeColor="text1"/>
          <w:spacing w:val="-2"/>
          <w:sz w:val="24"/>
          <w:szCs w:val="24"/>
          <w:highlight w:val="none"/>
          <w14:textFill>
            <w14:solidFill>
              <w14:schemeClr w14:val="tx1"/>
            </w14:solidFill>
          </w14:textFill>
        </w:rPr>
        <w:t>其他保险</w:t>
      </w:r>
    </w:p>
    <w:p w14:paraId="3B7F3FD3">
      <w:pPr>
        <w:spacing w:before="123" w:line="304" w:lineRule="auto"/>
        <w:ind w:left="2" w:right="164" w:firstLine="490"/>
        <w:rPr>
          <w:rFonts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除专用合同条款另有约定外，承包人应为其养护作业设备、进场的材料和工程</w:t>
      </w:r>
      <w:r>
        <w:rPr>
          <w:rFonts w:ascii="宋体" w:hAnsi="宋体" w:cs="宋体"/>
          <w:color w:val="000000" w:themeColor="text1"/>
          <w:spacing w:val="-2"/>
          <w:sz w:val="24"/>
          <w:szCs w:val="24"/>
          <w:highlight w:val="none"/>
          <w14:textFill>
            <w14:solidFill>
              <w14:schemeClr w14:val="tx1"/>
            </w14:solidFill>
          </w14:textFill>
        </w:rPr>
        <w:t>设备等办理保险。</w:t>
      </w:r>
    </w:p>
    <w:p w14:paraId="400A4209">
      <w:pPr>
        <w:spacing w:before="1" w:line="220" w:lineRule="auto"/>
        <w:ind w:left="475"/>
        <w:outlineLvl w:val="3"/>
        <w:rPr>
          <w:rFonts w:ascii="宋体" w:hAnsi="宋体" w:cs="宋体"/>
          <w:color w:val="000000" w:themeColor="text1"/>
          <w:sz w:val="24"/>
          <w:szCs w:val="24"/>
          <w:highlight w:val="none"/>
          <w14:textFill>
            <w14:solidFill>
              <w14:schemeClr w14:val="tx1"/>
            </w14:solidFill>
          </w14:textFill>
        </w:rPr>
      </w:pPr>
      <w:r>
        <w:rPr>
          <w:rFonts w:eastAsia="Times New Roman"/>
          <w:b/>
          <w:bCs/>
          <w:color w:val="000000" w:themeColor="text1"/>
          <w:spacing w:val="-2"/>
          <w:sz w:val="24"/>
          <w:szCs w:val="24"/>
          <w:highlight w:val="none"/>
          <w14:textFill>
            <w14:solidFill>
              <w14:schemeClr w14:val="tx1"/>
            </w14:solidFill>
          </w14:textFill>
        </w:rPr>
        <w:t xml:space="preserve">20.6  </w:t>
      </w:r>
      <w:r>
        <w:rPr>
          <w:rFonts w:ascii="宋体" w:hAnsi="宋体" w:cs="宋体"/>
          <w:b/>
          <w:bCs/>
          <w:color w:val="000000" w:themeColor="text1"/>
          <w:spacing w:val="-2"/>
          <w:sz w:val="24"/>
          <w:szCs w:val="24"/>
          <w:highlight w:val="none"/>
          <w14:textFill>
            <w14:solidFill>
              <w14:schemeClr w14:val="tx1"/>
            </w14:solidFill>
          </w14:textFill>
        </w:rPr>
        <w:t>对各项保险的一般要求</w:t>
      </w:r>
    </w:p>
    <w:p w14:paraId="47103CCC">
      <w:pPr>
        <w:spacing w:before="124" w:line="219" w:lineRule="auto"/>
        <w:ind w:left="474"/>
        <w:rPr>
          <w:rFonts w:ascii="宋体" w:hAnsi="宋体" w:cs="宋体"/>
          <w:color w:val="000000" w:themeColor="text1"/>
          <w:sz w:val="24"/>
          <w:szCs w:val="24"/>
          <w:highlight w:val="none"/>
          <w14:textFill>
            <w14:solidFill>
              <w14:schemeClr w14:val="tx1"/>
            </w14:solidFill>
          </w14:textFill>
        </w:rPr>
      </w:pPr>
      <w:r>
        <w:rPr>
          <w:rFonts w:eastAsia="Times New Roman"/>
          <w:color w:val="000000" w:themeColor="text1"/>
          <w:spacing w:val="-1"/>
          <w:sz w:val="24"/>
          <w:szCs w:val="24"/>
          <w:highlight w:val="none"/>
          <w14:textFill>
            <w14:solidFill>
              <w14:schemeClr w14:val="tx1"/>
            </w14:solidFill>
          </w14:textFill>
        </w:rPr>
        <w:t xml:space="preserve">20.6.1  </w:t>
      </w:r>
      <w:r>
        <w:rPr>
          <w:rFonts w:ascii="宋体" w:hAnsi="宋体" w:cs="宋体"/>
          <w:color w:val="000000" w:themeColor="text1"/>
          <w:spacing w:val="-1"/>
          <w:sz w:val="24"/>
          <w:szCs w:val="24"/>
          <w:highlight w:val="none"/>
          <w14:textFill>
            <w14:solidFill>
              <w14:schemeClr w14:val="tx1"/>
            </w14:solidFill>
          </w14:textFill>
        </w:rPr>
        <w:t>保险凭证</w:t>
      </w:r>
    </w:p>
    <w:p w14:paraId="69BF13A9">
      <w:pPr>
        <w:spacing w:before="114" w:line="308" w:lineRule="auto"/>
        <w:ind w:left="12" w:right="164" w:firstLine="466"/>
        <w:rPr>
          <w:rFonts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pacing w:val="1"/>
          <w:sz w:val="24"/>
          <w:szCs w:val="24"/>
          <w:highlight w:val="none"/>
          <w14:textFill>
            <w14:solidFill>
              <w14:schemeClr w14:val="tx1"/>
            </w14:solidFill>
          </w14:textFill>
        </w:rPr>
        <w:t>承包人应在专用合同条款约定的期限内向发包人提交各项</w:t>
      </w:r>
      <w:r>
        <w:rPr>
          <w:rFonts w:ascii="宋体" w:hAnsi="宋体" w:cs="宋体"/>
          <w:color w:val="000000" w:themeColor="text1"/>
          <w:sz w:val="24"/>
          <w:szCs w:val="24"/>
          <w:highlight w:val="none"/>
          <w14:textFill>
            <w14:solidFill>
              <w14:schemeClr w14:val="tx1"/>
            </w14:solidFill>
          </w14:textFill>
        </w:rPr>
        <w:t>保险生效的证据和保</w:t>
      </w:r>
      <w:r>
        <w:rPr>
          <w:rFonts w:ascii="宋体" w:hAnsi="宋体" w:cs="宋体"/>
          <w:color w:val="000000" w:themeColor="text1"/>
          <w:spacing w:val="-1"/>
          <w:sz w:val="24"/>
          <w:szCs w:val="24"/>
          <w:highlight w:val="none"/>
          <w14:textFill>
            <w14:solidFill>
              <w14:schemeClr w14:val="tx1"/>
            </w14:solidFill>
          </w14:textFill>
        </w:rPr>
        <w:t>险单副本，保险单必须与专用合同条款约定的条件保持一致。</w:t>
      </w:r>
    </w:p>
    <w:p w14:paraId="3ECCDE38">
      <w:pPr>
        <w:spacing w:before="1" w:line="219" w:lineRule="auto"/>
        <w:ind w:left="474"/>
        <w:rPr>
          <w:rFonts w:ascii="宋体" w:hAnsi="宋体" w:cs="宋体"/>
          <w:color w:val="000000" w:themeColor="text1"/>
          <w:sz w:val="24"/>
          <w:szCs w:val="24"/>
          <w:highlight w:val="none"/>
          <w14:textFill>
            <w14:solidFill>
              <w14:schemeClr w14:val="tx1"/>
            </w14:solidFill>
          </w14:textFill>
        </w:rPr>
      </w:pPr>
      <w:r>
        <w:rPr>
          <w:rFonts w:eastAsia="Times New Roman"/>
          <w:color w:val="000000" w:themeColor="text1"/>
          <w:spacing w:val="-1"/>
          <w:sz w:val="24"/>
          <w:szCs w:val="24"/>
          <w:highlight w:val="none"/>
          <w14:textFill>
            <w14:solidFill>
              <w14:schemeClr w14:val="tx1"/>
            </w14:solidFill>
          </w14:textFill>
        </w:rPr>
        <w:t xml:space="preserve">20.6.2 </w:t>
      </w:r>
      <w:r>
        <w:rPr>
          <w:rFonts w:ascii="宋体" w:hAnsi="宋体" w:cs="宋体"/>
          <w:color w:val="000000" w:themeColor="text1"/>
          <w:spacing w:val="-1"/>
          <w:sz w:val="24"/>
          <w:szCs w:val="24"/>
          <w:highlight w:val="none"/>
          <w14:textFill>
            <w14:solidFill>
              <w14:schemeClr w14:val="tx1"/>
            </w14:solidFill>
          </w14:textFill>
        </w:rPr>
        <w:t>保险合同条款的变动</w:t>
      </w:r>
    </w:p>
    <w:p w14:paraId="3E9BD112">
      <w:pPr>
        <w:spacing w:before="114" w:line="308" w:lineRule="auto"/>
        <w:ind w:left="12" w:right="164" w:firstLine="466"/>
        <w:rPr>
          <w:rFonts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pacing w:val="1"/>
          <w:sz w:val="24"/>
          <w:szCs w:val="24"/>
          <w:highlight w:val="none"/>
          <w14:textFill>
            <w14:solidFill>
              <w14:schemeClr w14:val="tx1"/>
            </w14:solidFill>
          </w14:textFill>
        </w:rPr>
        <w:t>承包人需要变动保险合同条款时，应事先征得发包人同意</w:t>
      </w:r>
      <w:r>
        <w:rPr>
          <w:rFonts w:ascii="宋体" w:hAnsi="宋体" w:cs="宋体"/>
          <w:color w:val="000000" w:themeColor="text1"/>
          <w:sz w:val="24"/>
          <w:szCs w:val="24"/>
          <w:highlight w:val="none"/>
          <w14:textFill>
            <w14:solidFill>
              <w14:schemeClr w14:val="tx1"/>
            </w14:solidFill>
          </w14:textFill>
        </w:rPr>
        <w:t>，并通知咨询人。保</w:t>
      </w:r>
      <w:r>
        <w:rPr>
          <w:rFonts w:ascii="宋体" w:hAnsi="宋体" w:cs="宋体"/>
          <w:color w:val="000000" w:themeColor="text1"/>
          <w:spacing w:val="-1"/>
          <w:sz w:val="24"/>
          <w:szCs w:val="24"/>
          <w:highlight w:val="none"/>
          <w14:textFill>
            <w14:solidFill>
              <w14:schemeClr w14:val="tx1"/>
            </w14:solidFill>
          </w14:textFill>
        </w:rPr>
        <w:t>险人作出变动的，承包人应在收到保险人通知后立即通知发包人和咨询人。</w:t>
      </w:r>
    </w:p>
    <w:p w14:paraId="0E710D8A">
      <w:pPr>
        <w:spacing w:line="219" w:lineRule="auto"/>
        <w:ind w:left="474"/>
        <w:rPr>
          <w:rFonts w:ascii="宋体" w:hAnsi="宋体" w:cs="宋体"/>
          <w:color w:val="000000" w:themeColor="text1"/>
          <w:sz w:val="24"/>
          <w:szCs w:val="24"/>
          <w:highlight w:val="none"/>
          <w14:textFill>
            <w14:solidFill>
              <w14:schemeClr w14:val="tx1"/>
            </w14:solidFill>
          </w14:textFill>
        </w:rPr>
      </w:pPr>
      <w:r>
        <w:rPr>
          <w:rFonts w:eastAsia="Times New Roman"/>
          <w:color w:val="000000" w:themeColor="text1"/>
          <w:spacing w:val="-1"/>
          <w:sz w:val="24"/>
          <w:szCs w:val="24"/>
          <w:highlight w:val="none"/>
          <w14:textFill>
            <w14:solidFill>
              <w14:schemeClr w14:val="tx1"/>
            </w14:solidFill>
          </w14:textFill>
        </w:rPr>
        <w:t xml:space="preserve">20.6.3  </w:t>
      </w:r>
      <w:r>
        <w:rPr>
          <w:rFonts w:ascii="宋体" w:hAnsi="宋体" w:cs="宋体"/>
          <w:color w:val="000000" w:themeColor="text1"/>
          <w:spacing w:val="-1"/>
          <w:sz w:val="24"/>
          <w:szCs w:val="24"/>
          <w:highlight w:val="none"/>
          <w14:textFill>
            <w14:solidFill>
              <w14:schemeClr w14:val="tx1"/>
            </w14:solidFill>
          </w14:textFill>
        </w:rPr>
        <w:t>持续保险</w:t>
      </w:r>
    </w:p>
    <w:p w14:paraId="5A120B54">
      <w:pPr>
        <w:spacing w:before="112" w:line="308" w:lineRule="auto"/>
        <w:ind w:right="164" w:firstLine="479"/>
        <w:rPr>
          <w:rFonts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pacing w:val="1"/>
          <w:sz w:val="24"/>
          <w:szCs w:val="24"/>
          <w:highlight w:val="none"/>
          <w14:textFill>
            <w14:solidFill>
              <w14:schemeClr w14:val="tx1"/>
            </w14:solidFill>
          </w14:textFill>
        </w:rPr>
        <w:t>承包人应与保险人保持联系，使保险人能够随时了解养护</w:t>
      </w:r>
      <w:r>
        <w:rPr>
          <w:rFonts w:ascii="宋体" w:hAnsi="宋体" w:cs="宋体"/>
          <w:color w:val="000000" w:themeColor="text1"/>
          <w:sz w:val="24"/>
          <w:szCs w:val="24"/>
          <w:highlight w:val="none"/>
          <w14:textFill>
            <w14:solidFill>
              <w14:schemeClr w14:val="tx1"/>
            </w14:solidFill>
          </w14:textFill>
        </w:rPr>
        <w:t>项目实施中的变动，</w:t>
      </w:r>
      <w:r>
        <w:rPr>
          <w:rFonts w:ascii="宋体" w:hAnsi="宋体" w:cs="宋体"/>
          <w:color w:val="000000" w:themeColor="text1"/>
          <w:spacing w:val="1"/>
          <w:sz w:val="24"/>
          <w:szCs w:val="24"/>
          <w:highlight w:val="none"/>
          <w14:textFill>
            <w14:solidFill>
              <w14:schemeClr w14:val="tx1"/>
            </w14:solidFill>
          </w14:textFill>
        </w:rPr>
        <w:t>并确保按保险合同条款要求持续保险。在整个合同期内</w:t>
      </w:r>
      <w:r>
        <w:rPr>
          <w:rFonts w:ascii="宋体" w:hAnsi="宋体" w:cs="宋体"/>
          <w:color w:val="000000" w:themeColor="text1"/>
          <w:sz w:val="24"/>
          <w:szCs w:val="24"/>
          <w:highlight w:val="none"/>
          <w14:textFill>
            <w14:solidFill>
              <w14:schemeClr w14:val="tx1"/>
            </w14:solidFill>
          </w14:textFill>
        </w:rPr>
        <w:t>，承包人应按合同条款约定</w:t>
      </w:r>
      <w:r>
        <w:rPr>
          <w:rFonts w:ascii="宋体" w:hAnsi="宋体" w:cs="宋体"/>
          <w:color w:val="000000" w:themeColor="text1"/>
          <w:spacing w:val="-2"/>
          <w:sz w:val="24"/>
          <w:szCs w:val="24"/>
          <w:highlight w:val="none"/>
          <w14:textFill>
            <w14:solidFill>
              <w14:schemeClr w14:val="tx1"/>
            </w14:solidFill>
          </w14:textFill>
        </w:rPr>
        <w:t>保证足够的保险额。</w:t>
      </w:r>
    </w:p>
    <w:p w14:paraId="2EF73855">
      <w:pPr>
        <w:spacing w:line="220" w:lineRule="auto"/>
        <w:ind w:left="474"/>
        <w:rPr>
          <w:rFonts w:ascii="宋体" w:hAnsi="宋体" w:cs="宋体"/>
          <w:color w:val="000000" w:themeColor="text1"/>
          <w:sz w:val="24"/>
          <w:szCs w:val="24"/>
          <w:highlight w:val="none"/>
          <w14:textFill>
            <w14:solidFill>
              <w14:schemeClr w14:val="tx1"/>
            </w14:solidFill>
          </w14:textFill>
        </w:rPr>
      </w:pPr>
      <w:r>
        <w:rPr>
          <w:rFonts w:eastAsia="Times New Roman"/>
          <w:color w:val="000000" w:themeColor="text1"/>
          <w:spacing w:val="-1"/>
          <w:sz w:val="24"/>
          <w:szCs w:val="24"/>
          <w:highlight w:val="none"/>
          <w14:textFill>
            <w14:solidFill>
              <w14:schemeClr w14:val="tx1"/>
            </w14:solidFill>
          </w14:textFill>
        </w:rPr>
        <w:t xml:space="preserve">20.6.4  </w:t>
      </w:r>
      <w:r>
        <w:rPr>
          <w:rFonts w:ascii="宋体" w:hAnsi="宋体" w:cs="宋体"/>
          <w:color w:val="000000" w:themeColor="text1"/>
          <w:spacing w:val="-1"/>
          <w:sz w:val="24"/>
          <w:szCs w:val="24"/>
          <w:highlight w:val="none"/>
          <w14:textFill>
            <w14:solidFill>
              <w14:schemeClr w14:val="tx1"/>
            </w14:solidFill>
          </w14:textFill>
        </w:rPr>
        <w:t>保险金不足的补偿</w:t>
      </w:r>
    </w:p>
    <w:p w14:paraId="26083FD0">
      <w:pPr>
        <w:spacing w:before="116" w:line="307" w:lineRule="auto"/>
        <w:ind w:right="164" w:firstLine="480"/>
        <w:rPr>
          <w:rFonts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pacing w:val="4"/>
          <w:sz w:val="24"/>
          <w:szCs w:val="24"/>
          <w:highlight w:val="none"/>
          <w14:textFill>
            <w14:solidFill>
              <w14:schemeClr w14:val="tx1"/>
            </w14:solidFill>
          </w14:textFill>
        </w:rPr>
        <w:t>保险金不足以补偿损失的（包括免赔额和超过赔偿限额</w:t>
      </w:r>
      <w:r>
        <w:rPr>
          <w:rFonts w:ascii="宋体" w:hAnsi="宋体" w:cs="宋体"/>
          <w:color w:val="000000" w:themeColor="text1"/>
          <w:spacing w:val="3"/>
          <w:sz w:val="24"/>
          <w:szCs w:val="24"/>
          <w:highlight w:val="none"/>
          <w14:textFill>
            <w14:solidFill>
              <w14:schemeClr w14:val="tx1"/>
            </w14:solidFill>
          </w14:textFill>
        </w:rPr>
        <w:t>的部分</w:t>
      </w:r>
      <w:r>
        <w:rPr>
          <w:rFonts w:ascii="宋体" w:hAnsi="宋体" w:cs="宋体"/>
          <w:color w:val="000000" w:themeColor="text1"/>
          <w:spacing w:val="-48"/>
          <w:sz w:val="24"/>
          <w:szCs w:val="24"/>
          <w:highlight w:val="none"/>
          <w14:textFill>
            <w14:solidFill>
              <w14:schemeClr w14:val="tx1"/>
            </w14:solidFill>
          </w14:textFill>
        </w:rPr>
        <w:t>），</w:t>
      </w:r>
      <w:r>
        <w:rPr>
          <w:rFonts w:ascii="宋体" w:hAnsi="宋体" w:cs="宋体"/>
          <w:color w:val="000000" w:themeColor="text1"/>
          <w:spacing w:val="3"/>
          <w:sz w:val="24"/>
          <w:szCs w:val="24"/>
          <w:highlight w:val="none"/>
          <w14:textFill>
            <w14:solidFill>
              <w14:schemeClr w14:val="tx1"/>
            </w14:solidFill>
          </w14:textFill>
        </w:rPr>
        <w:t>应由承包人</w:t>
      </w:r>
      <w:r>
        <w:rPr>
          <w:rFonts w:ascii="宋体" w:hAnsi="宋体" w:cs="宋体"/>
          <w:color w:val="000000" w:themeColor="text1"/>
          <w:spacing w:val="-1"/>
          <w:sz w:val="24"/>
          <w:szCs w:val="24"/>
          <w:highlight w:val="none"/>
          <w14:textFill>
            <w14:solidFill>
              <w14:schemeClr w14:val="tx1"/>
            </w14:solidFill>
          </w14:textFill>
        </w:rPr>
        <w:t>和（或）发包人按合同约定负责补偿。</w:t>
      </w:r>
    </w:p>
    <w:p w14:paraId="2CFCD3C0">
      <w:pPr>
        <w:spacing w:before="1" w:line="219" w:lineRule="auto"/>
        <w:ind w:left="474"/>
        <w:rPr>
          <w:rFonts w:ascii="宋体" w:hAnsi="宋体" w:cs="宋体"/>
          <w:color w:val="000000" w:themeColor="text1"/>
          <w:sz w:val="24"/>
          <w:szCs w:val="24"/>
          <w:highlight w:val="none"/>
          <w14:textFill>
            <w14:solidFill>
              <w14:schemeClr w14:val="tx1"/>
            </w14:solidFill>
          </w14:textFill>
        </w:rPr>
      </w:pPr>
      <w:r>
        <w:rPr>
          <w:rFonts w:eastAsia="Times New Roman"/>
          <w:color w:val="000000" w:themeColor="text1"/>
          <w:spacing w:val="-1"/>
          <w:sz w:val="24"/>
          <w:szCs w:val="24"/>
          <w:highlight w:val="none"/>
          <w14:textFill>
            <w14:solidFill>
              <w14:schemeClr w14:val="tx1"/>
            </w14:solidFill>
          </w14:textFill>
        </w:rPr>
        <w:t xml:space="preserve">20.6.5  </w:t>
      </w:r>
      <w:r>
        <w:rPr>
          <w:rFonts w:ascii="宋体" w:hAnsi="宋体" w:cs="宋体"/>
          <w:color w:val="000000" w:themeColor="text1"/>
          <w:spacing w:val="-1"/>
          <w:sz w:val="24"/>
          <w:szCs w:val="24"/>
          <w:highlight w:val="none"/>
          <w14:textFill>
            <w14:solidFill>
              <w14:schemeClr w14:val="tx1"/>
            </w14:solidFill>
          </w14:textFill>
        </w:rPr>
        <w:t>未按约定投保的补救</w:t>
      </w:r>
    </w:p>
    <w:p w14:paraId="618B261A">
      <w:pPr>
        <w:spacing w:before="115" w:line="264" w:lineRule="auto"/>
        <w:ind w:left="1" w:right="164" w:firstLine="488"/>
        <w:rPr>
          <w:rFonts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pacing w:val="4"/>
          <w:sz w:val="24"/>
          <w:szCs w:val="24"/>
          <w:highlight w:val="none"/>
          <w14:textFill>
            <w14:solidFill>
              <w14:schemeClr w14:val="tx1"/>
            </w14:solidFill>
          </w14:textFill>
        </w:rPr>
        <w:t>（</w:t>
      </w:r>
      <w:r>
        <w:rPr>
          <w:rFonts w:eastAsia="Times New Roman"/>
          <w:color w:val="000000" w:themeColor="text1"/>
          <w:spacing w:val="4"/>
          <w:sz w:val="24"/>
          <w:szCs w:val="24"/>
          <w:highlight w:val="none"/>
          <w14:textFill>
            <w14:solidFill>
              <w14:schemeClr w14:val="tx1"/>
            </w14:solidFill>
          </w14:textFill>
        </w:rPr>
        <w:t>1</w:t>
      </w:r>
      <w:r>
        <w:rPr>
          <w:rFonts w:ascii="宋体" w:hAnsi="宋体" w:cs="宋体"/>
          <w:color w:val="000000" w:themeColor="text1"/>
          <w:spacing w:val="4"/>
          <w:sz w:val="24"/>
          <w:szCs w:val="24"/>
          <w:highlight w:val="none"/>
          <w14:textFill>
            <w14:solidFill>
              <w14:schemeClr w14:val="tx1"/>
            </w14:solidFill>
          </w14:textFill>
        </w:rPr>
        <w:t>）由于负有投保义务的一方当事人未按合同约定办理保险，或未能使</w:t>
      </w:r>
      <w:r>
        <w:rPr>
          <w:rFonts w:ascii="宋体" w:hAnsi="宋体" w:cs="宋体"/>
          <w:color w:val="000000" w:themeColor="text1"/>
          <w:spacing w:val="3"/>
          <w:sz w:val="24"/>
          <w:szCs w:val="24"/>
          <w:highlight w:val="none"/>
          <w14:textFill>
            <w14:solidFill>
              <w14:schemeClr w14:val="tx1"/>
            </w14:solidFill>
          </w14:textFill>
        </w:rPr>
        <w:t>保险</w:t>
      </w:r>
      <w:r>
        <w:rPr>
          <w:rFonts w:ascii="宋体" w:hAnsi="宋体" w:cs="宋体"/>
          <w:color w:val="000000" w:themeColor="text1"/>
          <w:spacing w:val="-1"/>
          <w:sz w:val="24"/>
          <w:szCs w:val="24"/>
          <w:highlight w:val="none"/>
          <w14:textFill>
            <w14:solidFill>
              <w14:schemeClr w14:val="tx1"/>
            </w14:solidFill>
          </w14:textFill>
        </w:rPr>
        <w:t>持续有效的，另一方当事人可代为办理，所需费用由对方当事人承担。</w:t>
      </w:r>
    </w:p>
    <w:p w14:paraId="35C01EC9">
      <w:pPr>
        <w:spacing w:before="112" w:line="279" w:lineRule="auto"/>
        <w:ind w:right="164" w:firstLine="489"/>
        <w:rPr>
          <w:color w:val="000000" w:themeColor="text1"/>
          <w:highlight w:val="none"/>
          <w14:textFill>
            <w14:solidFill>
              <w14:schemeClr w14:val="tx1"/>
            </w14:solidFill>
          </w14:textFill>
        </w:rPr>
      </w:pPr>
      <w:r>
        <w:rPr>
          <w:rFonts w:ascii="宋体" w:hAnsi="宋体" w:cs="宋体"/>
          <w:color w:val="000000" w:themeColor="text1"/>
          <w:spacing w:val="4"/>
          <w:sz w:val="24"/>
          <w:szCs w:val="24"/>
          <w:highlight w:val="none"/>
          <w14:textFill>
            <w14:solidFill>
              <w14:schemeClr w14:val="tx1"/>
            </w14:solidFill>
          </w14:textFill>
        </w:rPr>
        <w:t>（</w:t>
      </w:r>
      <w:r>
        <w:rPr>
          <w:rFonts w:eastAsia="Times New Roman"/>
          <w:color w:val="000000" w:themeColor="text1"/>
          <w:spacing w:val="4"/>
          <w:sz w:val="24"/>
          <w:szCs w:val="24"/>
          <w:highlight w:val="none"/>
          <w14:textFill>
            <w14:solidFill>
              <w14:schemeClr w14:val="tx1"/>
            </w14:solidFill>
          </w14:textFill>
        </w:rPr>
        <w:t>2</w:t>
      </w:r>
      <w:r>
        <w:rPr>
          <w:rFonts w:ascii="宋体" w:hAnsi="宋体" w:cs="宋体"/>
          <w:color w:val="000000" w:themeColor="text1"/>
          <w:spacing w:val="4"/>
          <w:sz w:val="24"/>
          <w:szCs w:val="24"/>
          <w:highlight w:val="none"/>
          <w14:textFill>
            <w14:solidFill>
              <w14:schemeClr w14:val="tx1"/>
            </w14:solidFill>
          </w14:textFill>
        </w:rPr>
        <w:t>）由于负有投保义务的一方当事人未按合同约定办理某项保险，导致</w:t>
      </w:r>
      <w:r>
        <w:rPr>
          <w:rFonts w:ascii="宋体" w:hAnsi="宋体" w:cs="宋体"/>
          <w:color w:val="000000" w:themeColor="text1"/>
          <w:spacing w:val="3"/>
          <w:sz w:val="24"/>
          <w:szCs w:val="24"/>
          <w:highlight w:val="none"/>
          <w14:textFill>
            <w14:solidFill>
              <w14:schemeClr w14:val="tx1"/>
            </w14:solidFill>
          </w14:textFill>
        </w:rPr>
        <w:t>受益</w:t>
      </w:r>
      <w:r>
        <w:rPr>
          <w:rFonts w:ascii="宋体" w:hAnsi="宋体" w:cs="宋体"/>
          <w:color w:val="000000" w:themeColor="text1"/>
          <w:spacing w:val="1"/>
          <w:sz w:val="24"/>
          <w:szCs w:val="24"/>
          <w:highlight w:val="none"/>
          <w14:textFill>
            <w14:solidFill>
              <w14:schemeClr w14:val="tx1"/>
            </w14:solidFill>
          </w14:textFill>
        </w:rPr>
        <w:t>人未能得到保险人的赔偿，原应从该项保险得到的保</w:t>
      </w:r>
      <w:r>
        <w:rPr>
          <w:rFonts w:ascii="宋体" w:hAnsi="宋体" w:cs="宋体"/>
          <w:color w:val="000000" w:themeColor="text1"/>
          <w:sz w:val="24"/>
          <w:szCs w:val="24"/>
          <w:highlight w:val="none"/>
          <w14:textFill>
            <w14:solidFill>
              <w14:schemeClr w14:val="tx1"/>
            </w14:solidFill>
          </w14:textFill>
        </w:rPr>
        <w:t>险金应由负有投保义务的一方</w:t>
      </w:r>
      <w:r>
        <w:rPr>
          <w:rFonts w:ascii="宋体" w:hAnsi="宋体" w:cs="宋体"/>
          <w:color w:val="000000" w:themeColor="text1"/>
          <w:spacing w:val="-2"/>
          <w:sz w:val="24"/>
          <w:szCs w:val="24"/>
          <w:highlight w:val="none"/>
          <w14:textFill>
            <w14:solidFill>
              <w14:schemeClr w14:val="tx1"/>
            </w14:solidFill>
          </w14:textFill>
        </w:rPr>
        <w:t>当事人支付。</w:t>
      </w:r>
    </w:p>
    <w:p w14:paraId="4C9DEA1D">
      <w:pPr>
        <w:spacing w:before="78" w:line="218" w:lineRule="auto"/>
        <w:ind w:left="476"/>
        <w:rPr>
          <w:rFonts w:ascii="宋体" w:hAnsi="宋体" w:cs="宋体"/>
          <w:color w:val="000000" w:themeColor="text1"/>
          <w:sz w:val="24"/>
          <w:szCs w:val="24"/>
          <w:highlight w:val="none"/>
          <w14:textFill>
            <w14:solidFill>
              <w14:schemeClr w14:val="tx1"/>
            </w14:solidFill>
          </w14:textFill>
        </w:rPr>
      </w:pPr>
      <w:r>
        <w:rPr>
          <w:rFonts w:eastAsia="Times New Roman"/>
          <w:color w:val="000000" w:themeColor="text1"/>
          <w:spacing w:val="-1"/>
          <w:sz w:val="24"/>
          <w:szCs w:val="24"/>
          <w:highlight w:val="none"/>
          <w14:textFill>
            <w14:solidFill>
              <w14:schemeClr w14:val="tx1"/>
            </w14:solidFill>
          </w14:textFill>
        </w:rPr>
        <w:t xml:space="preserve">20.6.6 </w:t>
      </w:r>
      <w:r>
        <w:rPr>
          <w:rFonts w:ascii="宋体" w:hAnsi="宋体" w:cs="宋体"/>
          <w:color w:val="000000" w:themeColor="text1"/>
          <w:spacing w:val="-1"/>
          <w:sz w:val="24"/>
          <w:szCs w:val="24"/>
          <w:highlight w:val="none"/>
          <w14:textFill>
            <w14:solidFill>
              <w14:schemeClr w14:val="tx1"/>
            </w14:solidFill>
          </w14:textFill>
        </w:rPr>
        <w:t>报告义务</w:t>
      </w:r>
    </w:p>
    <w:p w14:paraId="02B41C8C">
      <w:pPr>
        <w:spacing w:before="115" w:line="264" w:lineRule="auto"/>
        <w:ind w:left="1" w:right="164" w:firstLine="488"/>
        <w:rPr>
          <w:rFonts w:ascii="宋体" w:hAnsi="宋体" w:cs="宋体"/>
          <w:color w:val="000000" w:themeColor="text1"/>
          <w:spacing w:val="4"/>
          <w:sz w:val="24"/>
          <w:szCs w:val="24"/>
          <w:highlight w:val="none"/>
          <w14:textFill>
            <w14:solidFill>
              <w14:schemeClr w14:val="tx1"/>
            </w14:solidFill>
          </w14:textFill>
        </w:rPr>
      </w:pPr>
      <w:r>
        <w:rPr>
          <w:rFonts w:ascii="宋体" w:hAnsi="宋体" w:cs="宋体"/>
          <w:color w:val="000000" w:themeColor="text1"/>
          <w:spacing w:val="4"/>
          <w:sz w:val="24"/>
          <w:szCs w:val="24"/>
          <w:highlight w:val="none"/>
          <w14:textFill>
            <w14:solidFill>
              <w14:schemeClr w14:val="tx1"/>
            </w14:solidFill>
          </w14:textFill>
        </w:rPr>
        <w:t>当保险事故发生时，投保人应按照保险单规定的条件和期限及时向保险人报告。</w:t>
      </w:r>
    </w:p>
    <w:p w14:paraId="6CB2B966">
      <w:pPr>
        <w:spacing w:before="78" w:line="219" w:lineRule="auto"/>
        <w:ind w:left="477"/>
        <w:outlineLvl w:val="2"/>
        <w:rPr>
          <w:rFonts w:ascii="宋体" w:hAnsi="宋体" w:cs="宋体"/>
          <w:color w:val="000000" w:themeColor="text1"/>
          <w:sz w:val="24"/>
          <w:szCs w:val="24"/>
          <w:highlight w:val="none"/>
          <w14:textFill>
            <w14:solidFill>
              <w14:schemeClr w14:val="tx1"/>
            </w14:solidFill>
          </w14:textFill>
        </w:rPr>
      </w:pPr>
      <w:bookmarkStart w:id="175" w:name="bookmark47"/>
      <w:bookmarkEnd w:id="175"/>
      <w:bookmarkStart w:id="176" w:name="bookmark48"/>
      <w:bookmarkEnd w:id="176"/>
      <w:bookmarkStart w:id="177" w:name="_Toc15102"/>
      <w:r>
        <w:rPr>
          <w:rFonts w:eastAsia="Times New Roman"/>
          <w:b/>
          <w:bCs/>
          <w:color w:val="000000" w:themeColor="text1"/>
          <w:spacing w:val="-4"/>
          <w:sz w:val="24"/>
          <w:szCs w:val="24"/>
          <w:highlight w:val="none"/>
          <w14:textFill>
            <w14:solidFill>
              <w14:schemeClr w14:val="tx1"/>
            </w14:solidFill>
          </w14:textFill>
        </w:rPr>
        <w:t>21.</w:t>
      </w:r>
      <w:r>
        <w:rPr>
          <w:rFonts w:eastAsia="Times New Roman"/>
          <w:b/>
          <w:bCs/>
          <w:color w:val="000000" w:themeColor="text1"/>
          <w:spacing w:val="6"/>
          <w:sz w:val="24"/>
          <w:szCs w:val="24"/>
          <w:highlight w:val="none"/>
          <w14:textFill>
            <w14:solidFill>
              <w14:schemeClr w14:val="tx1"/>
            </w14:solidFill>
          </w14:textFill>
        </w:rPr>
        <w:t xml:space="preserve">  </w:t>
      </w:r>
      <w:r>
        <w:rPr>
          <w:rFonts w:ascii="宋体" w:hAnsi="宋体" w:cs="宋体"/>
          <w:b/>
          <w:bCs/>
          <w:color w:val="000000" w:themeColor="text1"/>
          <w:spacing w:val="-4"/>
          <w:sz w:val="24"/>
          <w:szCs w:val="24"/>
          <w:highlight w:val="none"/>
          <w14:textFill>
            <w14:solidFill>
              <w14:schemeClr w14:val="tx1"/>
            </w14:solidFill>
          </w14:textFill>
        </w:rPr>
        <w:t>不可抗力</w:t>
      </w:r>
      <w:bookmarkEnd w:id="177"/>
    </w:p>
    <w:p w14:paraId="2DC16570">
      <w:pPr>
        <w:spacing w:before="260" w:line="219" w:lineRule="auto"/>
        <w:ind w:left="477"/>
        <w:outlineLvl w:val="3"/>
        <w:rPr>
          <w:rFonts w:ascii="宋体" w:hAnsi="宋体" w:cs="宋体"/>
          <w:color w:val="000000" w:themeColor="text1"/>
          <w:sz w:val="24"/>
          <w:szCs w:val="24"/>
          <w:highlight w:val="none"/>
          <w14:textFill>
            <w14:solidFill>
              <w14:schemeClr w14:val="tx1"/>
            </w14:solidFill>
          </w14:textFill>
        </w:rPr>
      </w:pPr>
      <w:r>
        <w:rPr>
          <w:rFonts w:eastAsia="Times New Roman"/>
          <w:b/>
          <w:bCs/>
          <w:color w:val="000000" w:themeColor="text1"/>
          <w:spacing w:val="-2"/>
          <w:sz w:val="24"/>
          <w:szCs w:val="24"/>
          <w:highlight w:val="none"/>
          <w14:textFill>
            <w14:solidFill>
              <w14:schemeClr w14:val="tx1"/>
            </w14:solidFill>
          </w14:textFill>
        </w:rPr>
        <w:t xml:space="preserve">21.1  </w:t>
      </w:r>
      <w:r>
        <w:rPr>
          <w:rFonts w:ascii="宋体" w:hAnsi="宋体" w:cs="宋体"/>
          <w:b/>
          <w:bCs/>
          <w:color w:val="000000" w:themeColor="text1"/>
          <w:spacing w:val="-2"/>
          <w:sz w:val="24"/>
          <w:szCs w:val="24"/>
          <w:highlight w:val="none"/>
          <w14:textFill>
            <w14:solidFill>
              <w14:schemeClr w14:val="tx1"/>
            </w14:solidFill>
          </w14:textFill>
        </w:rPr>
        <w:t>不可抗力的确认</w:t>
      </w:r>
    </w:p>
    <w:p w14:paraId="66CF0AE6">
      <w:pPr>
        <w:spacing w:before="126" w:line="307" w:lineRule="auto"/>
        <w:ind w:left="23" w:right="166" w:firstLine="453"/>
        <w:rPr>
          <w:rFonts w:ascii="宋体" w:hAnsi="宋体" w:cs="宋体"/>
          <w:color w:val="000000" w:themeColor="text1"/>
          <w:sz w:val="24"/>
          <w:szCs w:val="24"/>
          <w:highlight w:val="none"/>
          <w14:textFill>
            <w14:solidFill>
              <w14:schemeClr w14:val="tx1"/>
            </w14:solidFill>
          </w14:textFill>
        </w:rPr>
      </w:pPr>
      <w:r>
        <w:rPr>
          <w:rFonts w:eastAsia="Times New Roman"/>
          <w:color w:val="000000" w:themeColor="text1"/>
          <w:spacing w:val="1"/>
          <w:sz w:val="24"/>
          <w:szCs w:val="24"/>
          <w:highlight w:val="none"/>
          <w14:textFill>
            <w14:solidFill>
              <w14:schemeClr w14:val="tx1"/>
            </w14:solidFill>
          </w14:textFill>
        </w:rPr>
        <w:t xml:space="preserve">21.1.1  </w:t>
      </w:r>
      <w:r>
        <w:rPr>
          <w:rFonts w:ascii="宋体" w:hAnsi="宋体" w:cs="宋体"/>
          <w:color w:val="000000" w:themeColor="text1"/>
          <w:spacing w:val="1"/>
          <w:sz w:val="24"/>
          <w:szCs w:val="24"/>
          <w:highlight w:val="none"/>
          <w14:textFill>
            <w14:solidFill>
              <w14:schemeClr w14:val="tx1"/>
            </w14:solidFill>
          </w14:textFill>
        </w:rPr>
        <w:t>不可抗力是指承包人和发包人在订立合同时</w:t>
      </w:r>
      <w:r>
        <w:rPr>
          <w:rFonts w:ascii="宋体" w:hAnsi="宋体" w:cs="宋体"/>
          <w:color w:val="000000" w:themeColor="text1"/>
          <w:sz w:val="24"/>
          <w:szCs w:val="24"/>
          <w:highlight w:val="none"/>
          <w14:textFill>
            <w14:solidFill>
              <w14:schemeClr w14:val="tx1"/>
            </w14:solidFill>
          </w14:textFill>
        </w:rPr>
        <w:t>不可预见，在项目养护过程</w:t>
      </w:r>
      <w:r>
        <w:rPr>
          <w:rFonts w:ascii="宋体" w:hAnsi="宋体" w:cs="宋体"/>
          <w:color w:val="000000" w:themeColor="text1"/>
          <w:spacing w:val="-1"/>
          <w:sz w:val="24"/>
          <w:szCs w:val="24"/>
          <w:highlight w:val="none"/>
          <w14:textFill>
            <w14:solidFill>
              <w14:schemeClr w14:val="tx1"/>
            </w14:solidFill>
          </w14:textFill>
        </w:rPr>
        <w:t>中不可避免发生并不能克服的自然灾害和社会性突发事件，包括但不限于：</w:t>
      </w:r>
    </w:p>
    <w:p w14:paraId="02C6C0E4">
      <w:pPr>
        <w:spacing w:line="264" w:lineRule="auto"/>
        <w:ind w:left="1" w:right="164" w:firstLine="490"/>
        <w:rPr>
          <w:rFonts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pacing w:val="-3"/>
          <w:sz w:val="24"/>
          <w:szCs w:val="24"/>
          <w:highlight w:val="none"/>
          <w14:textFill>
            <w14:solidFill>
              <w14:schemeClr w14:val="tx1"/>
            </w14:solidFill>
          </w14:textFill>
        </w:rPr>
        <w:t>（</w:t>
      </w:r>
      <w:r>
        <w:rPr>
          <w:rFonts w:eastAsia="Times New Roman"/>
          <w:color w:val="000000" w:themeColor="text1"/>
          <w:spacing w:val="-3"/>
          <w:sz w:val="24"/>
          <w:szCs w:val="24"/>
          <w:highlight w:val="none"/>
          <w14:textFill>
            <w14:solidFill>
              <w14:schemeClr w14:val="tx1"/>
            </w14:solidFill>
          </w14:textFill>
        </w:rPr>
        <w:t>1</w:t>
      </w:r>
      <w:r>
        <w:rPr>
          <w:rFonts w:ascii="宋体" w:hAnsi="宋体" w:cs="宋体"/>
          <w:color w:val="000000" w:themeColor="text1"/>
          <w:spacing w:val="-3"/>
          <w:sz w:val="24"/>
          <w:szCs w:val="24"/>
          <w:highlight w:val="none"/>
          <w14:textFill>
            <w14:solidFill>
              <w14:schemeClr w14:val="tx1"/>
            </w14:solidFill>
          </w14:textFill>
        </w:rPr>
        <w:t>）地震、海啸、火山爆发、泥石流、暴雨（雪）、台风、龙卷风、水灾等自然灾害；</w:t>
      </w:r>
    </w:p>
    <w:p w14:paraId="3CF3FB2A">
      <w:pPr>
        <w:spacing w:before="114" w:line="263" w:lineRule="auto"/>
        <w:ind w:right="164" w:firstLine="492"/>
        <w:rPr>
          <w:rFonts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pacing w:val="4"/>
          <w:sz w:val="24"/>
          <w:szCs w:val="24"/>
          <w:highlight w:val="none"/>
          <w14:textFill>
            <w14:solidFill>
              <w14:schemeClr w14:val="tx1"/>
            </w14:solidFill>
          </w14:textFill>
        </w:rPr>
        <w:t>（</w:t>
      </w:r>
      <w:r>
        <w:rPr>
          <w:rFonts w:eastAsia="Times New Roman"/>
          <w:color w:val="000000" w:themeColor="text1"/>
          <w:spacing w:val="4"/>
          <w:sz w:val="24"/>
          <w:szCs w:val="24"/>
          <w:highlight w:val="none"/>
          <w14:textFill>
            <w14:solidFill>
              <w14:schemeClr w14:val="tx1"/>
            </w14:solidFill>
          </w14:textFill>
        </w:rPr>
        <w:t>2</w:t>
      </w:r>
      <w:r>
        <w:rPr>
          <w:rFonts w:ascii="宋体" w:hAnsi="宋体" w:cs="宋体"/>
          <w:color w:val="000000" w:themeColor="text1"/>
          <w:spacing w:val="4"/>
          <w:sz w:val="24"/>
          <w:szCs w:val="24"/>
          <w:highlight w:val="none"/>
          <w14:textFill>
            <w14:solidFill>
              <w14:schemeClr w14:val="tx1"/>
            </w14:solidFill>
          </w14:textFill>
        </w:rPr>
        <w:t>）战争、骚乱、暴动，但纯属承包人或其分包人派遣与雇用的人员由</w:t>
      </w:r>
      <w:r>
        <w:rPr>
          <w:rFonts w:ascii="宋体" w:hAnsi="宋体" w:cs="宋体"/>
          <w:color w:val="000000" w:themeColor="text1"/>
          <w:spacing w:val="3"/>
          <w:sz w:val="24"/>
          <w:szCs w:val="24"/>
          <w:highlight w:val="none"/>
          <w14:textFill>
            <w14:solidFill>
              <w14:schemeClr w14:val="tx1"/>
            </w14:solidFill>
          </w14:textFill>
        </w:rPr>
        <w:t>于实</w:t>
      </w:r>
      <w:r>
        <w:rPr>
          <w:rFonts w:ascii="宋体" w:hAnsi="宋体" w:cs="宋体"/>
          <w:color w:val="000000" w:themeColor="text1"/>
          <w:spacing w:val="-1"/>
          <w:sz w:val="24"/>
          <w:szCs w:val="24"/>
          <w:highlight w:val="none"/>
          <w14:textFill>
            <w14:solidFill>
              <w14:schemeClr w14:val="tx1"/>
            </w14:solidFill>
          </w14:textFill>
        </w:rPr>
        <w:t>施养护项目原因引起者除外；</w:t>
      </w:r>
    </w:p>
    <w:p w14:paraId="7F11DA3D">
      <w:pPr>
        <w:spacing w:before="116" w:line="219" w:lineRule="auto"/>
        <w:ind w:left="492"/>
        <w:rPr>
          <w:rFonts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pacing w:val="-2"/>
          <w:sz w:val="24"/>
          <w:szCs w:val="24"/>
          <w:highlight w:val="none"/>
          <w14:textFill>
            <w14:solidFill>
              <w14:schemeClr w14:val="tx1"/>
            </w14:solidFill>
          </w14:textFill>
        </w:rPr>
        <w:t>（</w:t>
      </w:r>
      <w:r>
        <w:rPr>
          <w:rFonts w:eastAsia="Times New Roman"/>
          <w:color w:val="000000" w:themeColor="text1"/>
          <w:spacing w:val="-2"/>
          <w:sz w:val="24"/>
          <w:szCs w:val="24"/>
          <w:highlight w:val="none"/>
          <w14:textFill>
            <w14:solidFill>
              <w14:schemeClr w14:val="tx1"/>
            </w14:solidFill>
          </w14:textFill>
        </w:rPr>
        <w:t>3</w:t>
      </w:r>
      <w:r>
        <w:rPr>
          <w:rFonts w:ascii="宋体" w:hAnsi="宋体" w:cs="宋体"/>
          <w:color w:val="000000" w:themeColor="text1"/>
          <w:spacing w:val="-2"/>
          <w:sz w:val="24"/>
          <w:szCs w:val="24"/>
          <w:highlight w:val="none"/>
          <w14:textFill>
            <w14:solidFill>
              <w14:schemeClr w14:val="tx1"/>
            </w14:solidFill>
          </w14:textFill>
        </w:rPr>
        <w:t>）核反应、辐射或放射性污染；</w:t>
      </w:r>
    </w:p>
    <w:p w14:paraId="2F62B56D">
      <w:pPr>
        <w:spacing w:before="116" w:line="218" w:lineRule="auto"/>
        <w:ind w:left="492"/>
        <w:rPr>
          <w:rFonts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pacing w:val="-1"/>
          <w:sz w:val="24"/>
          <w:szCs w:val="24"/>
          <w:highlight w:val="none"/>
          <w14:textFill>
            <w14:solidFill>
              <w14:schemeClr w14:val="tx1"/>
            </w14:solidFill>
          </w14:textFill>
        </w:rPr>
        <w:t>（</w:t>
      </w:r>
      <w:r>
        <w:rPr>
          <w:rFonts w:eastAsia="Times New Roman"/>
          <w:color w:val="000000" w:themeColor="text1"/>
          <w:spacing w:val="-1"/>
          <w:sz w:val="24"/>
          <w:szCs w:val="24"/>
          <w:highlight w:val="none"/>
          <w14:textFill>
            <w14:solidFill>
              <w14:schemeClr w14:val="tx1"/>
            </w14:solidFill>
          </w14:textFill>
        </w:rPr>
        <w:t>4</w:t>
      </w:r>
      <w:r>
        <w:rPr>
          <w:rFonts w:ascii="宋体" w:hAnsi="宋体" w:cs="宋体"/>
          <w:color w:val="000000" w:themeColor="text1"/>
          <w:spacing w:val="-1"/>
          <w:sz w:val="24"/>
          <w:szCs w:val="24"/>
          <w:highlight w:val="none"/>
          <w14:textFill>
            <w14:solidFill>
              <w14:schemeClr w14:val="tx1"/>
            </w14:solidFill>
          </w14:textFill>
        </w:rPr>
        <w:t>）空中飞行物体坠落或非发包人或承包人责任造成的爆炸、火灾；</w:t>
      </w:r>
    </w:p>
    <w:p w14:paraId="69174E38">
      <w:pPr>
        <w:spacing w:before="116" w:line="219" w:lineRule="auto"/>
        <w:ind w:left="492"/>
        <w:rPr>
          <w:rFonts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pacing w:val="-2"/>
          <w:sz w:val="24"/>
          <w:szCs w:val="24"/>
          <w:highlight w:val="none"/>
          <w14:textFill>
            <w14:solidFill>
              <w14:schemeClr w14:val="tx1"/>
            </w14:solidFill>
          </w14:textFill>
        </w:rPr>
        <w:t>（</w:t>
      </w:r>
      <w:r>
        <w:rPr>
          <w:rFonts w:eastAsia="Times New Roman"/>
          <w:color w:val="000000" w:themeColor="text1"/>
          <w:spacing w:val="-2"/>
          <w:sz w:val="24"/>
          <w:szCs w:val="24"/>
          <w:highlight w:val="none"/>
          <w14:textFill>
            <w14:solidFill>
              <w14:schemeClr w14:val="tx1"/>
            </w14:solidFill>
          </w14:textFill>
        </w:rPr>
        <w:t>5</w:t>
      </w:r>
      <w:r>
        <w:rPr>
          <w:rFonts w:ascii="宋体" w:hAnsi="宋体" w:cs="宋体"/>
          <w:color w:val="000000" w:themeColor="text1"/>
          <w:spacing w:val="-2"/>
          <w:sz w:val="24"/>
          <w:szCs w:val="24"/>
          <w:highlight w:val="none"/>
          <w14:textFill>
            <w14:solidFill>
              <w14:schemeClr w14:val="tx1"/>
            </w14:solidFill>
          </w14:textFill>
        </w:rPr>
        <w:t>）专用合同条款约定的其他情形。</w:t>
      </w:r>
    </w:p>
    <w:p w14:paraId="12E839DB">
      <w:pPr>
        <w:spacing w:before="116" w:line="305" w:lineRule="auto"/>
        <w:ind w:left="4" w:right="18" w:firstLine="471"/>
        <w:rPr>
          <w:rFonts w:ascii="宋体" w:hAnsi="宋体" w:cs="宋体"/>
          <w:color w:val="000000" w:themeColor="text1"/>
          <w:sz w:val="24"/>
          <w:szCs w:val="24"/>
          <w:highlight w:val="none"/>
          <w14:textFill>
            <w14:solidFill>
              <w14:schemeClr w14:val="tx1"/>
            </w14:solidFill>
          </w14:textFill>
        </w:rPr>
      </w:pPr>
      <w:r>
        <w:rPr>
          <w:rFonts w:eastAsia="Times New Roman"/>
          <w:color w:val="000000" w:themeColor="text1"/>
          <w:spacing w:val="1"/>
          <w:sz w:val="24"/>
          <w:szCs w:val="24"/>
          <w:highlight w:val="none"/>
          <w14:textFill>
            <w14:solidFill>
              <w14:schemeClr w14:val="tx1"/>
            </w14:solidFill>
          </w14:textFill>
        </w:rPr>
        <w:t xml:space="preserve">21.1.2  </w:t>
      </w:r>
      <w:r>
        <w:rPr>
          <w:rFonts w:ascii="宋体" w:hAnsi="宋体" w:cs="宋体"/>
          <w:color w:val="000000" w:themeColor="text1"/>
          <w:spacing w:val="1"/>
          <w:sz w:val="24"/>
          <w:szCs w:val="24"/>
          <w:highlight w:val="none"/>
          <w14:textFill>
            <w14:solidFill>
              <w14:schemeClr w14:val="tx1"/>
            </w14:solidFill>
          </w14:textFill>
        </w:rPr>
        <w:t>不可抗力发生后，发包人和承包人应及时认</w:t>
      </w:r>
      <w:r>
        <w:rPr>
          <w:rFonts w:ascii="宋体" w:hAnsi="宋体" w:cs="宋体"/>
          <w:color w:val="000000" w:themeColor="text1"/>
          <w:sz w:val="24"/>
          <w:szCs w:val="24"/>
          <w:highlight w:val="none"/>
          <w14:textFill>
            <w14:solidFill>
              <w14:schemeClr w14:val="tx1"/>
            </w14:solidFill>
          </w14:textFill>
        </w:rPr>
        <w:t>真统计所造成的损失，收集</w:t>
      </w:r>
      <w:r>
        <w:rPr>
          <w:rFonts w:ascii="宋体" w:hAnsi="宋体" w:cs="宋体"/>
          <w:color w:val="000000" w:themeColor="text1"/>
          <w:spacing w:val="-2"/>
          <w:sz w:val="24"/>
          <w:szCs w:val="24"/>
          <w:highlight w:val="none"/>
          <w14:textFill>
            <w14:solidFill>
              <w14:schemeClr w14:val="tx1"/>
            </w14:solidFill>
          </w14:textFill>
        </w:rPr>
        <w:t>不可抗力造成损失的证据。合同双方对是否属于不可抗力或其损失的意见不一致的，</w:t>
      </w:r>
      <w:r>
        <w:rPr>
          <w:rFonts w:ascii="宋体" w:hAnsi="宋体" w:cs="宋体"/>
          <w:color w:val="000000" w:themeColor="text1"/>
          <w:spacing w:val="-1"/>
          <w:sz w:val="24"/>
          <w:szCs w:val="24"/>
          <w:highlight w:val="none"/>
          <w14:textFill>
            <w14:solidFill>
              <w14:schemeClr w14:val="tx1"/>
            </w14:solidFill>
          </w14:textFill>
        </w:rPr>
        <w:t>由咨询人按第</w:t>
      </w:r>
      <w:r>
        <w:rPr>
          <w:rFonts w:ascii="宋体" w:hAnsi="宋体" w:cs="宋体"/>
          <w:color w:val="000000" w:themeColor="text1"/>
          <w:spacing w:val="-45"/>
          <w:sz w:val="24"/>
          <w:szCs w:val="24"/>
          <w:highlight w:val="none"/>
          <w14:textFill>
            <w14:solidFill>
              <w14:schemeClr w14:val="tx1"/>
            </w14:solidFill>
          </w14:textFill>
        </w:rPr>
        <w:t xml:space="preserve"> </w:t>
      </w:r>
      <w:r>
        <w:rPr>
          <w:rFonts w:eastAsia="Times New Roman"/>
          <w:color w:val="000000" w:themeColor="text1"/>
          <w:spacing w:val="-1"/>
          <w:sz w:val="24"/>
          <w:szCs w:val="24"/>
          <w:highlight w:val="none"/>
          <w14:textFill>
            <w14:solidFill>
              <w14:schemeClr w14:val="tx1"/>
            </w14:solidFill>
          </w14:textFill>
        </w:rPr>
        <w:t xml:space="preserve">3.5 </w:t>
      </w:r>
      <w:r>
        <w:rPr>
          <w:rFonts w:ascii="宋体" w:hAnsi="宋体" w:cs="宋体"/>
          <w:color w:val="000000" w:themeColor="text1"/>
          <w:spacing w:val="-1"/>
          <w:sz w:val="24"/>
          <w:szCs w:val="24"/>
          <w:highlight w:val="none"/>
          <w14:textFill>
            <w14:solidFill>
              <w14:schemeClr w14:val="tx1"/>
            </w14:solidFill>
          </w14:textFill>
        </w:rPr>
        <w:t>款商定或确定。发生争议时，按第</w:t>
      </w:r>
      <w:r>
        <w:rPr>
          <w:rFonts w:ascii="宋体" w:hAnsi="宋体" w:cs="宋体"/>
          <w:color w:val="000000" w:themeColor="text1"/>
          <w:spacing w:val="-55"/>
          <w:sz w:val="24"/>
          <w:szCs w:val="24"/>
          <w:highlight w:val="none"/>
          <w14:textFill>
            <w14:solidFill>
              <w14:schemeClr w14:val="tx1"/>
            </w14:solidFill>
          </w14:textFill>
        </w:rPr>
        <w:t xml:space="preserve"> </w:t>
      </w:r>
      <w:r>
        <w:rPr>
          <w:rFonts w:eastAsia="Times New Roman"/>
          <w:color w:val="000000" w:themeColor="text1"/>
          <w:spacing w:val="-1"/>
          <w:sz w:val="24"/>
          <w:szCs w:val="24"/>
          <w:highlight w:val="none"/>
          <w14:textFill>
            <w14:solidFill>
              <w14:schemeClr w14:val="tx1"/>
            </w14:solidFill>
          </w14:textFill>
        </w:rPr>
        <w:t xml:space="preserve">24 </w:t>
      </w:r>
      <w:r>
        <w:rPr>
          <w:rFonts w:ascii="宋体" w:hAnsi="宋体" w:cs="宋体"/>
          <w:color w:val="000000" w:themeColor="text1"/>
          <w:spacing w:val="-1"/>
          <w:sz w:val="24"/>
          <w:szCs w:val="24"/>
          <w:highlight w:val="none"/>
          <w14:textFill>
            <w14:solidFill>
              <w14:schemeClr w14:val="tx1"/>
            </w14:solidFill>
          </w14:textFill>
        </w:rPr>
        <w:t>条的约定办理。</w:t>
      </w:r>
    </w:p>
    <w:p w14:paraId="686966FF">
      <w:pPr>
        <w:spacing w:before="1" w:line="219" w:lineRule="auto"/>
        <w:ind w:left="477"/>
        <w:outlineLvl w:val="3"/>
        <w:rPr>
          <w:rFonts w:ascii="宋体" w:hAnsi="宋体" w:cs="宋体"/>
          <w:color w:val="000000" w:themeColor="text1"/>
          <w:sz w:val="24"/>
          <w:szCs w:val="24"/>
          <w:highlight w:val="none"/>
          <w14:textFill>
            <w14:solidFill>
              <w14:schemeClr w14:val="tx1"/>
            </w14:solidFill>
          </w14:textFill>
        </w:rPr>
      </w:pPr>
      <w:r>
        <w:rPr>
          <w:rFonts w:eastAsia="Times New Roman"/>
          <w:b/>
          <w:bCs/>
          <w:color w:val="000000" w:themeColor="text1"/>
          <w:spacing w:val="-2"/>
          <w:sz w:val="24"/>
          <w:szCs w:val="24"/>
          <w:highlight w:val="none"/>
          <w14:textFill>
            <w14:solidFill>
              <w14:schemeClr w14:val="tx1"/>
            </w14:solidFill>
          </w14:textFill>
        </w:rPr>
        <w:t xml:space="preserve">21.2  </w:t>
      </w:r>
      <w:r>
        <w:rPr>
          <w:rFonts w:ascii="宋体" w:hAnsi="宋体" w:cs="宋体"/>
          <w:b/>
          <w:bCs/>
          <w:color w:val="000000" w:themeColor="text1"/>
          <w:spacing w:val="-2"/>
          <w:sz w:val="24"/>
          <w:szCs w:val="24"/>
          <w:highlight w:val="none"/>
          <w14:textFill>
            <w14:solidFill>
              <w14:schemeClr w14:val="tx1"/>
            </w14:solidFill>
          </w14:textFill>
        </w:rPr>
        <w:t>不可抗力的通知</w:t>
      </w:r>
    </w:p>
    <w:p w14:paraId="0E0067B4">
      <w:pPr>
        <w:spacing w:before="124" w:line="278" w:lineRule="auto"/>
        <w:ind w:right="164" w:firstLine="475"/>
        <w:rPr>
          <w:rFonts w:ascii="宋体" w:hAnsi="宋体" w:cs="宋体"/>
          <w:color w:val="000000" w:themeColor="text1"/>
          <w:sz w:val="24"/>
          <w:szCs w:val="24"/>
          <w:highlight w:val="none"/>
          <w14:textFill>
            <w14:solidFill>
              <w14:schemeClr w14:val="tx1"/>
            </w14:solidFill>
          </w14:textFill>
        </w:rPr>
      </w:pPr>
      <w:r>
        <w:rPr>
          <w:rFonts w:eastAsia="Times New Roman"/>
          <w:color w:val="000000" w:themeColor="text1"/>
          <w:spacing w:val="1"/>
          <w:sz w:val="24"/>
          <w:szCs w:val="24"/>
          <w:highlight w:val="none"/>
          <w14:textFill>
            <w14:solidFill>
              <w14:schemeClr w14:val="tx1"/>
            </w14:solidFill>
          </w14:textFill>
        </w:rPr>
        <w:t xml:space="preserve">21.2.1  </w:t>
      </w:r>
      <w:r>
        <w:rPr>
          <w:rFonts w:ascii="宋体" w:hAnsi="宋体" w:cs="宋体"/>
          <w:color w:val="000000" w:themeColor="text1"/>
          <w:spacing w:val="1"/>
          <w:sz w:val="24"/>
          <w:szCs w:val="24"/>
          <w:highlight w:val="none"/>
          <w14:textFill>
            <w14:solidFill>
              <w14:schemeClr w14:val="tx1"/>
            </w14:solidFill>
          </w14:textFill>
        </w:rPr>
        <w:t>合同一方当事人遇到不可抗力事件，使其履</w:t>
      </w:r>
      <w:r>
        <w:rPr>
          <w:rFonts w:ascii="宋体" w:hAnsi="宋体" w:cs="宋体"/>
          <w:color w:val="000000" w:themeColor="text1"/>
          <w:sz w:val="24"/>
          <w:szCs w:val="24"/>
          <w:highlight w:val="none"/>
          <w14:textFill>
            <w14:solidFill>
              <w14:schemeClr w14:val="tx1"/>
            </w14:solidFill>
          </w14:textFill>
        </w:rPr>
        <w:t>行合同义务受到阻碍时，应</w:t>
      </w:r>
      <w:r>
        <w:rPr>
          <w:rFonts w:ascii="宋体" w:hAnsi="宋体" w:cs="宋体"/>
          <w:color w:val="000000" w:themeColor="text1"/>
          <w:spacing w:val="1"/>
          <w:sz w:val="24"/>
          <w:szCs w:val="24"/>
          <w:highlight w:val="none"/>
          <w14:textFill>
            <w14:solidFill>
              <w14:schemeClr w14:val="tx1"/>
            </w14:solidFill>
          </w14:textFill>
        </w:rPr>
        <w:t>立即通知合同另一方当事人和咨询人，书面说明不可抗力</w:t>
      </w:r>
      <w:r>
        <w:rPr>
          <w:rFonts w:ascii="宋体" w:hAnsi="宋体" w:cs="宋体"/>
          <w:color w:val="000000" w:themeColor="text1"/>
          <w:sz w:val="24"/>
          <w:szCs w:val="24"/>
          <w:highlight w:val="none"/>
          <w14:textFill>
            <w14:solidFill>
              <w14:schemeClr w14:val="tx1"/>
            </w14:solidFill>
          </w14:textFill>
        </w:rPr>
        <w:t>和受阻碍的详细情况，并</w:t>
      </w:r>
      <w:r>
        <w:rPr>
          <w:rFonts w:ascii="宋体" w:hAnsi="宋体" w:cs="宋体"/>
          <w:color w:val="000000" w:themeColor="text1"/>
          <w:spacing w:val="-2"/>
          <w:sz w:val="24"/>
          <w:szCs w:val="24"/>
          <w:highlight w:val="none"/>
          <w14:textFill>
            <w14:solidFill>
              <w14:schemeClr w14:val="tx1"/>
            </w14:solidFill>
          </w14:textFill>
        </w:rPr>
        <w:t>提供必要的证明。</w:t>
      </w:r>
    </w:p>
    <w:p w14:paraId="61FE7C45">
      <w:pPr>
        <w:spacing w:before="115" w:line="278" w:lineRule="auto"/>
        <w:ind w:right="164" w:firstLine="475"/>
        <w:rPr>
          <w:rFonts w:ascii="宋体" w:hAnsi="宋体" w:cs="宋体"/>
          <w:color w:val="000000" w:themeColor="text1"/>
          <w:sz w:val="24"/>
          <w:szCs w:val="24"/>
          <w:highlight w:val="none"/>
          <w14:textFill>
            <w14:solidFill>
              <w14:schemeClr w14:val="tx1"/>
            </w14:solidFill>
          </w14:textFill>
        </w:rPr>
      </w:pPr>
      <w:r>
        <w:rPr>
          <w:rFonts w:eastAsia="Times New Roman"/>
          <w:color w:val="000000" w:themeColor="text1"/>
          <w:spacing w:val="1"/>
          <w:sz w:val="24"/>
          <w:szCs w:val="24"/>
          <w:highlight w:val="none"/>
          <w14:textFill>
            <w14:solidFill>
              <w14:schemeClr w14:val="tx1"/>
            </w14:solidFill>
          </w14:textFill>
        </w:rPr>
        <w:t xml:space="preserve">21.2.2  </w:t>
      </w:r>
      <w:r>
        <w:rPr>
          <w:rFonts w:ascii="宋体" w:hAnsi="宋体" w:cs="宋体"/>
          <w:color w:val="000000" w:themeColor="text1"/>
          <w:spacing w:val="1"/>
          <w:sz w:val="24"/>
          <w:szCs w:val="24"/>
          <w:highlight w:val="none"/>
          <w14:textFill>
            <w14:solidFill>
              <w14:schemeClr w14:val="tx1"/>
            </w14:solidFill>
          </w14:textFill>
        </w:rPr>
        <w:t>如不可抗力持续发生，合同一方当事人应及</w:t>
      </w:r>
      <w:r>
        <w:rPr>
          <w:rFonts w:ascii="宋体" w:hAnsi="宋体" w:cs="宋体"/>
          <w:color w:val="000000" w:themeColor="text1"/>
          <w:sz w:val="24"/>
          <w:szCs w:val="24"/>
          <w:highlight w:val="none"/>
          <w14:textFill>
            <w14:solidFill>
              <w14:schemeClr w14:val="tx1"/>
            </w14:solidFill>
          </w14:textFill>
        </w:rPr>
        <w:t>时向合同另一方当事人和咨</w:t>
      </w:r>
      <w:r>
        <w:rPr>
          <w:rFonts w:ascii="宋体" w:hAnsi="宋体" w:cs="宋体"/>
          <w:color w:val="000000" w:themeColor="text1"/>
          <w:spacing w:val="1"/>
          <w:sz w:val="24"/>
          <w:szCs w:val="24"/>
          <w:highlight w:val="none"/>
          <w14:textFill>
            <w14:solidFill>
              <w14:schemeClr w14:val="tx1"/>
            </w14:solidFill>
          </w14:textFill>
        </w:rPr>
        <w:t>询人提交中间报告，说明不可抗力和履行合同受阻的情况</w:t>
      </w:r>
      <w:r>
        <w:rPr>
          <w:rFonts w:ascii="宋体" w:hAnsi="宋体" w:cs="宋体"/>
          <w:color w:val="000000" w:themeColor="text1"/>
          <w:sz w:val="24"/>
          <w:szCs w:val="24"/>
          <w:highlight w:val="none"/>
          <w14:textFill>
            <w14:solidFill>
              <w14:schemeClr w14:val="tx1"/>
            </w14:solidFill>
          </w14:textFill>
        </w:rPr>
        <w:t>，并于不可抗力事件结束</w:t>
      </w:r>
      <w:r>
        <w:rPr>
          <w:rFonts w:ascii="宋体" w:hAnsi="宋体" w:cs="宋体"/>
          <w:color w:val="000000" w:themeColor="text1"/>
          <w:spacing w:val="-1"/>
          <w:sz w:val="24"/>
          <w:szCs w:val="24"/>
          <w:highlight w:val="none"/>
          <w14:textFill>
            <w14:solidFill>
              <w14:schemeClr w14:val="tx1"/>
            </w14:solidFill>
          </w14:textFill>
        </w:rPr>
        <w:t>后</w:t>
      </w:r>
      <w:r>
        <w:rPr>
          <w:rFonts w:ascii="宋体" w:hAnsi="宋体" w:cs="宋体"/>
          <w:color w:val="000000" w:themeColor="text1"/>
          <w:spacing w:val="-53"/>
          <w:sz w:val="24"/>
          <w:szCs w:val="24"/>
          <w:highlight w:val="none"/>
          <w14:textFill>
            <w14:solidFill>
              <w14:schemeClr w14:val="tx1"/>
            </w14:solidFill>
          </w14:textFill>
        </w:rPr>
        <w:t xml:space="preserve"> </w:t>
      </w:r>
      <w:r>
        <w:rPr>
          <w:rFonts w:eastAsia="Times New Roman"/>
          <w:color w:val="000000" w:themeColor="text1"/>
          <w:spacing w:val="-1"/>
          <w:sz w:val="24"/>
          <w:szCs w:val="24"/>
          <w:highlight w:val="none"/>
          <w14:textFill>
            <w14:solidFill>
              <w14:schemeClr w14:val="tx1"/>
            </w14:solidFill>
          </w14:textFill>
        </w:rPr>
        <w:t xml:space="preserve">28 </w:t>
      </w:r>
      <w:r>
        <w:rPr>
          <w:rFonts w:ascii="宋体" w:hAnsi="宋体" w:cs="宋体"/>
          <w:color w:val="000000" w:themeColor="text1"/>
          <w:spacing w:val="-1"/>
          <w:sz w:val="24"/>
          <w:szCs w:val="24"/>
          <w:highlight w:val="none"/>
          <w14:textFill>
            <w14:solidFill>
              <w14:schemeClr w14:val="tx1"/>
            </w14:solidFill>
          </w14:textFill>
        </w:rPr>
        <w:t>天内提交最终报告及有关资料。</w:t>
      </w:r>
    </w:p>
    <w:p w14:paraId="37849D29">
      <w:pPr>
        <w:spacing w:before="106" w:line="219" w:lineRule="auto"/>
        <w:ind w:left="477"/>
        <w:outlineLvl w:val="3"/>
        <w:rPr>
          <w:rFonts w:ascii="宋体" w:hAnsi="宋体" w:cs="宋体"/>
          <w:color w:val="000000" w:themeColor="text1"/>
          <w:sz w:val="24"/>
          <w:szCs w:val="24"/>
          <w:highlight w:val="none"/>
          <w14:textFill>
            <w14:solidFill>
              <w14:schemeClr w14:val="tx1"/>
            </w14:solidFill>
          </w14:textFill>
        </w:rPr>
      </w:pPr>
      <w:r>
        <w:rPr>
          <w:rFonts w:eastAsia="Times New Roman"/>
          <w:b/>
          <w:bCs/>
          <w:color w:val="000000" w:themeColor="text1"/>
          <w:spacing w:val="-2"/>
          <w:sz w:val="24"/>
          <w:szCs w:val="24"/>
          <w:highlight w:val="none"/>
          <w14:textFill>
            <w14:solidFill>
              <w14:schemeClr w14:val="tx1"/>
            </w14:solidFill>
          </w14:textFill>
        </w:rPr>
        <w:t xml:space="preserve">21.3  </w:t>
      </w:r>
      <w:r>
        <w:rPr>
          <w:rFonts w:ascii="宋体" w:hAnsi="宋体" w:cs="宋体"/>
          <w:b/>
          <w:bCs/>
          <w:color w:val="000000" w:themeColor="text1"/>
          <w:spacing w:val="-2"/>
          <w:sz w:val="24"/>
          <w:szCs w:val="24"/>
          <w:highlight w:val="none"/>
          <w14:textFill>
            <w14:solidFill>
              <w14:schemeClr w14:val="tx1"/>
            </w14:solidFill>
          </w14:textFill>
        </w:rPr>
        <w:t>不可抗力后果及其处理</w:t>
      </w:r>
    </w:p>
    <w:p w14:paraId="1836AB08">
      <w:pPr>
        <w:spacing w:before="126" w:line="219" w:lineRule="auto"/>
        <w:ind w:left="476"/>
        <w:rPr>
          <w:rFonts w:ascii="宋体" w:hAnsi="宋体" w:cs="宋体"/>
          <w:color w:val="000000" w:themeColor="text1"/>
          <w:sz w:val="24"/>
          <w:szCs w:val="24"/>
          <w:highlight w:val="none"/>
          <w14:textFill>
            <w14:solidFill>
              <w14:schemeClr w14:val="tx1"/>
            </w14:solidFill>
          </w14:textFill>
        </w:rPr>
      </w:pPr>
      <w:r>
        <w:rPr>
          <w:rFonts w:eastAsia="Times New Roman"/>
          <w:color w:val="000000" w:themeColor="text1"/>
          <w:spacing w:val="-1"/>
          <w:sz w:val="24"/>
          <w:szCs w:val="24"/>
          <w:highlight w:val="none"/>
          <w14:textFill>
            <w14:solidFill>
              <w14:schemeClr w14:val="tx1"/>
            </w14:solidFill>
          </w14:textFill>
        </w:rPr>
        <w:t xml:space="preserve">21.3.1  </w:t>
      </w:r>
      <w:r>
        <w:rPr>
          <w:rFonts w:ascii="宋体" w:hAnsi="宋体" w:cs="宋体"/>
          <w:color w:val="000000" w:themeColor="text1"/>
          <w:spacing w:val="-1"/>
          <w:sz w:val="24"/>
          <w:szCs w:val="24"/>
          <w:highlight w:val="none"/>
          <w14:textFill>
            <w14:solidFill>
              <w14:schemeClr w14:val="tx1"/>
            </w14:solidFill>
          </w14:textFill>
        </w:rPr>
        <w:t>不可抗力造成损害的责任</w:t>
      </w:r>
    </w:p>
    <w:p w14:paraId="334586D2">
      <w:pPr>
        <w:spacing w:before="116" w:line="307" w:lineRule="auto"/>
        <w:ind w:left="1" w:right="164" w:firstLine="493"/>
        <w:rPr>
          <w:rFonts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除专用合同条款另有约定外，不可抗力导致的人员伤亡、财产损失、费用增加</w:t>
      </w:r>
      <w:r>
        <w:rPr>
          <w:rFonts w:ascii="宋体" w:hAnsi="宋体" w:cs="宋体"/>
          <w:color w:val="000000" w:themeColor="text1"/>
          <w:spacing w:val="-1"/>
          <w:sz w:val="24"/>
          <w:szCs w:val="24"/>
          <w:highlight w:val="none"/>
          <w14:textFill>
            <w14:solidFill>
              <w14:schemeClr w14:val="tx1"/>
            </w14:solidFill>
          </w14:textFill>
        </w:rPr>
        <w:t>和（或）工期延误等后果，由合同双方按以下原则承担：</w:t>
      </w:r>
    </w:p>
    <w:p w14:paraId="549224A4">
      <w:pPr>
        <w:spacing w:before="2" w:line="263" w:lineRule="auto"/>
        <w:ind w:left="3" w:right="164" w:firstLine="488"/>
        <w:rPr>
          <w:rFonts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pacing w:val="4"/>
          <w:sz w:val="24"/>
          <w:szCs w:val="24"/>
          <w:highlight w:val="none"/>
          <w14:textFill>
            <w14:solidFill>
              <w14:schemeClr w14:val="tx1"/>
            </w14:solidFill>
          </w14:textFill>
        </w:rPr>
        <w:t>（</w:t>
      </w:r>
      <w:r>
        <w:rPr>
          <w:rFonts w:eastAsia="Times New Roman"/>
          <w:color w:val="000000" w:themeColor="text1"/>
          <w:spacing w:val="4"/>
          <w:sz w:val="24"/>
          <w:szCs w:val="24"/>
          <w:highlight w:val="none"/>
          <w14:textFill>
            <w14:solidFill>
              <w14:schemeClr w14:val="tx1"/>
            </w14:solidFill>
          </w14:textFill>
        </w:rPr>
        <w:t>1</w:t>
      </w:r>
      <w:r>
        <w:rPr>
          <w:rFonts w:ascii="宋体" w:hAnsi="宋体" w:cs="宋体"/>
          <w:color w:val="000000" w:themeColor="text1"/>
          <w:spacing w:val="4"/>
          <w:sz w:val="24"/>
          <w:szCs w:val="24"/>
          <w:highlight w:val="none"/>
          <w14:textFill>
            <w14:solidFill>
              <w14:schemeClr w14:val="tx1"/>
            </w14:solidFill>
          </w14:textFill>
        </w:rPr>
        <w:t>）养护工程，包括已运至养护作业场地的材料和工程设备的损害，以</w:t>
      </w:r>
      <w:r>
        <w:rPr>
          <w:rFonts w:ascii="宋体" w:hAnsi="宋体" w:cs="宋体"/>
          <w:color w:val="000000" w:themeColor="text1"/>
          <w:spacing w:val="3"/>
          <w:sz w:val="24"/>
          <w:szCs w:val="24"/>
          <w:highlight w:val="none"/>
          <w14:textFill>
            <w14:solidFill>
              <w14:schemeClr w14:val="tx1"/>
            </w14:solidFill>
          </w14:textFill>
        </w:rPr>
        <w:t>及因</w:t>
      </w:r>
      <w:r>
        <w:rPr>
          <w:rFonts w:ascii="宋体" w:hAnsi="宋体" w:cs="宋体"/>
          <w:color w:val="000000" w:themeColor="text1"/>
          <w:spacing w:val="-1"/>
          <w:sz w:val="24"/>
          <w:szCs w:val="24"/>
          <w:highlight w:val="none"/>
          <w14:textFill>
            <w14:solidFill>
              <w14:schemeClr w14:val="tx1"/>
            </w14:solidFill>
          </w14:textFill>
        </w:rPr>
        <w:t>工程损害造成的第三者人员伤亡和财产损失由发包人承担；</w:t>
      </w:r>
    </w:p>
    <w:p w14:paraId="1B71F54B">
      <w:pPr>
        <w:spacing w:before="116" w:line="219" w:lineRule="auto"/>
        <w:ind w:left="492"/>
        <w:rPr>
          <w:rFonts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pacing w:val="-2"/>
          <w:sz w:val="24"/>
          <w:szCs w:val="24"/>
          <w:highlight w:val="none"/>
          <w14:textFill>
            <w14:solidFill>
              <w14:schemeClr w14:val="tx1"/>
            </w14:solidFill>
          </w14:textFill>
        </w:rPr>
        <w:t>（</w:t>
      </w:r>
      <w:r>
        <w:rPr>
          <w:rFonts w:eastAsia="Times New Roman"/>
          <w:color w:val="000000" w:themeColor="text1"/>
          <w:spacing w:val="-2"/>
          <w:sz w:val="24"/>
          <w:szCs w:val="24"/>
          <w:highlight w:val="none"/>
          <w14:textFill>
            <w14:solidFill>
              <w14:schemeClr w14:val="tx1"/>
            </w14:solidFill>
          </w14:textFill>
        </w:rPr>
        <w:t>2</w:t>
      </w:r>
      <w:r>
        <w:rPr>
          <w:rFonts w:ascii="宋体" w:hAnsi="宋体" w:cs="宋体"/>
          <w:color w:val="000000" w:themeColor="text1"/>
          <w:spacing w:val="-2"/>
          <w:sz w:val="24"/>
          <w:szCs w:val="24"/>
          <w:highlight w:val="none"/>
          <w14:textFill>
            <w14:solidFill>
              <w14:schemeClr w14:val="tx1"/>
            </w14:solidFill>
          </w14:textFill>
        </w:rPr>
        <w:t>）承包人设备的损坏由承包人承担；</w:t>
      </w:r>
    </w:p>
    <w:p w14:paraId="090C9342">
      <w:pPr>
        <w:spacing w:before="114" w:line="219" w:lineRule="auto"/>
        <w:ind w:left="492"/>
        <w:rPr>
          <w:rFonts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pacing w:val="-1"/>
          <w:sz w:val="24"/>
          <w:szCs w:val="24"/>
          <w:highlight w:val="none"/>
          <w14:textFill>
            <w14:solidFill>
              <w14:schemeClr w14:val="tx1"/>
            </w14:solidFill>
          </w14:textFill>
        </w:rPr>
        <w:t>（</w:t>
      </w:r>
      <w:r>
        <w:rPr>
          <w:rFonts w:eastAsia="Times New Roman"/>
          <w:color w:val="000000" w:themeColor="text1"/>
          <w:spacing w:val="-1"/>
          <w:sz w:val="24"/>
          <w:szCs w:val="24"/>
          <w:highlight w:val="none"/>
          <w14:textFill>
            <w14:solidFill>
              <w14:schemeClr w14:val="tx1"/>
            </w14:solidFill>
          </w14:textFill>
        </w:rPr>
        <w:t>3</w:t>
      </w:r>
      <w:r>
        <w:rPr>
          <w:rFonts w:ascii="宋体" w:hAnsi="宋体" w:cs="宋体"/>
          <w:color w:val="000000" w:themeColor="text1"/>
          <w:spacing w:val="-1"/>
          <w:sz w:val="24"/>
          <w:szCs w:val="24"/>
          <w:highlight w:val="none"/>
          <w14:textFill>
            <w14:solidFill>
              <w14:schemeClr w14:val="tx1"/>
            </w14:solidFill>
          </w14:textFill>
        </w:rPr>
        <w:t>）发包人和承包人各自承担其人员伤亡和其他财产损失及其相关费用；</w:t>
      </w:r>
    </w:p>
    <w:p w14:paraId="5F0ACC82">
      <w:pPr>
        <w:spacing w:before="115" w:line="264" w:lineRule="auto"/>
        <w:ind w:right="164" w:firstLine="491"/>
        <w:rPr>
          <w:color w:val="000000" w:themeColor="text1"/>
          <w:highlight w:val="none"/>
          <w14:textFill>
            <w14:solidFill>
              <w14:schemeClr w14:val="tx1"/>
            </w14:solidFill>
          </w14:textFill>
        </w:rPr>
      </w:pPr>
      <w:r>
        <w:rPr>
          <w:rFonts w:ascii="宋体" w:hAnsi="宋体" w:cs="宋体"/>
          <w:color w:val="000000" w:themeColor="text1"/>
          <w:spacing w:val="4"/>
          <w:sz w:val="24"/>
          <w:szCs w:val="24"/>
          <w:highlight w:val="none"/>
          <w14:textFill>
            <w14:solidFill>
              <w14:schemeClr w14:val="tx1"/>
            </w14:solidFill>
          </w14:textFill>
        </w:rPr>
        <w:t>（</w:t>
      </w:r>
      <w:r>
        <w:rPr>
          <w:rFonts w:eastAsia="Times New Roman"/>
          <w:color w:val="000000" w:themeColor="text1"/>
          <w:spacing w:val="4"/>
          <w:sz w:val="24"/>
          <w:szCs w:val="24"/>
          <w:highlight w:val="none"/>
          <w14:textFill>
            <w14:solidFill>
              <w14:schemeClr w14:val="tx1"/>
            </w14:solidFill>
          </w14:textFill>
        </w:rPr>
        <w:t>4</w:t>
      </w:r>
      <w:r>
        <w:rPr>
          <w:rFonts w:ascii="宋体" w:hAnsi="宋体" w:cs="宋体"/>
          <w:color w:val="000000" w:themeColor="text1"/>
          <w:spacing w:val="4"/>
          <w:sz w:val="24"/>
          <w:szCs w:val="24"/>
          <w:highlight w:val="none"/>
          <w14:textFill>
            <w14:solidFill>
              <w14:schemeClr w14:val="tx1"/>
            </w14:solidFill>
          </w14:textFill>
        </w:rPr>
        <w:t>）承包人的停工损失由承包人承担，但停工期间应咨询人要求照管工</w:t>
      </w:r>
      <w:r>
        <w:rPr>
          <w:rFonts w:ascii="宋体" w:hAnsi="宋体" w:cs="宋体"/>
          <w:color w:val="000000" w:themeColor="text1"/>
          <w:spacing w:val="3"/>
          <w:sz w:val="24"/>
          <w:szCs w:val="24"/>
          <w:highlight w:val="none"/>
          <w14:textFill>
            <w14:solidFill>
              <w14:schemeClr w14:val="tx1"/>
            </w14:solidFill>
          </w14:textFill>
        </w:rPr>
        <w:t>程和</w:t>
      </w:r>
      <w:r>
        <w:rPr>
          <w:rFonts w:ascii="宋体" w:hAnsi="宋体" w:cs="宋体"/>
          <w:color w:val="000000" w:themeColor="text1"/>
          <w:spacing w:val="-1"/>
          <w:sz w:val="24"/>
          <w:szCs w:val="24"/>
          <w:highlight w:val="none"/>
          <w14:textFill>
            <w14:solidFill>
              <w14:schemeClr w14:val="tx1"/>
            </w14:solidFill>
          </w14:textFill>
        </w:rPr>
        <w:t>清理、修复工程的金额由发包人承担；</w:t>
      </w:r>
    </w:p>
    <w:p w14:paraId="77B8A3A6">
      <w:pPr>
        <w:spacing w:before="78" w:line="307" w:lineRule="auto"/>
        <w:ind w:left="4" w:right="39" w:firstLine="487"/>
        <w:rPr>
          <w:rFonts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pacing w:val="3"/>
          <w:sz w:val="24"/>
          <w:szCs w:val="24"/>
          <w:highlight w:val="none"/>
          <w14:textFill>
            <w14:solidFill>
              <w14:schemeClr w14:val="tx1"/>
            </w14:solidFill>
          </w14:textFill>
        </w:rPr>
        <w:t>（</w:t>
      </w:r>
      <w:r>
        <w:rPr>
          <w:rFonts w:eastAsia="Times New Roman"/>
          <w:color w:val="000000" w:themeColor="text1"/>
          <w:spacing w:val="3"/>
          <w:sz w:val="24"/>
          <w:szCs w:val="24"/>
          <w:highlight w:val="none"/>
          <w14:textFill>
            <w14:solidFill>
              <w14:schemeClr w14:val="tx1"/>
            </w14:solidFill>
          </w14:textFill>
        </w:rPr>
        <w:t>5</w:t>
      </w:r>
      <w:r>
        <w:rPr>
          <w:rFonts w:ascii="宋体" w:hAnsi="宋体" w:cs="宋体"/>
          <w:color w:val="000000" w:themeColor="text1"/>
          <w:spacing w:val="3"/>
          <w:sz w:val="24"/>
          <w:szCs w:val="24"/>
          <w:highlight w:val="none"/>
          <w14:textFill>
            <w14:solidFill>
              <w14:schemeClr w14:val="tx1"/>
            </w14:solidFill>
          </w14:textFill>
        </w:rPr>
        <w:t>）不能按期交工的，应合理延长工期，承包人不需支付</w:t>
      </w:r>
      <w:r>
        <w:rPr>
          <w:rFonts w:ascii="宋体" w:hAnsi="宋体" w:cs="宋体"/>
          <w:color w:val="000000" w:themeColor="text1"/>
          <w:spacing w:val="2"/>
          <w:sz w:val="24"/>
          <w:szCs w:val="24"/>
          <w:highlight w:val="none"/>
          <w14:textFill>
            <w14:solidFill>
              <w14:schemeClr w14:val="tx1"/>
            </w14:solidFill>
          </w14:textFill>
        </w:rPr>
        <w:t>逾期交工违约金。</w:t>
      </w:r>
      <w:r>
        <w:rPr>
          <w:rFonts w:ascii="宋体" w:hAnsi="宋体" w:cs="宋体"/>
          <w:color w:val="000000" w:themeColor="text1"/>
          <w:spacing w:val="-1"/>
          <w:sz w:val="24"/>
          <w:szCs w:val="24"/>
          <w:highlight w:val="none"/>
          <w14:textFill>
            <w14:solidFill>
              <w14:schemeClr w14:val="tx1"/>
            </w14:solidFill>
          </w14:textFill>
        </w:rPr>
        <w:t>发包人要求赶工的，承包人应采取赶工措施，赶工费用由发包人承担。</w:t>
      </w:r>
    </w:p>
    <w:p w14:paraId="6EC8693C">
      <w:pPr>
        <w:spacing w:line="219" w:lineRule="auto"/>
        <w:ind w:left="476"/>
        <w:rPr>
          <w:rFonts w:ascii="宋体" w:hAnsi="宋体" w:cs="宋体"/>
          <w:color w:val="000000" w:themeColor="text1"/>
          <w:sz w:val="24"/>
          <w:szCs w:val="24"/>
          <w:highlight w:val="none"/>
          <w14:textFill>
            <w14:solidFill>
              <w14:schemeClr w14:val="tx1"/>
            </w14:solidFill>
          </w14:textFill>
        </w:rPr>
      </w:pPr>
      <w:r>
        <w:rPr>
          <w:rFonts w:eastAsia="Times New Roman"/>
          <w:color w:val="000000" w:themeColor="text1"/>
          <w:spacing w:val="-1"/>
          <w:sz w:val="24"/>
          <w:szCs w:val="24"/>
          <w:highlight w:val="none"/>
          <w14:textFill>
            <w14:solidFill>
              <w14:schemeClr w14:val="tx1"/>
            </w14:solidFill>
          </w14:textFill>
        </w:rPr>
        <w:t xml:space="preserve">21.3.2  </w:t>
      </w:r>
      <w:r>
        <w:rPr>
          <w:rFonts w:ascii="宋体" w:hAnsi="宋体" w:cs="宋体"/>
          <w:color w:val="000000" w:themeColor="text1"/>
          <w:spacing w:val="-1"/>
          <w:sz w:val="24"/>
          <w:szCs w:val="24"/>
          <w:highlight w:val="none"/>
          <w14:textFill>
            <w14:solidFill>
              <w14:schemeClr w14:val="tx1"/>
            </w14:solidFill>
          </w14:textFill>
        </w:rPr>
        <w:t>延迟履行期间发生的不可抗力</w:t>
      </w:r>
    </w:p>
    <w:p w14:paraId="2CE3B994">
      <w:pPr>
        <w:spacing w:before="116" w:line="219" w:lineRule="auto"/>
        <w:ind w:right="35"/>
        <w:jc w:val="center"/>
        <w:rPr>
          <w:rFonts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合同一方当事人延迟履行，在延迟履行期间发生不</w:t>
      </w:r>
      <w:r>
        <w:rPr>
          <w:rFonts w:ascii="宋体" w:hAnsi="宋体" w:cs="宋体"/>
          <w:color w:val="000000" w:themeColor="text1"/>
          <w:spacing w:val="-1"/>
          <w:sz w:val="24"/>
          <w:szCs w:val="24"/>
          <w:highlight w:val="none"/>
          <w14:textFill>
            <w14:solidFill>
              <w14:schemeClr w14:val="tx1"/>
            </w14:solidFill>
          </w14:textFill>
        </w:rPr>
        <w:t>可抗力的，不免除其责任。</w:t>
      </w:r>
    </w:p>
    <w:p w14:paraId="729AD015">
      <w:pPr>
        <w:spacing w:before="116" w:line="219" w:lineRule="auto"/>
        <w:ind w:left="476"/>
        <w:rPr>
          <w:rFonts w:ascii="宋体" w:hAnsi="宋体" w:cs="宋体"/>
          <w:color w:val="000000" w:themeColor="text1"/>
          <w:sz w:val="24"/>
          <w:szCs w:val="24"/>
          <w:highlight w:val="none"/>
          <w14:textFill>
            <w14:solidFill>
              <w14:schemeClr w14:val="tx1"/>
            </w14:solidFill>
          </w14:textFill>
        </w:rPr>
      </w:pPr>
      <w:r>
        <w:rPr>
          <w:rFonts w:eastAsia="Times New Roman"/>
          <w:color w:val="000000" w:themeColor="text1"/>
          <w:spacing w:val="-1"/>
          <w:sz w:val="24"/>
          <w:szCs w:val="24"/>
          <w:highlight w:val="none"/>
          <w14:textFill>
            <w14:solidFill>
              <w14:schemeClr w14:val="tx1"/>
            </w14:solidFill>
          </w14:textFill>
        </w:rPr>
        <w:t xml:space="preserve">21.3.3  </w:t>
      </w:r>
      <w:r>
        <w:rPr>
          <w:rFonts w:ascii="宋体" w:hAnsi="宋体" w:cs="宋体"/>
          <w:color w:val="000000" w:themeColor="text1"/>
          <w:spacing w:val="-1"/>
          <w:sz w:val="24"/>
          <w:szCs w:val="24"/>
          <w:highlight w:val="none"/>
          <w14:textFill>
            <w14:solidFill>
              <w14:schemeClr w14:val="tx1"/>
            </w14:solidFill>
          </w14:textFill>
        </w:rPr>
        <w:t>避免和减少不可抗力损失</w:t>
      </w:r>
    </w:p>
    <w:p w14:paraId="39F19277">
      <w:pPr>
        <w:spacing w:before="114" w:line="308" w:lineRule="auto"/>
        <w:ind w:right="58" w:firstLine="484"/>
        <w:rPr>
          <w:rFonts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pacing w:val="-1"/>
          <w:sz w:val="24"/>
          <w:szCs w:val="24"/>
          <w:highlight w:val="none"/>
          <w14:textFill>
            <w14:solidFill>
              <w14:schemeClr w14:val="tx1"/>
            </w14:solidFill>
          </w14:textFill>
        </w:rPr>
        <w:t>不可抗力发生后，发包人和承包人均应采取措施尽量避免和减少损失的</w:t>
      </w:r>
      <w:r>
        <w:rPr>
          <w:rFonts w:ascii="宋体" w:hAnsi="宋体" w:cs="宋体"/>
          <w:color w:val="000000" w:themeColor="text1"/>
          <w:spacing w:val="-2"/>
          <w:sz w:val="24"/>
          <w:szCs w:val="24"/>
          <w:highlight w:val="none"/>
          <w14:textFill>
            <w14:solidFill>
              <w14:schemeClr w14:val="tx1"/>
            </w14:solidFill>
          </w14:textFill>
        </w:rPr>
        <w:t>扩大，</w:t>
      </w:r>
      <w:r>
        <w:rPr>
          <w:rFonts w:ascii="宋体" w:hAnsi="宋体" w:cs="宋体"/>
          <w:color w:val="000000" w:themeColor="text1"/>
          <w:sz w:val="24"/>
          <w:szCs w:val="24"/>
          <w:highlight w:val="none"/>
          <w14:textFill>
            <w14:solidFill>
              <w14:schemeClr w14:val="tx1"/>
            </w14:solidFill>
          </w14:textFill>
        </w:rPr>
        <w:t>任何一方没有采取有效措施导致损失扩大的，应对</w:t>
      </w:r>
      <w:r>
        <w:rPr>
          <w:rFonts w:ascii="宋体" w:hAnsi="宋体" w:cs="宋体"/>
          <w:color w:val="000000" w:themeColor="text1"/>
          <w:spacing w:val="-1"/>
          <w:sz w:val="24"/>
          <w:szCs w:val="24"/>
          <w:highlight w:val="none"/>
          <w14:textFill>
            <w14:solidFill>
              <w14:schemeClr w14:val="tx1"/>
            </w14:solidFill>
          </w14:textFill>
        </w:rPr>
        <w:t>扩大的损失承担责任。</w:t>
      </w:r>
    </w:p>
    <w:p w14:paraId="0F76BBFF">
      <w:pPr>
        <w:spacing w:line="219" w:lineRule="auto"/>
        <w:ind w:left="476"/>
        <w:rPr>
          <w:rFonts w:ascii="宋体" w:hAnsi="宋体" w:cs="宋体"/>
          <w:color w:val="000000" w:themeColor="text1"/>
          <w:sz w:val="24"/>
          <w:szCs w:val="24"/>
          <w:highlight w:val="none"/>
          <w14:textFill>
            <w14:solidFill>
              <w14:schemeClr w14:val="tx1"/>
            </w14:solidFill>
          </w14:textFill>
        </w:rPr>
      </w:pPr>
      <w:r>
        <w:rPr>
          <w:rFonts w:eastAsia="Times New Roman"/>
          <w:color w:val="000000" w:themeColor="text1"/>
          <w:spacing w:val="-3"/>
          <w:sz w:val="24"/>
          <w:szCs w:val="24"/>
          <w:highlight w:val="none"/>
          <w14:textFill>
            <w14:solidFill>
              <w14:schemeClr w14:val="tx1"/>
            </w14:solidFill>
          </w14:textFill>
        </w:rPr>
        <w:t>21.3.4</w:t>
      </w:r>
      <w:r>
        <w:rPr>
          <w:rFonts w:eastAsia="Times New Roman"/>
          <w:color w:val="000000" w:themeColor="text1"/>
          <w:spacing w:val="19"/>
          <w:sz w:val="24"/>
          <w:szCs w:val="24"/>
          <w:highlight w:val="none"/>
          <w14:textFill>
            <w14:solidFill>
              <w14:schemeClr w14:val="tx1"/>
            </w14:solidFill>
          </w14:textFill>
        </w:rPr>
        <w:t xml:space="preserve">  </w:t>
      </w:r>
      <w:r>
        <w:rPr>
          <w:rFonts w:ascii="宋体" w:hAnsi="宋体" w:cs="宋体"/>
          <w:color w:val="000000" w:themeColor="text1"/>
          <w:spacing w:val="-3"/>
          <w:sz w:val="24"/>
          <w:szCs w:val="24"/>
          <w:highlight w:val="none"/>
          <w14:textFill>
            <w14:solidFill>
              <w14:schemeClr w14:val="tx1"/>
            </w14:solidFill>
          </w14:textFill>
        </w:rPr>
        <w:t>因不可抗力解除合同</w:t>
      </w:r>
    </w:p>
    <w:p w14:paraId="6C3B11CF">
      <w:pPr>
        <w:spacing w:before="109" w:line="309" w:lineRule="auto"/>
        <w:ind w:firstLine="480"/>
        <w:rPr>
          <w:rFonts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pacing w:val="1"/>
          <w:sz w:val="24"/>
          <w:szCs w:val="24"/>
          <w:highlight w:val="none"/>
          <w14:textFill>
            <w14:solidFill>
              <w14:schemeClr w14:val="tx1"/>
            </w14:solidFill>
          </w14:textFill>
        </w:rPr>
        <w:t>合同一方当事人因不可抗力不能履行合同的，应当及时</w:t>
      </w:r>
      <w:r>
        <w:rPr>
          <w:rFonts w:ascii="宋体" w:hAnsi="宋体" w:cs="宋体"/>
          <w:color w:val="000000" w:themeColor="text1"/>
          <w:sz w:val="24"/>
          <w:szCs w:val="24"/>
          <w:highlight w:val="none"/>
          <w14:textFill>
            <w14:solidFill>
              <w14:schemeClr w14:val="tx1"/>
            </w14:solidFill>
          </w14:textFill>
        </w:rPr>
        <w:t>通知对方解除合同。合同解除后，承包人应按照第</w:t>
      </w:r>
      <w:r>
        <w:rPr>
          <w:rFonts w:ascii="宋体" w:hAnsi="宋体" w:cs="宋体"/>
          <w:color w:val="000000" w:themeColor="text1"/>
          <w:spacing w:val="-37"/>
          <w:sz w:val="24"/>
          <w:szCs w:val="24"/>
          <w:highlight w:val="none"/>
          <w14:textFill>
            <w14:solidFill>
              <w14:schemeClr w14:val="tx1"/>
            </w14:solidFill>
          </w14:textFill>
        </w:rPr>
        <w:t xml:space="preserve"> </w:t>
      </w:r>
      <w:r>
        <w:rPr>
          <w:rFonts w:eastAsia="Times New Roman"/>
          <w:color w:val="000000" w:themeColor="text1"/>
          <w:sz w:val="24"/>
          <w:szCs w:val="24"/>
          <w:highlight w:val="none"/>
          <w14:textFill>
            <w14:solidFill>
              <w14:schemeClr w14:val="tx1"/>
            </w14:solidFill>
          </w14:textFill>
        </w:rPr>
        <w:t xml:space="preserve">22.2.5 </w:t>
      </w:r>
      <w:r>
        <w:rPr>
          <w:rFonts w:ascii="宋体" w:hAnsi="宋体" w:cs="宋体"/>
          <w:color w:val="000000" w:themeColor="text1"/>
          <w:sz w:val="24"/>
          <w:szCs w:val="24"/>
          <w:highlight w:val="none"/>
          <w14:textFill>
            <w14:solidFill>
              <w14:schemeClr w14:val="tx1"/>
            </w14:solidFill>
          </w14:textFill>
        </w:rPr>
        <w:t>项约定撤离养护作业场地。已经订货的材料、设</w:t>
      </w:r>
      <w:r>
        <w:rPr>
          <w:rFonts w:ascii="宋体" w:hAnsi="宋体" w:cs="宋体"/>
          <w:color w:val="000000" w:themeColor="text1"/>
          <w:spacing w:val="1"/>
          <w:sz w:val="24"/>
          <w:szCs w:val="24"/>
          <w:highlight w:val="none"/>
          <w14:textFill>
            <w14:solidFill>
              <w14:schemeClr w14:val="tx1"/>
            </w14:solidFill>
          </w14:textFill>
        </w:rPr>
        <w:t>备由订货方负责退货或解除订货合同，不能退还的货款和</w:t>
      </w:r>
      <w:r>
        <w:rPr>
          <w:rFonts w:ascii="宋体" w:hAnsi="宋体" w:cs="宋体"/>
          <w:color w:val="000000" w:themeColor="text1"/>
          <w:sz w:val="24"/>
          <w:szCs w:val="24"/>
          <w:highlight w:val="none"/>
          <w14:textFill>
            <w14:solidFill>
              <w14:schemeClr w14:val="tx1"/>
            </w14:solidFill>
          </w14:textFill>
        </w:rPr>
        <w:t>因退货、解除订货合同发</w:t>
      </w:r>
      <w:r>
        <w:rPr>
          <w:rFonts w:ascii="宋体" w:hAnsi="宋体" w:cs="宋体"/>
          <w:color w:val="000000" w:themeColor="text1"/>
          <w:spacing w:val="1"/>
          <w:sz w:val="24"/>
          <w:szCs w:val="24"/>
          <w:highlight w:val="none"/>
          <w14:textFill>
            <w14:solidFill>
              <w14:schemeClr w14:val="tx1"/>
            </w14:solidFill>
          </w14:textFill>
        </w:rPr>
        <w:t>生的费用，由发包人承担，因未及时退货造成的损失由责</w:t>
      </w:r>
      <w:r>
        <w:rPr>
          <w:rFonts w:ascii="宋体" w:hAnsi="宋体" w:cs="宋体"/>
          <w:color w:val="000000" w:themeColor="text1"/>
          <w:sz w:val="24"/>
          <w:szCs w:val="24"/>
          <w:highlight w:val="none"/>
          <w14:textFill>
            <w14:solidFill>
              <w14:schemeClr w14:val="tx1"/>
            </w14:solidFill>
          </w14:textFill>
        </w:rPr>
        <w:t>任方承担。合同解除后的</w:t>
      </w:r>
      <w:r>
        <w:rPr>
          <w:rFonts w:ascii="宋体" w:hAnsi="宋体" w:cs="宋体"/>
          <w:color w:val="000000" w:themeColor="text1"/>
          <w:spacing w:val="1"/>
          <w:sz w:val="24"/>
          <w:szCs w:val="24"/>
          <w:highlight w:val="none"/>
          <w14:textFill>
            <w14:solidFill>
              <w14:schemeClr w14:val="tx1"/>
            </w14:solidFill>
          </w14:textFill>
        </w:rPr>
        <w:t>付款，参照第</w:t>
      </w:r>
      <w:r>
        <w:rPr>
          <w:rFonts w:ascii="宋体" w:hAnsi="宋体" w:cs="宋体"/>
          <w:color w:val="000000" w:themeColor="text1"/>
          <w:spacing w:val="-49"/>
          <w:sz w:val="24"/>
          <w:szCs w:val="24"/>
          <w:highlight w:val="none"/>
          <w14:textFill>
            <w14:solidFill>
              <w14:schemeClr w14:val="tx1"/>
            </w14:solidFill>
          </w14:textFill>
        </w:rPr>
        <w:t xml:space="preserve"> </w:t>
      </w:r>
      <w:r>
        <w:rPr>
          <w:rFonts w:eastAsia="Times New Roman"/>
          <w:color w:val="000000" w:themeColor="text1"/>
          <w:spacing w:val="1"/>
          <w:sz w:val="24"/>
          <w:szCs w:val="24"/>
          <w:highlight w:val="none"/>
          <w14:textFill>
            <w14:solidFill>
              <w14:schemeClr w14:val="tx1"/>
            </w14:solidFill>
          </w14:textFill>
        </w:rPr>
        <w:t>22.2.4</w:t>
      </w:r>
      <w:r>
        <w:rPr>
          <w:rFonts w:eastAsia="Times New Roman"/>
          <w:color w:val="000000" w:themeColor="text1"/>
          <w:spacing w:val="16"/>
          <w:sz w:val="24"/>
          <w:szCs w:val="24"/>
          <w:highlight w:val="none"/>
          <w14:textFill>
            <w14:solidFill>
              <w14:schemeClr w14:val="tx1"/>
            </w14:solidFill>
          </w14:textFill>
        </w:rPr>
        <w:t xml:space="preserve"> </w:t>
      </w:r>
      <w:r>
        <w:rPr>
          <w:rFonts w:ascii="宋体" w:hAnsi="宋体" w:cs="宋体"/>
          <w:color w:val="000000" w:themeColor="text1"/>
          <w:spacing w:val="1"/>
          <w:sz w:val="24"/>
          <w:szCs w:val="24"/>
          <w:highlight w:val="none"/>
          <w14:textFill>
            <w14:solidFill>
              <w14:schemeClr w14:val="tx1"/>
            </w14:solidFill>
          </w14:textFill>
        </w:rPr>
        <w:t>项约定，由咨询人按第</w:t>
      </w:r>
      <w:r>
        <w:rPr>
          <w:rFonts w:ascii="宋体" w:hAnsi="宋体" w:cs="宋体"/>
          <w:color w:val="000000" w:themeColor="text1"/>
          <w:spacing w:val="-45"/>
          <w:sz w:val="24"/>
          <w:szCs w:val="24"/>
          <w:highlight w:val="none"/>
          <w14:textFill>
            <w14:solidFill>
              <w14:schemeClr w14:val="tx1"/>
            </w14:solidFill>
          </w14:textFill>
        </w:rPr>
        <w:t xml:space="preserve"> </w:t>
      </w:r>
      <w:r>
        <w:rPr>
          <w:rFonts w:eastAsia="Times New Roman"/>
          <w:color w:val="000000" w:themeColor="text1"/>
          <w:spacing w:val="1"/>
          <w:sz w:val="24"/>
          <w:szCs w:val="24"/>
          <w:highlight w:val="none"/>
          <w14:textFill>
            <w14:solidFill>
              <w14:schemeClr w14:val="tx1"/>
            </w14:solidFill>
          </w14:textFill>
        </w:rPr>
        <w:t xml:space="preserve">3.5 </w:t>
      </w:r>
      <w:r>
        <w:rPr>
          <w:rFonts w:ascii="宋体" w:hAnsi="宋体" w:cs="宋体"/>
          <w:color w:val="000000" w:themeColor="text1"/>
          <w:spacing w:val="1"/>
          <w:sz w:val="24"/>
          <w:szCs w:val="24"/>
          <w:highlight w:val="none"/>
          <w14:textFill>
            <w14:solidFill>
              <w14:schemeClr w14:val="tx1"/>
            </w14:solidFill>
          </w14:textFill>
        </w:rPr>
        <w:t>款商定或确定，但由于解除合同应</w:t>
      </w:r>
      <w:r>
        <w:rPr>
          <w:rFonts w:ascii="宋体" w:hAnsi="宋体" w:cs="宋体"/>
          <w:color w:val="000000" w:themeColor="text1"/>
          <w:spacing w:val="-1"/>
          <w:sz w:val="24"/>
          <w:szCs w:val="24"/>
          <w:highlight w:val="none"/>
          <w14:textFill>
            <w14:solidFill>
              <w14:schemeClr w14:val="tx1"/>
            </w14:solidFill>
          </w14:textFill>
        </w:rPr>
        <w:t>赔偿的承包人损失不予考虑。</w:t>
      </w:r>
    </w:p>
    <w:p w14:paraId="2808234B">
      <w:pPr>
        <w:spacing w:before="306" w:line="224" w:lineRule="auto"/>
        <w:ind w:left="477"/>
        <w:outlineLvl w:val="2"/>
        <w:rPr>
          <w:rFonts w:ascii="宋体" w:hAnsi="宋体" w:cs="宋体"/>
          <w:color w:val="000000" w:themeColor="text1"/>
          <w:sz w:val="24"/>
          <w:szCs w:val="24"/>
          <w:highlight w:val="none"/>
          <w14:textFill>
            <w14:solidFill>
              <w14:schemeClr w14:val="tx1"/>
            </w14:solidFill>
          </w14:textFill>
        </w:rPr>
      </w:pPr>
      <w:bookmarkStart w:id="178" w:name="bookmark50"/>
      <w:bookmarkEnd w:id="178"/>
      <w:bookmarkStart w:id="179" w:name="bookmark49"/>
      <w:bookmarkEnd w:id="179"/>
      <w:bookmarkStart w:id="180" w:name="_Toc25647"/>
      <w:r>
        <w:rPr>
          <w:rFonts w:eastAsia="Times New Roman"/>
          <w:b/>
          <w:bCs/>
          <w:color w:val="000000" w:themeColor="text1"/>
          <w:spacing w:val="-5"/>
          <w:sz w:val="24"/>
          <w:szCs w:val="24"/>
          <w:highlight w:val="none"/>
          <w14:textFill>
            <w14:solidFill>
              <w14:schemeClr w14:val="tx1"/>
            </w14:solidFill>
          </w14:textFill>
        </w:rPr>
        <w:t>22.</w:t>
      </w:r>
      <w:r>
        <w:rPr>
          <w:rFonts w:eastAsia="Times New Roman"/>
          <w:b/>
          <w:bCs/>
          <w:color w:val="000000" w:themeColor="text1"/>
          <w:spacing w:val="6"/>
          <w:sz w:val="24"/>
          <w:szCs w:val="24"/>
          <w:highlight w:val="none"/>
          <w14:textFill>
            <w14:solidFill>
              <w14:schemeClr w14:val="tx1"/>
            </w14:solidFill>
          </w14:textFill>
        </w:rPr>
        <w:t xml:space="preserve">  </w:t>
      </w:r>
      <w:r>
        <w:rPr>
          <w:rFonts w:ascii="宋体" w:hAnsi="宋体" w:cs="宋体"/>
          <w:b/>
          <w:bCs/>
          <w:color w:val="000000" w:themeColor="text1"/>
          <w:spacing w:val="-5"/>
          <w:sz w:val="24"/>
          <w:szCs w:val="24"/>
          <w:highlight w:val="none"/>
          <w14:textFill>
            <w14:solidFill>
              <w14:schemeClr w14:val="tx1"/>
            </w14:solidFill>
          </w14:textFill>
        </w:rPr>
        <w:t>违约</w:t>
      </w:r>
      <w:bookmarkEnd w:id="180"/>
    </w:p>
    <w:p w14:paraId="1B032E72">
      <w:pPr>
        <w:spacing w:before="254" w:line="219" w:lineRule="auto"/>
        <w:ind w:left="477"/>
        <w:outlineLvl w:val="3"/>
        <w:rPr>
          <w:rFonts w:ascii="宋体" w:hAnsi="宋体" w:cs="宋体"/>
          <w:color w:val="000000" w:themeColor="text1"/>
          <w:sz w:val="24"/>
          <w:szCs w:val="24"/>
          <w:highlight w:val="none"/>
          <w14:textFill>
            <w14:solidFill>
              <w14:schemeClr w14:val="tx1"/>
            </w14:solidFill>
          </w14:textFill>
        </w:rPr>
      </w:pPr>
      <w:r>
        <w:rPr>
          <w:rFonts w:eastAsia="Times New Roman"/>
          <w:b/>
          <w:bCs/>
          <w:color w:val="000000" w:themeColor="text1"/>
          <w:spacing w:val="-2"/>
          <w:sz w:val="24"/>
          <w:szCs w:val="24"/>
          <w:highlight w:val="none"/>
          <w14:textFill>
            <w14:solidFill>
              <w14:schemeClr w14:val="tx1"/>
            </w14:solidFill>
          </w14:textFill>
        </w:rPr>
        <w:t xml:space="preserve">22.1  </w:t>
      </w:r>
      <w:r>
        <w:rPr>
          <w:rFonts w:ascii="宋体" w:hAnsi="宋体" w:cs="宋体"/>
          <w:b/>
          <w:bCs/>
          <w:color w:val="000000" w:themeColor="text1"/>
          <w:spacing w:val="-2"/>
          <w:sz w:val="24"/>
          <w:szCs w:val="24"/>
          <w:highlight w:val="none"/>
          <w14:textFill>
            <w14:solidFill>
              <w14:schemeClr w14:val="tx1"/>
            </w14:solidFill>
          </w14:textFill>
        </w:rPr>
        <w:t>承包人违约</w:t>
      </w:r>
    </w:p>
    <w:p w14:paraId="34C66223">
      <w:pPr>
        <w:spacing w:before="125" w:line="219" w:lineRule="auto"/>
        <w:ind w:left="476"/>
        <w:rPr>
          <w:rFonts w:ascii="宋体" w:hAnsi="宋体" w:cs="宋体"/>
          <w:color w:val="000000" w:themeColor="text1"/>
          <w:sz w:val="24"/>
          <w:szCs w:val="24"/>
          <w:highlight w:val="none"/>
          <w14:textFill>
            <w14:solidFill>
              <w14:schemeClr w14:val="tx1"/>
            </w14:solidFill>
          </w14:textFill>
        </w:rPr>
      </w:pPr>
      <w:r>
        <w:rPr>
          <w:rFonts w:eastAsia="Times New Roman"/>
          <w:color w:val="000000" w:themeColor="text1"/>
          <w:spacing w:val="-1"/>
          <w:sz w:val="24"/>
          <w:szCs w:val="24"/>
          <w:highlight w:val="none"/>
          <w14:textFill>
            <w14:solidFill>
              <w14:schemeClr w14:val="tx1"/>
            </w14:solidFill>
          </w14:textFill>
        </w:rPr>
        <w:t xml:space="preserve">22.1.1  </w:t>
      </w:r>
      <w:r>
        <w:rPr>
          <w:rFonts w:ascii="宋体" w:hAnsi="宋体" w:cs="宋体"/>
          <w:color w:val="000000" w:themeColor="text1"/>
          <w:spacing w:val="-1"/>
          <w:sz w:val="24"/>
          <w:szCs w:val="24"/>
          <w:highlight w:val="none"/>
          <w14:textFill>
            <w14:solidFill>
              <w14:schemeClr w14:val="tx1"/>
            </w14:solidFill>
          </w14:textFill>
        </w:rPr>
        <w:t>承包人违约的情形</w:t>
      </w:r>
    </w:p>
    <w:p w14:paraId="6B38BED1">
      <w:pPr>
        <w:spacing w:before="116" w:line="219" w:lineRule="auto"/>
        <w:ind w:left="480"/>
        <w:rPr>
          <w:rFonts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pacing w:val="-1"/>
          <w:sz w:val="24"/>
          <w:szCs w:val="24"/>
          <w:highlight w:val="none"/>
          <w14:textFill>
            <w14:solidFill>
              <w14:schemeClr w14:val="tx1"/>
            </w14:solidFill>
          </w14:textFill>
        </w:rPr>
        <w:t>在履行合同过程中发生的下列情况属承包人违约：</w:t>
      </w:r>
    </w:p>
    <w:p w14:paraId="247FC4E8">
      <w:pPr>
        <w:spacing w:before="113" w:line="264" w:lineRule="auto"/>
        <w:ind w:left="2" w:right="2" w:firstLine="489"/>
        <w:rPr>
          <w:rFonts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pacing w:val="-1"/>
          <w:sz w:val="24"/>
          <w:szCs w:val="24"/>
          <w:highlight w:val="none"/>
          <w14:textFill>
            <w14:solidFill>
              <w14:schemeClr w14:val="tx1"/>
            </w14:solidFill>
          </w14:textFill>
        </w:rPr>
        <w:t>（</w:t>
      </w:r>
      <w:r>
        <w:rPr>
          <w:rFonts w:eastAsia="Times New Roman"/>
          <w:color w:val="000000" w:themeColor="text1"/>
          <w:spacing w:val="-1"/>
          <w:sz w:val="24"/>
          <w:szCs w:val="24"/>
          <w:highlight w:val="none"/>
          <w14:textFill>
            <w14:solidFill>
              <w14:schemeClr w14:val="tx1"/>
            </w14:solidFill>
          </w14:textFill>
        </w:rPr>
        <w:t>1</w:t>
      </w:r>
      <w:r>
        <w:rPr>
          <w:rFonts w:ascii="宋体" w:hAnsi="宋体" w:cs="宋体"/>
          <w:color w:val="000000" w:themeColor="text1"/>
          <w:spacing w:val="-1"/>
          <w:sz w:val="24"/>
          <w:szCs w:val="24"/>
          <w:highlight w:val="none"/>
          <w14:textFill>
            <w14:solidFill>
              <w14:schemeClr w14:val="tx1"/>
            </w14:solidFill>
          </w14:textFill>
        </w:rPr>
        <w:t>）承包人违反第</w:t>
      </w:r>
      <w:r>
        <w:rPr>
          <w:rFonts w:ascii="宋体" w:hAnsi="宋体" w:cs="宋体"/>
          <w:color w:val="000000" w:themeColor="text1"/>
          <w:spacing w:val="-16"/>
          <w:sz w:val="24"/>
          <w:szCs w:val="24"/>
          <w:highlight w:val="none"/>
          <w14:textFill>
            <w14:solidFill>
              <w14:schemeClr w14:val="tx1"/>
            </w14:solidFill>
          </w14:textFill>
        </w:rPr>
        <w:t xml:space="preserve"> </w:t>
      </w:r>
      <w:r>
        <w:rPr>
          <w:rFonts w:eastAsia="Times New Roman"/>
          <w:color w:val="000000" w:themeColor="text1"/>
          <w:spacing w:val="-1"/>
          <w:sz w:val="24"/>
          <w:szCs w:val="24"/>
          <w:highlight w:val="none"/>
          <w14:textFill>
            <w14:solidFill>
              <w14:schemeClr w14:val="tx1"/>
            </w14:solidFill>
          </w14:textFill>
        </w:rPr>
        <w:t xml:space="preserve">1.7 </w:t>
      </w:r>
      <w:r>
        <w:rPr>
          <w:rFonts w:ascii="宋体" w:hAnsi="宋体" w:cs="宋体"/>
          <w:color w:val="000000" w:themeColor="text1"/>
          <w:spacing w:val="-1"/>
          <w:sz w:val="24"/>
          <w:szCs w:val="24"/>
          <w:highlight w:val="none"/>
          <w14:textFill>
            <w14:solidFill>
              <w14:schemeClr w14:val="tx1"/>
            </w14:solidFill>
          </w14:textFill>
        </w:rPr>
        <w:t>款或第</w:t>
      </w:r>
      <w:r>
        <w:rPr>
          <w:rFonts w:ascii="宋体" w:hAnsi="宋体" w:cs="宋体"/>
          <w:color w:val="000000" w:themeColor="text1"/>
          <w:spacing w:val="-54"/>
          <w:sz w:val="24"/>
          <w:szCs w:val="24"/>
          <w:highlight w:val="none"/>
          <w14:textFill>
            <w14:solidFill>
              <w14:schemeClr w14:val="tx1"/>
            </w14:solidFill>
          </w14:textFill>
        </w:rPr>
        <w:t xml:space="preserve"> </w:t>
      </w:r>
      <w:r>
        <w:rPr>
          <w:rFonts w:eastAsia="Times New Roman"/>
          <w:color w:val="000000" w:themeColor="text1"/>
          <w:spacing w:val="-1"/>
          <w:sz w:val="24"/>
          <w:szCs w:val="24"/>
          <w:highlight w:val="none"/>
          <w14:textFill>
            <w14:solidFill>
              <w14:schemeClr w14:val="tx1"/>
            </w14:solidFill>
          </w14:textFill>
        </w:rPr>
        <w:t xml:space="preserve">4.3 </w:t>
      </w:r>
      <w:r>
        <w:rPr>
          <w:rFonts w:ascii="宋体" w:hAnsi="宋体" w:cs="宋体"/>
          <w:color w:val="000000" w:themeColor="text1"/>
          <w:spacing w:val="-1"/>
          <w:sz w:val="24"/>
          <w:szCs w:val="24"/>
          <w:highlight w:val="none"/>
          <w14:textFill>
            <w14:solidFill>
              <w14:schemeClr w14:val="tx1"/>
            </w14:solidFill>
          </w14:textFill>
        </w:rPr>
        <w:t>款的约定，私自将合同的全部或部分权利转让给其他人，或私自将合同的全部或部分义务转移给其他人；</w:t>
      </w:r>
    </w:p>
    <w:p w14:paraId="35F3DAAC">
      <w:pPr>
        <w:spacing w:before="117" w:line="278" w:lineRule="auto"/>
        <w:ind w:firstLine="492"/>
        <w:rPr>
          <w:rFonts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w:t>
      </w:r>
      <w:r>
        <w:rPr>
          <w:rFonts w:eastAsia="Times New Roman"/>
          <w:color w:val="000000" w:themeColor="text1"/>
          <w:sz w:val="24"/>
          <w:szCs w:val="24"/>
          <w:highlight w:val="none"/>
          <w14:textFill>
            <w14:solidFill>
              <w14:schemeClr w14:val="tx1"/>
            </w14:solidFill>
          </w14:textFill>
        </w:rPr>
        <w:t>2</w:t>
      </w:r>
      <w:r>
        <w:rPr>
          <w:rFonts w:ascii="宋体" w:hAnsi="宋体" w:cs="宋体"/>
          <w:color w:val="000000" w:themeColor="text1"/>
          <w:sz w:val="24"/>
          <w:szCs w:val="24"/>
          <w:highlight w:val="none"/>
          <w14:textFill>
            <w14:solidFill>
              <w14:schemeClr w14:val="tx1"/>
            </w14:solidFill>
          </w14:textFill>
        </w:rPr>
        <w:t>）承包人违反第</w:t>
      </w:r>
      <w:r>
        <w:rPr>
          <w:rFonts w:ascii="宋体" w:hAnsi="宋体" w:cs="宋体"/>
          <w:color w:val="000000" w:themeColor="text1"/>
          <w:spacing w:val="-49"/>
          <w:sz w:val="24"/>
          <w:szCs w:val="24"/>
          <w:highlight w:val="none"/>
          <w14:textFill>
            <w14:solidFill>
              <w14:schemeClr w14:val="tx1"/>
            </w14:solidFill>
          </w14:textFill>
        </w:rPr>
        <w:t xml:space="preserve"> </w:t>
      </w:r>
      <w:r>
        <w:rPr>
          <w:rFonts w:eastAsia="Times New Roman"/>
          <w:color w:val="000000" w:themeColor="text1"/>
          <w:sz w:val="24"/>
          <w:szCs w:val="24"/>
          <w:highlight w:val="none"/>
          <w14:textFill>
            <w14:solidFill>
              <w14:schemeClr w14:val="tx1"/>
            </w14:solidFill>
          </w14:textFill>
        </w:rPr>
        <w:t xml:space="preserve">5.3 </w:t>
      </w:r>
      <w:r>
        <w:rPr>
          <w:rFonts w:ascii="宋体" w:hAnsi="宋体" w:cs="宋体"/>
          <w:color w:val="000000" w:themeColor="text1"/>
          <w:sz w:val="24"/>
          <w:szCs w:val="24"/>
          <w:highlight w:val="none"/>
          <w14:textFill>
            <w14:solidFill>
              <w14:schemeClr w14:val="tx1"/>
            </w14:solidFill>
          </w14:textFill>
        </w:rPr>
        <w:t>款或第</w:t>
      </w:r>
      <w:r>
        <w:rPr>
          <w:rFonts w:ascii="宋体" w:hAnsi="宋体" w:cs="宋体"/>
          <w:color w:val="000000" w:themeColor="text1"/>
          <w:spacing w:val="-47"/>
          <w:sz w:val="24"/>
          <w:szCs w:val="24"/>
          <w:highlight w:val="none"/>
          <w14:textFill>
            <w14:solidFill>
              <w14:schemeClr w14:val="tx1"/>
            </w14:solidFill>
          </w14:textFill>
        </w:rPr>
        <w:t xml:space="preserve"> </w:t>
      </w:r>
      <w:r>
        <w:rPr>
          <w:rFonts w:eastAsia="Times New Roman"/>
          <w:color w:val="000000" w:themeColor="text1"/>
          <w:sz w:val="24"/>
          <w:szCs w:val="24"/>
          <w:highlight w:val="none"/>
          <w14:textFill>
            <w14:solidFill>
              <w14:schemeClr w14:val="tx1"/>
            </w14:solidFill>
          </w14:textFill>
        </w:rPr>
        <w:t xml:space="preserve">6.4 </w:t>
      </w:r>
      <w:r>
        <w:rPr>
          <w:rFonts w:ascii="宋体" w:hAnsi="宋体" w:cs="宋体"/>
          <w:color w:val="000000" w:themeColor="text1"/>
          <w:sz w:val="24"/>
          <w:szCs w:val="24"/>
          <w:highlight w:val="none"/>
          <w14:textFill>
            <w14:solidFill>
              <w14:schemeClr w14:val="tx1"/>
            </w14:solidFill>
          </w14:textFill>
        </w:rPr>
        <w:t>款的约定，未</w:t>
      </w:r>
      <w:r>
        <w:rPr>
          <w:rFonts w:ascii="宋体" w:hAnsi="宋体" w:cs="宋体"/>
          <w:color w:val="000000" w:themeColor="text1"/>
          <w:spacing w:val="-1"/>
          <w:sz w:val="24"/>
          <w:szCs w:val="24"/>
          <w:highlight w:val="none"/>
          <w14:textFill>
            <w14:solidFill>
              <w14:schemeClr w14:val="tx1"/>
            </w14:solidFill>
          </w14:textFill>
        </w:rPr>
        <w:t>经咨询人批准，私自将已按合</w:t>
      </w:r>
      <w:r>
        <w:rPr>
          <w:rFonts w:ascii="宋体" w:hAnsi="宋体" w:cs="宋体"/>
          <w:color w:val="000000" w:themeColor="text1"/>
          <w:spacing w:val="1"/>
          <w:sz w:val="24"/>
          <w:szCs w:val="24"/>
          <w:highlight w:val="none"/>
          <w14:textFill>
            <w14:solidFill>
              <w14:schemeClr w14:val="tx1"/>
            </w14:solidFill>
          </w14:textFill>
        </w:rPr>
        <w:t>同约定进入养护作业场地的养护作业设备、临时设施、材料</w:t>
      </w:r>
      <w:r>
        <w:rPr>
          <w:rFonts w:ascii="宋体" w:hAnsi="宋体" w:cs="宋体"/>
          <w:color w:val="000000" w:themeColor="text1"/>
          <w:sz w:val="24"/>
          <w:szCs w:val="24"/>
          <w:highlight w:val="none"/>
          <w14:textFill>
            <w14:solidFill>
              <w14:schemeClr w14:val="tx1"/>
            </w14:solidFill>
          </w14:textFill>
        </w:rPr>
        <w:t>或工程设备撤离养护作</w:t>
      </w:r>
      <w:r>
        <w:rPr>
          <w:rFonts w:ascii="宋体" w:hAnsi="宋体" w:cs="宋体"/>
          <w:color w:val="000000" w:themeColor="text1"/>
          <w:spacing w:val="-3"/>
          <w:sz w:val="24"/>
          <w:szCs w:val="24"/>
          <w:highlight w:val="none"/>
          <w14:textFill>
            <w14:solidFill>
              <w14:schemeClr w14:val="tx1"/>
            </w14:solidFill>
          </w14:textFill>
        </w:rPr>
        <w:t>业场地；</w:t>
      </w:r>
    </w:p>
    <w:p w14:paraId="08228930">
      <w:pPr>
        <w:spacing w:before="114" w:line="263" w:lineRule="auto"/>
        <w:ind w:left="4" w:firstLine="487"/>
        <w:rPr>
          <w:rFonts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pacing w:val="4"/>
          <w:sz w:val="24"/>
          <w:szCs w:val="24"/>
          <w:highlight w:val="none"/>
          <w14:textFill>
            <w14:solidFill>
              <w14:schemeClr w14:val="tx1"/>
            </w14:solidFill>
          </w14:textFill>
        </w:rPr>
        <w:t>（</w:t>
      </w:r>
      <w:r>
        <w:rPr>
          <w:rFonts w:eastAsia="Times New Roman"/>
          <w:color w:val="000000" w:themeColor="text1"/>
          <w:spacing w:val="4"/>
          <w:sz w:val="24"/>
          <w:szCs w:val="24"/>
          <w:highlight w:val="none"/>
          <w14:textFill>
            <w14:solidFill>
              <w14:schemeClr w14:val="tx1"/>
            </w14:solidFill>
          </w14:textFill>
        </w:rPr>
        <w:t>3</w:t>
      </w:r>
      <w:r>
        <w:rPr>
          <w:rFonts w:ascii="宋体" w:hAnsi="宋体" w:cs="宋体"/>
          <w:color w:val="000000" w:themeColor="text1"/>
          <w:spacing w:val="4"/>
          <w:sz w:val="24"/>
          <w:szCs w:val="24"/>
          <w:highlight w:val="none"/>
          <w14:textFill>
            <w14:solidFill>
              <w14:schemeClr w14:val="tx1"/>
            </w14:solidFill>
          </w14:textFill>
        </w:rPr>
        <w:t>）承包人违反第</w:t>
      </w:r>
      <w:r>
        <w:rPr>
          <w:rFonts w:ascii="宋体" w:hAnsi="宋体" w:cs="宋体"/>
          <w:color w:val="000000" w:themeColor="text1"/>
          <w:spacing w:val="-24"/>
          <w:sz w:val="24"/>
          <w:szCs w:val="24"/>
          <w:highlight w:val="none"/>
          <w14:textFill>
            <w14:solidFill>
              <w14:schemeClr w14:val="tx1"/>
            </w14:solidFill>
          </w14:textFill>
        </w:rPr>
        <w:t xml:space="preserve"> </w:t>
      </w:r>
      <w:r>
        <w:rPr>
          <w:rFonts w:eastAsia="Times New Roman"/>
          <w:color w:val="000000" w:themeColor="text1"/>
          <w:spacing w:val="4"/>
          <w:sz w:val="24"/>
          <w:szCs w:val="24"/>
          <w:highlight w:val="none"/>
          <w14:textFill>
            <w14:solidFill>
              <w14:schemeClr w14:val="tx1"/>
            </w14:solidFill>
          </w14:textFill>
        </w:rPr>
        <w:t>5.4</w:t>
      </w:r>
      <w:r>
        <w:rPr>
          <w:rFonts w:eastAsia="Times New Roman"/>
          <w:color w:val="000000" w:themeColor="text1"/>
          <w:spacing w:val="17"/>
          <w:w w:val="101"/>
          <w:sz w:val="24"/>
          <w:szCs w:val="24"/>
          <w:highlight w:val="none"/>
          <w14:textFill>
            <w14:solidFill>
              <w14:schemeClr w14:val="tx1"/>
            </w14:solidFill>
          </w14:textFill>
        </w:rPr>
        <w:t xml:space="preserve"> </w:t>
      </w:r>
      <w:r>
        <w:rPr>
          <w:rFonts w:ascii="宋体" w:hAnsi="宋体" w:cs="宋体"/>
          <w:color w:val="000000" w:themeColor="text1"/>
          <w:spacing w:val="4"/>
          <w:sz w:val="24"/>
          <w:szCs w:val="24"/>
          <w:highlight w:val="none"/>
          <w14:textFill>
            <w14:solidFill>
              <w14:schemeClr w14:val="tx1"/>
            </w14:solidFill>
          </w14:textFill>
        </w:rPr>
        <w:t>款的约定使用了不合格材料或工程设备，养护质量达</w:t>
      </w:r>
      <w:r>
        <w:rPr>
          <w:rFonts w:ascii="宋体" w:hAnsi="宋体" w:cs="宋体"/>
          <w:color w:val="000000" w:themeColor="text1"/>
          <w:spacing w:val="-1"/>
          <w:sz w:val="24"/>
          <w:szCs w:val="24"/>
          <w:highlight w:val="none"/>
          <w14:textFill>
            <w14:solidFill>
              <w14:schemeClr w14:val="tx1"/>
            </w14:solidFill>
          </w14:textFill>
        </w:rPr>
        <w:t>不到标准要求，又拒绝清除不合格养护工程；</w:t>
      </w:r>
    </w:p>
    <w:p w14:paraId="25E58284">
      <w:pPr>
        <w:spacing w:before="117" w:line="264" w:lineRule="auto"/>
        <w:ind w:left="2" w:firstLine="489"/>
        <w:rPr>
          <w:rFonts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pacing w:val="4"/>
          <w:sz w:val="24"/>
          <w:szCs w:val="24"/>
          <w:highlight w:val="none"/>
          <w14:textFill>
            <w14:solidFill>
              <w14:schemeClr w14:val="tx1"/>
            </w14:solidFill>
          </w14:textFill>
        </w:rPr>
        <w:t>（</w:t>
      </w:r>
      <w:r>
        <w:rPr>
          <w:rFonts w:eastAsia="Times New Roman"/>
          <w:color w:val="000000" w:themeColor="text1"/>
          <w:spacing w:val="4"/>
          <w:sz w:val="24"/>
          <w:szCs w:val="24"/>
          <w:highlight w:val="none"/>
          <w14:textFill>
            <w14:solidFill>
              <w14:schemeClr w14:val="tx1"/>
            </w14:solidFill>
          </w14:textFill>
        </w:rPr>
        <w:t>4</w:t>
      </w:r>
      <w:r>
        <w:rPr>
          <w:rFonts w:ascii="宋体" w:hAnsi="宋体" w:cs="宋体"/>
          <w:color w:val="000000" w:themeColor="text1"/>
          <w:spacing w:val="4"/>
          <w:sz w:val="24"/>
          <w:szCs w:val="24"/>
          <w:highlight w:val="none"/>
          <w14:textFill>
            <w14:solidFill>
              <w14:schemeClr w14:val="tx1"/>
            </w14:solidFill>
          </w14:textFill>
        </w:rPr>
        <w:t>）承包人未能按合同进度计划及时完成合同约定的工作，已造成或预</w:t>
      </w:r>
      <w:r>
        <w:rPr>
          <w:rFonts w:ascii="宋体" w:hAnsi="宋体" w:cs="宋体"/>
          <w:color w:val="000000" w:themeColor="text1"/>
          <w:spacing w:val="3"/>
          <w:sz w:val="24"/>
          <w:szCs w:val="24"/>
          <w:highlight w:val="none"/>
          <w14:textFill>
            <w14:solidFill>
              <w14:schemeClr w14:val="tx1"/>
            </w14:solidFill>
          </w14:textFill>
        </w:rPr>
        <w:t>期造</w:t>
      </w:r>
      <w:r>
        <w:rPr>
          <w:rFonts w:ascii="宋体" w:hAnsi="宋体" w:cs="宋体"/>
          <w:color w:val="000000" w:themeColor="text1"/>
          <w:spacing w:val="-2"/>
          <w:sz w:val="24"/>
          <w:szCs w:val="24"/>
          <w:highlight w:val="none"/>
          <w14:textFill>
            <w14:solidFill>
              <w14:schemeClr w14:val="tx1"/>
            </w14:solidFill>
          </w14:textFill>
        </w:rPr>
        <w:t>成工期延误；</w:t>
      </w:r>
    </w:p>
    <w:p w14:paraId="4368FE8B">
      <w:pPr>
        <w:spacing w:before="111" w:line="264" w:lineRule="auto"/>
        <w:ind w:firstLine="491"/>
        <w:rPr>
          <w:rFonts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pacing w:val="4"/>
          <w:sz w:val="24"/>
          <w:szCs w:val="24"/>
          <w:highlight w:val="none"/>
          <w14:textFill>
            <w14:solidFill>
              <w14:schemeClr w14:val="tx1"/>
            </w14:solidFill>
          </w14:textFill>
        </w:rPr>
        <w:t>（</w:t>
      </w:r>
      <w:r>
        <w:rPr>
          <w:rFonts w:eastAsia="Times New Roman"/>
          <w:color w:val="000000" w:themeColor="text1"/>
          <w:spacing w:val="4"/>
          <w:sz w:val="24"/>
          <w:szCs w:val="24"/>
          <w:highlight w:val="none"/>
          <w14:textFill>
            <w14:solidFill>
              <w14:schemeClr w14:val="tx1"/>
            </w14:solidFill>
          </w14:textFill>
        </w:rPr>
        <w:t>5</w:t>
      </w:r>
      <w:r>
        <w:rPr>
          <w:rFonts w:ascii="宋体" w:hAnsi="宋体" w:cs="宋体"/>
          <w:color w:val="000000" w:themeColor="text1"/>
          <w:spacing w:val="4"/>
          <w:sz w:val="24"/>
          <w:szCs w:val="24"/>
          <w:highlight w:val="none"/>
          <w14:textFill>
            <w14:solidFill>
              <w14:schemeClr w14:val="tx1"/>
            </w14:solidFill>
          </w14:textFill>
        </w:rPr>
        <w:t>）承包人在缺陷责任期内，未能对交工验收证书所列的缺陷清单的内</w:t>
      </w:r>
      <w:r>
        <w:rPr>
          <w:rFonts w:ascii="宋体" w:hAnsi="宋体" w:cs="宋体"/>
          <w:color w:val="000000" w:themeColor="text1"/>
          <w:spacing w:val="3"/>
          <w:sz w:val="24"/>
          <w:szCs w:val="24"/>
          <w:highlight w:val="none"/>
          <w14:textFill>
            <w14:solidFill>
              <w14:schemeClr w14:val="tx1"/>
            </w14:solidFill>
          </w14:textFill>
        </w:rPr>
        <w:t>容或</w:t>
      </w:r>
      <w:r>
        <w:rPr>
          <w:rFonts w:ascii="宋体" w:hAnsi="宋体" w:cs="宋体"/>
          <w:color w:val="000000" w:themeColor="text1"/>
          <w:sz w:val="24"/>
          <w:szCs w:val="24"/>
          <w:highlight w:val="none"/>
          <w14:textFill>
            <w14:solidFill>
              <w14:schemeClr w14:val="tx1"/>
            </w14:solidFill>
          </w14:textFill>
        </w:rPr>
        <w:t>缺陷责任期内发生的缺陷进行修复，而又拒绝按</w:t>
      </w:r>
      <w:r>
        <w:rPr>
          <w:rFonts w:ascii="宋体" w:hAnsi="宋体" w:cs="宋体"/>
          <w:color w:val="000000" w:themeColor="text1"/>
          <w:spacing w:val="-1"/>
          <w:sz w:val="24"/>
          <w:szCs w:val="24"/>
          <w:highlight w:val="none"/>
          <w14:textFill>
            <w14:solidFill>
              <w14:schemeClr w14:val="tx1"/>
            </w14:solidFill>
          </w14:textFill>
        </w:rPr>
        <w:t>咨询人指示再进行修补；</w:t>
      </w:r>
    </w:p>
    <w:p w14:paraId="79AF5FDE">
      <w:pPr>
        <w:spacing w:before="117" w:line="219" w:lineRule="auto"/>
        <w:ind w:left="492"/>
        <w:rPr>
          <w:rFonts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pacing w:val="-1"/>
          <w:sz w:val="24"/>
          <w:szCs w:val="24"/>
          <w:highlight w:val="none"/>
          <w14:textFill>
            <w14:solidFill>
              <w14:schemeClr w14:val="tx1"/>
            </w14:solidFill>
          </w14:textFill>
        </w:rPr>
        <w:t>（</w:t>
      </w:r>
      <w:r>
        <w:rPr>
          <w:rFonts w:eastAsia="Times New Roman"/>
          <w:color w:val="000000" w:themeColor="text1"/>
          <w:spacing w:val="-1"/>
          <w:sz w:val="24"/>
          <w:szCs w:val="24"/>
          <w:highlight w:val="none"/>
          <w14:textFill>
            <w14:solidFill>
              <w14:schemeClr w14:val="tx1"/>
            </w14:solidFill>
          </w14:textFill>
        </w:rPr>
        <w:t>6</w:t>
      </w:r>
      <w:r>
        <w:rPr>
          <w:rFonts w:ascii="宋体" w:hAnsi="宋体" w:cs="宋体"/>
          <w:color w:val="000000" w:themeColor="text1"/>
          <w:spacing w:val="-1"/>
          <w:sz w:val="24"/>
          <w:szCs w:val="24"/>
          <w:highlight w:val="none"/>
          <w14:textFill>
            <w14:solidFill>
              <w14:schemeClr w14:val="tx1"/>
            </w14:solidFill>
          </w14:textFill>
        </w:rPr>
        <w:t>）承包人无法继续履行或明确表示不履行或实质上已停止履行合同；</w:t>
      </w:r>
    </w:p>
    <w:p w14:paraId="2ACBFE24">
      <w:pPr>
        <w:spacing w:before="113" w:line="219" w:lineRule="auto"/>
        <w:ind w:left="492"/>
        <w:rPr>
          <w:rFonts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pacing w:val="-2"/>
          <w:sz w:val="24"/>
          <w:szCs w:val="24"/>
          <w:highlight w:val="none"/>
          <w14:textFill>
            <w14:solidFill>
              <w14:schemeClr w14:val="tx1"/>
            </w14:solidFill>
          </w14:textFill>
        </w:rPr>
        <w:t>（</w:t>
      </w:r>
      <w:r>
        <w:rPr>
          <w:rFonts w:eastAsia="Times New Roman"/>
          <w:color w:val="000000" w:themeColor="text1"/>
          <w:spacing w:val="-2"/>
          <w:sz w:val="24"/>
          <w:szCs w:val="24"/>
          <w:highlight w:val="none"/>
          <w14:textFill>
            <w14:solidFill>
              <w14:schemeClr w14:val="tx1"/>
            </w14:solidFill>
          </w14:textFill>
        </w:rPr>
        <w:t>7</w:t>
      </w:r>
      <w:r>
        <w:rPr>
          <w:rFonts w:ascii="宋体" w:hAnsi="宋体" w:cs="宋体"/>
          <w:color w:val="000000" w:themeColor="text1"/>
          <w:spacing w:val="-2"/>
          <w:sz w:val="24"/>
          <w:szCs w:val="24"/>
          <w:highlight w:val="none"/>
          <w14:textFill>
            <w14:solidFill>
              <w14:schemeClr w14:val="tx1"/>
            </w14:solidFill>
          </w14:textFill>
        </w:rPr>
        <w:t>）承包人未能按期开工；</w:t>
      </w:r>
    </w:p>
    <w:p w14:paraId="1D17A98C">
      <w:pPr>
        <w:spacing w:before="117" w:line="263" w:lineRule="auto"/>
        <w:ind w:left="12" w:firstLine="480"/>
        <w:rPr>
          <w:color w:val="000000" w:themeColor="text1"/>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w:t>
      </w:r>
      <w:r>
        <w:rPr>
          <w:rFonts w:eastAsia="Times New Roman"/>
          <w:color w:val="000000" w:themeColor="text1"/>
          <w:sz w:val="24"/>
          <w:szCs w:val="24"/>
          <w:highlight w:val="none"/>
          <w14:textFill>
            <w14:solidFill>
              <w14:schemeClr w14:val="tx1"/>
            </w14:solidFill>
          </w14:textFill>
        </w:rPr>
        <w:t>8</w:t>
      </w:r>
      <w:r>
        <w:rPr>
          <w:rFonts w:ascii="宋体" w:hAnsi="宋体" w:cs="宋体"/>
          <w:color w:val="000000" w:themeColor="text1"/>
          <w:sz w:val="24"/>
          <w:szCs w:val="24"/>
          <w:highlight w:val="none"/>
          <w14:textFill>
            <w14:solidFill>
              <w14:schemeClr w14:val="tx1"/>
            </w14:solidFill>
          </w14:textFill>
        </w:rPr>
        <w:t>）承包人违反第</w:t>
      </w:r>
      <w:r>
        <w:rPr>
          <w:rFonts w:ascii="宋体" w:hAnsi="宋体" w:cs="宋体"/>
          <w:color w:val="000000" w:themeColor="text1"/>
          <w:spacing w:val="-57"/>
          <w:sz w:val="24"/>
          <w:szCs w:val="24"/>
          <w:highlight w:val="none"/>
          <w14:textFill>
            <w14:solidFill>
              <w14:schemeClr w14:val="tx1"/>
            </w14:solidFill>
          </w14:textFill>
        </w:rPr>
        <w:t xml:space="preserve"> </w:t>
      </w:r>
      <w:r>
        <w:rPr>
          <w:rFonts w:eastAsia="Times New Roman"/>
          <w:color w:val="000000" w:themeColor="text1"/>
          <w:sz w:val="24"/>
          <w:szCs w:val="24"/>
          <w:highlight w:val="none"/>
          <w14:textFill>
            <w14:solidFill>
              <w14:schemeClr w14:val="tx1"/>
            </w14:solidFill>
          </w14:textFill>
        </w:rPr>
        <w:t xml:space="preserve">4.6 </w:t>
      </w:r>
      <w:r>
        <w:rPr>
          <w:rFonts w:ascii="宋体" w:hAnsi="宋体" w:cs="宋体"/>
          <w:color w:val="000000" w:themeColor="text1"/>
          <w:sz w:val="24"/>
          <w:szCs w:val="24"/>
          <w:highlight w:val="none"/>
          <w14:textFill>
            <w14:solidFill>
              <w14:schemeClr w14:val="tx1"/>
            </w14:solidFill>
          </w14:textFill>
        </w:rPr>
        <w:t>款或第</w:t>
      </w:r>
      <w:r>
        <w:rPr>
          <w:rFonts w:ascii="宋体" w:hAnsi="宋体" w:cs="宋体"/>
          <w:color w:val="000000" w:themeColor="text1"/>
          <w:spacing w:val="-47"/>
          <w:sz w:val="24"/>
          <w:szCs w:val="24"/>
          <w:highlight w:val="none"/>
          <w14:textFill>
            <w14:solidFill>
              <w14:schemeClr w14:val="tx1"/>
            </w14:solidFill>
          </w14:textFill>
        </w:rPr>
        <w:t xml:space="preserve"> </w:t>
      </w:r>
      <w:r>
        <w:rPr>
          <w:rFonts w:eastAsia="Times New Roman"/>
          <w:color w:val="000000" w:themeColor="text1"/>
          <w:sz w:val="24"/>
          <w:szCs w:val="24"/>
          <w:highlight w:val="none"/>
          <w14:textFill>
            <w14:solidFill>
              <w14:schemeClr w14:val="tx1"/>
            </w14:solidFill>
          </w14:textFill>
        </w:rPr>
        <w:t xml:space="preserve">6.3 </w:t>
      </w:r>
      <w:r>
        <w:rPr>
          <w:rFonts w:ascii="宋体" w:hAnsi="宋体" w:cs="宋体"/>
          <w:color w:val="000000" w:themeColor="text1"/>
          <w:sz w:val="24"/>
          <w:szCs w:val="24"/>
          <w:highlight w:val="none"/>
          <w14:textFill>
            <w14:solidFill>
              <w14:schemeClr w14:val="tx1"/>
            </w14:solidFill>
          </w14:textFill>
        </w:rPr>
        <w:t>款的约定，未按承诺或未按咨询</w:t>
      </w:r>
      <w:r>
        <w:rPr>
          <w:rFonts w:ascii="宋体" w:hAnsi="宋体" w:cs="宋体"/>
          <w:color w:val="000000" w:themeColor="text1"/>
          <w:spacing w:val="-1"/>
          <w:sz w:val="24"/>
          <w:szCs w:val="24"/>
          <w:highlight w:val="none"/>
          <w14:textFill>
            <w14:solidFill>
              <w14:schemeClr w14:val="tx1"/>
            </w14:solidFill>
          </w14:textFill>
        </w:rPr>
        <w:t>人的要求及</w:t>
      </w:r>
      <w:r>
        <w:rPr>
          <w:rFonts w:ascii="宋体" w:hAnsi="宋体" w:cs="宋体"/>
          <w:color w:val="000000" w:themeColor="text1"/>
          <w:sz w:val="24"/>
          <w:szCs w:val="24"/>
          <w:highlight w:val="none"/>
          <w14:textFill>
            <w14:solidFill>
              <w14:schemeClr w14:val="tx1"/>
            </w14:solidFill>
          </w14:textFill>
        </w:rPr>
        <w:t>时配备称职的主要管理人员、技术骨干、专职安全生产管理人员或关键养护作业设</w:t>
      </w:r>
    </w:p>
    <w:p w14:paraId="0BCC808D">
      <w:pPr>
        <w:spacing w:before="78" w:line="221" w:lineRule="auto"/>
        <w:ind w:left="7"/>
        <w:rPr>
          <w:rFonts w:ascii="宋体" w:hAnsi="宋体" w:cs="宋体"/>
          <w:color w:val="000000" w:themeColor="text1"/>
          <w:sz w:val="24"/>
          <w:szCs w:val="24"/>
          <w:highlight w:val="none"/>
          <w14:textFill>
            <w14:solidFill>
              <w14:schemeClr w14:val="tx1"/>
            </w14:solidFill>
          </w14:textFill>
        </w:rPr>
      </w:pPr>
      <w:bookmarkStart w:id="181" w:name="bookmark230"/>
      <w:bookmarkEnd w:id="181"/>
      <w:r>
        <w:rPr>
          <w:rFonts w:ascii="宋体" w:hAnsi="宋体" w:cs="宋体"/>
          <w:color w:val="000000" w:themeColor="text1"/>
          <w:spacing w:val="-7"/>
          <w:sz w:val="24"/>
          <w:szCs w:val="24"/>
          <w:highlight w:val="none"/>
          <w14:textFill>
            <w14:solidFill>
              <w14:schemeClr w14:val="tx1"/>
            </w14:solidFill>
          </w14:textFill>
        </w:rPr>
        <w:t>备；</w:t>
      </w:r>
    </w:p>
    <w:p w14:paraId="57B304D7">
      <w:pPr>
        <w:spacing w:before="114" w:line="263" w:lineRule="auto"/>
        <w:ind w:left="5" w:firstLine="490"/>
        <w:rPr>
          <w:rFonts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pacing w:val="4"/>
          <w:sz w:val="24"/>
          <w:szCs w:val="24"/>
          <w:highlight w:val="none"/>
          <w14:textFill>
            <w14:solidFill>
              <w14:schemeClr w14:val="tx1"/>
            </w14:solidFill>
          </w14:textFill>
        </w:rPr>
        <w:t>（</w:t>
      </w:r>
      <w:r>
        <w:rPr>
          <w:rFonts w:eastAsia="Times New Roman"/>
          <w:color w:val="000000" w:themeColor="text1"/>
          <w:spacing w:val="4"/>
          <w:sz w:val="24"/>
          <w:szCs w:val="24"/>
          <w:highlight w:val="none"/>
          <w14:textFill>
            <w14:solidFill>
              <w14:schemeClr w14:val="tx1"/>
            </w14:solidFill>
          </w14:textFill>
        </w:rPr>
        <w:t>9</w:t>
      </w:r>
      <w:r>
        <w:rPr>
          <w:rFonts w:ascii="宋体" w:hAnsi="宋体" w:cs="宋体"/>
          <w:color w:val="000000" w:themeColor="text1"/>
          <w:spacing w:val="4"/>
          <w:sz w:val="24"/>
          <w:szCs w:val="24"/>
          <w:highlight w:val="none"/>
          <w14:textFill>
            <w14:solidFill>
              <w14:schemeClr w14:val="tx1"/>
            </w14:solidFill>
          </w14:textFill>
        </w:rPr>
        <w:t>）经咨询人和发包人检查，发现承包人有安全问题或有违反安全管理</w:t>
      </w:r>
      <w:r>
        <w:rPr>
          <w:rFonts w:ascii="宋体" w:hAnsi="宋体" w:cs="宋体"/>
          <w:color w:val="000000" w:themeColor="text1"/>
          <w:spacing w:val="3"/>
          <w:sz w:val="24"/>
          <w:szCs w:val="24"/>
          <w:highlight w:val="none"/>
          <w14:textFill>
            <w14:solidFill>
              <w14:schemeClr w14:val="tx1"/>
            </w14:solidFill>
          </w14:textFill>
        </w:rPr>
        <w:t>规章</w:t>
      </w:r>
      <w:r>
        <w:rPr>
          <w:rFonts w:ascii="宋体" w:hAnsi="宋体" w:cs="宋体"/>
          <w:color w:val="000000" w:themeColor="text1"/>
          <w:spacing w:val="-2"/>
          <w:sz w:val="24"/>
          <w:szCs w:val="24"/>
          <w:highlight w:val="none"/>
          <w14:textFill>
            <w14:solidFill>
              <w14:schemeClr w14:val="tx1"/>
            </w14:solidFill>
          </w14:textFill>
        </w:rPr>
        <w:t>制度的情况；</w:t>
      </w:r>
    </w:p>
    <w:p w14:paraId="08BDAD84">
      <w:pPr>
        <w:spacing w:before="115" w:line="219" w:lineRule="auto"/>
        <w:ind w:left="495"/>
        <w:rPr>
          <w:rFonts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pacing w:val="-1"/>
          <w:sz w:val="24"/>
          <w:szCs w:val="24"/>
          <w:highlight w:val="none"/>
          <w14:textFill>
            <w14:solidFill>
              <w14:schemeClr w14:val="tx1"/>
            </w14:solidFill>
          </w14:textFill>
        </w:rPr>
        <w:t>（</w:t>
      </w:r>
      <w:r>
        <w:rPr>
          <w:rFonts w:eastAsia="Times New Roman"/>
          <w:color w:val="000000" w:themeColor="text1"/>
          <w:spacing w:val="-1"/>
          <w:sz w:val="24"/>
          <w:szCs w:val="24"/>
          <w:highlight w:val="none"/>
          <w14:textFill>
            <w14:solidFill>
              <w14:schemeClr w14:val="tx1"/>
            </w14:solidFill>
          </w14:textFill>
        </w:rPr>
        <w:t>10</w:t>
      </w:r>
      <w:r>
        <w:rPr>
          <w:rFonts w:ascii="宋体" w:hAnsi="宋体" w:cs="宋体"/>
          <w:color w:val="000000" w:themeColor="text1"/>
          <w:spacing w:val="-1"/>
          <w:sz w:val="24"/>
          <w:szCs w:val="24"/>
          <w:highlight w:val="none"/>
          <w14:textFill>
            <w14:solidFill>
              <w14:schemeClr w14:val="tx1"/>
            </w14:solidFill>
          </w14:textFill>
        </w:rPr>
        <w:t>）承包人不按合同约定履行义务的其他情况。</w:t>
      </w:r>
    </w:p>
    <w:p w14:paraId="3303B3FB">
      <w:pPr>
        <w:spacing w:before="116" w:line="219" w:lineRule="auto"/>
        <w:ind w:left="480"/>
        <w:rPr>
          <w:rFonts w:ascii="宋体" w:hAnsi="宋体" w:cs="宋体"/>
          <w:color w:val="000000" w:themeColor="text1"/>
          <w:sz w:val="24"/>
          <w:szCs w:val="24"/>
          <w:highlight w:val="none"/>
          <w14:textFill>
            <w14:solidFill>
              <w14:schemeClr w14:val="tx1"/>
            </w14:solidFill>
          </w14:textFill>
        </w:rPr>
      </w:pPr>
      <w:r>
        <w:rPr>
          <w:rFonts w:eastAsia="Times New Roman"/>
          <w:color w:val="000000" w:themeColor="text1"/>
          <w:spacing w:val="-1"/>
          <w:sz w:val="24"/>
          <w:szCs w:val="24"/>
          <w:highlight w:val="none"/>
          <w14:textFill>
            <w14:solidFill>
              <w14:schemeClr w14:val="tx1"/>
            </w14:solidFill>
          </w14:textFill>
        </w:rPr>
        <w:t xml:space="preserve">22.1.2  </w:t>
      </w:r>
      <w:r>
        <w:rPr>
          <w:rFonts w:ascii="宋体" w:hAnsi="宋体" w:cs="宋体"/>
          <w:color w:val="000000" w:themeColor="text1"/>
          <w:spacing w:val="-1"/>
          <w:sz w:val="24"/>
          <w:szCs w:val="24"/>
          <w:highlight w:val="none"/>
          <w14:textFill>
            <w14:solidFill>
              <w14:schemeClr w14:val="tx1"/>
            </w14:solidFill>
          </w14:textFill>
        </w:rPr>
        <w:t>对承包人违约的处理</w:t>
      </w:r>
    </w:p>
    <w:p w14:paraId="479D7A42">
      <w:pPr>
        <w:spacing w:before="112" w:line="264" w:lineRule="auto"/>
        <w:ind w:left="22" w:firstLine="473"/>
        <w:rPr>
          <w:rFonts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w:t>
      </w:r>
      <w:r>
        <w:rPr>
          <w:rFonts w:eastAsia="Times New Roman"/>
          <w:color w:val="000000" w:themeColor="text1"/>
          <w:sz w:val="24"/>
          <w:szCs w:val="24"/>
          <w:highlight w:val="none"/>
          <w14:textFill>
            <w14:solidFill>
              <w14:schemeClr w14:val="tx1"/>
            </w14:solidFill>
          </w14:textFill>
        </w:rPr>
        <w:t>1</w:t>
      </w:r>
      <w:r>
        <w:rPr>
          <w:rFonts w:ascii="宋体" w:hAnsi="宋体" w:cs="宋体"/>
          <w:color w:val="000000" w:themeColor="text1"/>
          <w:sz w:val="24"/>
          <w:szCs w:val="24"/>
          <w:highlight w:val="none"/>
          <w14:textFill>
            <w14:solidFill>
              <w14:schemeClr w14:val="tx1"/>
            </w14:solidFill>
          </w14:textFill>
        </w:rPr>
        <w:t>）承包人发生第</w:t>
      </w:r>
      <w:r>
        <w:rPr>
          <w:rFonts w:ascii="宋体" w:hAnsi="宋体" w:cs="宋体"/>
          <w:color w:val="000000" w:themeColor="text1"/>
          <w:spacing w:val="-49"/>
          <w:sz w:val="24"/>
          <w:szCs w:val="24"/>
          <w:highlight w:val="none"/>
          <w14:textFill>
            <w14:solidFill>
              <w14:schemeClr w14:val="tx1"/>
            </w14:solidFill>
          </w14:textFill>
        </w:rPr>
        <w:t xml:space="preserve"> </w:t>
      </w:r>
      <w:r>
        <w:rPr>
          <w:rFonts w:eastAsia="Times New Roman"/>
          <w:color w:val="000000" w:themeColor="text1"/>
          <w:sz w:val="24"/>
          <w:szCs w:val="24"/>
          <w:highlight w:val="none"/>
          <w14:textFill>
            <w14:solidFill>
              <w14:schemeClr w14:val="tx1"/>
            </w14:solidFill>
          </w14:textFill>
        </w:rPr>
        <w:t>22.1.1</w:t>
      </w:r>
      <w:r>
        <w:rPr>
          <w:rFonts w:ascii="宋体" w:hAnsi="宋体" w:cs="宋体"/>
          <w:color w:val="000000" w:themeColor="text1"/>
          <w:sz w:val="24"/>
          <w:szCs w:val="24"/>
          <w:highlight w:val="none"/>
          <w14:textFill>
            <w14:solidFill>
              <w14:schemeClr w14:val="tx1"/>
            </w14:solidFill>
          </w14:textFill>
        </w:rPr>
        <w:t>（</w:t>
      </w:r>
      <w:r>
        <w:rPr>
          <w:rFonts w:eastAsia="Times New Roman"/>
          <w:color w:val="000000" w:themeColor="text1"/>
          <w:sz w:val="24"/>
          <w:szCs w:val="24"/>
          <w:highlight w:val="none"/>
          <w14:textFill>
            <w14:solidFill>
              <w14:schemeClr w14:val="tx1"/>
            </w14:solidFill>
          </w14:textFill>
        </w:rPr>
        <w:t>6</w:t>
      </w:r>
      <w:r>
        <w:rPr>
          <w:rFonts w:ascii="宋体" w:hAnsi="宋体" w:cs="宋体"/>
          <w:color w:val="000000" w:themeColor="text1"/>
          <w:sz w:val="24"/>
          <w:szCs w:val="24"/>
          <w:highlight w:val="none"/>
          <w14:textFill>
            <w14:solidFill>
              <w14:schemeClr w14:val="tx1"/>
            </w14:solidFill>
          </w14:textFill>
        </w:rPr>
        <w:t>）</w:t>
      </w:r>
      <w:r>
        <w:rPr>
          <w:rFonts w:ascii="宋体" w:hAnsi="宋体" w:cs="宋体"/>
          <w:color w:val="000000" w:themeColor="text1"/>
          <w:spacing w:val="-57"/>
          <w:sz w:val="24"/>
          <w:szCs w:val="24"/>
          <w:highlight w:val="none"/>
          <w14:textFill>
            <w14:solidFill>
              <w14:schemeClr w14:val="tx1"/>
            </w14:solidFill>
          </w14:textFill>
        </w:rPr>
        <w:t xml:space="preserve"> </w:t>
      </w:r>
      <w:r>
        <w:rPr>
          <w:rFonts w:ascii="宋体" w:hAnsi="宋体" w:cs="宋体"/>
          <w:color w:val="000000" w:themeColor="text1"/>
          <w:sz w:val="24"/>
          <w:szCs w:val="24"/>
          <w:highlight w:val="none"/>
          <w14:textFill>
            <w14:solidFill>
              <w14:schemeClr w14:val="tx1"/>
            </w14:solidFill>
          </w14:textFill>
        </w:rPr>
        <w:t>目约定的违约情况时，发包人可通知承包人立</w:t>
      </w:r>
      <w:r>
        <w:rPr>
          <w:rFonts w:ascii="宋体" w:hAnsi="宋体" w:cs="宋体"/>
          <w:color w:val="000000" w:themeColor="text1"/>
          <w:spacing w:val="-2"/>
          <w:sz w:val="24"/>
          <w:szCs w:val="24"/>
          <w:highlight w:val="none"/>
          <w14:textFill>
            <w14:solidFill>
              <w14:schemeClr w14:val="tx1"/>
            </w14:solidFill>
          </w14:textFill>
        </w:rPr>
        <w:t>即解除合同，并按有关法律处理。</w:t>
      </w:r>
    </w:p>
    <w:p w14:paraId="5968234C">
      <w:pPr>
        <w:spacing w:before="116" w:line="278" w:lineRule="auto"/>
        <w:ind w:left="4" w:firstLine="491"/>
        <w:rPr>
          <w:rFonts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w:t>
      </w:r>
      <w:r>
        <w:rPr>
          <w:rFonts w:eastAsia="Times New Roman"/>
          <w:color w:val="000000" w:themeColor="text1"/>
          <w:sz w:val="24"/>
          <w:szCs w:val="24"/>
          <w:highlight w:val="none"/>
          <w14:textFill>
            <w14:solidFill>
              <w14:schemeClr w14:val="tx1"/>
            </w14:solidFill>
          </w14:textFill>
        </w:rPr>
        <w:t>2</w:t>
      </w:r>
      <w:r>
        <w:rPr>
          <w:rFonts w:ascii="宋体" w:hAnsi="宋体" w:cs="宋体"/>
          <w:color w:val="000000" w:themeColor="text1"/>
          <w:sz w:val="24"/>
          <w:szCs w:val="24"/>
          <w:highlight w:val="none"/>
          <w14:textFill>
            <w14:solidFill>
              <w14:schemeClr w14:val="tx1"/>
            </w14:solidFill>
          </w14:textFill>
        </w:rPr>
        <w:t>）承包人发生除第</w:t>
      </w:r>
      <w:r>
        <w:rPr>
          <w:rFonts w:ascii="宋体" w:hAnsi="宋体" w:cs="宋体"/>
          <w:color w:val="000000" w:themeColor="text1"/>
          <w:spacing w:val="-46"/>
          <w:sz w:val="24"/>
          <w:szCs w:val="24"/>
          <w:highlight w:val="none"/>
          <w14:textFill>
            <w14:solidFill>
              <w14:schemeClr w14:val="tx1"/>
            </w14:solidFill>
          </w14:textFill>
        </w:rPr>
        <w:t xml:space="preserve"> </w:t>
      </w:r>
      <w:r>
        <w:rPr>
          <w:rFonts w:eastAsia="Times New Roman"/>
          <w:color w:val="000000" w:themeColor="text1"/>
          <w:sz w:val="24"/>
          <w:szCs w:val="24"/>
          <w:highlight w:val="none"/>
          <w14:textFill>
            <w14:solidFill>
              <w14:schemeClr w14:val="tx1"/>
            </w14:solidFill>
          </w14:textFill>
        </w:rPr>
        <w:t>22.1.1</w:t>
      </w:r>
      <w:r>
        <w:rPr>
          <w:rFonts w:ascii="宋体" w:hAnsi="宋体" w:cs="宋体"/>
          <w:color w:val="000000" w:themeColor="text1"/>
          <w:sz w:val="24"/>
          <w:szCs w:val="24"/>
          <w:highlight w:val="none"/>
          <w14:textFill>
            <w14:solidFill>
              <w14:schemeClr w14:val="tx1"/>
            </w14:solidFill>
          </w14:textFill>
        </w:rPr>
        <w:t>（</w:t>
      </w:r>
      <w:r>
        <w:rPr>
          <w:rFonts w:eastAsia="Times New Roman"/>
          <w:color w:val="000000" w:themeColor="text1"/>
          <w:sz w:val="24"/>
          <w:szCs w:val="24"/>
          <w:highlight w:val="none"/>
          <w14:textFill>
            <w14:solidFill>
              <w14:schemeClr w14:val="tx1"/>
            </w14:solidFill>
          </w14:textFill>
        </w:rPr>
        <w:t>6</w:t>
      </w:r>
      <w:r>
        <w:rPr>
          <w:rFonts w:ascii="宋体" w:hAnsi="宋体" w:cs="宋体"/>
          <w:color w:val="000000" w:themeColor="text1"/>
          <w:sz w:val="24"/>
          <w:szCs w:val="24"/>
          <w:highlight w:val="none"/>
          <w14:textFill>
            <w14:solidFill>
              <w14:schemeClr w14:val="tx1"/>
            </w14:solidFill>
          </w14:textFill>
        </w:rPr>
        <w:t>）</w:t>
      </w:r>
      <w:r>
        <w:rPr>
          <w:rFonts w:ascii="宋体" w:hAnsi="宋体" w:cs="宋体"/>
          <w:color w:val="000000" w:themeColor="text1"/>
          <w:spacing w:val="-60"/>
          <w:sz w:val="24"/>
          <w:szCs w:val="24"/>
          <w:highlight w:val="none"/>
          <w14:textFill>
            <w14:solidFill>
              <w14:schemeClr w14:val="tx1"/>
            </w14:solidFill>
          </w14:textFill>
        </w:rPr>
        <w:t xml:space="preserve"> </w:t>
      </w:r>
      <w:r>
        <w:rPr>
          <w:rFonts w:ascii="宋体" w:hAnsi="宋体" w:cs="宋体"/>
          <w:color w:val="000000" w:themeColor="text1"/>
          <w:sz w:val="24"/>
          <w:szCs w:val="24"/>
          <w:highlight w:val="none"/>
          <w14:textFill>
            <w14:solidFill>
              <w14:schemeClr w14:val="tx1"/>
            </w14:solidFill>
          </w14:textFill>
        </w:rPr>
        <w:t>目约定以外的其他违约情况时，咨询人可向</w:t>
      </w:r>
      <w:r>
        <w:rPr>
          <w:rFonts w:ascii="宋体" w:hAnsi="宋体" w:cs="宋体"/>
          <w:color w:val="000000" w:themeColor="text1"/>
          <w:spacing w:val="1"/>
          <w:sz w:val="24"/>
          <w:szCs w:val="24"/>
          <w:highlight w:val="none"/>
          <w14:textFill>
            <w14:solidFill>
              <w14:schemeClr w14:val="tx1"/>
            </w14:solidFill>
          </w14:textFill>
        </w:rPr>
        <w:t>承包人发出整改通知，要求其在指定的期限内改正。承包</w:t>
      </w:r>
      <w:r>
        <w:rPr>
          <w:rFonts w:ascii="宋体" w:hAnsi="宋体" w:cs="宋体"/>
          <w:color w:val="000000" w:themeColor="text1"/>
          <w:sz w:val="24"/>
          <w:szCs w:val="24"/>
          <w:highlight w:val="none"/>
          <w14:textFill>
            <w14:solidFill>
              <w14:schemeClr w14:val="tx1"/>
            </w14:solidFill>
          </w14:textFill>
        </w:rPr>
        <w:t>人应承担其违约所引起的</w:t>
      </w:r>
      <w:r>
        <w:rPr>
          <w:rFonts w:ascii="宋体" w:hAnsi="宋体" w:cs="宋体"/>
          <w:color w:val="000000" w:themeColor="text1"/>
          <w:spacing w:val="-1"/>
          <w:sz w:val="24"/>
          <w:szCs w:val="24"/>
          <w:highlight w:val="none"/>
          <w14:textFill>
            <w14:solidFill>
              <w14:schemeClr w14:val="tx1"/>
            </w14:solidFill>
          </w14:textFill>
        </w:rPr>
        <w:t>费用增加和（或）工期延误。</w:t>
      </w:r>
    </w:p>
    <w:p w14:paraId="4E3B2203">
      <w:pPr>
        <w:spacing w:before="116" w:line="263" w:lineRule="auto"/>
        <w:ind w:left="6" w:right="58" w:firstLine="489"/>
        <w:rPr>
          <w:rFonts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pacing w:val="2"/>
          <w:sz w:val="24"/>
          <w:szCs w:val="24"/>
          <w:highlight w:val="none"/>
          <w14:textFill>
            <w14:solidFill>
              <w14:schemeClr w14:val="tx1"/>
            </w14:solidFill>
          </w14:textFill>
        </w:rPr>
        <w:t>（</w:t>
      </w:r>
      <w:r>
        <w:rPr>
          <w:rFonts w:eastAsia="Times New Roman"/>
          <w:color w:val="000000" w:themeColor="text1"/>
          <w:spacing w:val="2"/>
          <w:sz w:val="24"/>
          <w:szCs w:val="24"/>
          <w:highlight w:val="none"/>
          <w14:textFill>
            <w14:solidFill>
              <w14:schemeClr w14:val="tx1"/>
            </w14:solidFill>
          </w14:textFill>
        </w:rPr>
        <w:t>3</w:t>
      </w:r>
      <w:r>
        <w:rPr>
          <w:rFonts w:ascii="宋体" w:hAnsi="宋体" w:cs="宋体"/>
          <w:color w:val="000000" w:themeColor="text1"/>
          <w:spacing w:val="2"/>
          <w:sz w:val="24"/>
          <w:szCs w:val="24"/>
          <w:highlight w:val="none"/>
          <w14:textFill>
            <w14:solidFill>
              <w14:schemeClr w14:val="tx1"/>
            </w14:solidFill>
          </w14:textFill>
        </w:rPr>
        <w:t>）经检查证明承包人已采取了有效措施纠正违约行为，具备复工条件的，</w:t>
      </w:r>
      <w:r>
        <w:rPr>
          <w:rFonts w:ascii="宋体" w:hAnsi="宋体" w:cs="宋体"/>
          <w:color w:val="000000" w:themeColor="text1"/>
          <w:spacing w:val="-1"/>
          <w:sz w:val="24"/>
          <w:szCs w:val="24"/>
          <w:highlight w:val="none"/>
          <w14:textFill>
            <w14:solidFill>
              <w14:schemeClr w14:val="tx1"/>
            </w14:solidFill>
          </w14:textFill>
        </w:rPr>
        <w:t>可由咨询人签发复工通知复工。</w:t>
      </w:r>
    </w:p>
    <w:p w14:paraId="0AF8C96D">
      <w:pPr>
        <w:spacing w:before="114" w:line="264" w:lineRule="auto"/>
        <w:ind w:left="8" w:right="58" w:firstLine="487"/>
        <w:rPr>
          <w:rFonts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pacing w:val="1"/>
          <w:sz w:val="24"/>
          <w:szCs w:val="24"/>
          <w:highlight w:val="none"/>
          <w14:textFill>
            <w14:solidFill>
              <w14:schemeClr w14:val="tx1"/>
            </w14:solidFill>
          </w14:textFill>
        </w:rPr>
        <w:t>（</w:t>
      </w:r>
      <w:r>
        <w:rPr>
          <w:rFonts w:eastAsia="Times New Roman"/>
          <w:color w:val="000000" w:themeColor="text1"/>
          <w:spacing w:val="1"/>
          <w:sz w:val="24"/>
          <w:szCs w:val="24"/>
          <w:highlight w:val="none"/>
          <w14:textFill>
            <w14:solidFill>
              <w14:schemeClr w14:val="tx1"/>
            </w14:solidFill>
          </w14:textFill>
        </w:rPr>
        <w:t>4</w:t>
      </w:r>
      <w:r>
        <w:rPr>
          <w:rFonts w:ascii="宋体" w:hAnsi="宋体" w:cs="宋体"/>
          <w:color w:val="000000" w:themeColor="text1"/>
          <w:spacing w:val="1"/>
          <w:sz w:val="24"/>
          <w:szCs w:val="24"/>
          <w:highlight w:val="none"/>
          <w14:textFill>
            <w14:solidFill>
              <w14:schemeClr w14:val="tx1"/>
            </w14:solidFill>
          </w14:textFill>
        </w:rPr>
        <w:t>）承包人发生第</w:t>
      </w:r>
      <w:r>
        <w:rPr>
          <w:rFonts w:ascii="宋体" w:hAnsi="宋体" w:cs="宋体"/>
          <w:color w:val="000000" w:themeColor="text1"/>
          <w:spacing w:val="-40"/>
          <w:sz w:val="24"/>
          <w:szCs w:val="24"/>
          <w:highlight w:val="none"/>
          <w14:textFill>
            <w14:solidFill>
              <w14:schemeClr w14:val="tx1"/>
            </w14:solidFill>
          </w14:textFill>
        </w:rPr>
        <w:t xml:space="preserve"> </w:t>
      </w:r>
      <w:r>
        <w:rPr>
          <w:rFonts w:eastAsia="Times New Roman"/>
          <w:color w:val="000000" w:themeColor="text1"/>
          <w:spacing w:val="1"/>
          <w:sz w:val="24"/>
          <w:szCs w:val="24"/>
          <w:highlight w:val="none"/>
          <w14:textFill>
            <w14:solidFill>
              <w14:schemeClr w14:val="tx1"/>
            </w14:solidFill>
          </w14:textFill>
        </w:rPr>
        <w:t>22.1.1</w:t>
      </w:r>
      <w:r>
        <w:rPr>
          <w:rFonts w:eastAsia="Times New Roman"/>
          <w:color w:val="000000" w:themeColor="text1"/>
          <w:spacing w:val="18"/>
          <w:sz w:val="24"/>
          <w:szCs w:val="24"/>
          <w:highlight w:val="none"/>
          <w14:textFill>
            <w14:solidFill>
              <w14:schemeClr w14:val="tx1"/>
            </w14:solidFill>
          </w14:textFill>
        </w:rPr>
        <w:t xml:space="preserve"> </w:t>
      </w:r>
      <w:r>
        <w:rPr>
          <w:rFonts w:ascii="宋体" w:hAnsi="宋体" w:cs="宋体"/>
          <w:color w:val="000000" w:themeColor="text1"/>
          <w:spacing w:val="1"/>
          <w:sz w:val="24"/>
          <w:szCs w:val="24"/>
          <w:highlight w:val="none"/>
          <w14:textFill>
            <w14:solidFill>
              <w14:schemeClr w14:val="tx1"/>
            </w14:solidFill>
          </w14:textFill>
        </w:rPr>
        <w:t>项约定的违约情况时，无论发包人是否解除合同，</w:t>
      </w:r>
      <w:r>
        <w:rPr>
          <w:rFonts w:ascii="宋体" w:hAnsi="宋体" w:cs="宋体"/>
          <w:color w:val="000000" w:themeColor="text1"/>
          <w:spacing w:val="-1"/>
          <w:sz w:val="24"/>
          <w:szCs w:val="24"/>
          <w:highlight w:val="none"/>
          <w14:textFill>
            <w14:solidFill>
              <w14:schemeClr w14:val="tx1"/>
            </w14:solidFill>
          </w14:textFill>
        </w:rPr>
        <w:t>发包人均有权向承包人课以专用合同条款约定的违约金。</w:t>
      </w:r>
    </w:p>
    <w:p w14:paraId="2DD8B329">
      <w:pPr>
        <w:spacing w:before="114" w:line="219" w:lineRule="auto"/>
        <w:ind w:left="480"/>
        <w:rPr>
          <w:rFonts w:ascii="宋体" w:hAnsi="宋体" w:cs="宋体"/>
          <w:color w:val="000000" w:themeColor="text1"/>
          <w:sz w:val="24"/>
          <w:szCs w:val="24"/>
          <w:highlight w:val="none"/>
          <w14:textFill>
            <w14:solidFill>
              <w14:schemeClr w14:val="tx1"/>
            </w14:solidFill>
          </w14:textFill>
        </w:rPr>
      </w:pPr>
      <w:r>
        <w:rPr>
          <w:rFonts w:eastAsia="Times New Roman"/>
          <w:color w:val="000000" w:themeColor="text1"/>
          <w:spacing w:val="-1"/>
          <w:sz w:val="24"/>
          <w:szCs w:val="24"/>
          <w:highlight w:val="none"/>
          <w14:textFill>
            <w14:solidFill>
              <w14:schemeClr w14:val="tx1"/>
            </w14:solidFill>
          </w14:textFill>
        </w:rPr>
        <w:t xml:space="preserve">22.1.3  </w:t>
      </w:r>
      <w:r>
        <w:rPr>
          <w:rFonts w:ascii="宋体" w:hAnsi="宋体" w:cs="宋体"/>
          <w:color w:val="000000" w:themeColor="text1"/>
          <w:spacing w:val="-1"/>
          <w:sz w:val="24"/>
          <w:szCs w:val="24"/>
          <w:highlight w:val="none"/>
          <w14:textFill>
            <w14:solidFill>
              <w14:schemeClr w14:val="tx1"/>
            </w14:solidFill>
          </w14:textFill>
        </w:rPr>
        <w:t>承包人违约解除合同</w:t>
      </w:r>
    </w:p>
    <w:p w14:paraId="1C7BFB71">
      <w:pPr>
        <w:spacing w:before="113" w:line="308" w:lineRule="auto"/>
        <w:ind w:left="4" w:firstLine="489"/>
        <w:rPr>
          <w:rFonts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pacing w:val="2"/>
          <w:sz w:val="24"/>
          <w:szCs w:val="24"/>
          <w:highlight w:val="none"/>
          <w14:textFill>
            <w14:solidFill>
              <w14:schemeClr w14:val="tx1"/>
            </w14:solidFill>
          </w14:textFill>
        </w:rPr>
        <w:t>咨询人发出整改通知后</w:t>
      </w:r>
      <w:r>
        <w:rPr>
          <w:rFonts w:eastAsia="Times New Roman"/>
          <w:color w:val="000000" w:themeColor="text1"/>
          <w:spacing w:val="2"/>
          <w:sz w:val="24"/>
          <w:szCs w:val="24"/>
          <w:highlight w:val="none"/>
          <w14:textFill>
            <w14:solidFill>
              <w14:schemeClr w14:val="tx1"/>
            </w14:solidFill>
          </w14:textFill>
        </w:rPr>
        <w:t>14</w:t>
      </w:r>
      <w:r>
        <w:rPr>
          <w:rFonts w:ascii="宋体" w:hAnsi="宋体" w:cs="宋体"/>
          <w:color w:val="000000" w:themeColor="text1"/>
          <w:spacing w:val="2"/>
          <w:sz w:val="24"/>
          <w:szCs w:val="24"/>
          <w:highlight w:val="none"/>
          <w14:textFill>
            <w14:solidFill>
              <w14:schemeClr w14:val="tx1"/>
            </w14:solidFill>
          </w14:textFill>
        </w:rPr>
        <w:t>天内，承包人仍不纠正违约行为的，发包人可向承</w:t>
      </w:r>
      <w:r>
        <w:rPr>
          <w:rFonts w:ascii="宋体" w:hAnsi="宋体" w:cs="宋体"/>
          <w:color w:val="000000" w:themeColor="text1"/>
          <w:spacing w:val="1"/>
          <w:sz w:val="24"/>
          <w:szCs w:val="24"/>
          <w:highlight w:val="none"/>
          <w14:textFill>
            <w14:solidFill>
              <w14:schemeClr w14:val="tx1"/>
            </w14:solidFill>
          </w14:textFill>
        </w:rPr>
        <w:t>包人发出解除合同通知。合同解除后，发包人可派员进驻</w:t>
      </w:r>
      <w:r>
        <w:rPr>
          <w:rFonts w:ascii="宋体" w:hAnsi="宋体" w:cs="宋体"/>
          <w:color w:val="000000" w:themeColor="text1"/>
          <w:sz w:val="24"/>
          <w:szCs w:val="24"/>
          <w:highlight w:val="none"/>
          <w14:textFill>
            <w14:solidFill>
              <w14:schemeClr w14:val="tx1"/>
            </w14:solidFill>
          </w14:textFill>
        </w:rPr>
        <w:t>养护作业场地，另行组织</w:t>
      </w:r>
      <w:r>
        <w:rPr>
          <w:rFonts w:ascii="宋体" w:hAnsi="宋体" w:cs="宋体"/>
          <w:color w:val="000000" w:themeColor="text1"/>
          <w:spacing w:val="1"/>
          <w:sz w:val="24"/>
          <w:szCs w:val="24"/>
          <w:highlight w:val="none"/>
          <w14:textFill>
            <w14:solidFill>
              <w14:schemeClr w14:val="tx1"/>
            </w14:solidFill>
          </w14:textFill>
        </w:rPr>
        <w:t>人员或委托其他承包人实施养护作业。发包人因继续完成</w:t>
      </w:r>
      <w:r>
        <w:rPr>
          <w:rFonts w:ascii="宋体" w:hAnsi="宋体" w:cs="宋体"/>
          <w:color w:val="000000" w:themeColor="text1"/>
          <w:sz w:val="24"/>
          <w:szCs w:val="24"/>
          <w:highlight w:val="none"/>
          <w14:textFill>
            <w14:solidFill>
              <w14:schemeClr w14:val="tx1"/>
            </w14:solidFill>
          </w14:textFill>
        </w:rPr>
        <w:t>该养护项目的需要，有权</w:t>
      </w:r>
      <w:r>
        <w:rPr>
          <w:rFonts w:ascii="宋体" w:hAnsi="宋体" w:cs="宋体"/>
          <w:color w:val="000000" w:themeColor="text1"/>
          <w:spacing w:val="1"/>
          <w:sz w:val="24"/>
          <w:szCs w:val="24"/>
          <w:highlight w:val="none"/>
          <w14:textFill>
            <w14:solidFill>
              <w14:schemeClr w14:val="tx1"/>
            </w14:solidFill>
          </w14:textFill>
        </w:rPr>
        <w:t>扣留使用承包人在现场的材料、设备和临时设施。但发包</w:t>
      </w:r>
      <w:r>
        <w:rPr>
          <w:rFonts w:ascii="宋体" w:hAnsi="宋体" w:cs="宋体"/>
          <w:color w:val="000000" w:themeColor="text1"/>
          <w:sz w:val="24"/>
          <w:szCs w:val="24"/>
          <w:highlight w:val="none"/>
          <w14:textFill>
            <w14:solidFill>
              <w14:schemeClr w14:val="tx1"/>
            </w14:solidFill>
          </w14:textFill>
        </w:rPr>
        <w:t>人的这一行动不免除承包人应承担的违约责任，也不影响发包人根据合</w:t>
      </w:r>
      <w:r>
        <w:rPr>
          <w:rFonts w:ascii="宋体" w:hAnsi="宋体" w:cs="宋体"/>
          <w:color w:val="000000" w:themeColor="text1"/>
          <w:spacing w:val="-1"/>
          <w:sz w:val="24"/>
          <w:szCs w:val="24"/>
          <w:highlight w:val="none"/>
          <w14:textFill>
            <w14:solidFill>
              <w14:schemeClr w14:val="tx1"/>
            </w14:solidFill>
          </w14:textFill>
        </w:rPr>
        <w:t>同约定享有的索赔权利。</w:t>
      </w:r>
    </w:p>
    <w:p w14:paraId="1EFA0735">
      <w:pPr>
        <w:spacing w:before="1" w:line="217" w:lineRule="auto"/>
        <w:ind w:left="480"/>
        <w:rPr>
          <w:rFonts w:ascii="宋体" w:hAnsi="宋体" w:cs="宋体"/>
          <w:color w:val="000000" w:themeColor="text1"/>
          <w:sz w:val="24"/>
          <w:szCs w:val="24"/>
          <w:highlight w:val="none"/>
          <w14:textFill>
            <w14:solidFill>
              <w14:schemeClr w14:val="tx1"/>
            </w14:solidFill>
          </w14:textFill>
        </w:rPr>
      </w:pPr>
      <w:r>
        <w:rPr>
          <w:rFonts w:eastAsia="Times New Roman"/>
          <w:color w:val="000000" w:themeColor="text1"/>
          <w:spacing w:val="-1"/>
          <w:sz w:val="24"/>
          <w:szCs w:val="24"/>
          <w:highlight w:val="none"/>
          <w14:textFill>
            <w14:solidFill>
              <w14:schemeClr w14:val="tx1"/>
            </w14:solidFill>
          </w14:textFill>
        </w:rPr>
        <w:t xml:space="preserve">22.1.4  </w:t>
      </w:r>
      <w:r>
        <w:rPr>
          <w:rFonts w:ascii="宋体" w:hAnsi="宋体" w:cs="宋体"/>
          <w:color w:val="000000" w:themeColor="text1"/>
          <w:spacing w:val="-1"/>
          <w:sz w:val="24"/>
          <w:szCs w:val="24"/>
          <w:highlight w:val="none"/>
          <w14:textFill>
            <w14:solidFill>
              <w14:schemeClr w14:val="tx1"/>
            </w14:solidFill>
          </w14:textFill>
        </w:rPr>
        <w:t>合同解除后的估价、付款和结清</w:t>
      </w:r>
    </w:p>
    <w:p w14:paraId="787E5FD0">
      <w:pPr>
        <w:spacing w:before="118" w:line="263" w:lineRule="auto"/>
        <w:ind w:left="31" w:right="34" w:firstLine="464"/>
        <w:rPr>
          <w:rFonts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pacing w:val="-2"/>
          <w:sz w:val="24"/>
          <w:szCs w:val="24"/>
          <w:highlight w:val="none"/>
          <w14:textFill>
            <w14:solidFill>
              <w14:schemeClr w14:val="tx1"/>
            </w14:solidFill>
          </w14:textFill>
        </w:rPr>
        <w:t>（</w:t>
      </w:r>
      <w:r>
        <w:rPr>
          <w:rFonts w:eastAsia="Times New Roman"/>
          <w:color w:val="000000" w:themeColor="text1"/>
          <w:spacing w:val="-2"/>
          <w:sz w:val="24"/>
          <w:szCs w:val="24"/>
          <w:highlight w:val="none"/>
          <w14:textFill>
            <w14:solidFill>
              <w14:schemeClr w14:val="tx1"/>
            </w14:solidFill>
          </w14:textFill>
        </w:rPr>
        <w:t>1</w:t>
      </w:r>
      <w:r>
        <w:rPr>
          <w:rFonts w:ascii="宋体" w:hAnsi="宋体" w:cs="宋体"/>
          <w:color w:val="000000" w:themeColor="text1"/>
          <w:spacing w:val="-2"/>
          <w:sz w:val="24"/>
          <w:szCs w:val="24"/>
          <w:highlight w:val="none"/>
          <w14:textFill>
            <w14:solidFill>
              <w14:schemeClr w14:val="tx1"/>
            </w14:solidFill>
          </w14:textFill>
        </w:rPr>
        <w:t>）合同解除后，咨询人按第</w:t>
      </w:r>
      <w:r>
        <w:rPr>
          <w:rFonts w:ascii="宋体" w:hAnsi="宋体" w:cs="宋体"/>
          <w:color w:val="000000" w:themeColor="text1"/>
          <w:spacing w:val="-50"/>
          <w:sz w:val="24"/>
          <w:szCs w:val="24"/>
          <w:highlight w:val="none"/>
          <w14:textFill>
            <w14:solidFill>
              <w14:schemeClr w14:val="tx1"/>
            </w14:solidFill>
          </w14:textFill>
        </w:rPr>
        <w:t xml:space="preserve"> </w:t>
      </w:r>
      <w:r>
        <w:rPr>
          <w:rFonts w:eastAsia="Times New Roman"/>
          <w:color w:val="000000" w:themeColor="text1"/>
          <w:spacing w:val="-2"/>
          <w:sz w:val="24"/>
          <w:szCs w:val="24"/>
          <w:highlight w:val="none"/>
          <w14:textFill>
            <w14:solidFill>
              <w14:schemeClr w14:val="tx1"/>
            </w14:solidFill>
          </w14:textFill>
        </w:rPr>
        <w:t xml:space="preserve">3.5 </w:t>
      </w:r>
      <w:r>
        <w:rPr>
          <w:rFonts w:ascii="宋体" w:hAnsi="宋体" w:cs="宋体"/>
          <w:color w:val="000000" w:themeColor="text1"/>
          <w:spacing w:val="-2"/>
          <w:sz w:val="24"/>
          <w:szCs w:val="24"/>
          <w:highlight w:val="none"/>
          <w14:textFill>
            <w14:solidFill>
              <w14:schemeClr w14:val="tx1"/>
            </w14:solidFill>
          </w14:textFill>
        </w:rPr>
        <w:t>款商</w:t>
      </w:r>
      <w:r>
        <w:rPr>
          <w:rFonts w:ascii="宋体" w:hAnsi="宋体" w:cs="宋体"/>
          <w:color w:val="000000" w:themeColor="text1"/>
          <w:spacing w:val="-3"/>
          <w:sz w:val="24"/>
          <w:szCs w:val="24"/>
          <w:highlight w:val="none"/>
          <w14:textFill>
            <w14:solidFill>
              <w14:schemeClr w14:val="tx1"/>
            </w14:solidFill>
          </w14:textFill>
        </w:rPr>
        <w:t>定或确定承包人实际完成工作的价值，</w:t>
      </w:r>
      <w:r>
        <w:rPr>
          <w:rFonts w:ascii="宋体" w:hAnsi="宋体" w:cs="宋体"/>
          <w:color w:val="000000" w:themeColor="text1"/>
          <w:spacing w:val="-2"/>
          <w:sz w:val="24"/>
          <w:szCs w:val="24"/>
          <w:highlight w:val="none"/>
          <w14:textFill>
            <w14:solidFill>
              <w14:schemeClr w14:val="tx1"/>
            </w14:solidFill>
          </w14:textFill>
        </w:rPr>
        <w:t>以及承包人已提供的材料、养护作业设备和工程设备等的价值。</w:t>
      </w:r>
    </w:p>
    <w:p w14:paraId="470E74C2">
      <w:pPr>
        <w:spacing w:before="114" w:line="264" w:lineRule="auto"/>
        <w:ind w:left="5" w:firstLine="490"/>
        <w:rPr>
          <w:rFonts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pacing w:val="4"/>
          <w:sz w:val="24"/>
          <w:szCs w:val="24"/>
          <w:highlight w:val="none"/>
          <w14:textFill>
            <w14:solidFill>
              <w14:schemeClr w14:val="tx1"/>
            </w14:solidFill>
          </w14:textFill>
        </w:rPr>
        <w:t>（</w:t>
      </w:r>
      <w:r>
        <w:rPr>
          <w:rFonts w:eastAsia="Times New Roman"/>
          <w:color w:val="000000" w:themeColor="text1"/>
          <w:spacing w:val="4"/>
          <w:sz w:val="24"/>
          <w:szCs w:val="24"/>
          <w:highlight w:val="none"/>
          <w14:textFill>
            <w14:solidFill>
              <w14:schemeClr w14:val="tx1"/>
            </w14:solidFill>
          </w14:textFill>
        </w:rPr>
        <w:t>2</w:t>
      </w:r>
      <w:r>
        <w:rPr>
          <w:rFonts w:ascii="宋体" w:hAnsi="宋体" w:cs="宋体"/>
          <w:color w:val="000000" w:themeColor="text1"/>
          <w:spacing w:val="4"/>
          <w:sz w:val="24"/>
          <w:szCs w:val="24"/>
          <w:highlight w:val="none"/>
          <w14:textFill>
            <w14:solidFill>
              <w14:schemeClr w14:val="tx1"/>
            </w14:solidFill>
          </w14:textFill>
        </w:rPr>
        <w:t>）合同解除后，发包人应暂停对承包人的一切付款，查清各项付款和</w:t>
      </w:r>
      <w:r>
        <w:rPr>
          <w:rFonts w:ascii="宋体" w:hAnsi="宋体" w:cs="宋体"/>
          <w:color w:val="000000" w:themeColor="text1"/>
          <w:spacing w:val="3"/>
          <w:sz w:val="24"/>
          <w:szCs w:val="24"/>
          <w:highlight w:val="none"/>
          <w14:textFill>
            <w14:solidFill>
              <w14:schemeClr w14:val="tx1"/>
            </w14:solidFill>
          </w14:textFill>
        </w:rPr>
        <w:t>已扣</w:t>
      </w:r>
      <w:r>
        <w:rPr>
          <w:rFonts w:ascii="宋体" w:hAnsi="宋体" w:cs="宋体"/>
          <w:color w:val="000000" w:themeColor="text1"/>
          <w:spacing w:val="-1"/>
          <w:sz w:val="24"/>
          <w:szCs w:val="24"/>
          <w:highlight w:val="none"/>
          <w14:textFill>
            <w14:solidFill>
              <w14:schemeClr w14:val="tx1"/>
            </w14:solidFill>
          </w14:textFill>
        </w:rPr>
        <w:t>款金额，包括承包人应支付的违约金。</w:t>
      </w:r>
    </w:p>
    <w:p w14:paraId="3379AD75">
      <w:pPr>
        <w:spacing w:before="117" w:line="263" w:lineRule="auto"/>
        <w:ind w:left="8" w:firstLine="487"/>
        <w:rPr>
          <w:rFonts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pacing w:val="2"/>
          <w:sz w:val="24"/>
          <w:szCs w:val="24"/>
          <w:highlight w:val="none"/>
          <w14:textFill>
            <w14:solidFill>
              <w14:schemeClr w14:val="tx1"/>
            </w14:solidFill>
          </w14:textFill>
        </w:rPr>
        <w:t>（</w:t>
      </w:r>
      <w:r>
        <w:rPr>
          <w:rFonts w:eastAsia="Times New Roman"/>
          <w:color w:val="000000" w:themeColor="text1"/>
          <w:spacing w:val="2"/>
          <w:sz w:val="24"/>
          <w:szCs w:val="24"/>
          <w:highlight w:val="none"/>
          <w14:textFill>
            <w14:solidFill>
              <w14:schemeClr w14:val="tx1"/>
            </w14:solidFill>
          </w14:textFill>
        </w:rPr>
        <w:t>3</w:t>
      </w:r>
      <w:r>
        <w:rPr>
          <w:rFonts w:ascii="宋体" w:hAnsi="宋体" w:cs="宋体"/>
          <w:color w:val="000000" w:themeColor="text1"/>
          <w:spacing w:val="2"/>
          <w:sz w:val="24"/>
          <w:szCs w:val="24"/>
          <w:highlight w:val="none"/>
          <w14:textFill>
            <w14:solidFill>
              <w14:schemeClr w14:val="tx1"/>
            </w14:solidFill>
          </w14:textFill>
        </w:rPr>
        <w:t>）合同解除后，发包人应按第</w:t>
      </w:r>
      <w:r>
        <w:rPr>
          <w:rFonts w:ascii="宋体" w:hAnsi="宋体" w:cs="宋体"/>
          <w:color w:val="000000" w:themeColor="text1"/>
          <w:spacing w:val="-52"/>
          <w:sz w:val="24"/>
          <w:szCs w:val="24"/>
          <w:highlight w:val="none"/>
          <w14:textFill>
            <w14:solidFill>
              <w14:schemeClr w14:val="tx1"/>
            </w14:solidFill>
          </w14:textFill>
        </w:rPr>
        <w:t xml:space="preserve"> </w:t>
      </w:r>
      <w:r>
        <w:rPr>
          <w:rFonts w:eastAsia="Times New Roman"/>
          <w:color w:val="000000" w:themeColor="text1"/>
          <w:spacing w:val="2"/>
          <w:sz w:val="24"/>
          <w:szCs w:val="24"/>
          <w:highlight w:val="none"/>
          <w14:textFill>
            <w14:solidFill>
              <w14:schemeClr w14:val="tx1"/>
            </w14:solidFill>
          </w14:textFill>
        </w:rPr>
        <w:t xml:space="preserve">23.4 </w:t>
      </w:r>
      <w:r>
        <w:rPr>
          <w:rFonts w:ascii="宋体" w:hAnsi="宋体" w:cs="宋体"/>
          <w:color w:val="000000" w:themeColor="text1"/>
          <w:spacing w:val="2"/>
          <w:sz w:val="24"/>
          <w:szCs w:val="24"/>
          <w:highlight w:val="none"/>
          <w14:textFill>
            <w14:solidFill>
              <w14:schemeClr w14:val="tx1"/>
            </w14:solidFill>
          </w14:textFill>
        </w:rPr>
        <w:t>款的约定向承包人索</w:t>
      </w:r>
      <w:r>
        <w:rPr>
          <w:rFonts w:ascii="宋体" w:hAnsi="宋体" w:cs="宋体"/>
          <w:color w:val="000000" w:themeColor="text1"/>
          <w:spacing w:val="1"/>
          <w:sz w:val="24"/>
          <w:szCs w:val="24"/>
          <w:highlight w:val="none"/>
          <w14:textFill>
            <w14:solidFill>
              <w14:schemeClr w14:val="tx1"/>
            </w14:solidFill>
          </w14:textFill>
        </w:rPr>
        <w:t>赔由于解除合同给</w:t>
      </w:r>
      <w:r>
        <w:rPr>
          <w:rFonts w:ascii="宋体" w:hAnsi="宋体" w:cs="宋体"/>
          <w:color w:val="000000" w:themeColor="text1"/>
          <w:spacing w:val="-2"/>
          <w:sz w:val="24"/>
          <w:szCs w:val="24"/>
          <w:highlight w:val="none"/>
          <w14:textFill>
            <w14:solidFill>
              <w14:schemeClr w14:val="tx1"/>
            </w14:solidFill>
          </w14:textFill>
        </w:rPr>
        <w:t>发包人造成的损失。</w:t>
      </w:r>
    </w:p>
    <w:p w14:paraId="7FF0D8FD">
      <w:pPr>
        <w:spacing w:before="115" w:line="264" w:lineRule="auto"/>
        <w:ind w:left="5" w:firstLine="490"/>
        <w:rPr>
          <w:rFonts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pacing w:val="4"/>
          <w:sz w:val="24"/>
          <w:szCs w:val="24"/>
          <w:highlight w:val="none"/>
          <w14:textFill>
            <w14:solidFill>
              <w14:schemeClr w14:val="tx1"/>
            </w14:solidFill>
          </w14:textFill>
        </w:rPr>
        <w:t>（</w:t>
      </w:r>
      <w:r>
        <w:rPr>
          <w:rFonts w:eastAsia="Times New Roman"/>
          <w:color w:val="000000" w:themeColor="text1"/>
          <w:spacing w:val="4"/>
          <w:sz w:val="24"/>
          <w:szCs w:val="24"/>
          <w:highlight w:val="none"/>
          <w14:textFill>
            <w14:solidFill>
              <w14:schemeClr w14:val="tx1"/>
            </w14:solidFill>
          </w14:textFill>
        </w:rPr>
        <w:t>4</w:t>
      </w:r>
      <w:r>
        <w:rPr>
          <w:rFonts w:ascii="宋体" w:hAnsi="宋体" w:cs="宋体"/>
          <w:color w:val="000000" w:themeColor="text1"/>
          <w:spacing w:val="4"/>
          <w:sz w:val="24"/>
          <w:szCs w:val="24"/>
          <w:highlight w:val="none"/>
          <w14:textFill>
            <w14:solidFill>
              <w14:schemeClr w14:val="tx1"/>
            </w14:solidFill>
          </w14:textFill>
        </w:rPr>
        <w:t>）合同双方确认上述往来款项后，出具最终结清付款证书，结清全部</w:t>
      </w:r>
      <w:r>
        <w:rPr>
          <w:rFonts w:ascii="宋体" w:hAnsi="宋体" w:cs="宋体"/>
          <w:color w:val="000000" w:themeColor="text1"/>
          <w:spacing w:val="3"/>
          <w:sz w:val="24"/>
          <w:szCs w:val="24"/>
          <w:highlight w:val="none"/>
          <w14:textFill>
            <w14:solidFill>
              <w14:schemeClr w14:val="tx1"/>
            </w14:solidFill>
          </w14:textFill>
        </w:rPr>
        <w:t>合同</w:t>
      </w:r>
      <w:r>
        <w:rPr>
          <w:rFonts w:ascii="宋体" w:hAnsi="宋体" w:cs="宋体"/>
          <w:color w:val="000000" w:themeColor="text1"/>
          <w:spacing w:val="-4"/>
          <w:sz w:val="24"/>
          <w:szCs w:val="24"/>
          <w:highlight w:val="none"/>
          <w14:textFill>
            <w14:solidFill>
              <w14:schemeClr w14:val="tx1"/>
            </w14:solidFill>
          </w14:textFill>
        </w:rPr>
        <w:t>款项。</w:t>
      </w:r>
    </w:p>
    <w:p w14:paraId="2B88A737">
      <w:pPr>
        <w:spacing w:before="112" w:line="264" w:lineRule="auto"/>
        <w:ind w:right="2" w:firstLine="495"/>
        <w:rPr>
          <w:rFonts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pacing w:val="4"/>
          <w:sz w:val="24"/>
          <w:szCs w:val="24"/>
          <w:highlight w:val="none"/>
          <w14:textFill>
            <w14:solidFill>
              <w14:schemeClr w14:val="tx1"/>
            </w14:solidFill>
          </w14:textFill>
        </w:rPr>
        <w:t>（</w:t>
      </w:r>
      <w:r>
        <w:rPr>
          <w:rFonts w:eastAsia="Times New Roman"/>
          <w:color w:val="000000" w:themeColor="text1"/>
          <w:spacing w:val="4"/>
          <w:sz w:val="24"/>
          <w:szCs w:val="24"/>
          <w:highlight w:val="none"/>
          <w14:textFill>
            <w14:solidFill>
              <w14:schemeClr w14:val="tx1"/>
            </w14:solidFill>
          </w14:textFill>
        </w:rPr>
        <w:t>5</w:t>
      </w:r>
      <w:r>
        <w:rPr>
          <w:rFonts w:ascii="宋体" w:hAnsi="宋体" w:cs="宋体"/>
          <w:color w:val="000000" w:themeColor="text1"/>
          <w:spacing w:val="4"/>
          <w:sz w:val="24"/>
          <w:szCs w:val="24"/>
          <w:highlight w:val="none"/>
          <w14:textFill>
            <w14:solidFill>
              <w14:schemeClr w14:val="tx1"/>
            </w14:solidFill>
          </w14:textFill>
        </w:rPr>
        <w:t>）发包人和承包人未能就解除合同后的结清达成一致而形成争</w:t>
      </w:r>
      <w:r>
        <w:rPr>
          <w:rFonts w:ascii="宋体" w:hAnsi="宋体" w:cs="宋体"/>
          <w:color w:val="000000" w:themeColor="text1"/>
          <w:spacing w:val="3"/>
          <w:sz w:val="24"/>
          <w:szCs w:val="24"/>
          <w:highlight w:val="none"/>
          <w14:textFill>
            <w14:solidFill>
              <w14:schemeClr w14:val="tx1"/>
            </w14:solidFill>
          </w14:textFill>
        </w:rPr>
        <w:t>议的，按第</w:t>
      </w:r>
      <w:r>
        <w:rPr>
          <w:rFonts w:eastAsia="Times New Roman"/>
          <w:color w:val="000000" w:themeColor="text1"/>
          <w:spacing w:val="-1"/>
          <w:sz w:val="24"/>
          <w:szCs w:val="24"/>
          <w:highlight w:val="none"/>
          <w14:textFill>
            <w14:solidFill>
              <w14:schemeClr w14:val="tx1"/>
            </w14:solidFill>
          </w14:textFill>
        </w:rPr>
        <w:t xml:space="preserve">24 </w:t>
      </w:r>
      <w:r>
        <w:rPr>
          <w:rFonts w:ascii="宋体" w:hAnsi="宋体" w:cs="宋体"/>
          <w:color w:val="000000" w:themeColor="text1"/>
          <w:spacing w:val="-1"/>
          <w:sz w:val="24"/>
          <w:szCs w:val="24"/>
          <w:highlight w:val="none"/>
          <w14:textFill>
            <w14:solidFill>
              <w14:schemeClr w14:val="tx1"/>
            </w14:solidFill>
          </w14:textFill>
        </w:rPr>
        <w:t>条的约定办理。</w:t>
      </w:r>
    </w:p>
    <w:p w14:paraId="58326E2C">
      <w:pPr>
        <w:spacing w:before="115" w:line="220" w:lineRule="auto"/>
        <w:ind w:left="480"/>
        <w:rPr>
          <w:rFonts w:ascii="宋体" w:hAnsi="宋体" w:cs="宋体"/>
          <w:color w:val="000000" w:themeColor="text1"/>
          <w:sz w:val="24"/>
          <w:szCs w:val="24"/>
          <w:highlight w:val="none"/>
          <w14:textFill>
            <w14:solidFill>
              <w14:schemeClr w14:val="tx1"/>
            </w14:solidFill>
          </w14:textFill>
        </w:rPr>
      </w:pPr>
      <w:r>
        <w:rPr>
          <w:rFonts w:eastAsia="Times New Roman"/>
          <w:color w:val="000000" w:themeColor="text1"/>
          <w:spacing w:val="-1"/>
          <w:sz w:val="24"/>
          <w:szCs w:val="24"/>
          <w:highlight w:val="none"/>
          <w14:textFill>
            <w14:solidFill>
              <w14:schemeClr w14:val="tx1"/>
            </w14:solidFill>
          </w14:textFill>
        </w:rPr>
        <w:t xml:space="preserve">22.1.5  </w:t>
      </w:r>
      <w:r>
        <w:rPr>
          <w:rFonts w:ascii="宋体" w:hAnsi="宋体" w:cs="宋体"/>
          <w:color w:val="000000" w:themeColor="text1"/>
          <w:spacing w:val="-1"/>
          <w:sz w:val="24"/>
          <w:szCs w:val="24"/>
          <w:highlight w:val="none"/>
          <w14:textFill>
            <w14:solidFill>
              <w14:schemeClr w14:val="tx1"/>
            </w14:solidFill>
          </w14:textFill>
        </w:rPr>
        <w:t>协议利益的转让</w:t>
      </w:r>
    </w:p>
    <w:p w14:paraId="1D04B16C">
      <w:pPr>
        <w:spacing w:before="113" w:line="310" w:lineRule="auto"/>
        <w:ind w:left="4" w:firstLine="498"/>
        <w:rPr>
          <w:color w:val="000000" w:themeColor="text1"/>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因承包人违约解除合同的，发包人有权要求承包人将其为实施合同而签订的材</w:t>
      </w:r>
      <w:r>
        <w:rPr>
          <w:rFonts w:ascii="宋体" w:hAnsi="宋体" w:cs="宋体"/>
          <w:color w:val="000000" w:themeColor="text1"/>
          <w:spacing w:val="2"/>
          <w:sz w:val="24"/>
          <w:szCs w:val="24"/>
          <w:highlight w:val="none"/>
          <w14:textFill>
            <w14:solidFill>
              <w14:schemeClr w14:val="tx1"/>
            </w14:solidFill>
          </w14:textFill>
        </w:rPr>
        <w:t>料和设备的订货协议或任何服务协议利益转让给发包人，并在解除合同后的</w:t>
      </w:r>
      <w:r>
        <w:rPr>
          <w:rFonts w:eastAsia="Times New Roman"/>
          <w:color w:val="000000" w:themeColor="text1"/>
          <w:spacing w:val="2"/>
          <w:sz w:val="24"/>
          <w:szCs w:val="24"/>
          <w:highlight w:val="none"/>
          <w14:textFill>
            <w14:solidFill>
              <w14:schemeClr w14:val="tx1"/>
            </w14:solidFill>
          </w14:textFill>
        </w:rPr>
        <w:t xml:space="preserve">7 </w:t>
      </w:r>
      <w:r>
        <w:rPr>
          <w:rFonts w:ascii="宋体" w:hAnsi="宋体" w:cs="宋体"/>
          <w:color w:val="000000" w:themeColor="text1"/>
          <w:spacing w:val="2"/>
          <w:sz w:val="24"/>
          <w:szCs w:val="24"/>
          <w:highlight w:val="none"/>
          <w14:textFill>
            <w14:solidFill>
              <w14:schemeClr w14:val="tx1"/>
            </w14:solidFill>
          </w14:textFill>
        </w:rPr>
        <w:t>天内</w:t>
      </w:r>
    </w:p>
    <w:p w14:paraId="5718530E">
      <w:pPr>
        <w:spacing w:before="78" w:line="219" w:lineRule="auto"/>
        <w:ind w:left="2"/>
        <w:rPr>
          <w:rFonts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pacing w:val="-2"/>
          <w:sz w:val="24"/>
          <w:szCs w:val="24"/>
          <w:highlight w:val="none"/>
          <w14:textFill>
            <w14:solidFill>
              <w14:schemeClr w14:val="tx1"/>
            </w14:solidFill>
          </w14:textFill>
        </w:rPr>
        <w:t>依法办理转让手续。</w:t>
      </w:r>
    </w:p>
    <w:p w14:paraId="704B6DDC">
      <w:pPr>
        <w:spacing w:before="117" w:line="219" w:lineRule="auto"/>
        <w:ind w:left="476"/>
        <w:rPr>
          <w:rFonts w:ascii="宋体" w:hAnsi="宋体" w:cs="宋体"/>
          <w:color w:val="000000" w:themeColor="text1"/>
          <w:sz w:val="24"/>
          <w:szCs w:val="24"/>
          <w:highlight w:val="none"/>
          <w14:textFill>
            <w14:solidFill>
              <w14:schemeClr w14:val="tx1"/>
            </w14:solidFill>
          </w14:textFill>
        </w:rPr>
      </w:pPr>
      <w:r>
        <w:rPr>
          <w:rFonts w:eastAsia="Times New Roman"/>
          <w:color w:val="000000" w:themeColor="text1"/>
          <w:spacing w:val="-1"/>
          <w:sz w:val="24"/>
          <w:szCs w:val="24"/>
          <w:highlight w:val="none"/>
          <w14:textFill>
            <w14:solidFill>
              <w14:schemeClr w14:val="tx1"/>
            </w14:solidFill>
          </w14:textFill>
        </w:rPr>
        <w:t xml:space="preserve">22.1.6  </w:t>
      </w:r>
      <w:r>
        <w:rPr>
          <w:rFonts w:ascii="宋体" w:hAnsi="宋体" w:cs="宋体"/>
          <w:color w:val="000000" w:themeColor="text1"/>
          <w:spacing w:val="-1"/>
          <w:sz w:val="24"/>
          <w:szCs w:val="24"/>
          <w:highlight w:val="none"/>
          <w14:textFill>
            <w14:solidFill>
              <w14:schemeClr w14:val="tx1"/>
            </w14:solidFill>
          </w14:textFill>
        </w:rPr>
        <w:t>紧急情况下无能力或不愿进行抢救</w:t>
      </w:r>
    </w:p>
    <w:p w14:paraId="28B791C8">
      <w:pPr>
        <w:spacing w:before="113" w:line="306" w:lineRule="auto"/>
        <w:ind w:left="3" w:right="145" w:firstLine="476"/>
        <w:rPr>
          <w:rFonts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pacing w:val="1"/>
          <w:sz w:val="24"/>
          <w:szCs w:val="24"/>
          <w:highlight w:val="none"/>
          <w14:textFill>
            <w14:solidFill>
              <w14:schemeClr w14:val="tx1"/>
            </w14:solidFill>
          </w14:textFill>
        </w:rPr>
        <w:t>在养护项目实施期间或缺陷责任期内发生危及养护项目安全</w:t>
      </w:r>
      <w:r>
        <w:rPr>
          <w:rFonts w:ascii="宋体" w:hAnsi="宋体" w:cs="宋体"/>
          <w:color w:val="000000" w:themeColor="text1"/>
          <w:sz w:val="24"/>
          <w:szCs w:val="24"/>
          <w:highlight w:val="none"/>
          <w14:textFill>
            <w14:solidFill>
              <w14:schemeClr w14:val="tx1"/>
            </w14:solidFill>
          </w14:textFill>
        </w:rPr>
        <w:t>的事件，咨询人通</w:t>
      </w:r>
      <w:r>
        <w:rPr>
          <w:rFonts w:ascii="宋体" w:hAnsi="宋体" w:cs="宋体"/>
          <w:color w:val="000000" w:themeColor="text1"/>
          <w:spacing w:val="1"/>
          <w:sz w:val="24"/>
          <w:szCs w:val="24"/>
          <w:highlight w:val="none"/>
          <w14:textFill>
            <w14:solidFill>
              <w14:schemeClr w14:val="tx1"/>
            </w14:solidFill>
          </w14:textFill>
        </w:rPr>
        <w:t>知承包人进行抢救，承包人声明无能力或不愿立即</w:t>
      </w:r>
      <w:r>
        <w:rPr>
          <w:rFonts w:ascii="宋体" w:hAnsi="宋体" w:cs="宋体"/>
          <w:color w:val="000000" w:themeColor="text1"/>
          <w:sz w:val="24"/>
          <w:szCs w:val="24"/>
          <w:highlight w:val="none"/>
          <w14:textFill>
            <w14:solidFill>
              <w14:schemeClr w14:val="tx1"/>
            </w14:solidFill>
          </w14:textFill>
        </w:rPr>
        <w:t>执行的，发包人有权雇佣其他人</w:t>
      </w:r>
      <w:r>
        <w:rPr>
          <w:rFonts w:ascii="宋体" w:hAnsi="宋体" w:cs="宋体"/>
          <w:color w:val="000000" w:themeColor="text1"/>
          <w:spacing w:val="1"/>
          <w:sz w:val="24"/>
          <w:szCs w:val="24"/>
          <w:highlight w:val="none"/>
          <w14:textFill>
            <w14:solidFill>
              <w14:schemeClr w14:val="tx1"/>
            </w14:solidFill>
          </w14:textFill>
        </w:rPr>
        <w:t>员进行抢救。此类抢救按合同约定属于承包人义务</w:t>
      </w:r>
      <w:r>
        <w:rPr>
          <w:rFonts w:ascii="宋体" w:hAnsi="宋体" w:cs="宋体"/>
          <w:color w:val="000000" w:themeColor="text1"/>
          <w:sz w:val="24"/>
          <w:szCs w:val="24"/>
          <w:highlight w:val="none"/>
          <w14:textFill>
            <w14:solidFill>
              <w14:schemeClr w14:val="tx1"/>
            </w14:solidFill>
          </w14:textFill>
        </w:rPr>
        <w:t>的，由此发生的金额和（或）工</w:t>
      </w:r>
      <w:r>
        <w:rPr>
          <w:rFonts w:ascii="宋体" w:hAnsi="宋体" w:cs="宋体"/>
          <w:color w:val="000000" w:themeColor="text1"/>
          <w:spacing w:val="-2"/>
          <w:sz w:val="24"/>
          <w:szCs w:val="24"/>
          <w:highlight w:val="none"/>
          <w14:textFill>
            <w14:solidFill>
              <w14:schemeClr w14:val="tx1"/>
            </w14:solidFill>
          </w14:textFill>
        </w:rPr>
        <w:t>期延误由承包人承担。</w:t>
      </w:r>
    </w:p>
    <w:p w14:paraId="5DF9D990">
      <w:pPr>
        <w:spacing w:line="220" w:lineRule="auto"/>
        <w:ind w:left="477"/>
        <w:outlineLvl w:val="3"/>
        <w:rPr>
          <w:rFonts w:ascii="宋体" w:hAnsi="宋体" w:cs="宋体"/>
          <w:color w:val="000000" w:themeColor="text1"/>
          <w:sz w:val="24"/>
          <w:szCs w:val="24"/>
          <w:highlight w:val="none"/>
          <w14:textFill>
            <w14:solidFill>
              <w14:schemeClr w14:val="tx1"/>
            </w14:solidFill>
          </w14:textFill>
        </w:rPr>
      </w:pPr>
      <w:r>
        <w:rPr>
          <w:rFonts w:eastAsia="Times New Roman"/>
          <w:b/>
          <w:bCs/>
          <w:color w:val="000000" w:themeColor="text1"/>
          <w:spacing w:val="-2"/>
          <w:sz w:val="24"/>
          <w:szCs w:val="24"/>
          <w:highlight w:val="none"/>
          <w14:textFill>
            <w14:solidFill>
              <w14:schemeClr w14:val="tx1"/>
            </w14:solidFill>
          </w14:textFill>
        </w:rPr>
        <w:t xml:space="preserve">22.2  </w:t>
      </w:r>
      <w:r>
        <w:rPr>
          <w:rFonts w:ascii="宋体" w:hAnsi="宋体" w:cs="宋体"/>
          <w:b/>
          <w:bCs/>
          <w:color w:val="000000" w:themeColor="text1"/>
          <w:spacing w:val="-2"/>
          <w:sz w:val="24"/>
          <w:szCs w:val="24"/>
          <w:highlight w:val="none"/>
          <w14:textFill>
            <w14:solidFill>
              <w14:schemeClr w14:val="tx1"/>
            </w14:solidFill>
          </w14:textFill>
        </w:rPr>
        <w:t>发包人违约</w:t>
      </w:r>
    </w:p>
    <w:p w14:paraId="2B6F9123">
      <w:pPr>
        <w:spacing w:before="124" w:line="220" w:lineRule="auto"/>
        <w:ind w:left="476"/>
        <w:rPr>
          <w:rFonts w:ascii="宋体" w:hAnsi="宋体" w:cs="宋体"/>
          <w:color w:val="000000" w:themeColor="text1"/>
          <w:sz w:val="24"/>
          <w:szCs w:val="24"/>
          <w:highlight w:val="none"/>
          <w14:textFill>
            <w14:solidFill>
              <w14:schemeClr w14:val="tx1"/>
            </w14:solidFill>
          </w14:textFill>
        </w:rPr>
      </w:pPr>
      <w:r>
        <w:rPr>
          <w:rFonts w:eastAsia="Times New Roman"/>
          <w:color w:val="000000" w:themeColor="text1"/>
          <w:spacing w:val="-1"/>
          <w:sz w:val="24"/>
          <w:szCs w:val="24"/>
          <w:highlight w:val="none"/>
          <w14:textFill>
            <w14:solidFill>
              <w14:schemeClr w14:val="tx1"/>
            </w14:solidFill>
          </w14:textFill>
        </w:rPr>
        <w:t xml:space="preserve">22.2.1 </w:t>
      </w:r>
      <w:r>
        <w:rPr>
          <w:rFonts w:ascii="宋体" w:hAnsi="宋体" w:cs="宋体"/>
          <w:color w:val="000000" w:themeColor="text1"/>
          <w:spacing w:val="-1"/>
          <w:sz w:val="24"/>
          <w:szCs w:val="24"/>
          <w:highlight w:val="none"/>
          <w14:textFill>
            <w14:solidFill>
              <w14:schemeClr w14:val="tx1"/>
            </w14:solidFill>
          </w14:textFill>
        </w:rPr>
        <w:t>发包人违约的情形</w:t>
      </w:r>
    </w:p>
    <w:p w14:paraId="0556BE49">
      <w:pPr>
        <w:spacing w:before="112" w:line="220" w:lineRule="auto"/>
        <w:ind w:left="480"/>
        <w:rPr>
          <w:rFonts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pacing w:val="-1"/>
          <w:sz w:val="24"/>
          <w:szCs w:val="24"/>
          <w:highlight w:val="none"/>
          <w14:textFill>
            <w14:solidFill>
              <w14:schemeClr w14:val="tx1"/>
            </w14:solidFill>
          </w14:textFill>
        </w:rPr>
        <w:t>在履行合同过程中发生的下列情形，属发包人违约：</w:t>
      </w:r>
    </w:p>
    <w:p w14:paraId="3F934ED4">
      <w:pPr>
        <w:spacing w:before="114" w:line="264" w:lineRule="auto"/>
        <w:ind w:left="31" w:right="145" w:firstLine="460"/>
        <w:rPr>
          <w:rFonts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pacing w:val="4"/>
          <w:sz w:val="24"/>
          <w:szCs w:val="24"/>
          <w:highlight w:val="none"/>
          <w14:textFill>
            <w14:solidFill>
              <w14:schemeClr w14:val="tx1"/>
            </w14:solidFill>
          </w14:textFill>
        </w:rPr>
        <w:t>（</w:t>
      </w:r>
      <w:r>
        <w:rPr>
          <w:rFonts w:eastAsia="Times New Roman"/>
          <w:color w:val="000000" w:themeColor="text1"/>
          <w:spacing w:val="4"/>
          <w:sz w:val="24"/>
          <w:szCs w:val="24"/>
          <w:highlight w:val="none"/>
          <w14:textFill>
            <w14:solidFill>
              <w14:schemeClr w14:val="tx1"/>
            </w14:solidFill>
          </w14:textFill>
        </w:rPr>
        <w:t>1</w:t>
      </w:r>
      <w:r>
        <w:rPr>
          <w:rFonts w:ascii="宋体" w:hAnsi="宋体" w:cs="宋体"/>
          <w:color w:val="000000" w:themeColor="text1"/>
          <w:spacing w:val="4"/>
          <w:sz w:val="24"/>
          <w:szCs w:val="24"/>
          <w:highlight w:val="none"/>
          <w14:textFill>
            <w14:solidFill>
              <w14:schemeClr w14:val="tx1"/>
            </w14:solidFill>
          </w14:textFill>
        </w:rPr>
        <w:t>）发包人未能按合同约定支付预付款或合同价款，或拖延、拒绝批准</w:t>
      </w:r>
      <w:r>
        <w:rPr>
          <w:rFonts w:ascii="宋体" w:hAnsi="宋体" w:cs="宋体"/>
          <w:color w:val="000000" w:themeColor="text1"/>
          <w:spacing w:val="3"/>
          <w:sz w:val="24"/>
          <w:szCs w:val="24"/>
          <w:highlight w:val="none"/>
          <w14:textFill>
            <w14:solidFill>
              <w14:schemeClr w14:val="tx1"/>
            </w14:solidFill>
          </w14:textFill>
        </w:rPr>
        <w:t>付款</w:t>
      </w:r>
      <w:r>
        <w:rPr>
          <w:rFonts w:ascii="宋体" w:hAnsi="宋体" w:cs="宋体"/>
          <w:color w:val="000000" w:themeColor="text1"/>
          <w:spacing w:val="-3"/>
          <w:sz w:val="24"/>
          <w:szCs w:val="24"/>
          <w:highlight w:val="none"/>
          <w14:textFill>
            <w14:solidFill>
              <w14:schemeClr w14:val="tx1"/>
            </w14:solidFill>
          </w14:textFill>
        </w:rPr>
        <w:t>申请和支付凭证，导致付款延误；</w:t>
      </w:r>
    </w:p>
    <w:p w14:paraId="6B385C84">
      <w:pPr>
        <w:spacing w:before="113" w:line="220" w:lineRule="auto"/>
        <w:ind w:left="492"/>
        <w:rPr>
          <w:rFonts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pacing w:val="-2"/>
          <w:sz w:val="24"/>
          <w:szCs w:val="24"/>
          <w:highlight w:val="none"/>
          <w14:textFill>
            <w14:solidFill>
              <w14:schemeClr w14:val="tx1"/>
            </w14:solidFill>
          </w14:textFill>
        </w:rPr>
        <w:t>（</w:t>
      </w:r>
      <w:r>
        <w:rPr>
          <w:rFonts w:eastAsia="Times New Roman"/>
          <w:color w:val="000000" w:themeColor="text1"/>
          <w:spacing w:val="-2"/>
          <w:sz w:val="24"/>
          <w:szCs w:val="24"/>
          <w:highlight w:val="none"/>
          <w14:textFill>
            <w14:solidFill>
              <w14:schemeClr w14:val="tx1"/>
            </w14:solidFill>
          </w14:textFill>
        </w:rPr>
        <w:t>2</w:t>
      </w:r>
      <w:r>
        <w:rPr>
          <w:rFonts w:ascii="宋体" w:hAnsi="宋体" w:cs="宋体"/>
          <w:color w:val="000000" w:themeColor="text1"/>
          <w:spacing w:val="-2"/>
          <w:sz w:val="24"/>
          <w:szCs w:val="24"/>
          <w:highlight w:val="none"/>
          <w14:textFill>
            <w14:solidFill>
              <w14:schemeClr w14:val="tx1"/>
            </w14:solidFill>
          </w14:textFill>
        </w:rPr>
        <w:t>）发包人原因造成停工；</w:t>
      </w:r>
    </w:p>
    <w:p w14:paraId="0CBAFC17">
      <w:pPr>
        <w:spacing w:before="115" w:line="219" w:lineRule="auto"/>
        <w:ind w:left="492"/>
        <w:rPr>
          <w:rFonts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pacing w:val="-1"/>
          <w:sz w:val="24"/>
          <w:szCs w:val="24"/>
          <w:highlight w:val="none"/>
          <w14:textFill>
            <w14:solidFill>
              <w14:schemeClr w14:val="tx1"/>
            </w14:solidFill>
          </w14:textFill>
        </w:rPr>
        <w:t>（</w:t>
      </w:r>
      <w:r>
        <w:rPr>
          <w:rFonts w:eastAsia="Times New Roman"/>
          <w:color w:val="000000" w:themeColor="text1"/>
          <w:spacing w:val="-1"/>
          <w:sz w:val="24"/>
          <w:szCs w:val="24"/>
          <w:highlight w:val="none"/>
          <w14:textFill>
            <w14:solidFill>
              <w14:schemeClr w14:val="tx1"/>
            </w14:solidFill>
          </w14:textFill>
        </w:rPr>
        <w:t>3</w:t>
      </w:r>
      <w:r>
        <w:rPr>
          <w:rFonts w:ascii="宋体" w:hAnsi="宋体" w:cs="宋体"/>
          <w:color w:val="000000" w:themeColor="text1"/>
          <w:spacing w:val="-1"/>
          <w:sz w:val="24"/>
          <w:szCs w:val="24"/>
          <w:highlight w:val="none"/>
          <w14:textFill>
            <w14:solidFill>
              <w14:schemeClr w14:val="tx1"/>
            </w14:solidFill>
          </w14:textFill>
        </w:rPr>
        <w:t>）发包人无法继续履行或明确表示不履行或实质上已停止履行合同；</w:t>
      </w:r>
    </w:p>
    <w:p w14:paraId="72213F34">
      <w:pPr>
        <w:spacing w:before="116" w:line="219" w:lineRule="auto"/>
        <w:ind w:left="492"/>
        <w:rPr>
          <w:rFonts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pacing w:val="-1"/>
          <w:sz w:val="24"/>
          <w:szCs w:val="24"/>
          <w:highlight w:val="none"/>
          <w14:textFill>
            <w14:solidFill>
              <w14:schemeClr w14:val="tx1"/>
            </w14:solidFill>
          </w14:textFill>
        </w:rPr>
        <w:t>（</w:t>
      </w:r>
      <w:r>
        <w:rPr>
          <w:rFonts w:eastAsia="Times New Roman"/>
          <w:color w:val="000000" w:themeColor="text1"/>
          <w:spacing w:val="-1"/>
          <w:sz w:val="24"/>
          <w:szCs w:val="24"/>
          <w:highlight w:val="none"/>
          <w14:textFill>
            <w14:solidFill>
              <w14:schemeClr w14:val="tx1"/>
            </w14:solidFill>
          </w14:textFill>
        </w:rPr>
        <w:t>4</w:t>
      </w:r>
      <w:r>
        <w:rPr>
          <w:rFonts w:ascii="宋体" w:hAnsi="宋体" w:cs="宋体"/>
          <w:color w:val="000000" w:themeColor="text1"/>
          <w:spacing w:val="-1"/>
          <w:sz w:val="24"/>
          <w:szCs w:val="24"/>
          <w:highlight w:val="none"/>
          <w14:textFill>
            <w14:solidFill>
              <w14:schemeClr w14:val="tx1"/>
            </w14:solidFill>
          </w14:textFill>
        </w:rPr>
        <w:t>）发包人无正当理由不按时返还履约保证金或质量保证金的；</w:t>
      </w:r>
    </w:p>
    <w:p w14:paraId="0BB09CCE">
      <w:pPr>
        <w:spacing w:before="114" w:line="219" w:lineRule="auto"/>
        <w:ind w:left="492"/>
        <w:rPr>
          <w:rFonts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pacing w:val="-2"/>
          <w:sz w:val="24"/>
          <w:szCs w:val="24"/>
          <w:highlight w:val="none"/>
          <w14:textFill>
            <w14:solidFill>
              <w14:schemeClr w14:val="tx1"/>
            </w14:solidFill>
          </w14:textFill>
        </w:rPr>
        <w:t>（</w:t>
      </w:r>
      <w:r>
        <w:rPr>
          <w:rFonts w:eastAsia="Times New Roman"/>
          <w:color w:val="000000" w:themeColor="text1"/>
          <w:spacing w:val="-2"/>
          <w:sz w:val="24"/>
          <w:szCs w:val="24"/>
          <w:highlight w:val="none"/>
          <w14:textFill>
            <w14:solidFill>
              <w14:schemeClr w14:val="tx1"/>
            </w14:solidFill>
          </w14:textFill>
        </w:rPr>
        <w:t>5</w:t>
      </w:r>
      <w:r>
        <w:rPr>
          <w:rFonts w:ascii="宋体" w:hAnsi="宋体" w:cs="宋体"/>
          <w:color w:val="000000" w:themeColor="text1"/>
          <w:spacing w:val="-2"/>
          <w:sz w:val="24"/>
          <w:szCs w:val="24"/>
          <w:highlight w:val="none"/>
          <w14:textFill>
            <w14:solidFill>
              <w14:schemeClr w14:val="tx1"/>
            </w14:solidFill>
          </w14:textFill>
        </w:rPr>
        <w:t>）发包人不履行合同约定的其他义务。</w:t>
      </w:r>
    </w:p>
    <w:p w14:paraId="25B90ECC">
      <w:pPr>
        <w:spacing w:before="115" w:line="220" w:lineRule="auto"/>
        <w:ind w:left="476"/>
        <w:rPr>
          <w:rFonts w:ascii="宋体" w:hAnsi="宋体" w:cs="宋体"/>
          <w:color w:val="000000" w:themeColor="text1"/>
          <w:sz w:val="24"/>
          <w:szCs w:val="24"/>
          <w:highlight w:val="none"/>
          <w14:textFill>
            <w14:solidFill>
              <w14:schemeClr w14:val="tx1"/>
            </w14:solidFill>
          </w14:textFill>
        </w:rPr>
      </w:pPr>
      <w:r>
        <w:rPr>
          <w:rFonts w:eastAsia="Times New Roman"/>
          <w:color w:val="000000" w:themeColor="text1"/>
          <w:spacing w:val="-1"/>
          <w:sz w:val="24"/>
          <w:szCs w:val="24"/>
          <w:highlight w:val="none"/>
          <w14:textFill>
            <w14:solidFill>
              <w14:schemeClr w14:val="tx1"/>
            </w14:solidFill>
          </w14:textFill>
        </w:rPr>
        <w:t xml:space="preserve">22.2.2  </w:t>
      </w:r>
      <w:r>
        <w:rPr>
          <w:rFonts w:ascii="宋体" w:hAnsi="宋体" w:cs="宋体"/>
          <w:color w:val="000000" w:themeColor="text1"/>
          <w:spacing w:val="-1"/>
          <w:sz w:val="24"/>
          <w:szCs w:val="24"/>
          <w:highlight w:val="none"/>
          <w14:textFill>
            <w14:solidFill>
              <w14:schemeClr w14:val="tx1"/>
            </w14:solidFill>
          </w14:textFill>
        </w:rPr>
        <w:t>对发包人违约的处理</w:t>
      </w:r>
    </w:p>
    <w:p w14:paraId="1441A63E">
      <w:pPr>
        <w:spacing w:before="117" w:line="307" w:lineRule="auto"/>
        <w:ind w:left="1" w:right="145" w:firstLine="482"/>
        <w:rPr>
          <w:rFonts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pacing w:val="-6"/>
          <w:sz w:val="24"/>
          <w:szCs w:val="24"/>
          <w:highlight w:val="none"/>
          <w14:textFill>
            <w14:solidFill>
              <w14:schemeClr w14:val="tx1"/>
            </w14:solidFill>
          </w14:textFill>
        </w:rPr>
        <w:t>发包人发生除第</w:t>
      </w:r>
      <w:r>
        <w:rPr>
          <w:rFonts w:ascii="宋体" w:hAnsi="宋体" w:cs="宋体"/>
          <w:color w:val="000000" w:themeColor="text1"/>
          <w:spacing w:val="-47"/>
          <w:sz w:val="24"/>
          <w:szCs w:val="24"/>
          <w:highlight w:val="none"/>
          <w14:textFill>
            <w14:solidFill>
              <w14:schemeClr w14:val="tx1"/>
            </w14:solidFill>
          </w14:textFill>
        </w:rPr>
        <w:t xml:space="preserve"> </w:t>
      </w:r>
      <w:r>
        <w:rPr>
          <w:rFonts w:eastAsia="Times New Roman"/>
          <w:color w:val="000000" w:themeColor="text1"/>
          <w:spacing w:val="-6"/>
          <w:sz w:val="24"/>
          <w:szCs w:val="24"/>
          <w:highlight w:val="none"/>
          <w14:textFill>
            <w14:solidFill>
              <w14:schemeClr w14:val="tx1"/>
            </w14:solidFill>
          </w14:textFill>
        </w:rPr>
        <w:t>22.2.1</w:t>
      </w:r>
      <w:r>
        <w:rPr>
          <w:rFonts w:ascii="宋体" w:hAnsi="宋体" w:cs="宋体"/>
          <w:color w:val="000000" w:themeColor="text1"/>
          <w:spacing w:val="-6"/>
          <w:sz w:val="24"/>
          <w:szCs w:val="24"/>
          <w:highlight w:val="none"/>
          <w14:textFill>
            <w14:solidFill>
              <w14:schemeClr w14:val="tx1"/>
            </w14:solidFill>
          </w14:textFill>
        </w:rPr>
        <w:t>（</w:t>
      </w:r>
      <w:r>
        <w:rPr>
          <w:rFonts w:eastAsia="Times New Roman"/>
          <w:color w:val="000000" w:themeColor="text1"/>
          <w:spacing w:val="-6"/>
          <w:sz w:val="24"/>
          <w:szCs w:val="24"/>
          <w:highlight w:val="none"/>
          <w14:textFill>
            <w14:solidFill>
              <w14:schemeClr w14:val="tx1"/>
            </w14:solidFill>
          </w14:textFill>
        </w:rPr>
        <w:t>3</w:t>
      </w:r>
      <w:r>
        <w:rPr>
          <w:rFonts w:ascii="宋体" w:hAnsi="宋体" w:cs="宋体"/>
          <w:color w:val="000000" w:themeColor="text1"/>
          <w:spacing w:val="-6"/>
          <w:sz w:val="24"/>
          <w:szCs w:val="24"/>
          <w:highlight w:val="none"/>
          <w14:textFill>
            <w14:solidFill>
              <w14:schemeClr w14:val="tx1"/>
            </w14:solidFill>
          </w14:textFill>
        </w:rPr>
        <w:t>）、（</w:t>
      </w:r>
      <w:r>
        <w:rPr>
          <w:rFonts w:eastAsia="Times New Roman"/>
          <w:color w:val="000000" w:themeColor="text1"/>
          <w:spacing w:val="-6"/>
          <w:sz w:val="24"/>
          <w:szCs w:val="24"/>
          <w:highlight w:val="none"/>
          <w14:textFill>
            <w14:solidFill>
              <w14:schemeClr w14:val="tx1"/>
            </w14:solidFill>
          </w14:textFill>
        </w:rPr>
        <w:t>4</w:t>
      </w:r>
      <w:r>
        <w:rPr>
          <w:rFonts w:ascii="宋体" w:hAnsi="宋体" w:cs="宋体"/>
          <w:color w:val="000000" w:themeColor="text1"/>
          <w:spacing w:val="-6"/>
          <w:sz w:val="24"/>
          <w:szCs w:val="24"/>
          <w:highlight w:val="none"/>
          <w14:textFill>
            <w14:solidFill>
              <w14:schemeClr w14:val="tx1"/>
            </w14:solidFill>
          </w14:textFill>
        </w:rPr>
        <w:t>）</w:t>
      </w:r>
      <w:r>
        <w:rPr>
          <w:rFonts w:ascii="宋体" w:hAnsi="宋体" w:cs="宋体"/>
          <w:color w:val="000000" w:themeColor="text1"/>
          <w:spacing w:val="-58"/>
          <w:sz w:val="24"/>
          <w:szCs w:val="24"/>
          <w:highlight w:val="none"/>
          <w14:textFill>
            <w14:solidFill>
              <w14:schemeClr w14:val="tx1"/>
            </w14:solidFill>
          </w14:textFill>
        </w:rPr>
        <w:t xml:space="preserve"> </w:t>
      </w:r>
      <w:r>
        <w:rPr>
          <w:rFonts w:ascii="宋体" w:hAnsi="宋体" w:cs="宋体"/>
          <w:color w:val="000000" w:themeColor="text1"/>
          <w:spacing w:val="-6"/>
          <w:sz w:val="24"/>
          <w:szCs w:val="24"/>
          <w:highlight w:val="none"/>
          <w14:textFill>
            <w14:solidFill>
              <w14:schemeClr w14:val="tx1"/>
            </w14:solidFill>
          </w14:textFill>
        </w:rPr>
        <w:t>目以外的违约情况时，承包人可向发包人发</w:t>
      </w:r>
      <w:r>
        <w:rPr>
          <w:rFonts w:ascii="宋体" w:hAnsi="宋体" w:cs="宋体"/>
          <w:color w:val="000000" w:themeColor="text1"/>
          <w:sz w:val="24"/>
          <w:szCs w:val="24"/>
          <w:highlight w:val="none"/>
          <w14:textFill>
            <w14:solidFill>
              <w14:schemeClr w14:val="tx1"/>
            </w14:solidFill>
          </w14:textFill>
        </w:rPr>
        <w:t>出通知，要求发包人采取有效措施纠正违约行为。发包人收到承包人通知后的</w:t>
      </w:r>
      <w:r>
        <w:rPr>
          <w:rFonts w:ascii="宋体" w:hAnsi="宋体" w:cs="宋体"/>
          <w:color w:val="000000" w:themeColor="text1"/>
          <w:spacing w:val="-51"/>
          <w:sz w:val="24"/>
          <w:szCs w:val="24"/>
          <w:highlight w:val="none"/>
          <w14:textFill>
            <w14:solidFill>
              <w14:schemeClr w14:val="tx1"/>
            </w14:solidFill>
          </w14:textFill>
        </w:rPr>
        <w:t xml:space="preserve"> </w:t>
      </w:r>
      <w:r>
        <w:rPr>
          <w:rFonts w:eastAsia="Times New Roman"/>
          <w:color w:val="000000" w:themeColor="text1"/>
          <w:sz w:val="24"/>
          <w:szCs w:val="24"/>
          <w:highlight w:val="none"/>
          <w14:textFill>
            <w14:solidFill>
              <w14:schemeClr w14:val="tx1"/>
            </w14:solidFill>
          </w14:textFill>
        </w:rPr>
        <w:t>7</w:t>
      </w:r>
      <w:r>
        <w:rPr>
          <w:rFonts w:eastAsia="Times New Roman"/>
          <w:color w:val="000000" w:themeColor="text1"/>
          <w:spacing w:val="16"/>
          <w:sz w:val="24"/>
          <w:szCs w:val="24"/>
          <w:highlight w:val="none"/>
          <w14:textFill>
            <w14:solidFill>
              <w14:schemeClr w14:val="tx1"/>
            </w14:solidFill>
          </w14:textFill>
        </w:rPr>
        <w:t xml:space="preserve"> </w:t>
      </w:r>
      <w:r>
        <w:rPr>
          <w:rFonts w:ascii="宋体" w:hAnsi="宋体" w:cs="宋体"/>
          <w:color w:val="000000" w:themeColor="text1"/>
          <w:sz w:val="24"/>
          <w:szCs w:val="24"/>
          <w:highlight w:val="none"/>
          <w14:textFill>
            <w14:solidFill>
              <w14:schemeClr w14:val="tx1"/>
            </w14:solidFill>
          </w14:textFill>
        </w:rPr>
        <w:t>天</w:t>
      </w:r>
      <w:r>
        <w:rPr>
          <w:rFonts w:ascii="宋体" w:hAnsi="宋体" w:cs="宋体"/>
          <w:color w:val="000000" w:themeColor="text1"/>
          <w:spacing w:val="1"/>
          <w:sz w:val="24"/>
          <w:szCs w:val="24"/>
          <w:highlight w:val="none"/>
          <w14:textFill>
            <w14:solidFill>
              <w14:schemeClr w14:val="tx1"/>
            </w14:solidFill>
          </w14:textFill>
        </w:rPr>
        <w:t>内仍不履行合同义务，承包人有权暂停养护作业，并通</w:t>
      </w:r>
      <w:r>
        <w:rPr>
          <w:rFonts w:ascii="宋体" w:hAnsi="宋体" w:cs="宋体"/>
          <w:color w:val="000000" w:themeColor="text1"/>
          <w:sz w:val="24"/>
          <w:szCs w:val="24"/>
          <w:highlight w:val="none"/>
          <w14:textFill>
            <w14:solidFill>
              <w14:schemeClr w14:val="tx1"/>
            </w14:solidFill>
          </w14:textFill>
        </w:rPr>
        <w:t>知咨询人，发包人应承担由</w:t>
      </w:r>
      <w:r>
        <w:rPr>
          <w:rFonts w:ascii="宋体" w:hAnsi="宋体" w:cs="宋体"/>
          <w:color w:val="000000" w:themeColor="text1"/>
          <w:spacing w:val="-1"/>
          <w:sz w:val="24"/>
          <w:szCs w:val="24"/>
          <w:highlight w:val="none"/>
          <w14:textFill>
            <w14:solidFill>
              <w14:schemeClr w14:val="tx1"/>
            </w14:solidFill>
          </w14:textFill>
        </w:rPr>
        <w:t>此增加的费用和（或）工期延误，并支付承包人合理利润。</w:t>
      </w:r>
    </w:p>
    <w:p w14:paraId="7DEB0AF7">
      <w:pPr>
        <w:spacing w:before="4" w:line="307" w:lineRule="auto"/>
        <w:ind w:right="147" w:firstLine="484"/>
        <w:rPr>
          <w:rFonts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pacing w:val="2"/>
          <w:sz w:val="24"/>
          <w:szCs w:val="24"/>
          <w:highlight w:val="none"/>
          <w14:textFill>
            <w14:solidFill>
              <w14:schemeClr w14:val="tx1"/>
            </w14:solidFill>
          </w14:textFill>
        </w:rPr>
        <w:t xml:space="preserve">发包人发生第 </w:t>
      </w:r>
      <w:r>
        <w:rPr>
          <w:rFonts w:eastAsia="Times New Roman"/>
          <w:color w:val="000000" w:themeColor="text1"/>
          <w:spacing w:val="2"/>
          <w:sz w:val="24"/>
          <w:szCs w:val="24"/>
          <w:highlight w:val="none"/>
          <w14:textFill>
            <w14:solidFill>
              <w14:schemeClr w14:val="tx1"/>
            </w14:solidFill>
          </w14:textFill>
        </w:rPr>
        <w:t>22.2.1</w:t>
      </w:r>
      <w:r>
        <w:rPr>
          <w:rFonts w:ascii="宋体" w:hAnsi="宋体" w:cs="宋体"/>
          <w:color w:val="000000" w:themeColor="text1"/>
          <w:spacing w:val="2"/>
          <w:sz w:val="24"/>
          <w:szCs w:val="24"/>
          <w:highlight w:val="none"/>
          <w14:textFill>
            <w14:solidFill>
              <w14:schemeClr w14:val="tx1"/>
            </w14:solidFill>
          </w14:textFill>
        </w:rPr>
        <w:t>（</w:t>
      </w:r>
      <w:r>
        <w:rPr>
          <w:rFonts w:eastAsia="Times New Roman"/>
          <w:color w:val="000000" w:themeColor="text1"/>
          <w:spacing w:val="2"/>
          <w:sz w:val="24"/>
          <w:szCs w:val="24"/>
          <w:highlight w:val="none"/>
          <w14:textFill>
            <w14:solidFill>
              <w14:schemeClr w14:val="tx1"/>
            </w14:solidFill>
          </w14:textFill>
        </w:rPr>
        <w:t>4</w:t>
      </w:r>
      <w:r>
        <w:rPr>
          <w:rFonts w:ascii="宋体" w:hAnsi="宋体" w:cs="宋体"/>
          <w:color w:val="000000" w:themeColor="text1"/>
          <w:spacing w:val="2"/>
          <w:sz w:val="24"/>
          <w:szCs w:val="24"/>
          <w:highlight w:val="none"/>
          <w14:textFill>
            <w14:solidFill>
              <w14:schemeClr w14:val="tx1"/>
            </w14:solidFill>
          </w14:textFill>
        </w:rPr>
        <w:t>）</w:t>
      </w:r>
      <w:r>
        <w:rPr>
          <w:rFonts w:ascii="宋体" w:hAnsi="宋体" w:cs="宋体"/>
          <w:color w:val="000000" w:themeColor="text1"/>
          <w:spacing w:val="-55"/>
          <w:sz w:val="24"/>
          <w:szCs w:val="24"/>
          <w:highlight w:val="none"/>
          <w14:textFill>
            <w14:solidFill>
              <w14:schemeClr w14:val="tx1"/>
            </w14:solidFill>
          </w14:textFill>
        </w:rPr>
        <w:t xml:space="preserve"> </w:t>
      </w:r>
      <w:r>
        <w:rPr>
          <w:rFonts w:ascii="宋体" w:hAnsi="宋体" w:cs="宋体"/>
          <w:color w:val="000000" w:themeColor="text1"/>
          <w:spacing w:val="2"/>
          <w:sz w:val="24"/>
          <w:szCs w:val="24"/>
          <w:highlight w:val="none"/>
          <w14:textFill>
            <w14:solidFill>
              <w14:schemeClr w14:val="tx1"/>
            </w14:solidFill>
          </w14:textFill>
        </w:rPr>
        <w:t>目的违约情况时，承包人可向发包人发出通知</w:t>
      </w:r>
      <w:r>
        <w:rPr>
          <w:rFonts w:ascii="宋体" w:hAnsi="宋体" w:cs="宋体"/>
          <w:color w:val="000000" w:themeColor="text1"/>
          <w:spacing w:val="1"/>
          <w:sz w:val="24"/>
          <w:szCs w:val="24"/>
          <w:highlight w:val="none"/>
          <w14:textFill>
            <w14:solidFill>
              <w14:schemeClr w14:val="tx1"/>
            </w14:solidFill>
          </w14:textFill>
        </w:rPr>
        <w:t>，要</w:t>
      </w:r>
      <w:r>
        <w:rPr>
          <w:rFonts w:ascii="宋体" w:hAnsi="宋体" w:cs="宋体"/>
          <w:color w:val="000000" w:themeColor="text1"/>
          <w:spacing w:val="2"/>
          <w:sz w:val="24"/>
          <w:szCs w:val="24"/>
          <w:highlight w:val="none"/>
          <w14:textFill>
            <w14:solidFill>
              <w14:schemeClr w14:val="tx1"/>
            </w14:solidFill>
          </w14:textFill>
        </w:rPr>
        <w:t>求发包人采取有效措施纠正违约行为。发包人收到承包人通知后的</w:t>
      </w:r>
      <w:r>
        <w:rPr>
          <w:rFonts w:eastAsia="Times New Roman"/>
          <w:color w:val="000000" w:themeColor="text1"/>
          <w:spacing w:val="2"/>
          <w:sz w:val="24"/>
          <w:szCs w:val="24"/>
          <w:highlight w:val="none"/>
          <w14:textFill>
            <w14:solidFill>
              <w14:schemeClr w14:val="tx1"/>
            </w14:solidFill>
          </w14:textFill>
        </w:rPr>
        <w:t xml:space="preserve">7 </w:t>
      </w:r>
      <w:r>
        <w:rPr>
          <w:rFonts w:ascii="宋体" w:hAnsi="宋体" w:cs="宋体"/>
          <w:color w:val="000000" w:themeColor="text1"/>
          <w:spacing w:val="2"/>
          <w:sz w:val="24"/>
          <w:szCs w:val="24"/>
          <w:highlight w:val="none"/>
          <w14:textFill>
            <w14:solidFill>
              <w14:schemeClr w14:val="tx1"/>
            </w14:solidFill>
          </w14:textFill>
        </w:rPr>
        <w:t>天内仍不返还</w:t>
      </w:r>
      <w:r>
        <w:rPr>
          <w:rFonts w:ascii="宋体" w:hAnsi="宋体" w:cs="宋体"/>
          <w:color w:val="000000" w:themeColor="text1"/>
          <w:spacing w:val="1"/>
          <w:sz w:val="24"/>
          <w:szCs w:val="24"/>
          <w:highlight w:val="none"/>
          <w14:textFill>
            <w14:solidFill>
              <w14:schemeClr w14:val="tx1"/>
            </w14:solidFill>
          </w14:textFill>
        </w:rPr>
        <w:t>履约保证金或质量保证金的，发包人应按专用合同条款</w:t>
      </w:r>
      <w:r>
        <w:rPr>
          <w:rFonts w:ascii="宋体" w:hAnsi="宋体" w:cs="宋体"/>
          <w:color w:val="000000" w:themeColor="text1"/>
          <w:sz w:val="24"/>
          <w:szCs w:val="24"/>
          <w:highlight w:val="none"/>
          <w14:textFill>
            <w14:solidFill>
              <w14:schemeClr w14:val="tx1"/>
            </w14:solidFill>
          </w14:textFill>
        </w:rPr>
        <w:t>的约定向承包人支付逾期返</w:t>
      </w:r>
      <w:r>
        <w:rPr>
          <w:rFonts w:ascii="宋体" w:hAnsi="宋体" w:cs="宋体"/>
          <w:color w:val="000000" w:themeColor="text1"/>
          <w:spacing w:val="-1"/>
          <w:sz w:val="24"/>
          <w:szCs w:val="24"/>
          <w:highlight w:val="none"/>
          <w14:textFill>
            <w14:solidFill>
              <w14:schemeClr w14:val="tx1"/>
            </w14:solidFill>
          </w14:textFill>
        </w:rPr>
        <w:t>还保证金的违约金。</w:t>
      </w:r>
    </w:p>
    <w:p w14:paraId="38E0BD0D">
      <w:pPr>
        <w:spacing w:before="1" w:line="219" w:lineRule="auto"/>
        <w:ind w:left="476"/>
        <w:rPr>
          <w:rFonts w:ascii="宋体" w:hAnsi="宋体" w:cs="宋体"/>
          <w:color w:val="000000" w:themeColor="text1"/>
          <w:sz w:val="24"/>
          <w:szCs w:val="24"/>
          <w:highlight w:val="none"/>
          <w14:textFill>
            <w14:solidFill>
              <w14:schemeClr w14:val="tx1"/>
            </w14:solidFill>
          </w14:textFill>
        </w:rPr>
      </w:pPr>
      <w:r>
        <w:rPr>
          <w:rFonts w:eastAsia="Times New Roman"/>
          <w:color w:val="000000" w:themeColor="text1"/>
          <w:spacing w:val="-1"/>
          <w:sz w:val="24"/>
          <w:szCs w:val="24"/>
          <w:highlight w:val="none"/>
          <w14:textFill>
            <w14:solidFill>
              <w14:schemeClr w14:val="tx1"/>
            </w14:solidFill>
          </w14:textFill>
        </w:rPr>
        <w:t xml:space="preserve">22.2.3  </w:t>
      </w:r>
      <w:r>
        <w:rPr>
          <w:rFonts w:ascii="宋体" w:hAnsi="宋体" w:cs="宋体"/>
          <w:color w:val="000000" w:themeColor="text1"/>
          <w:spacing w:val="-1"/>
          <w:sz w:val="24"/>
          <w:szCs w:val="24"/>
          <w:highlight w:val="none"/>
          <w14:textFill>
            <w14:solidFill>
              <w14:schemeClr w14:val="tx1"/>
            </w14:solidFill>
          </w14:textFill>
        </w:rPr>
        <w:t>发包人违约解除合同</w:t>
      </w:r>
    </w:p>
    <w:p w14:paraId="6512D816">
      <w:pPr>
        <w:spacing w:before="115" w:line="263" w:lineRule="auto"/>
        <w:ind w:left="15" w:right="145" w:firstLine="477"/>
        <w:rPr>
          <w:rFonts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w:t>
      </w:r>
      <w:r>
        <w:rPr>
          <w:rFonts w:eastAsia="Times New Roman"/>
          <w:color w:val="000000" w:themeColor="text1"/>
          <w:sz w:val="24"/>
          <w:szCs w:val="24"/>
          <w:highlight w:val="none"/>
          <w14:textFill>
            <w14:solidFill>
              <w14:schemeClr w14:val="tx1"/>
            </w14:solidFill>
          </w14:textFill>
        </w:rPr>
        <w:t>1</w:t>
      </w:r>
      <w:r>
        <w:rPr>
          <w:rFonts w:ascii="宋体" w:hAnsi="宋体" w:cs="宋体"/>
          <w:color w:val="000000" w:themeColor="text1"/>
          <w:sz w:val="24"/>
          <w:szCs w:val="24"/>
          <w:highlight w:val="none"/>
          <w14:textFill>
            <w14:solidFill>
              <w14:schemeClr w14:val="tx1"/>
            </w14:solidFill>
          </w14:textFill>
        </w:rPr>
        <w:t>）发包人发生第</w:t>
      </w:r>
      <w:r>
        <w:rPr>
          <w:rFonts w:ascii="宋体" w:hAnsi="宋体" w:cs="宋体"/>
          <w:color w:val="000000" w:themeColor="text1"/>
          <w:spacing w:val="-49"/>
          <w:sz w:val="24"/>
          <w:szCs w:val="24"/>
          <w:highlight w:val="none"/>
          <w14:textFill>
            <w14:solidFill>
              <w14:schemeClr w14:val="tx1"/>
            </w14:solidFill>
          </w14:textFill>
        </w:rPr>
        <w:t xml:space="preserve"> </w:t>
      </w:r>
      <w:r>
        <w:rPr>
          <w:rFonts w:eastAsia="Times New Roman"/>
          <w:color w:val="000000" w:themeColor="text1"/>
          <w:sz w:val="24"/>
          <w:szCs w:val="24"/>
          <w:highlight w:val="none"/>
          <w14:textFill>
            <w14:solidFill>
              <w14:schemeClr w14:val="tx1"/>
            </w14:solidFill>
          </w14:textFill>
        </w:rPr>
        <w:t>22.2.1</w:t>
      </w:r>
      <w:r>
        <w:rPr>
          <w:rFonts w:ascii="宋体" w:hAnsi="宋体" w:cs="宋体"/>
          <w:color w:val="000000" w:themeColor="text1"/>
          <w:sz w:val="24"/>
          <w:szCs w:val="24"/>
          <w:highlight w:val="none"/>
          <w14:textFill>
            <w14:solidFill>
              <w14:schemeClr w14:val="tx1"/>
            </w14:solidFill>
          </w14:textFill>
        </w:rPr>
        <w:t>（</w:t>
      </w:r>
      <w:r>
        <w:rPr>
          <w:rFonts w:eastAsia="Times New Roman"/>
          <w:color w:val="000000" w:themeColor="text1"/>
          <w:sz w:val="24"/>
          <w:szCs w:val="24"/>
          <w:highlight w:val="none"/>
          <w14:textFill>
            <w14:solidFill>
              <w14:schemeClr w14:val="tx1"/>
            </w14:solidFill>
          </w14:textFill>
        </w:rPr>
        <w:t>3</w:t>
      </w:r>
      <w:r>
        <w:rPr>
          <w:rFonts w:ascii="宋体" w:hAnsi="宋体" w:cs="宋体"/>
          <w:color w:val="000000" w:themeColor="text1"/>
          <w:sz w:val="24"/>
          <w:szCs w:val="24"/>
          <w:highlight w:val="none"/>
          <w14:textFill>
            <w14:solidFill>
              <w14:schemeClr w14:val="tx1"/>
            </w14:solidFill>
          </w14:textFill>
        </w:rPr>
        <w:t>）</w:t>
      </w:r>
      <w:r>
        <w:rPr>
          <w:rFonts w:ascii="宋体" w:hAnsi="宋体" w:cs="宋体"/>
          <w:color w:val="000000" w:themeColor="text1"/>
          <w:spacing w:val="-57"/>
          <w:sz w:val="24"/>
          <w:szCs w:val="24"/>
          <w:highlight w:val="none"/>
          <w14:textFill>
            <w14:solidFill>
              <w14:schemeClr w14:val="tx1"/>
            </w14:solidFill>
          </w14:textFill>
        </w:rPr>
        <w:t xml:space="preserve"> </w:t>
      </w:r>
      <w:r>
        <w:rPr>
          <w:rFonts w:ascii="宋体" w:hAnsi="宋体" w:cs="宋体"/>
          <w:color w:val="000000" w:themeColor="text1"/>
          <w:sz w:val="24"/>
          <w:szCs w:val="24"/>
          <w:highlight w:val="none"/>
          <w14:textFill>
            <w14:solidFill>
              <w14:schemeClr w14:val="tx1"/>
            </w14:solidFill>
          </w14:textFill>
        </w:rPr>
        <w:t>目的违约情况时，承包人可书面通知发包人解</w:t>
      </w:r>
      <w:r>
        <w:rPr>
          <w:rFonts w:ascii="宋体" w:hAnsi="宋体" w:cs="宋体"/>
          <w:color w:val="000000" w:themeColor="text1"/>
          <w:spacing w:val="-6"/>
          <w:sz w:val="24"/>
          <w:szCs w:val="24"/>
          <w:highlight w:val="none"/>
          <w14:textFill>
            <w14:solidFill>
              <w14:schemeClr w14:val="tx1"/>
            </w14:solidFill>
          </w14:textFill>
        </w:rPr>
        <w:t>除合同。</w:t>
      </w:r>
    </w:p>
    <w:p w14:paraId="6DBD7B3B">
      <w:pPr>
        <w:spacing w:before="116" w:line="278" w:lineRule="auto"/>
        <w:ind w:firstLine="491"/>
        <w:rPr>
          <w:rFonts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pacing w:val="-3"/>
          <w:sz w:val="24"/>
          <w:szCs w:val="24"/>
          <w:highlight w:val="none"/>
          <w14:textFill>
            <w14:solidFill>
              <w14:schemeClr w14:val="tx1"/>
            </w14:solidFill>
          </w14:textFill>
        </w:rPr>
        <w:t>（</w:t>
      </w:r>
      <w:r>
        <w:rPr>
          <w:rFonts w:eastAsia="Times New Roman"/>
          <w:color w:val="000000" w:themeColor="text1"/>
          <w:spacing w:val="-3"/>
          <w:sz w:val="24"/>
          <w:szCs w:val="24"/>
          <w:highlight w:val="none"/>
          <w14:textFill>
            <w14:solidFill>
              <w14:schemeClr w14:val="tx1"/>
            </w14:solidFill>
          </w14:textFill>
        </w:rPr>
        <w:t>2</w:t>
      </w:r>
      <w:r>
        <w:rPr>
          <w:rFonts w:ascii="宋体" w:hAnsi="宋体" w:cs="宋体"/>
          <w:color w:val="000000" w:themeColor="text1"/>
          <w:spacing w:val="-3"/>
          <w:sz w:val="24"/>
          <w:szCs w:val="24"/>
          <w:highlight w:val="none"/>
          <w14:textFill>
            <w14:solidFill>
              <w14:schemeClr w14:val="tx1"/>
            </w14:solidFill>
          </w14:textFill>
        </w:rPr>
        <w:t>）承包人按第</w:t>
      </w:r>
      <w:r>
        <w:rPr>
          <w:rFonts w:ascii="宋体" w:hAnsi="宋体" w:cs="宋体"/>
          <w:color w:val="000000" w:themeColor="text1"/>
          <w:spacing w:val="-55"/>
          <w:sz w:val="24"/>
          <w:szCs w:val="24"/>
          <w:highlight w:val="none"/>
          <w14:textFill>
            <w14:solidFill>
              <w14:schemeClr w14:val="tx1"/>
            </w14:solidFill>
          </w14:textFill>
        </w:rPr>
        <w:t xml:space="preserve"> </w:t>
      </w:r>
      <w:r>
        <w:rPr>
          <w:rFonts w:eastAsia="Times New Roman"/>
          <w:color w:val="000000" w:themeColor="text1"/>
          <w:spacing w:val="-3"/>
          <w:sz w:val="24"/>
          <w:szCs w:val="24"/>
          <w:highlight w:val="none"/>
          <w14:textFill>
            <w14:solidFill>
              <w14:schemeClr w14:val="tx1"/>
            </w14:solidFill>
          </w14:textFill>
        </w:rPr>
        <w:t xml:space="preserve">22.2.2 </w:t>
      </w:r>
      <w:r>
        <w:rPr>
          <w:rFonts w:ascii="宋体" w:hAnsi="宋体" w:cs="宋体"/>
          <w:color w:val="000000" w:themeColor="text1"/>
          <w:spacing w:val="-3"/>
          <w:sz w:val="24"/>
          <w:szCs w:val="24"/>
          <w:highlight w:val="none"/>
          <w14:textFill>
            <w14:solidFill>
              <w14:schemeClr w14:val="tx1"/>
            </w14:solidFill>
          </w14:textFill>
        </w:rPr>
        <w:t>项暂停养护作业</w:t>
      </w:r>
      <w:r>
        <w:rPr>
          <w:rFonts w:ascii="宋体" w:hAnsi="宋体" w:cs="宋体"/>
          <w:color w:val="000000" w:themeColor="text1"/>
          <w:spacing w:val="-32"/>
          <w:sz w:val="24"/>
          <w:szCs w:val="24"/>
          <w:highlight w:val="none"/>
          <w14:textFill>
            <w14:solidFill>
              <w14:schemeClr w14:val="tx1"/>
            </w14:solidFill>
          </w14:textFill>
        </w:rPr>
        <w:t xml:space="preserve"> </w:t>
      </w:r>
      <w:r>
        <w:rPr>
          <w:rFonts w:eastAsia="Times New Roman"/>
          <w:color w:val="000000" w:themeColor="text1"/>
          <w:spacing w:val="-3"/>
          <w:sz w:val="24"/>
          <w:szCs w:val="24"/>
          <w:highlight w:val="none"/>
          <w14:textFill>
            <w14:solidFill>
              <w14:schemeClr w14:val="tx1"/>
            </w14:solidFill>
          </w14:textFill>
        </w:rPr>
        <w:t>14</w:t>
      </w:r>
      <w:r>
        <w:rPr>
          <w:rFonts w:eastAsia="Times New Roman"/>
          <w:color w:val="000000" w:themeColor="text1"/>
          <w:spacing w:val="14"/>
          <w:sz w:val="24"/>
          <w:szCs w:val="24"/>
          <w:highlight w:val="none"/>
          <w14:textFill>
            <w14:solidFill>
              <w14:schemeClr w14:val="tx1"/>
            </w14:solidFill>
          </w14:textFill>
        </w:rPr>
        <w:t xml:space="preserve"> </w:t>
      </w:r>
      <w:r>
        <w:rPr>
          <w:rFonts w:ascii="宋体" w:hAnsi="宋体" w:cs="宋体"/>
          <w:color w:val="000000" w:themeColor="text1"/>
          <w:spacing w:val="-3"/>
          <w:sz w:val="24"/>
          <w:szCs w:val="24"/>
          <w:highlight w:val="none"/>
          <w14:textFill>
            <w14:solidFill>
              <w14:schemeClr w14:val="tx1"/>
            </w14:solidFill>
          </w14:textFill>
        </w:rPr>
        <w:t>天后，发包人仍不</w:t>
      </w:r>
      <w:r>
        <w:rPr>
          <w:rFonts w:ascii="宋体" w:hAnsi="宋体" w:cs="宋体"/>
          <w:color w:val="000000" w:themeColor="text1"/>
          <w:spacing w:val="-4"/>
          <w:sz w:val="24"/>
          <w:szCs w:val="24"/>
          <w:highlight w:val="none"/>
          <w14:textFill>
            <w14:solidFill>
              <w14:schemeClr w14:val="tx1"/>
            </w14:solidFill>
          </w14:textFill>
        </w:rPr>
        <w:t>纠正违约行为的，</w:t>
      </w:r>
      <w:r>
        <w:rPr>
          <w:rFonts w:ascii="宋体" w:hAnsi="宋体" w:cs="宋体"/>
          <w:color w:val="000000" w:themeColor="text1"/>
          <w:spacing w:val="1"/>
          <w:sz w:val="24"/>
          <w:szCs w:val="24"/>
          <w:highlight w:val="none"/>
          <w14:textFill>
            <w14:solidFill>
              <w14:schemeClr w14:val="tx1"/>
            </w14:solidFill>
          </w14:textFill>
        </w:rPr>
        <w:t>承包人可向发包人发出解除合同通知。但承包人的这一行</w:t>
      </w:r>
      <w:r>
        <w:rPr>
          <w:rFonts w:ascii="宋体" w:hAnsi="宋体" w:cs="宋体"/>
          <w:color w:val="000000" w:themeColor="text1"/>
          <w:sz w:val="24"/>
          <w:szCs w:val="24"/>
          <w:highlight w:val="none"/>
          <w14:textFill>
            <w14:solidFill>
              <w14:schemeClr w14:val="tx1"/>
            </w14:solidFill>
          </w14:textFill>
        </w:rPr>
        <w:t>动不免除发包人承担的违</w:t>
      </w:r>
      <w:r>
        <w:rPr>
          <w:rFonts w:ascii="宋体" w:hAnsi="宋体" w:cs="宋体"/>
          <w:color w:val="000000" w:themeColor="text1"/>
          <w:spacing w:val="-1"/>
          <w:sz w:val="24"/>
          <w:szCs w:val="24"/>
          <w:highlight w:val="none"/>
          <w14:textFill>
            <w14:solidFill>
              <w14:schemeClr w14:val="tx1"/>
            </w14:solidFill>
          </w14:textFill>
        </w:rPr>
        <w:t>约责任，也不影响承包人根据合同约定享有的索赔权利。</w:t>
      </w:r>
    </w:p>
    <w:p w14:paraId="190E3AE8">
      <w:pPr>
        <w:spacing w:before="116" w:line="219" w:lineRule="auto"/>
        <w:ind w:left="476"/>
        <w:rPr>
          <w:rFonts w:ascii="宋体" w:hAnsi="宋体" w:cs="宋体"/>
          <w:color w:val="000000" w:themeColor="text1"/>
          <w:sz w:val="24"/>
          <w:szCs w:val="24"/>
          <w:highlight w:val="none"/>
          <w14:textFill>
            <w14:solidFill>
              <w14:schemeClr w14:val="tx1"/>
            </w14:solidFill>
          </w14:textFill>
        </w:rPr>
      </w:pPr>
      <w:r>
        <w:rPr>
          <w:rFonts w:eastAsia="Times New Roman"/>
          <w:color w:val="000000" w:themeColor="text1"/>
          <w:spacing w:val="-1"/>
          <w:sz w:val="24"/>
          <w:szCs w:val="24"/>
          <w:highlight w:val="none"/>
          <w14:textFill>
            <w14:solidFill>
              <w14:schemeClr w14:val="tx1"/>
            </w14:solidFill>
          </w14:textFill>
        </w:rPr>
        <w:t xml:space="preserve">22.2.4  </w:t>
      </w:r>
      <w:r>
        <w:rPr>
          <w:rFonts w:ascii="宋体" w:hAnsi="宋体" w:cs="宋体"/>
          <w:color w:val="000000" w:themeColor="text1"/>
          <w:spacing w:val="-1"/>
          <w:sz w:val="24"/>
          <w:szCs w:val="24"/>
          <w:highlight w:val="none"/>
          <w14:textFill>
            <w14:solidFill>
              <w14:schemeClr w14:val="tx1"/>
            </w14:solidFill>
          </w14:textFill>
        </w:rPr>
        <w:t>解除合同后的付款</w:t>
      </w:r>
    </w:p>
    <w:p w14:paraId="2A2BEB53">
      <w:pPr>
        <w:spacing w:before="117" w:line="307" w:lineRule="auto"/>
        <w:ind w:left="2" w:right="1" w:firstLine="496"/>
        <w:rPr>
          <w:rFonts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pacing w:val="2"/>
          <w:sz w:val="24"/>
          <w:szCs w:val="24"/>
          <w:highlight w:val="none"/>
          <w14:textFill>
            <w14:solidFill>
              <w14:schemeClr w14:val="tx1"/>
            </w14:solidFill>
          </w14:textFill>
        </w:rPr>
        <w:t>因发包人违约解除合同的，发包人应在解除合同后</w:t>
      </w:r>
      <w:r>
        <w:rPr>
          <w:rFonts w:ascii="宋体" w:hAnsi="宋体" w:cs="宋体"/>
          <w:color w:val="000000" w:themeColor="text1"/>
          <w:spacing w:val="-23"/>
          <w:sz w:val="24"/>
          <w:szCs w:val="24"/>
          <w:highlight w:val="none"/>
          <w14:textFill>
            <w14:solidFill>
              <w14:schemeClr w14:val="tx1"/>
            </w14:solidFill>
          </w14:textFill>
        </w:rPr>
        <w:t xml:space="preserve"> </w:t>
      </w:r>
      <w:r>
        <w:rPr>
          <w:rFonts w:eastAsia="Times New Roman"/>
          <w:color w:val="000000" w:themeColor="text1"/>
          <w:spacing w:val="2"/>
          <w:sz w:val="24"/>
          <w:szCs w:val="24"/>
          <w:highlight w:val="none"/>
          <w14:textFill>
            <w14:solidFill>
              <w14:schemeClr w14:val="tx1"/>
            </w14:solidFill>
          </w14:textFill>
        </w:rPr>
        <w:t>14</w:t>
      </w:r>
      <w:r>
        <w:rPr>
          <w:rFonts w:eastAsia="Times New Roman"/>
          <w:color w:val="000000" w:themeColor="text1"/>
          <w:spacing w:val="19"/>
          <w:sz w:val="24"/>
          <w:szCs w:val="24"/>
          <w:highlight w:val="none"/>
          <w14:textFill>
            <w14:solidFill>
              <w14:schemeClr w14:val="tx1"/>
            </w14:solidFill>
          </w14:textFill>
        </w:rPr>
        <w:t xml:space="preserve"> </w:t>
      </w:r>
      <w:r>
        <w:rPr>
          <w:rFonts w:ascii="宋体" w:hAnsi="宋体" w:cs="宋体"/>
          <w:color w:val="000000" w:themeColor="text1"/>
          <w:spacing w:val="2"/>
          <w:sz w:val="24"/>
          <w:szCs w:val="24"/>
          <w:highlight w:val="none"/>
          <w14:textFill>
            <w14:solidFill>
              <w14:schemeClr w14:val="tx1"/>
            </w14:solidFill>
          </w14:textFill>
        </w:rPr>
        <w:t>天内向承包人支付下列</w:t>
      </w:r>
      <w:r>
        <w:rPr>
          <w:rFonts w:ascii="宋体" w:hAnsi="宋体" w:cs="宋体"/>
          <w:color w:val="000000" w:themeColor="text1"/>
          <w:spacing w:val="-2"/>
          <w:sz w:val="24"/>
          <w:szCs w:val="24"/>
          <w:highlight w:val="none"/>
          <w14:textFill>
            <w14:solidFill>
              <w14:schemeClr w14:val="tx1"/>
            </w14:solidFill>
          </w14:textFill>
        </w:rPr>
        <w:t>金额，承包人应在此期限内及时向发包人提交要求支付下列金额的有关资料和凭证：</w:t>
      </w:r>
    </w:p>
    <w:p w14:paraId="65CE7DA9">
      <w:pPr>
        <w:spacing w:before="1" w:line="217" w:lineRule="auto"/>
        <w:ind w:left="492"/>
        <w:rPr>
          <w:rFonts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pacing w:val="-2"/>
          <w:sz w:val="24"/>
          <w:szCs w:val="24"/>
          <w:highlight w:val="none"/>
          <w14:textFill>
            <w14:solidFill>
              <w14:schemeClr w14:val="tx1"/>
            </w14:solidFill>
          </w14:textFill>
        </w:rPr>
        <w:t>（</w:t>
      </w:r>
      <w:r>
        <w:rPr>
          <w:rFonts w:eastAsia="Times New Roman"/>
          <w:color w:val="000000" w:themeColor="text1"/>
          <w:spacing w:val="-2"/>
          <w:sz w:val="24"/>
          <w:szCs w:val="24"/>
          <w:highlight w:val="none"/>
          <w14:textFill>
            <w14:solidFill>
              <w14:schemeClr w14:val="tx1"/>
            </w14:solidFill>
          </w14:textFill>
        </w:rPr>
        <w:t>1</w:t>
      </w:r>
      <w:r>
        <w:rPr>
          <w:rFonts w:ascii="宋体" w:hAnsi="宋体" w:cs="宋体"/>
          <w:color w:val="000000" w:themeColor="text1"/>
          <w:spacing w:val="-2"/>
          <w:sz w:val="24"/>
          <w:szCs w:val="24"/>
          <w:highlight w:val="none"/>
          <w14:textFill>
            <w14:solidFill>
              <w14:schemeClr w14:val="tx1"/>
            </w14:solidFill>
          </w14:textFill>
        </w:rPr>
        <w:t>）合同解除日以前所完成工作的价款；</w:t>
      </w:r>
    </w:p>
    <w:p w14:paraId="1B0A7FE8">
      <w:pPr>
        <w:spacing w:before="78" w:line="263" w:lineRule="auto"/>
        <w:ind w:right="164" w:firstLine="491"/>
        <w:rPr>
          <w:rFonts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pacing w:val="4"/>
          <w:sz w:val="24"/>
          <w:szCs w:val="24"/>
          <w:highlight w:val="none"/>
          <w14:textFill>
            <w14:solidFill>
              <w14:schemeClr w14:val="tx1"/>
            </w14:solidFill>
          </w14:textFill>
        </w:rPr>
        <w:t>（</w:t>
      </w:r>
      <w:r>
        <w:rPr>
          <w:rFonts w:eastAsia="Times New Roman"/>
          <w:color w:val="000000" w:themeColor="text1"/>
          <w:spacing w:val="4"/>
          <w:sz w:val="24"/>
          <w:szCs w:val="24"/>
          <w:highlight w:val="none"/>
          <w14:textFill>
            <w14:solidFill>
              <w14:schemeClr w14:val="tx1"/>
            </w14:solidFill>
          </w14:textFill>
        </w:rPr>
        <w:t>2</w:t>
      </w:r>
      <w:r>
        <w:rPr>
          <w:rFonts w:ascii="宋体" w:hAnsi="宋体" w:cs="宋体"/>
          <w:color w:val="000000" w:themeColor="text1"/>
          <w:spacing w:val="4"/>
          <w:sz w:val="24"/>
          <w:szCs w:val="24"/>
          <w:highlight w:val="none"/>
          <w14:textFill>
            <w14:solidFill>
              <w14:schemeClr w14:val="tx1"/>
            </w14:solidFill>
          </w14:textFill>
        </w:rPr>
        <w:t>）承包人为实施养护作业订购并已付款的材料、工程设备和其他物品</w:t>
      </w:r>
      <w:r>
        <w:rPr>
          <w:rFonts w:ascii="宋体" w:hAnsi="宋体" w:cs="宋体"/>
          <w:color w:val="000000" w:themeColor="text1"/>
          <w:spacing w:val="3"/>
          <w:sz w:val="24"/>
          <w:szCs w:val="24"/>
          <w:highlight w:val="none"/>
          <w14:textFill>
            <w14:solidFill>
              <w14:schemeClr w14:val="tx1"/>
            </w14:solidFill>
          </w14:textFill>
        </w:rPr>
        <w:t>的金</w:t>
      </w:r>
      <w:r>
        <w:rPr>
          <w:rFonts w:ascii="宋体" w:hAnsi="宋体" w:cs="宋体"/>
          <w:color w:val="000000" w:themeColor="text1"/>
          <w:spacing w:val="-1"/>
          <w:sz w:val="24"/>
          <w:szCs w:val="24"/>
          <w:highlight w:val="none"/>
          <w14:textFill>
            <w14:solidFill>
              <w14:schemeClr w14:val="tx1"/>
            </w14:solidFill>
          </w14:textFill>
        </w:rPr>
        <w:t>额；发包人付款后，该材料、工程设备和其他物品归发包人所有；</w:t>
      </w:r>
    </w:p>
    <w:p w14:paraId="42BB2E2A">
      <w:pPr>
        <w:spacing w:before="114" w:line="219" w:lineRule="auto"/>
        <w:ind w:left="492"/>
        <w:rPr>
          <w:rFonts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pacing w:val="-1"/>
          <w:sz w:val="24"/>
          <w:szCs w:val="24"/>
          <w:highlight w:val="none"/>
          <w14:textFill>
            <w14:solidFill>
              <w14:schemeClr w14:val="tx1"/>
            </w14:solidFill>
          </w14:textFill>
        </w:rPr>
        <w:t>（</w:t>
      </w:r>
      <w:r>
        <w:rPr>
          <w:rFonts w:eastAsia="Times New Roman"/>
          <w:color w:val="000000" w:themeColor="text1"/>
          <w:spacing w:val="-1"/>
          <w:sz w:val="24"/>
          <w:szCs w:val="24"/>
          <w:highlight w:val="none"/>
          <w14:textFill>
            <w14:solidFill>
              <w14:schemeClr w14:val="tx1"/>
            </w14:solidFill>
          </w14:textFill>
        </w:rPr>
        <w:t>3</w:t>
      </w:r>
      <w:r>
        <w:rPr>
          <w:rFonts w:ascii="宋体" w:hAnsi="宋体" w:cs="宋体"/>
          <w:color w:val="000000" w:themeColor="text1"/>
          <w:spacing w:val="-1"/>
          <w:sz w:val="24"/>
          <w:szCs w:val="24"/>
          <w:highlight w:val="none"/>
          <w14:textFill>
            <w14:solidFill>
              <w14:schemeClr w14:val="tx1"/>
            </w14:solidFill>
          </w14:textFill>
        </w:rPr>
        <w:t>）承包人为实施养护项目所发生的，而发包人未支付的金额；</w:t>
      </w:r>
    </w:p>
    <w:p w14:paraId="18FAB430">
      <w:pPr>
        <w:spacing w:before="116" w:line="219" w:lineRule="auto"/>
        <w:ind w:left="492"/>
        <w:rPr>
          <w:rFonts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pacing w:val="-1"/>
          <w:sz w:val="24"/>
          <w:szCs w:val="24"/>
          <w:highlight w:val="none"/>
          <w14:textFill>
            <w14:solidFill>
              <w14:schemeClr w14:val="tx1"/>
            </w14:solidFill>
          </w14:textFill>
        </w:rPr>
        <w:t>（</w:t>
      </w:r>
      <w:r>
        <w:rPr>
          <w:rFonts w:eastAsia="Times New Roman"/>
          <w:color w:val="000000" w:themeColor="text1"/>
          <w:spacing w:val="-1"/>
          <w:sz w:val="24"/>
          <w:szCs w:val="24"/>
          <w:highlight w:val="none"/>
          <w14:textFill>
            <w14:solidFill>
              <w14:schemeClr w14:val="tx1"/>
            </w14:solidFill>
          </w14:textFill>
        </w:rPr>
        <w:t>4</w:t>
      </w:r>
      <w:r>
        <w:rPr>
          <w:rFonts w:ascii="宋体" w:hAnsi="宋体" w:cs="宋体"/>
          <w:color w:val="000000" w:themeColor="text1"/>
          <w:spacing w:val="-1"/>
          <w:sz w:val="24"/>
          <w:szCs w:val="24"/>
          <w:highlight w:val="none"/>
          <w14:textFill>
            <w14:solidFill>
              <w14:schemeClr w14:val="tx1"/>
            </w14:solidFill>
          </w14:textFill>
        </w:rPr>
        <w:t>）承包人撤离养护作业场地以及遣散承包人人员的金额；</w:t>
      </w:r>
    </w:p>
    <w:p w14:paraId="39AFEB72">
      <w:pPr>
        <w:spacing w:before="116" w:line="219" w:lineRule="auto"/>
        <w:ind w:left="492"/>
        <w:rPr>
          <w:rFonts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pacing w:val="-2"/>
          <w:sz w:val="24"/>
          <w:szCs w:val="24"/>
          <w:highlight w:val="none"/>
          <w14:textFill>
            <w14:solidFill>
              <w14:schemeClr w14:val="tx1"/>
            </w14:solidFill>
          </w14:textFill>
        </w:rPr>
        <w:t>（</w:t>
      </w:r>
      <w:r>
        <w:rPr>
          <w:rFonts w:eastAsia="Times New Roman"/>
          <w:color w:val="000000" w:themeColor="text1"/>
          <w:spacing w:val="-2"/>
          <w:sz w:val="24"/>
          <w:szCs w:val="24"/>
          <w:highlight w:val="none"/>
          <w14:textFill>
            <w14:solidFill>
              <w14:schemeClr w14:val="tx1"/>
            </w14:solidFill>
          </w14:textFill>
        </w:rPr>
        <w:t>5</w:t>
      </w:r>
      <w:r>
        <w:rPr>
          <w:rFonts w:ascii="宋体" w:hAnsi="宋体" w:cs="宋体"/>
          <w:color w:val="000000" w:themeColor="text1"/>
          <w:spacing w:val="-2"/>
          <w:sz w:val="24"/>
          <w:szCs w:val="24"/>
          <w:highlight w:val="none"/>
          <w14:textFill>
            <w14:solidFill>
              <w14:schemeClr w14:val="tx1"/>
            </w14:solidFill>
          </w14:textFill>
        </w:rPr>
        <w:t>）由于解除合同应赔偿的承包人损失；</w:t>
      </w:r>
    </w:p>
    <w:p w14:paraId="331E9C9F">
      <w:pPr>
        <w:spacing w:before="113" w:line="219" w:lineRule="auto"/>
        <w:ind w:left="492"/>
        <w:rPr>
          <w:rFonts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pacing w:val="-1"/>
          <w:sz w:val="24"/>
          <w:szCs w:val="24"/>
          <w:highlight w:val="none"/>
          <w14:textFill>
            <w14:solidFill>
              <w14:schemeClr w14:val="tx1"/>
            </w14:solidFill>
          </w14:textFill>
        </w:rPr>
        <w:t>（</w:t>
      </w:r>
      <w:r>
        <w:rPr>
          <w:rFonts w:eastAsia="Times New Roman"/>
          <w:color w:val="000000" w:themeColor="text1"/>
          <w:spacing w:val="-1"/>
          <w:sz w:val="24"/>
          <w:szCs w:val="24"/>
          <w:highlight w:val="none"/>
          <w14:textFill>
            <w14:solidFill>
              <w14:schemeClr w14:val="tx1"/>
            </w14:solidFill>
          </w14:textFill>
        </w:rPr>
        <w:t>6</w:t>
      </w:r>
      <w:r>
        <w:rPr>
          <w:rFonts w:ascii="宋体" w:hAnsi="宋体" w:cs="宋体"/>
          <w:color w:val="000000" w:themeColor="text1"/>
          <w:spacing w:val="-1"/>
          <w:sz w:val="24"/>
          <w:szCs w:val="24"/>
          <w:highlight w:val="none"/>
          <w14:textFill>
            <w14:solidFill>
              <w14:schemeClr w14:val="tx1"/>
            </w14:solidFill>
          </w14:textFill>
        </w:rPr>
        <w:t>）按合同约定在合同解除日前应支付给承包人的其他金额。</w:t>
      </w:r>
    </w:p>
    <w:p w14:paraId="0D245E38">
      <w:pPr>
        <w:spacing w:before="116" w:line="307" w:lineRule="auto"/>
        <w:ind w:left="2" w:right="164" w:firstLine="481"/>
        <w:rPr>
          <w:rFonts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pacing w:val="1"/>
          <w:sz w:val="24"/>
          <w:szCs w:val="24"/>
          <w:highlight w:val="none"/>
          <w14:textFill>
            <w14:solidFill>
              <w14:schemeClr w14:val="tx1"/>
            </w14:solidFill>
          </w14:textFill>
        </w:rPr>
        <w:t>发包人应按本项约定支付上述金额并退还质量保</w:t>
      </w:r>
      <w:r>
        <w:rPr>
          <w:rFonts w:ascii="宋体" w:hAnsi="宋体" w:cs="宋体"/>
          <w:color w:val="000000" w:themeColor="text1"/>
          <w:sz w:val="24"/>
          <w:szCs w:val="24"/>
          <w:highlight w:val="none"/>
          <w14:textFill>
            <w14:solidFill>
              <w14:schemeClr w14:val="tx1"/>
            </w14:solidFill>
          </w14:textFill>
        </w:rPr>
        <w:t>证金和履约保证金，但有权要</w:t>
      </w:r>
      <w:r>
        <w:rPr>
          <w:rFonts w:ascii="宋体" w:hAnsi="宋体" w:cs="宋体"/>
          <w:color w:val="000000" w:themeColor="text1"/>
          <w:spacing w:val="-1"/>
          <w:sz w:val="24"/>
          <w:szCs w:val="24"/>
          <w:highlight w:val="none"/>
          <w14:textFill>
            <w14:solidFill>
              <w14:schemeClr w14:val="tx1"/>
            </w14:solidFill>
          </w14:textFill>
        </w:rPr>
        <w:t>求承包人支付应偿还给发包人的各项金额。</w:t>
      </w:r>
    </w:p>
    <w:p w14:paraId="710056DD">
      <w:pPr>
        <w:spacing w:line="219" w:lineRule="auto"/>
        <w:ind w:left="476"/>
        <w:rPr>
          <w:rFonts w:ascii="宋体" w:hAnsi="宋体" w:cs="宋体"/>
          <w:color w:val="000000" w:themeColor="text1"/>
          <w:sz w:val="24"/>
          <w:szCs w:val="24"/>
          <w:highlight w:val="none"/>
          <w14:textFill>
            <w14:solidFill>
              <w14:schemeClr w14:val="tx1"/>
            </w14:solidFill>
          </w14:textFill>
        </w:rPr>
      </w:pPr>
      <w:r>
        <w:rPr>
          <w:rFonts w:eastAsia="Times New Roman"/>
          <w:color w:val="000000" w:themeColor="text1"/>
          <w:spacing w:val="-1"/>
          <w:sz w:val="24"/>
          <w:szCs w:val="24"/>
          <w:highlight w:val="none"/>
          <w14:textFill>
            <w14:solidFill>
              <w14:schemeClr w14:val="tx1"/>
            </w14:solidFill>
          </w14:textFill>
        </w:rPr>
        <w:t xml:space="preserve">22.2.5  </w:t>
      </w:r>
      <w:r>
        <w:rPr>
          <w:rFonts w:ascii="宋体" w:hAnsi="宋体" w:cs="宋体"/>
          <w:color w:val="000000" w:themeColor="text1"/>
          <w:spacing w:val="-1"/>
          <w:sz w:val="24"/>
          <w:szCs w:val="24"/>
          <w:highlight w:val="none"/>
          <w14:textFill>
            <w14:solidFill>
              <w14:schemeClr w14:val="tx1"/>
            </w14:solidFill>
          </w14:textFill>
        </w:rPr>
        <w:t>解除合同后的承包人撤离</w:t>
      </w:r>
    </w:p>
    <w:p w14:paraId="4BB1427D">
      <w:pPr>
        <w:spacing w:before="117" w:line="305" w:lineRule="auto"/>
        <w:ind w:left="1" w:right="164" w:firstLine="497"/>
        <w:rPr>
          <w:rFonts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因发包人违约而解除合同后，承包人应妥善做好已养护项目和已购材料、设备</w:t>
      </w:r>
      <w:r>
        <w:rPr>
          <w:rFonts w:ascii="宋体" w:hAnsi="宋体" w:cs="宋体"/>
          <w:color w:val="000000" w:themeColor="text1"/>
          <w:spacing w:val="1"/>
          <w:sz w:val="24"/>
          <w:szCs w:val="24"/>
          <w:highlight w:val="none"/>
          <w14:textFill>
            <w14:solidFill>
              <w14:schemeClr w14:val="tx1"/>
            </w14:solidFill>
          </w14:textFill>
        </w:rPr>
        <w:t>的保护工作，按发包人要求将承包人设备和人员撤出养</w:t>
      </w:r>
      <w:r>
        <w:rPr>
          <w:rFonts w:ascii="宋体" w:hAnsi="宋体" w:cs="宋体"/>
          <w:color w:val="000000" w:themeColor="text1"/>
          <w:sz w:val="24"/>
          <w:szCs w:val="24"/>
          <w:highlight w:val="none"/>
          <w14:textFill>
            <w14:solidFill>
              <w14:schemeClr w14:val="tx1"/>
            </w14:solidFill>
          </w14:textFill>
        </w:rPr>
        <w:t>护作业场地。承包人撤出养</w:t>
      </w:r>
      <w:r>
        <w:rPr>
          <w:rFonts w:ascii="宋体" w:hAnsi="宋体" w:cs="宋体"/>
          <w:color w:val="000000" w:themeColor="text1"/>
          <w:spacing w:val="-1"/>
          <w:sz w:val="24"/>
          <w:szCs w:val="24"/>
          <w:highlight w:val="none"/>
          <w14:textFill>
            <w14:solidFill>
              <w14:schemeClr w14:val="tx1"/>
            </w14:solidFill>
          </w14:textFill>
        </w:rPr>
        <w:t>护作业场地应遵守第</w:t>
      </w:r>
      <w:r>
        <w:rPr>
          <w:rFonts w:ascii="宋体" w:hAnsi="宋体" w:cs="宋体"/>
          <w:color w:val="000000" w:themeColor="text1"/>
          <w:spacing w:val="-32"/>
          <w:sz w:val="24"/>
          <w:szCs w:val="24"/>
          <w:highlight w:val="none"/>
          <w14:textFill>
            <w14:solidFill>
              <w14:schemeClr w14:val="tx1"/>
            </w14:solidFill>
          </w14:textFill>
        </w:rPr>
        <w:t xml:space="preserve"> </w:t>
      </w:r>
      <w:r>
        <w:rPr>
          <w:rFonts w:eastAsia="Times New Roman"/>
          <w:color w:val="000000" w:themeColor="text1"/>
          <w:spacing w:val="-1"/>
          <w:sz w:val="24"/>
          <w:szCs w:val="24"/>
          <w:highlight w:val="none"/>
          <w14:textFill>
            <w14:solidFill>
              <w14:schemeClr w14:val="tx1"/>
            </w14:solidFill>
          </w14:textFill>
        </w:rPr>
        <w:t xml:space="preserve">18.6 </w:t>
      </w:r>
      <w:r>
        <w:rPr>
          <w:rFonts w:ascii="宋体" w:hAnsi="宋体" w:cs="宋体"/>
          <w:color w:val="000000" w:themeColor="text1"/>
          <w:spacing w:val="-1"/>
          <w:sz w:val="24"/>
          <w:szCs w:val="24"/>
          <w:highlight w:val="none"/>
          <w14:textFill>
            <w14:solidFill>
              <w14:schemeClr w14:val="tx1"/>
            </w14:solidFill>
          </w14:textFill>
        </w:rPr>
        <w:t>款的约定，发包人应为承包人撤出提供必</w:t>
      </w:r>
      <w:r>
        <w:rPr>
          <w:rFonts w:ascii="宋体" w:hAnsi="宋体" w:cs="宋体"/>
          <w:color w:val="000000" w:themeColor="text1"/>
          <w:spacing w:val="-2"/>
          <w:sz w:val="24"/>
          <w:szCs w:val="24"/>
          <w:highlight w:val="none"/>
          <w14:textFill>
            <w14:solidFill>
              <w14:schemeClr w14:val="tx1"/>
            </w14:solidFill>
          </w14:textFill>
        </w:rPr>
        <w:t>要条件。</w:t>
      </w:r>
    </w:p>
    <w:p w14:paraId="5257B4C9">
      <w:pPr>
        <w:spacing w:line="219" w:lineRule="auto"/>
        <w:ind w:left="477"/>
        <w:outlineLvl w:val="3"/>
        <w:rPr>
          <w:rFonts w:ascii="宋体" w:hAnsi="宋体" w:cs="宋体"/>
          <w:color w:val="000000" w:themeColor="text1"/>
          <w:sz w:val="24"/>
          <w:szCs w:val="24"/>
          <w:highlight w:val="none"/>
          <w14:textFill>
            <w14:solidFill>
              <w14:schemeClr w14:val="tx1"/>
            </w14:solidFill>
          </w14:textFill>
        </w:rPr>
      </w:pPr>
      <w:r>
        <w:rPr>
          <w:rFonts w:eastAsia="Times New Roman"/>
          <w:b/>
          <w:bCs/>
          <w:color w:val="000000" w:themeColor="text1"/>
          <w:spacing w:val="-2"/>
          <w:sz w:val="24"/>
          <w:szCs w:val="24"/>
          <w:highlight w:val="none"/>
          <w14:textFill>
            <w14:solidFill>
              <w14:schemeClr w14:val="tx1"/>
            </w14:solidFill>
          </w14:textFill>
        </w:rPr>
        <w:t xml:space="preserve">22.3 </w:t>
      </w:r>
      <w:r>
        <w:rPr>
          <w:rFonts w:ascii="宋体" w:hAnsi="宋体" w:cs="宋体"/>
          <w:b/>
          <w:bCs/>
          <w:color w:val="000000" w:themeColor="text1"/>
          <w:spacing w:val="-2"/>
          <w:sz w:val="24"/>
          <w:szCs w:val="24"/>
          <w:highlight w:val="none"/>
          <w14:textFill>
            <w14:solidFill>
              <w14:schemeClr w14:val="tx1"/>
            </w14:solidFill>
          </w14:textFill>
        </w:rPr>
        <w:t>第三人造成的违约</w:t>
      </w:r>
    </w:p>
    <w:p w14:paraId="175BB01F">
      <w:pPr>
        <w:spacing w:before="125" w:line="309" w:lineRule="auto"/>
        <w:ind w:left="2" w:right="164" w:firstLine="477"/>
        <w:rPr>
          <w:rFonts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pacing w:val="1"/>
          <w:sz w:val="24"/>
          <w:szCs w:val="24"/>
          <w:highlight w:val="none"/>
          <w14:textFill>
            <w14:solidFill>
              <w14:schemeClr w14:val="tx1"/>
            </w14:solidFill>
          </w14:textFill>
        </w:rPr>
        <w:t>在履行合同过程中，一方当事人因第三人的原因造成违约的</w:t>
      </w:r>
      <w:r>
        <w:rPr>
          <w:rFonts w:ascii="宋体" w:hAnsi="宋体" w:cs="宋体"/>
          <w:color w:val="000000" w:themeColor="text1"/>
          <w:sz w:val="24"/>
          <w:szCs w:val="24"/>
          <w:highlight w:val="none"/>
          <w14:textFill>
            <w14:solidFill>
              <w14:schemeClr w14:val="tx1"/>
            </w14:solidFill>
          </w14:textFill>
        </w:rPr>
        <w:t>，应当向对方当事</w:t>
      </w:r>
      <w:r>
        <w:rPr>
          <w:rFonts w:ascii="宋体" w:hAnsi="宋体" w:cs="宋体"/>
          <w:color w:val="000000" w:themeColor="text1"/>
          <w:spacing w:val="1"/>
          <w:sz w:val="24"/>
          <w:szCs w:val="24"/>
          <w:highlight w:val="none"/>
          <w14:textFill>
            <w14:solidFill>
              <w14:schemeClr w14:val="tx1"/>
            </w14:solidFill>
          </w14:textFill>
        </w:rPr>
        <w:t>人承担违约责任。一方当事人和第三人之间的纠纷，</w:t>
      </w:r>
      <w:r>
        <w:rPr>
          <w:rFonts w:ascii="宋体" w:hAnsi="宋体" w:cs="宋体"/>
          <w:color w:val="000000" w:themeColor="text1"/>
          <w:sz w:val="24"/>
          <w:szCs w:val="24"/>
          <w:highlight w:val="none"/>
          <w14:textFill>
            <w14:solidFill>
              <w14:schemeClr w14:val="tx1"/>
            </w14:solidFill>
          </w14:textFill>
        </w:rPr>
        <w:t>依照法律规定或者按照约定解</w:t>
      </w:r>
      <w:r>
        <w:rPr>
          <w:rFonts w:ascii="宋体" w:hAnsi="宋体" w:cs="宋体"/>
          <w:color w:val="000000" w:themeColor="text1"/>
          <w:spacing w:val="-6"/>
          <w:sz w:val="24"/>
          <w:szCs w:val="24"/>
          <w:highlight w:val="none"/>
          <w14:textFill>
            <w14:solidFill>
              <w14:schemeClr w14:val="tx1"/>
            </w14:solidFill>
          </w14:textFill>
        </w:rPr>
        <w:t>决。</w:t>
      </w:r>
    </w:p>
    <w:p w14:paraId="34FC2E55">
      <w:pPr>
        <w:spacing w:before="305" w:line="219" w:lineRule="auto"/>
        <w:ind w:left="477"/>
        <w:outlineLvl w:val="2"/>
        <w:rPr>
          <w:rFonts w:ascii="宋体" w:hAnsi="宋体" w:cs="宋体"/>
          <w:color w:val="000000" w:themeColor="text1"/>
          <w:sz w:val="24"/>
          <w:szCs w:val="24"/>
          <w:highlight w:val="none"/>
          <w14:textFill>
            <w14:solidFill>
              <w14:schemeClr w14:val="tx1"/>
            </w14:solidFill>
          </w14:textFill>
        </w:rPr>
      </w:pPr>
      <w:bookmarkStart w:id="182" w:name="bookmark52"/>
      <w:bookmarkEnd w:id="182"/>
      <w:bookmarkStart w:id="183" w:name="bookmark51"/>
      <w:bookmarkEnd w:id="183"/>
      <w:bookmarkStart w:id="184" w:name="_Toc27870"/>
      <w:r>
        <w:rPr>
          <w:rFonts w:eastAsia="Times New Roman"/>
          <w:b/>
          <w:bCs/>
          <w:color w:val="000000" w:themeColor="text1"/>
          <w:spacing w:val="-5"/>
          <w:sz w:val="24"/>
          <w:szCs w:val="24"/>
          <w:highlight w:val="none"/>
          <w14:textFill>
            <w14:solidFill>
              <w14:schemeClr w14:val="tx1"/>
            </w14:solidFill>
          </w14:textFill>
        </w:rPr>
        <w:t>23.</w:t>
      </w:r>
      <w:r>
        <w:rPr>
          <w:rFonts w:eastAsia="Times New Roman"/>
          <w:b/>
          <w:bCs/>
          <w:color w:val="000000" w:themeColor="text1"/>
          <w:spacing w:val="7"/>
          <w:sz w:val="24"/>
          <w:szCs w:val="24"/>
          <w:highlight w:val="none"/>
          <w14:textFill>
            <w14:solidFill>
              <w14:schemeClr w14:val="tx1"/>
            </w14:solidFill>
          </w14:textFill>
        </w:rPr>
        <w:t xml:space="preserve">  </w:t>
      </w:r>
      <w:r>
        <w:rPr>
          <w:rFonts w:ascii="宋体" w:hAnsi="宋体" w:cs="宋体"/>
          <w:b/>
          <w:bCs/>
          <w:color w:val="000000" w:themeColor="text1"/>
          <w:spacing w:val="-5"/>
          <w:sz w:val="24"/>
          <w:szCs w:val="24"/>
          <w:highlight w:val="none"/>
          <w14:textFill>
            <w14:solidFill>
              <w14:schemeClr w14:val="tx1"/>
            </w14:solidFill>
          </w14:textFill>
        </w:rPr>
        <w:t>索赔</w:t>
      </w:r>
      <w:bookmarkEnd w:id="184"/>
    </w:p>
    <w:p w14:paraId="6EB683D0">
      <w:pPr>
        <w:spacing w:before="261" w:line="219" w:lineRule="auto"/>
        <w:ind w:left="477"/>
        <w:outlineLvl w:val="3"/>
        <w:rPr>
          <w:rFonts w:ascii="宋体" w:hAnsi="宋体" w:cs="宋体"/>
          <w:color w:val="000000" w:themeColor="text1"/>
          <w:sz w:val="24"/>
          <w:szCs w:val="24"/>
          <w:highlight w:val="none"/>
          <w14:textFill>
            <w14:solidFill>
              <w14:schemeClr w14:val="tx1"/>
            </w14:solidFill>
          </w14:textFill>
        </w:rPr>
      </w:pPr>
      <w:r>
        <w:rPr>
          <w:rFonts w:eastAsia="Times New Roman"/>
          <w:b/>
          <w:bCs/>
          <w:color w:val="000000" w:themeColor="text1"/>
          <w:spacing w:val="-2"/>
          <w:sz w:val="24"/>
          <w:szCs w:val="24"/>
          <w:highlight w:val="none"/>
          <w14:textFill>
            <w14:solidFill>
              <w14:schemeClr w14:val="tx1"/>
            </w14:solidFill>
          </w14:textFill>
        </w:rPr>
        <w:t xml:space="preserve">23.1  </w:t>
      </w:r>
      <w:r>
        <w:rPr>
          <w:rFonts w:ascii="宋体" w:hAnsi="宋体" w:cs="宋体"/>
          <w:b/>
          <w:bCs/>
          <w:color w:val="000000" w:themeColor="text1"/>
          <w:spacing w:val="-2"/>
          <w:sz w:val="24"/>
          <w:szCs w:val="24"/>
          <w:highlight w:val="none"/>
          <w14:textFill>
            <w14:solidFill>
              <w14:schemeClr w14:val="tx1"/>
            </w14:solidFill>
          </w14:textFill>
        </w:rPr>
        <w:t>承包人索赔的提出</w:t>
      </w:r>
    </w:p>
    <w:p w14:paraId="75CAD233">
      <w:pPr>
        <w:spacing w:before="126" w:line="308" w:lineRule="auto"/>
        <w:ind w:right="164" w:firstLine="480"/>
        <w:rPr>
          <w:rFonts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pacing w:val="1"/>
          <w:sz w:val="24"/>
          <w:szCs w:val="24"/>
          <w:highlight w:val="none"/>
          <w14:textFill>
            <w14:solidFill>
              <w14:schemeClr w14:val="tx1"/>
            </w14:solidFill>
          </w14:textFill>
        </w:rPr>
        <w:t>根据合同约定，承包人认为有权得到追加付款和（或）延</w:t>
      </w:r>
      <w:r>
        <w:rPr>
          <w:rFonts w:ascii="宋体" w:hAnsi="宋体" w:cs="宋体"/>
          <w:color w:val="000000" w:themeColor="text1"/>
          <w:sz w:val="24"/>
          <w:szCs w:val="24"/>
          <w:highlight w:val="none"/>
          <w14:textFill>
            <w14:solidFill>
              <w14:schemeClr w14:val="tx1"/>
            </w14:solidFill>
          </w14:textFill>
        </w:rPr>
        <w:t>长工期的，应按以下</w:t>
      </w:r>
      <w:r>
        <w:rPr>
          <w:rFonts w:ascii="宋体" w:hAnsi="宋体" w:cs="宋体"/>
          <w:color w:val="000000" w:themeColor="text1"/>
          <w:spacing w:val="-1"/>
          <w:sz w:val="24"/>
          <w:szCs w:val="24"/>
          <w:highlight w:val="none"/>
          <w14:textFill>
            <w14:solidFill>
              <w14:schemeClr w14:val="tx1"/>
            </w14:solidFill>
          </w14:textFill>
        </w:rPr>
        <w:t>程序向发包人提出索赔：</w:t>
      </w:r>
    </w:p>
    <w:p w14:paraId="148BDB22">
      <w:pPr>
        <w:spacing w:before="3" w:line="277" w:lineRule="auto"/>
        <w:ind w:left="5" w:right="166" w:firstLine="486"/>
        <w:rPr>
          <w:rFonts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pacing w:val="-1"/>
          <w:sz w:val="24"/>
          <w:szCs w:val="24"/>
          <w:highlight w:val="none"/>
          <w14:textFill>
            <w14:solidFill>
              <w14:schemeClr w14:val="tx1"/>
            </w14:solidFill>
          </w14:textFill>
        </w:rPr>
        <w:t>（</w:t>
      </w:r>
      <w:r>
        <w:rPr>
          <w:rFonts w:eastAsia="Times New Roman"/>
          <w:color w:val="000000" w:themeColor="text1"/>
          <w:spacing w:val="-1"/>
          <w:sz w:val="24"/>
          <w:szCs w:val="24"/>
          <w:highlight w:val="none"/>
          <w14:textFill>
            <w14:solidFill>
              <w14:schemeClr w14:val="tx1"/>
            </w14:solidFill>
          </w14:textFill>
        </w:rPr>
        <w:t>1</w:t>
      </w:r>
      <w:r>
        <w:rPr>
          <w:rFonts w:ascii="宋体" w:hAnsi="宋体" w:cs="宋体"/>
          <w:color w:val="000000" w:themeColor="text1"/>
          <w:spacing w:val="-1"/>
          <w:sz w:val="24"/>
          <w:szCs w:val="24"/>
          <w:highlight w:val="none"/>
          <w14:textFill>
            <w14:solidFill>
              <w14:schemeClr w14:val="tx1"/>
            </w14:solidFill>
          </w14:textFill>
        </w:rPr>
        <w:t>）承包人应在知道或应当知道索赔事件发生后</w:t>
      </w:r>
      <w:r>
        <w:rPr>
          <w:rFonts w:ascii="宋体" w:hAnsi="宋体" w:cs="宋体"/>
          <w:color w:val="000000" w:themeColor="text1"/>
          <w:spacing w:val="-13"/>
          <w:sz w:val="24"/>
          <w:szCs w:val="24"/>
          <w:highlight w:val="none"/>
          <w14:textFill>
            <w14:solidFill>
              <w14:schemeClr w14:val="tx1"/>
            </w14:solidFill>
          </w14:textFill>
        </w:rPr>
        <w:t xml:space="preserve"> </w:t>
      </w:r>
      <w:r>
        <w:rPr>
          <w:rFonts w:eastAsia="Times New Roman"/>
          <w:color w:val="000000" w:themeColor="text1"/>
          <w:spacing w:val="-1"/>
          <w:sz w:val="24"/>
          <w:szCs w:val="24"/>
          <w:highlight w:val="none"/>
          <w14:textFill>
            <w14:solidFill>
              <w14:schemeClr w14:val="tx1"/>
            </w14:solidFill>
          </w14:textFill>
        </w:rPr>
        <w:t xml:space="preserve">14 </w:t>
      </w:r>
      <w:r>
        <w:rPr>
          <w:rFonts w:ascii="宋体" w:hAnsi="宋体" w:cs="宋体"/>
          <w:color w:val="000000" w:themeColor="text1"/>
          <w:spacing w:val="-1"/>
          <w:sz w:val="24"/>
          <w:szCs w:val="24"/>
          <w:highlight w:val="none"/>
          <w14:textFill>
            <w14:solidFill>
              <w14:schemeClr w14:val="tx1"/>
            </w14:solidFill>
          </w14:textFill>
        </w:rPr>
        <w:t>天内向咨询人递交索赔意</w:t>
      </w:r>
      <w:r>
        <w:rPr>
          <w:rFonts w:ascii="宋体" w:hAnsi="宋体" w:cs="宋体"/>
          <w:color w:val="000000" w:themeColor="text1"/>
          <w:spacing w:val="2"/>
          <w:sz w:val="24"/>
          <w:szCs w:val="24"/>
          <w:highlight w:val="none"/>
          <w14:textFill>
            <w14:solidFill>
              <w14:schemeClr w14:val="tx1"/>
            </w14:solidFill>
          </w14:textFill>
        </w:rPr>
        <w:t>向通知书，并说明发生索赔事件的事由。承包人未在前述</w:t>
      </w:r>
      <w:r>
        <w:rPr>
          <w:rFonts w:ascii="宋体" w:hAnsi="宋体" w:cs="宋体"/>
          <w:color w:val="000000" w:themeColor="text1"/>
          <w:spacing w:val="-13"/>
          <w:sz w:val="24"/>
          <w:szCs w:val="24"/>
          <w:highlight w:val="none"/>
          <w14:textFill>
            <w14:solidFill>
              <w14:schemeClr w14:val="tx1"/>
            </w14:solidFill>
          </w14:textFill>
        </w:rPr>
        <w:t xml:space="preserve"> </w:t>
      </w:r>
      <w:r>
        <w:rPr>
          <w:rFonts w:eastAsia="Times New Roman"/>
          <w:color w:val="000000" w:themeColor="text1"/>
          <w:spacing w:val="2"/>
          <w:sz w:val="24"/>
          <w:szCs w:val="24"/>
          <w:highlight w:val="none"/>
          <w14:textFill>
            <w14:solidFill>
              <w14:schemeClr w14:val="tx1"/>
            </w14:solidFill>
          </w14:textFill>
        </w:rPr>
        <w:t>14</w:t>
      </w:r>
      <w:r>
        <w:rPr>
          <w:rFonts w:eastAsia="Times New Roman"/>
          <w:color w:val="000000" w:themeColor="text1"/>
          <w:spacing w:val="19"/>
          <w:sz w:val="24"/>
          <w:szCs w:val="24"/>
          <w:highlight w:val="none"/>
          <w14:textFill>
            <w14:solidFill>
              <w14:schemeClr w14:val="tx1"/>
            </w14:solidFill>
          </w14:textFill>
        </w:rPr>
        <w:t xml:space="preserve"> </w:t>
      </w:r>
      <w:r>
        <w:rPr>
          <w:rFonts w:ascii="宋体" w:hAnsi="宋体" w:cs="宋体"/>
          <w:color w:val="000000" w:themeColor="text1"/>
          <w:spacing w:val="2"/>
          <w:sz w:val="24"/>
          <w:szCs w:val="24"/>
          <w:highlight w:val="none"/>
          <w14:textFill>
            <w14:solidFill>
              <w14:schemeClr w14:val="tx1"/>
            </w14:solidFill>
          </w14:textFill>
        </w:rPr>
        <w:t>天内发出索赔意向通</w:t>
      </w:r>
      <w:r>
        <w:rPr>
          <w:rFonts w:ascii="宋体" w:hAnsi="宋体" w:cs="宋体"/>
          <w:color w:val="000000" w:themeColor="text1"/>
          <w:spacing w:val="-1"/>
          <w:sz w:val="24"/>
          <w:szCs w:val="24"/>
          <w:highlight w:val="none"/>
          <w14:textFill>
            <w14:solidFill>
              <w14:schemeClr w14:val="tx1"/>
            </w14:solidFill>
          </w14:textFill>
        </w:rPr>
        <w:t>知书的，丧失要求追加付款和（或）延长工期的权利；</w:t>
      </w:r>
    </w:p>
    <w:p w14:paraId="064C95F9">
      <w:pPr>
        <w:spacing w:before="115" w:line="278" w:lineRule="auto"/>
        <w:ind w:left="5" w:firstLine="486"/>
        <w:rPr>
          <w:rFonts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pacing w:val="-2"/>
          <w:sz w:val="24"/>
          <w:szCs w:val="24"/>
          <w:highlight w:val="none"/>
          <w14:textFill>
            <w14:solidFill>
              <w14:schemeClr w14:val="tx1"/>
            </w14:solidFill>
          </w14:textFill>
        </w:rPr>
        <w:t>（</w:t>
      </w:r>
      <w:r>
        <w:rPr>
          <w:rFonts w:eastAsia="Times New Roman"/>
          <w:color w:val="000000" w:themeColor="text1"/>
          <w:spacing w:val="-2"/>
          <w:sz w:val="24"/>
          <w:szCs w:val="24"/>
          <w:highlight w:val="none"/>
          <w14:textFill>
            <w14:solidFill>
              <w14:schemeClr w14:val="tx1"/>
            </w14:solidFill>
          </w14:textFill>
        </w:rPr>
        <w:t>2</w:t>
      </w:r>
      <w:r>
        <w:rPr>
          <w:rFonts w:ascii="宋体" w:hAnsi="宋体" w:cs="宋体"/>
          <w:color w:val="000000" w:themeColor="text1"/>
          <w:spacing w:val="-2"/>
          <w:sz w:val="24"/>
          <w:szCs w:val="24"/>
          <w:highlight w:val="none"/>
          <w14:textFill>
            <w14:solidFill>
              <w14:schemeClr w14:val="tx1"/>
            </w14:solidFill>
          </w14:textFill>
        </w:rPr>
        <w:t>）承包人应在发出索赔意向通知书后</w:t>
      </w:r>
      <w:r>
        <w:rPr>
          <w:rFonts w:ascii="宋体" w:hAnsi="宋体" w:cs="宋体"/>
          <w:color w:val="000000" w:themeColor="text1"/>
          <w:spacing w:val="-32"/>
          <w:sz w:val="24"/>
          <w:szCs w:val="24"/>
          <w:highlight w:val="none"/>
          <w14:textFill>
            <w14:solidFill>
              <w14:schemeClr w14:val="tx1"/>
            </w14:solidFill>
          </w14:textFill>
        </w:rPr>
        <w:t xml:space="preserve"> </w:t>
      </w:r>
      <w:r>
        <w:rPr>
          <w:rFonts w:eastAsia="Times New Roman"/>
          <w:color w:val="000000" w:themeColor="text1"/>
          <w:spacing w:val="-2"/>
          <w:sz w:val="24"/>
          <w:szCs w:val="24"/>
          <w:highlight w:val="none"/>
          <w14:textFill>
            <w14:solidFill>
              <w14:schemeClr w14:val="tx1"/>
            </w14:solidFill>
          </w14:textFill>
        </w:rPr>
        <w:t xml:space="preserve">14 </w:t>
      </w:r>
      <w:r>
        <w:rPr>
          <w:rFonts w:ascii="宋体" w:hAnsi="宋体" w:cs="宋体"/>
          <w:color w:val="000000" w:themeColor="text1"/>
          <w:spacing w:val="-3"/>
          <w:sz w:val="24"/>
          <w:szCs w:val="24"/>
          <w:highlight w:val="none"/>
          <w14:textFill>
            <w14:solidFill>
              <w14:schemeClr w14:val="tx1"/>
            </w14:solidFill>
          </w14:textFill>
        </w:rPr>
        <w:t>天内向咨询人正式递交索赔通知书。</w:t>
      </w:r>
      <w:r>
        <w:rPr>
          <w:rFonts w:ascii="宋体" w:hAnsi="宋体" w:cs="宋体"/>
          <w:color w:val="000000" w:themeColor="text1"/>
          <w:spacing w:val="1"/>
          <w:sz w:val="24"/>
          <w:szCs w:val="24"/>
          <w:highlight w:val="none"/>
          <w14:textFill>
            <w14:solidFill>
              <w14:schemeClr w14:val="tx1"/>
            </w14:solidFill>
          </w14:textFill>
        </w:rPr>
        <w:t>索赔通知书应详细说明索赔理由以及要求追加</w:t>
      </w:r>
      <w:r>
        <w:rPr>
          <w:rFonts w:ascii="宋体" w:hAnsi="宋体" w:cs="宋体"/>
          <w:color w:val="000000" w:themeColor="text1"/>
          <w:sz w:val="24"/>
          <w:szCs w:val="24"/>
          <w:highlight w:val="none"/>
          <w14:textFill>
            <w14:solidFill>
              <w14:schemeClr w14:val="tx1"/>
            </w14:solidFill>
          </w14:textFill>
        </w:rPr>
        <w:t>的付款金额和（或）延长的工期，并</w:t>
      </w:r>
      <w:r>
        <w:rPr>
          <w:rFonts w:ascii="宋体" w:hAnsi="宋体" w:cs="宋体"/>
          <w:color w:val="000000" w:themeColor="text1"/>
          <w:spacing w:val="-2"/>
          <w:sz w:val="24"/>
          <w:szCs w:val="24"/>
          <w:highlight w:val="none"/>
          <w14:textFill>
            <w14:solidFill>
              <w14:schemeClr w14:val="tx1"/>
            </w14:solidFill>
          </w14:textFill>
        </w:rPr>
        <w:t>附必要的记录和证明材料；</w:t>
      </w:r>
    </w:p>
    <w:p w14:paraId="79EACD55">
      <w:pPr>
        <w:spacing w:before="117" w:line="278" w:lineRule="auto"/>
        <w:ind w:right="164" w:firstLine="491"/>
        <w:rPr>
          <w:rFonts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pacing w:val="4"/>
          <w:sz w:val="24"/>
          <w:szCs w:val="24"/>
          <w:highlight w:val="none"/>
          <w14:textFill>
            <w14:solidFill>
              <w14:schemeClr w14:val="tx1"/>
            </w14:solidFill>
          </w14:textFill>
        </w:rPr>
        <w:t>（</w:t>
      </w:r>
      <w:r>
        <w:rPr>
          <w:rFonts w:eastAsia="Times New Roman"/>
          <w:color w:val="000000" w:themeColor="text1"/>
          <w:spacing w:val="4"/>
          <w:sz w:val="24"/>
          <w:szCs w:val="24"/>
          <w:highlight w:val="none"/>
          <w14:textFill>
            <w14:solidFill>
              <w14:schemeClr w14:val="tx1"/>
            </w14:solidFill>
          </w14:textFill>
        </w:rPr>
        <w:t>3</w:t>
      </w:r>
      <w:r>
        <w:rPr>
          <w:rFonts w:ascii="宋体" w:hAnsi="宋体" w:cs="宋体"/>
          <w:color w:val="000000" w:themeColor="text1"/>
          <w:spacing w:val="4"/>
          <w:sz w:val="24"/>
          <w:szCs w:val="24"/>
          <w:highlight w:val="none"/>
          <w14:textFill>
            <w14:solidFill>
              <w14:schemeClr w14:val="tx1"/>
            </w14:solidFill>
          </w14:textFill>
        </w:rPr>
        <w:t>）索赔事件具有连续影响的，承包人应按合理时间间隔继续递交延续</w:t>
      </w:r>
      <w:r>
        <w:rPr>
          <w:rFonts w:ascii="宋体" w:hAnsi="宋体" w:cs="宋体"/>
          <w:color w:val="000000" w:themeColor="text1"/>
          <w:spacing w:val="3"/>
          <w:sz w:val="24"/>
          <w:szCs w:val="24"/>
          <w:highlight w:val="none"/>
          <w14:textFill>
            <w14:solidFill>
              <w14:schemeClr w14:val="tx1"/>
            </w14:solidFill>
          </w14:textFill>
        </w:rPr>
        <w:t>索赔</w:t>
      </w:r>
      <w:r>
        <w:rPr>
          <w:rFonts w:ascii="宋体" w:hAnsi="宋体" w:cs="宋体"/>
          <w:color w:val="000000" w:themeColor="text1"/>
          <w:spacing w:val="1"/>
          <w:sz w:val="24"/>
          <w:szCs w:val="24"/>
          <w:highlight w:val="none"/>
          <w14:textFill>
            <w14:solidFill>
              <w14:schemeClr w14:val="tx1"/>
            </w14:solidFill>
          </w14:textFill>
        </w:rPr>
        <w:t>通知，说明连续影响的实际情况和记录，列出累计的追加</w:t>
      </w:r>
      <w:r>
        <w:rPr>
          <w:rFonts w:ascii="宋体" w:hAnsi="宋体" w:cs="宋体"/>
          <w:color w:val="000000" w:themeColor="text1"/>
          <w:sz w:val="24"/>
          <w:szCs w:val="24"/>
          <w:highlight w:val="none"/>
          <w14:textFill>
            <w14:solidFill>
              <w14:schemeClr w14:val="tx1"/>
            </w14:solidFill>
          </w14:textFill>
        </w:rPr>
        <w:t>付款金额和（或）工期延</w:t>
      </w:r>
      <w:r>
        <w:rPr>
          <w:rFonts w:ascii="宋体" w:hAnsi="宋体" w:cs="宋体"/>
          <w:color w:val="000000" w:themeColor="text1"/>
          <w:spacing w:val="-3"/>
          <w:sz w:val="24"/>
          <w:szCs w:val="24"/>
          <w:highlight w:val="none"/>
          <w14:textFill>
            <w14:solidFill>
              <w14:schemeClr w14:val="tx1"/>
            </w14:solidFill>
          </w14:textFill>
        </w:rPr>
        <w:t>长天数；</w:t>
      </w:r>
    </w:p>
    <w:p w14:paraId="4E415340">
      <w:pPr>
        <w:spacing w:before="117" w:line="278" w:lineRule="auto"/>
        <w:ind w:right="18" w:firstLine="491"/>
        <w:rPr>
          <w:rFonts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pacing w:val="-3"/>
          <w:sz w:val="24"/>
          <w:szCs w:val="24"/>
          <w:highlight w:val="none"/>
          <w14:textFill>
            <w14:solidFill>
              <w14:schemeClr w14:val="tx1"/>
            </w14:solidFill>
          </w14:textFill>
        </w:rPr>
        <w:t>（</w:t>
      </w:r>
      <w:r>
        <w:rPr>
          <w:rFonts w:eastAsia="Times New Roman"/>
          <w:color w:val="000000" w:themeColor="text1"/>
          <w:spacing w:val="-3"/>
          <w:sz w:val="24"/>
          <w:szCs w:val="24"/>
          <w:highlight w:val="none"/>
          <w14:textFill>
            <w14:solidFill>
              <w14:schemeClr w14:val="tx1"/>
            </w14:solidFill>
          </w14:textFill>
        </w:rPr>
        <w:t>4</w:t>
      </w:r>
      <w:r>
        <w:rPr>
          <w:rFonts w:ascii="宋体" w:hAnsi="宋体" w:cs="宋体"/>
          <w:color w:val="000000" w:themeColor="text1"/>
          <w:spacing w:val="-3"/>
          <w:sz w:val="24"/>
          <w:szCs w:val="24"/>
          <w:highlight w:val="none"/>
          <w14:textFill>
            <w14:solidFill>
              <w14:schemeClr w14:val="tx1"/>
            </w14:solidFill>
          </w14:textFill>
        </w:rPr>
        <w:t>）在索赔事件影响结束后</w:t>
      </w:r>
      <w:r>
        <w:rPr>
          <w:rFonts w:ascii="宋体" w:hAnsi="宋体" w:cs="宋体"/>
          <w:color w:val="000000" w:themeColor="text1"/>
          <w:spacing w:val="-32"/>
          <w:sz w:val="24"/>
          <w:szCs w:val="24"/>
          <w:highlight w:val="none"/>
          <w14:textFill>
            <w14:solidFill>
              <w14:schemeClr w14:val="tx1"/>
            </w14:solidFill>
          </w14:textFill>
        </w:rPr>
        <w:t xml:space="preserve"> </w:t>
      </w:r>
      <w:r>
        <w:rPr>
          <w:rFonts w:eastAsia="Times New Roman"/>
          <w:color w:val="000000" w:themeColor="text1"/>
          <w:spacing w:val="-3"/>
          <w:sz w:val="24"/>
          <w:szCs w:val="24"/>
          <w:highlight w:val="none"/>
          <w14:textFill>
            <w14:solidFill>
              <w14:schemeClr w14:val="tx1"/>
            </w14:solidFill>
          </w14:textFill>
        </w:rPr>
        <w:t>14</w:t>
      </w:r>
      <w:r>
        <w:rPr>
          <w:rFonts w:ascii="宋体" w:hAnsi="宋体" w:cs="宋体"/>
          <w:color w:val="000000" w:themeColor="text1"/>
          <w:spacing w:val="-3"/>
          <w:sz w:val="24"/>
          <w:szCs w:val="24"/>
          <w:highlight w:val="none"/>
          <w14:textFill>
            <w14:solidFill>
              <w14:schemeClr w14:val="tx1"/>
            </w14:solidFill>
          </w14:textFill>
        </w:rPr>
        <w:t>天内，承包人</w:t>
      </w:r>
      <w:r>
        <w:rPr>
          <w:rFonts w:ascii="宋体" w:hAnsi="宋体" w:cs="宋体"/>
          <w:color w:val="000000" w:themeColor="text1"/>
          <w:spacing w:val="-4"/>
          <w:sz w:val="24"/>
          <w:szCs w:val="24"/>
          <w:highlight w:val="none"/>
          <w14:textFill>
            <w14:solidFill>
              <w14:schemeClr w14:val="tx1"/>
            </w14:solidFill>
          </w14:textFill>
        </w:rPr>
        <w:t>应向咨询人递交最终索赔通知书，</w:t>
      </w:r>
      <w:r>
        <w:rPr>
          <w:rFonts w:ascii="宋体" w:hAnsi="宋体" w:cs="宋体"/>
          <w:color w:val="000000" w:themeColor="text1"/>
          <w:spacing w:val="1"/>
          <w:sz w:val="24"/>
          <w:szCs w:val="24"/>
          <w:highlight w:val="none"/>
          <w14:textFill>
            <w14:solidFill>
              <w14:schemeClr w14:val="tx1"/>
            </w14:solidFill>
          </w14:textFill>
        </w:rPr>
        <w:t>说明最终要求索赔的追加付款金额和（或）延长的工期，</w:t>
      </w:r>
      <w:r>
        <w:rPr>
          <w:rFonts w:ascii="宋体" w:hAnsi="宋体" w:cs="宋体"/>
          <w:color w:val="000000" w:themeColor="text1"/>
          <w:sz w:val="24"/>
          <w:szCs w:val="24"/>
          <w:highlight w:val="none"/>
          <w14:textFill>
            <w14:solidFill>
              <w14:schemeClr w14:val="tx1"/>
            </w14:solidFill>
          </w14:textFill>
        </w:rPr>
        <w:t>并附必要的记录和证明材</w:t>
      </w:r>
      <w:r>
        <w:rPr>
          <w:rFonts w:ascii="宋体" w:hAnsi="宋体" w:cs="宋体"/>
          <w:color w:val="000000" w:themeColor="text1"/>
          <w:spacing w:val="-5"/>
          <w:sz w:val="24"/>
          <w:szCs w:val="24"/>
          <w:highlight w:val="none"/>
          <w14:textFill>
            <w14:solidFill>
              <w14:schemeClr w14:val="tx1"/>
            </w14:solidFill>
          </w14:textFill>
        </w:rPr>
        <w:t>料。</w:t>
      </w:r>
    </w:p>
    <w:p w14:paraId="341BA97B">
      <w:pPr>
        <w:spacing w:before="78" w:line="219" w:lineRule="auto"/>
        <w:ind w:left="478"/>
        <w:outlineLvl w:val="3"/>
        <w:rPr>
          <w:rFonts w:ascii="宋体" w:hAnsi="宋体" w:cs="宋体"/>
          <w:color w:val="000000" w:themeColor="text1"/>
          <w:sz w:val="24"/>
          <w:szCs w:val="24"/>
          <w:highlight w:val="none"/>
          <w14:textFill>
            <w14:solidFill>
              <w14:schemeClr w14:val="tx1"/>
            </w14:solidFill>
          </w14:textFill>
        </w:rPr>
      </w:pPr>
      <w:bookmarkStart w:id="185" w:name="bookmark231"/>
      <w:bookmarkEnd w:id="185"/>
      <w:r>
        <w:rPr>
          <w:rFonts w:eastAsia="Times New Roman"/>
          <w:b/>
          <w:bCs/>
          <w:color w:val="000000" w:themeColor="text1"/>
          <w:spacing w:val="-2"/>
          <w:sz w:val="24"/>
          <w:szCs w:val="24"/>
          <w:highlight w:val="none"/>
          <w14:textFill>
            <w14:solidFill>
              <w14:schemeClr w14:val="tx1"/>
            </w14:solidFill>
          </w14:textFill>
        </w:rPr>
        <w:t xml:space="preserve">23.2  </w:t>
      </w:r>
      <w:r>
        <w:rPr>
          <w:rFonts w:ascii="宋体" w:hAnsi="宋体" w:cs="宋体"/>
          <w:b/>
          <w:bCs/>
          <w:color w:val="000000" w:themeColor="text1"/>
          <w:spacing w:val="-2"/>
          <w:sz w:val="24"/>
          <w:szCs w:val="24"/>
          <w:highlight w:val="none"/>
          <w14:textFill>
            <w14:solidFill>
              <w14:schemeClr w14:val="tx1"/>
            </w14:solidFill>
          </w14:textFill>
        </w:rPr>
        <w:t>承包人索赔处理程序</w:t>
      </w:r>
    </w:p>
    <w:p w14:paraId="7B69F3D0">
      <w:pPr>
        <w:spacing w:before="124" w:line="263" w:lineRule="auto"/>
        <w:ind w:left="4" w:firstLine="488"/>
        <w:rPr>
          <w:rFonts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w:t>
      </w:r>
      <w:r>
        <w:rPr>
          <w:rFonts w:eastAsia="Times New Roman"/>
          <w:color w:val="000000" w:themeColor="text1"/>
          <w:sz w:val="24"/>
          <w:szCs w:val="24"/>
          <w:highlight w:val="none"/>
          <w14:textFill>
            <w14:solidFill>
              <w14:schemeClr w14:val="tx1"/>
            </w14:solidFill>
          </w14:textFill>
        </w:rPr>
        <w:t>1</w:t>
      </w:r>
      <w:r>
        <w:rPr>
          <w:rFonts w:ascii="宋体" w:hAnsi="宋体" w:cs="宋体"/>
          <w:color w:val="000000" w:themeColor="text1"/>
          <w:sz w:val="24"/>
          <w:szCs w:val="24"/>
          <w:highlight w:val="none"/>
          <w14:textFill>
            <w14:solidFill>
              <w14:schemeClr w14:val="tx1"/>
            </w14:solidFill>
          </w14:textFill>
        </w:rPr>
        <w:t>）咨询人收到承包人提交的索赔通知书后，应及时审查索赔通知书的内容、</w:t>
      </w:r>
      <w:r>
        <w:rPr>
          <w:rFonts w:ascii="宋体" w:hAnsi="宋体" w:cs="宋体"/>
          <w:color w:val="000000" w:themeColor="text1"/>
          <w:spacing w:val="-1"/>
          <w:sz w:val="24"/>
          <w:szCs w:val="24"/>
          <w:highlight w:val="none"/>
          <w14:textFill>
            <w14:solidFill>
              <w14:schemeClr w14:val="tx1"/>
            </w14:solidFill>
          </w14:textFill>
        </w:rPr>
        <w:t>查验承包人的记录和证明材料，必要时咨询人</w:t>
      </w:r>
      <w:r>
        <w:rPr>
          <w:rFonts w:ascii="宋体" w:hAnsi="宋体" w:cs="宋体"/>
          <w:color w:val="000000" w:themeColor="text1"/>
          <w:spacing w:val="-2"/>
          <w:sz w:val="24"/>
          <w:szCs w:val="24"/>
          <w:highlight w:val="none"/>
          <w14:textFill>
            <w14:solidFill>
              <w14:schemeClr w14:val="tx1"/>
            </w14:solidFill>
          </w14:textFill>
        </w:rPr>
        <w:t>可要求承包人提交全部原始记录副本。</w:t>
      </w:r>
    </w:p>
    <w:p w14:paraId="15344CD0">
      <w:pPr>
        <w:spacing w:before="117" w:line="290" w:lineRule="auto"/>
        <w:ind w:left="2" w:right="164" w:firstLine="490"/>
        <w:rPr>
          <w:rFonts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pacing w:val="5"/>
          <w:sz w:val="24"/>
          <w:szCs w:val="24"/>
          <w:highlight w:val="none"/>
          <w14:textFill>
            <w14:solidFill>
              <w14:schemeClr w14:val="tx1"/>
            </w14:solidFill>
          </w14:textFill>
        </w:rPr>
        <w:t>（</w:t>
      </w:r>
      <w:r>
        <w:rPr>
          <w:rFonts w:eastAsia="Times New Roman"/>
          <w:color w:val="000000" w:themeColor="text1"/>
          <w:spacing w:val="5"/>
          <w:sz w:val="24"/>
          <w:szCs w:val="24"/>
          <w:highlight w:val="none"/>
          <w14:textFill>
            <w14:solidFill>
              <w14:schemeClr w14:val="tx1"/>
            </w14:solidFill>
          </w14:textFill>
        </w:rPr>
        <w:t>2</w:t>
      </w:r>
      <w:r>
        <w:rPr>
          <w:rFonts w:ascii="宋体" w:hAnsi="宋体" w:cs="宋体"/>
          <w:color w:val="000000" w:themeColor="text1"/>
          <w:spacing w:val="5"/>
          <w:sz w:val="24"/>
          <w:szCs w:val="24"/>
          <w:highlight w:val="none"/>
          <w14:textFill>
            <w14:solidFill>
              <w14:schemeClr w14:val="tx1"/>
            </w14:solidFill>
          </w14:textFill>
        </w:rPr>
        <w:t>）咨询人应按第</w:t>
      </w:r>
      <w:r>
        <w:rPr>
          <w:rFonts w:ascii="宋体" w:hAnsi="宋体" w:cs="宋体"/>
          <w:color w:val="000000" w:themeColor="text1"/>
          <w:spacing w:val="-43"/>
          <w:sz w:val="24"/>
          <w:szCs w:val="24"/>
          <w:highlight w:val="none"/>
          <w14:textFill>
            <w14:solidFill>
              <w14:schemeClr w14:val="tx1"/>
            </w14:solidFill>
          </w14:textFill>
        </w:rPr>
        <w:t xml:space="preserve"> </w:t>
      </w:r>
      <w:r>
        <w:rPr>
          <w:rFonts w:eastAsia="Times New Roman"/>
          <w:color w:val="000000" w:themeColor="text1"/>
          <w:spacing w:val="5"/>
          <w:sz w:val="24"/>
          <w:szCs w:val="24"/>
          <w:highlight w:val="none"/>
          <w14:textFill>
            <w14:solidFill>
              <w14:schemeClr w14:val="tx1"/>
            </w14:solidFill>
          </w14:textFill>
        </w:rPr>
        <w:t>3.5</w:t>
      </w:r>
      <w:r>
        <w:rPr>
          <w:rFonts w:ascii="宋体" w:hAnsi="宋体" w:cs="宋体"/>
          <w:color w:val="000000" w:themeColor="text1"/>
          <w:spacing w:val="5"/>
          <w:sz w:val="24"/>
          <w:szCs w:val="24"/>
          <w:highlight w:val="none"/>
          <w14:textFill>
            <w14:solidFill>
              <w14:schemeClr w14:val="tx1"/>
            </w14:solidFill>
          </w14:textFill>
        </w:rPr>
        <w:t>款商定或确定追</w:t>
      </w:r>
      <w:r>
        <w:rPr>
          <w:rFonts w:ascii="宋体" w:hAnsi="宋体" w:cs="宋体"/>
          <w:color w:val="000000" w:themeColor="text1"/>
          <w:spacing w:val="4"/>
          <w:sz w:val="24"/>
          <w:szCs w:val="24"/>
          <w:highlight w:val="none"/>
          <w14:textFill>
            <w14:solidFill>
              <w14:schemeClr w14:val="tx1"/>
            </w14:solidFill>
          </w14:textFill>
        </w:rPr>
        <w:t>加的付款和（或）延长的工期，并在</w:t>
      </w:r>
      <w:r>
        <w:rPr>
          <w:rFonts w:ascii="宋体" w:hAnsi="宋体" w:cs="宋体"/>
          <w:color w:val="000000" w:themeColor="text1"/>
          <w:spacing w:val="1"/>
          <w:sz w:val="24"/>
          <w:szCs w:val="24"/>
          <w:highlight w:val="none"/>
          <w14:textFill>
            <w14:solidFill>
              <w14:schemeClr w14:val="tx1"/>
            </w14:solidFill>
          </w14:textFill>
        </w:rPr>
        <w:t>收到上述索赔通知书或有关索赔的进一步证明材料后，</w:t>
      </w:r>
      <w:r>
        <w:rPr>
          <w:rFonts w:ascii="宋体" w:hAnsi="宋体" w:cs="宋体"/>
          <w:color w:val="000000" w:themeColor="text1"/>
          <w:sz w:val="24"/>
          <w:szCs w:val="24"/>
          <w:highlight w:val="none"/>
          <w14:textFill>
            <w14:solidFill>
              <w14:schemeClr w14:val="tx1"/>
            </w14:solidFill>
          </w14:textFill>
        </w:rPr>
        <w:t>将索赔处理结果报发包人批</w:t>
      </w:r>
      <w:r>
        <w:rPr>
          <w:rFonts w:ascii="宋体" w:hAnsi="宋体" w:cs="宋体"/>
          <w:color w:val="000000" w:themeColor="text1"/>
          <w:spacing w:val="1"/>
          <w:sz w:val="24"/>
          <w:szCs w:val="24"/>
          <w:highlight w:val="none"/>
          <w14:textFill>
            <w14:solidFill>
              <w14:schemeClr w14:val="tx1"/>
            </w14:solidFill>
          </w14:textFill>
        </w:rPr>
        <w:t>准后答复承包人。如果承包人提出的索赔要求未能遵守第</w:t>
      </w:r>
      <w:r>
        <w:rPr>
          <w:rFonts w:ascii="宋体" w:hAnsi="宋体" w:cs="宋体"/>
          <w:color w:val="000000" w:themeColor="text1"/>
          <w:spacing w:val="-53"/>
          <w:sz w:val="24"/>
          <w:szCs w:val="24"/>
          <w:highlight w:val="none"/>
          <w14:textFill>
            <w14:solidFill>
              <w14:schemeClr w14:val="tx1"/>
            </w14:solidFill>
          </w14:textFill>
        </w:rPr>
        <w:t xml:space="preserve"> </w:t>
      </w:r>
      <w:r>
        <w:rPr>
          <w:rFonts w:eastAsia="Times New Roman"/>
          <w:color w:val="000000" w:themeColor="text1"/>
          <w:spacing w:val="1"/>
          <w:sz w:val="24"/>
          <w:szCs w:val="24"/>
          <w:highlight w:val="none"/>
          <w14:textFill>
            <w14:solidFill>
              <w14:schemeClr w14:val="tx1"/>
            </w14:solidFill>
          </w14:textFill>
        </w:rPr>
        <w:t>23.1</w:t>
      </w:r>
      <w:r>
        <w:rPr>
          <w:rFonts w:ascii="宋体" w:hAnsi="宋体" w:cs="宋体"/>
          <w:color w:val="000000" w:themeColor="text1"/>
          <w:spacing w:val="1"/>
          <w:sz w:val="24"/>
          <w:szCs w:val="24"/>
          <w:highlight w:val="none"/>
          <w14:textFill>
            <w14:solidFill>
              <w14:schemeClr w14:val="tx1"/>
            </w14:solidFill>
          </w14:textFill>
        </w:rPr>
        <w:t>（</w:t>
      </w:r>
      <w:r>
        <w:rPr>
          <w:rFonts w:eastAsia="Times New Roman"/>
          <w:color w:val="000000" w:themeColor="text1"/>
          <w:spacing w:val="1"/>
          <w:sz w:val="24"/>
          <w:szCs w:val="24"/>
          <w:highlight w:val="none"/>
          <w14:textFill>
            <w14:solidFill>
              <w14:schemeClr w14:val="tx1"/>
            </w14:solidFill>
          </w14:textFill>
        </w:rPr>
        <w:t>2</w:t>
      </w:r>
      <w:r>
        <w:rPr>
          <w:rFonts w:ascii="宋体" w:hAnsi="宋体" w:cs="宋体"/>
          <w:color w:val="000000" w:themeColor="text1"/>
          <w:spacing w:val="-7"/>
          <w:sz w:val="24"/>
          <w:szCs w:val="24"/>
          <w:highlight w:val="none"/>
          <w14:textFill>
            <w14:solidFill>
              <w14:schemeClr w14:val="tx1"/>
            </w14:solidFill>
          </w14:textFill>
        </w:rPr>
        <w:t>）～（</w:t>
      </w:r>
      <w:r>
        <w:rPr>
          <w:rFonts w:eastAsia="Times New Roman"/>
          <w:color w:val="000000" w:themeColor="text1"/>
          <w:spacing w:val="1"/>
          <w:sz w:val="24"/>
          <w:szCs w:val="24"/>
          <w:highlight w:val="none"/>
          <w14:textFill>
            <w14:solidFill>
              <w14:schemeClr w14:val="tx1"/>
            </w14:solidFill>
          </w14:textFill>
        </w:rPr>
        <w:t>4</w:t>
      </w:r>
      <w:r>
        <w:rPr>
          <w:rFonts w:ascii="宋体" w:hAnsi="宋体" w:cs="宋体"/>
          <w:color w:val="000000" w:themeColor="text1"/>
          <w:spacing w:val="1"/>
          <w:sz w:val="24"/>
          <w:szCs w:val="24"/>
          <w:highlight w:val="none"/>
          <w14:textFill>
            <w14:solidFill>
              <w14:schemeClr w14:val="tx1"/>
            </w14:solidFill>
          </w14:textFill>
        </w:rPr>
        <w:t>）项的约定，则承包人只限于索赔由咨询人按当时记录予以核实</w:t>
      </w:r>
      <w:r>
        <w:rPr>
          <w:rFonts w:ascii="宋体" w:hAnsi="宋体" w:cs="宋体"/>
          <w:color w:val="000000" w:themeColor="text1"/>
          <w:sz w:val="24"/>
          <w:szCs w:val="24"/>
          <w:highlight w:val="none"/>
          <w14:textFill>
            <w14:solidFill>
              <w14:schemeClr w14:val="tx1"/>
            </w14:solidFill>
          </w14:textFill>
        </w:rPr>
        <w:t>的那部分款额和（或）工期</w:t>
      </w:r>
      <w:r>
        <w:rPr>
          <w:rFonts w:ascii="宋体" w:hAnsi="宋体" w:cs="宋体"/>
          <w:color w:val="000000" w:themeColor="text1"/>
          <w:spacing w:val="-3"/>
          <w:sz w:val="24"/>
          <w:szCs w:val="24"/>
          <w:highlight w:val="none"/>
          <w14:textFill>
            <w14:solidFill>
              <w14:schemeClr w14:val="tx1"/>
            </w14:solidFill>
          </w14:textFill>
        </w:rPr>
        <w:t>延长天数。</w:t>
      </w:r>
    </w:p>
    <w:p w14:paraId="0F3F3BDD">
      <w:pPr>
        <w:spacing w:before="112" w:line="264" w:lineRule="auto"/>
        <w:ind w:left="30" w:right="166" w:firstLine="462"/>
        <w:rPr>
          <w:rFonts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w:t>
      </w:r>
      <w:r>
        <w:rPr>
          <w:rFonts w:eastAsia="Times New Roman"/>
          <w:color w:val="000000" w:themeColor="text1"/>
          <w:sz w:val="24"/>
          <w:szCs w:val="24"/>
          <w:highlight w:val="none"/>
          <w14:textFill>
            <w14:solidFill>
              <w14:schemeClr w14:val="tx1"/>
            </w14:solidFill>
          </w14:textFill>
        </w:rPr>
        <w:t>3</w:t>
      </w:r>
      <w:r>
        <w:rPr>
          <w:rFonts w:ascii="宋体" w:hAnsi="宋体" w:cs="宋体"/>
          <w:color w:val="000000" w:themeColor="text1"/>
          <w:sz w:val="24"/>
          <w:szCs w:val="24"/>
          <w:highlight w:val="none"/>
          <w14:textFill>
            <w14:solidFill>
              <w14:schemeClr w14:val="tx1"/>
            </w14:solidFill>
          </w14:textFill>
        </w:rPr>
        <w:t>）承包人接受索赔处理结果的，发包人</w:t>
      </w:r>
      <w:r>
        <w:rPr>
          <w:rFonts w:ascii="宋体" w:hAnsi="宋体" w:cs="宋体"/>
          <w:color w:val="000000" w:themeColor="text1"/>
          <w:spacing w:val="-1"/>
          <w:sz w:val="24"/>
          <w:szCs w:val="24"/>
          <w:highlight w:val="none"/>
          <w14:textFill>
            <w14:solidFill>
              <w14:schemeClr w14:val="tx1"/>
            </w14:solidFill>
          </w14:textFill>
        </w:rPr>
        <w:t>应在作出索赔处理结果答复后</w:t>
      </w:r>
      <w:r>
        <w:rPr>
          <w:rFonts w:ascii="宋体" w:hAnsi="宋体" w:cs="宋体"/>
          <w:color w:val="000000" w:themeColor="text1"/>
          <w:spacing w:val="-32"/>
          <w:sz w:val="24"/>
          <w:szCs w:val="24"/>
          <w:highlight w:val="none"/>
          <w14:textFill>
            <w14:solidFill>
              <w14:schemeClr w14:val="tx1"/>
            </w14:solidFill>
          </w14:textFill>
        </w:rPr>
        <w:t xml:space="preserve"> </w:t>
      </w:r>
      <w:r>
        <w:rPr>
          <w:rFonts w:eastAsia="Times New Roman"/>
          <w:color w:val="000000" w:themeColor="text1"/>
          <w:spacing w:val="-1"/>
          <w:sz w:val="24"/>
          <w:szCs w:val="24"/>
          <w:highlight w:val="none"/>
          <w14:textFill>
            <w14:solidFill>
              <w14:schemeClr w14:val="tx1"/>
            </w14:solidFill>
          </w14:textFill>
        </w:rPr>
        <w:t xml:space="preserve">14 </w:t>
      </w:r>
      <w:r>
        <w:rPr>
          <w:rFonts w:ascii="宋体" w:hAnsi="宋体" w:cs="宋体"/>
          <w:color w:val="000000" w:themeColor="text1"/>
          <w:spacing w:val="-1"/>
          <w:sz w:val="24"/>
          <w:szCs w:val="24"/>
          <w:highlight w:val="none"/>
          <w14:textFill>
            <w14:solidFill>
              <w14:schemeClr w14:val="tx1"/>
            </w14:solidFill>
          </w14:textFill>
        </w:rPr>
        <w:t>天内完成赔付。承包人不接受索赔处理结果的</w:t>
      </w:r>
      <w:r>
        <w:rPr>
          <w:rFonts w:ascii="宋体" w:hAnsi="宋体" w:cs="宋体"/>
          <w:color w:val="000000" w:themeColor="text1"/>
          <w:spacing w:val="-2"/>
          <w:sz w:val="24"/>
          <w:szCs w:val="24"/>
          <w:highlight w:val="none"/>
          <w14:textFill>
            <w14:solidFill>
              <w14:schemeClr w14:val="tx1"/>
            </w14:solidFill>
          </w14:textFill>
        </w:rPr>
        <w:t>，按第</w:t>
      </w:r>
      <w:r>
        <w:rPr>
          <w:rFonts w:ascii="宋体" w:hAnsi="宋体" w:cs="宋体"/>
          <w:color w:val="000000" w:themeColor="text1"/>
          <w:spacing w:val="-55"/>
          <w:sz w:val="24"/>
          <w:szCs w:val="24"/>
          <w:highlight w:val="none"/>
          <w14:textFill>
            <w14:solidFill>
              <w14:schemeClr w14:val="tx1"/>
            </w14:solidFill>
          </w14:textFill>
        </w:rPr>
        <w:t xml:space="preserve"> </w:t>
      </w:r>
      <w:r>
        <w:rPr>
          <w:rFonts w:eastAsia="Times New Roman"/>
          <w:color w:val="000000" w:themeColor="text1"/>
          <w:spacing w:val="-2"/>
          <w:sz w:val="24"/>
          <w:szCs w:val="24"/>
          <w:highlight w:val="none"/>
          <w14:textFill>
            <w14:solidFill>
              <w14:schemeClr w14:val="tx1"/>
            </w14:solidFill>
          </w14:textFill>
        </w:rPr>
        <w:t>24</w:t>
      </w:r>
      <w:r>
        <w:rPr>
          <w:rFonts w:ascii="宋体" w:hAnsi="宋体" w:cs="宋体"/>
          <w:color w:val="000000" w:themeColor="text1"/>
          <w:spacing w:val="-2"/>
          <w:sz w:val="24"/>
          <w:szCs w:val="24"/>
          <w:highlight w:val="none"/>
          <w14:textFill>
            <w14:solidFill>
              <w14:schemeClr w14:val="tx1"/>
            </w14:solidFill>
          </w14:textFill>
        </w:rPr>
        <w:t>条的约定办理。</w:t>
      </w:r>
    </w:p>
    <w:p w14:paraId="603984E7">
      <w:pPr>
        <w:spacing w:before="106" w:line="219" w:lineRule="auto"/>
        <w:ind w:left="478"/>
        <w:outlineLvl w:val="3"/>
        <w:rPr>
          <w:rFonts w:ascii="宋体" w:hAnsi="宋体" w:cs="宋体"/>
          <w:color w:val="000000" w:themeColor="text1"/>
          <w:sz w:val="24"/>
          <w:szCs w:val="24"/>
          <w:highlight w:val="none"/>
          <w14:textFill>
            <w14:solidFill>
              <w14:schemeClr w14:val="tx1"/>
            </w14:solidFill>
          </w14:textFill>
        </w:rPr>
      </w:pPr>
      <w:r>
        <w:rPr>
          <w:rFonts w:eastAsia="Times New Roman"/>
          <w:b/>
          <w:bCs/>
          <w:color w:val="000000" w:themeColor="text1"/>
          <w:spacing w:val="-2"/>
          <w:sz w:val="24"/>
          <w:szCs w:val="24"/>
          <w:highlight w:val="none"/>
          <w14:textFill>
            <w14:solidFill>
              <w14:schemeClr w14:val="tx1"/>
            </w14:solidFill>
          </w14:textFill>
        </w:rPr>
        <w:t xml:space="preserve">23.3  </w:t>
      </w:r>
      <w:r>
        <w:rPr>
          <w:rFonts w:ascii="宋体" w:hAnsi="宋体" w:cs="宋体"/>
          <w:b/>
          <w:bCs/>
          <w:color w:val="000000" w:themeColor="text1"/>
          <w:spacing w:val="-2"/>
          <w:sz w:val="24"/>
          <w:szCs w:val="24"/>
          <w:highlight w:val="none"/>
          <w14:textFill>
            <w14:solidFill>
              <w14:schemeClr w14:val="tx1"/>
            </w14:solidFill>
          </w14:textFill>
        </w:rPr>
        <w:t>承包人提出索赔的期限</w:t>
      </w:r>
    </w:p>
    <w:p w14:paraId="4DBA10C1">
      <w:pPr>
        <w:spacing w:before="124" w:line="263" w:lineRule="auto"/>
        <w:ind w:left="2" w:right="166" w:firstLine="474"/>
        <w:rPr>
          <w:rFonts w:ascii="宋体" w:hAnsi="宋体" w:cs="宋体"/>
          <w:color w:val="000000" w:themeColor="text1"/>
          <w:sz w:val="24"/>
          <w:szCs w:val="24"/>
          <w:highlight w:val="none"/>
          <w14:textFill>
            <w14:solidFill>
              <w14:schemeClr w14:val="tx1"/>
            </w14:solidFill>
          </w14:textFill>
        </w:rPr>
      </w:pPr>
      <w:r>
        <w:rPr>
          <w:rFonts w:eastAsia="Times New Roman"/>
          <w:color w:val="000000" w:themeColor="text1"/>
          <w:spacing w:val="4"/>
          <w:sz w:val="24"/>
          <w:szCs w:val="24"/>
          <w:highlight w:val="none"/>
          <w14:textFill>
            <w14:solidFill>
              <w14:schemeClr w14:val="tx1"/>
            </w14:solidFill>
          </w14:textFill>
        </w:rPr>
        <w:t xml:space="preserve">23.3.1  </w:t>
      </w:r>
      <w:r>
        <w:rPr>
          <w:rFonts w:ascii="宋体" w:hAnsi="宋体" w:cs="宋体"/>
          <w:color w:val="000000" w:themeColor="text1"/>
          <w:spacing w:val="4"/>
          <w:sz w:val="24"/>
          <w:szCs w:val="24"/>
          <w:highlight w:val="none"/>
          <w14:textFill>
            <w14:solidFill>
              <w14:schemeClr w14:val="tx1"/>
            </w14:solidFill>
          </w14:textFill>
        </w:rPr>
        <w:t>承包人按第</w:t>
      </w:r>
      <w:r>
        <w:rPr>
          <w:rFonts w:ascii="宋体" w:hAnsi="宋体" w:cs="宋体"/>
          <w:color w:val="000000" w:themeColor="text1"/>
          <w:spacing w:val="-25"/>
          <w:sz w:val="24"/>
          <w:szCs w:val="24"/>
          <w:highlight w:val="none"/>
          <w14:textFill>
            <w14:solidFill>
              <w14:schemeClr w14:val="tx1"/>
            </w14:solidFill>
          </w14:textFill>
        </w:rPr>
        <w:t xml:space="preserve"> </w:t>
      </w:r>
      <w:r>
        <w:rPr>
          <w:rFonts w:eastAsia="Times New Roman"/>
          <w:color w:val="000000" w:themeColor="text1"/>
          <w:spacing w:val="4"/>
          <w:sz w:val="24"/>
          <w:szCs w:val="24"/>
          <w:highlight w:val="none"/>
          <w14:textFill>
            <w14:solidFill>
              <w14:schemeClr w14:val="tx1"/>
            </w14:solidFill>
          </w14:textFill>
        </w:rPr>
        <w:t>17.5</w:t>
      </w:r>
      <w:r>
        <w:rPr>
          <w:rFonts w:eastAsia="Times New Roman"/>
          <w:color w:val="000000" w:themeColor="text1"/>
          <w:spacing w:val="18"/>
          <w:sz w:val="24"/>
          <w:szCs w:val="24"/>
          <w:highlight w:val="none"/>
          <w14:textFill>
            <w14:solidFill>
              <w14:schemeClr w14:val="tx1"/>
            </w14:solidFill>
          </w14:textFill>
        </w:rPr>
        <w:t xml:space="preserve"> </w:t>
      </w:r>
      <w:r>
        <w:rPr>
          <w:rFonts w:ascii="宋体" w:hAnsi="宋体" w:cs="宋体"/>
          <w:color w:val="000000" w:themeColor="text1"/>
          <w:spacing w:val="4"/>
          <w:sz w:val="24"/>
          <w:szCs w:val="24"/>
          <w:highlight w:val="none"/>
          <w14:textFill>
            <w14:solidFill>
              <w14:schemeClr w14:val="tx1"/>
            </w14:solidFill>
          </w14:textFill>
        </w:rPr>
        <w:t>款的约定接受了交工付款证书后，应被</w:t>
      </w:r>
      <w:r>
        <w:rPr>
          <w:rFonts w:ascii="宋体" w:hAnsi="宋体" w:cs="宋体"/>
          <w:color w:val="000000" w:themeColor="text1"/>
          <w:spacing w:val="3"/>
          <w:sz w:val="24"/>
          <w:szCs w:val="24"/>
          <w:highlight w:val="none"/>
          <w14:textFill>
            <w14:solidFill>
              <w14:schemeClr w14:val="tx1"/>
            </w14:solidFill>
          </w14:textFill>
        </w:rPr>
        <w:t>认为已无权再</w:t>
      </w:r>
      <w:r>
        <w:rPr>
          <w:rFonts w:ascii="宋体" w:hAnsi="宋体" w:cs="宋体"/>
          <w:color w:val="000000" w:themeColor="text1"/>
          <w:spacing w:val="-1"/>
          <w:sz w:val="24"/>
          <w:szCs w:val="24"/>
          <w:highlight w:val="none"/>
          <w14:textFill>
            <w14:solidFill>
              <w14:schemeClr w14:val="tx1"/>
            </w14:solidFill>
          </w14:textFill>
        </w:rPr>
        <w:t>提出在养护项目交工验收证书颁发前所发生的任何索赔。</w:t>
      </w:r>
    </w:p>
    <w:p w14:paraId="429797FF">
      <w:pPr>
        <w:spacing w:before="116" w:line="263" w:lineRule="auto"/>
        <w:ind w:right="166" w:firstLine="476"/>
        <w:rPr>
          <w:rFonts w:ascii="宋体" w:hAnsi="宋体" w:cs="宋体"/>
          <w:color w:val="000000" w:themeColor="text1"/>
          <w:sz w:val="24"/>
          <w:szCs w:val="24"/>
          <w:highlight w:val="none"/>
          <w14:textFill>
            <w14:solidFill>
              <w14:schemeClr w14:val="tx1"/>
            </w14:solidFill>
          </w14:textFill>
        </w:rPr>
      </w:pPr>
      <w:r>
        <w:rPr>
          <w:rFonts w:eastAsia="Times New Roman"/>
          <w:color w:val="000000" w:themeColor="text1"/>
          <w:spacing w:val="4"/>
          <w:sz w:val="24"/>
          <w:szCs w:val="24"/>
          <w:highlight w:val="none"/>
          <w14:textFill>
            <w14:solidFill>
              <w14:schemeClr w14:val="tx1"/>
            </w14:solidFill>
          </w14:textFill>
        </w:rPr>
        <w:t xml:space="preserve">23.3.2  </w:t>
      </w:r>
      <w:r>
        <w:rPr>
          <w:rFonts w:ascii="宋体" w:hAnsi="宋体" w:cs="宋体"/>
          <w:color w:val="000000" w:themeColor="text1"/>
          <w:spacing w:val="4"/>
          <w:sz w:val="24"/>
          <w:szCs w:val="24"/>
          <w:highlight w:val="none"/>
          <w14:textFill>
            <w14:solidFill>
              <w14:schemeClr w14:val="tx1"/>
            </w14:solidFill>
          </w14:textFill>
        </w:rPr>
        <w:t>承包人按第</w:t>
      </w:r>
      <w:r>
        <w:rPr>
          <w:rFonts w:ascii="宋体" w:hAnsi="宋体" w:cs="宋体"/>
          <w:color w:val="000000" w:themeColor="text1"/>
          <w:spacing w:val="-25"/>
          <w:sz w:val="24"/>
          <w:szCs w:val="24"/>
          <w:highlight w:val="none"/>
          <w14:textFill>
            <w14:solidFill>
              <w14:schemeClr w14:val="tx1"/>
            </w14:solidFill>
          </w14:textFill>
        </w:rPr>
        <w:t xml:space="preserve"> </w:t>
      </w:r>
      <w:r>
        <w:rPr>
          <w:rFonts w:eastAsia="Times New Roman"/>
          <w:color w:val="000000" w:themeColor="text1"/>
          <w:spacing w:val="4"/>
          <w:sz w:val="24"/>
          <w:szCs w:val="24"/>
          <w:highlight w:val="none"/>
          <w14:textFill>
            <w14:solidFill>
              <w14:schemeClr w14:val="tx1"/>
            </w14:solidFill>
          </w14:textFill>
        </w:rPr>
        <w:t>17.6</w:t>
      </w:r>
      <w:r>
        <w:rPr>
          <w:rFonts w:eastAsia="Times New Roman"/>
          <w:color w:val="000000" w:themeColor="text1"/>
          <w:spacing w:val="18"/>
          <w:sz w:val="24"/>
          <w:szCs w:val="24"/>
          <w:highlight w:val="none"/>
          <w14:textFill>
            <w14:solidFill>
              <w14:schemeClr w14:val="tx1"/>
            </w14:solidFill>
          </w14:textFill>
        </w:rPr>
        <w:t xml:space="preserve"> </w:t>
      </w:r>
      <w:r>
        <w:rPr>
          <w:rFonts w:ascii="宋体" w:hAnsi="宋体" w:cs="宋体"/>
          <w:color w:val="000000" w:themeColor="text1"/>
          <w:spacing w:val="4"/>
          <w:sz w:val="24"/>
          <w:szCs w:val="24"/>
          <w:highlight w:val="none"/>
          <w14:textFill>
            <w14:solidFill>
              <w14:schemeClr w14:val="tx1"/>
            </w14:solidFill>
          </w14:textFill>
        </w:rPr>
        <w:t>款的约定提交的最终结清申请单中，只</w:t>
      </w:r>
      <w:r>
        <w:rPr>
          <w:rFonts w:ascii="宋体" w:hAnsi="宋体" w:cs="宋体"/>
          <w:color w:val="000000" w:themeColor="text1"/>
          <w:spacing w:val="3"/>
          <w:sz w:val="24"/>
          <w:szCs w:val="24"/>
          <w:highlight w:val="none"/>
          <w14:textFill>
            <w14:solidFill>
              <w14:schemeClr w14:val="tx1"/>
            </w14:solidFill>
          </w14:textFill>
        </w:rPr>
        <w:t>限于提出交工</w:t>
      </w:r>
      <w:r>
        <w:rPr>
          <w:rFonts w:ascii="宋体" w:hAnsi="宋体" w:cs="宋体"/>
          <w:color w:val="000000" w:themeColor="text1"/>
          <w:sz w:val="24"/>
          <w:szCs w:val="24"/>
          <w:highlight w:val="none"/>
          <w14:textFill>
            <w14:solidFill>
              <w14:schemeClr w14:val="tx1"/>
            </w14:solidFill>
          </w14:textFill>
        </w:rPr>
        <w:t>验收证书颁发后发生的索赔。提出索赔的期限自接受</w:t>
      </w:r>
      <w:r>
        <w:rPr>
          <w:rFonts w:ascii="宋体" w:hAnsi="宋体" w:cs="宋体"/>
          <w:color w:val="000000" w:themeColor="text1"/>
          <w:spacing w:val="-1"/>
          <w:sz w:val="24"/>
          <w:szCs w:val="24"/>
          <w:highlight w:val="none"/>
          <w14:textFill>
            <w14:solidFill>
              <w14:schemeClr w14:val="tx1"/>
            </w14:solidFill>
          </w14:textFill>
        </w:rPr>
        <w:t>最终结清证书时终止。</w:t>
      </w:r>
    </w:p>
    <w:p w14:paraId="78E66165">
      <w:pPr>
        <w:spacing w:before="107" w:line="219" w:lineRule="auto"/>
        <w:ind w:left="478"/>
        <w:outlineLvl w:val="3"/>
        <w:rPr>
          <w:rFonts w:ascii="宋体" w:hAnsi="宋体" w:cs="宋体"/>
          <w:color w:val="000000" w:themeColor="text1"/>
          <w:sz w:val="24"/>
          <w:szCs w:val="24"/>
          <w:highlight w:val="none"/>
          <w14:textFill>
            <w14:solidFill>
              <w14:schemeClr w14:val="tx1"/>
            </w14:solidFill>
          </w14:textFill>
        </w:rPr>
      </w:pPr>
      <w:r>
        <w:rPr>
          <w:rFonts w:eastAsia="Times New Roman"/>
          <w:b/>
          <w:bCs/>
          <w:color w:val="000000" w:themeColor="text1"/>
          <w:spacing w:val="-2"/>
          <w:sz w:val="24"/>
          <w:szCs w:val="24"/>
          <w:highlight w:val="none"/>
          <w14:textFill>
            <w14:solidFill>
              <w14:schemeClr w14:val="tx1"/>
            </w14:solidFill>
          </w14:textFill>
        </w:rPr>
        <w:t xml:space="preserve">23.4  </w:t>
      </w:r>
      <w:r>
        <w:rPr>
          <w:rFonts w:ascii="宋体" w:hAnsi="宋体" w:cs="宋体"/>
          <w:b/>
          <w:bCs/>
          <w:color w:val="000000" w:themeColor="text1"/>
          <w:spacing w:val="-2"/>
          <w:sz w:val="24"/>
          <w:szCs w:val="24"/>
          <w:highlight w:val="none"/>
          <w14:textFill>
            <w14:solidFill>
              <w14:schemeClr w14:val="tx1"/>
            </w14:solidFill>
          </w14:textFill>
        </w:rPr>
        <w:t>发包人的索赔</w:t>
      </w:r>
    </w:p>
    <w:p w14:paraId="1FE36C21">
      <w:pPr>
        <w:spacing w:before="125" w:line="278" w:lineRule="auto"/>
        <w:ind w:left="2" w:right="164" w:firstLine="474"/>
        <w:rPr>
          <w:rFonts w:ascii="宋体" w:hAnsi="宋体" w:cs="宋体"/>
          <w:color w:val="000000" w:themeColor="text1"/>
          <w:sz w:val="24"/>
          <w:szCs w:val="24"/>
          <w:highlight w:val="none"/>
          <w14:textFill>
            <w14:solidFill>
              <w14:schemeClr w14:val="tx1"/>
            </w14:solidFill>
          </w14:textFill>
        </w:rPr>
      </w:pPr>
      <w:r>
        <w:rPr>
          <w:rFonts w:eastAsia="Times New Roman"/>
          <w:color w:val="000000" w:themeColor="text1"/>
          <w:spacing w:val="1"/>
          <w:sz w:val="24"/>
          <w:szCs w:val="24"/>
          <w:highlight w:val="none"/>
          <w14:textFill>
            <w14:solidFill>
              <w14:schemeClr w14:val="tx1"/>
            </w14:solidFill>
          </w14:textFill>
        </w:rPr>
        <w:t xml:space="preserve">23.4.1  </w:t>
      </w:r>
      <w:r>
        <w:rPr>
          <w:rFonts w:ascii="宋体" w:hAnsi="宋体" w:cs="宋体"/>
          <w:color w:val="000000" w:themeColor="text1"/>
          <w:spacing w:val="1"/>
          <w:sz w:val="24"/>
          <w:szCs w:val="24"/>
          <w:highlight w:val="none"/>
          <w14:textFill>
            <w14:solidFill>
              <w14:schemeClr w14:val="tx1"/>
            </w14:solidFill>
          </w14:textFill>
        </w:rPr>
        <w:t>发生索赔事件后，咨询人应及时书面通知承</w:t>
      </w:r>
      <w:r>
        <w:rPr>
          <w:rFonts w:ascii="宋体" w:hAnsi="宋体" w:cs="宋体"/>
          <w:color w:val="000000" w:themeColor="text1"/>
          <w:sz w:val="24"/>
          <w:szCs w:val="24"/>
          <w:highlight w:val="none"/>
          <w14:textFill>
            <w14:solidFill>
              <w14:schemeClr w14:val="tx1"/>
            </w14:solidFill>
          </w14:textFill>
        </w:rPr>
        <w:t>包人，详细说明发包人有权</w:t>
      </w:r>
      <w:r>
        <w:rPr>
          <w:rFonts w:ascii="宋体" w:hAnsi="宋体" w:cs="宋体"/>
          <w:color w:val="000000" w:themeColor="text1"/>
          <w:spacing w:val="1"/>
          <w:sz w:val="24"/>
          <w:szCs w:val="24"/>
          <w:highlight w:val="none"/>
          <w14:textFill>
            <w14:solidFill>
              <w14:schemeClr w14:val="tx1"/>
            </w14:solidFill>
          </w14:textFill>
        </w:rPr>
        <w:t>得到的索赔金额和（或）延长缺陷责任期的细节和依据</w:t>
      </w:r>
      <w:r>
        <w:rPr>
          <w:rFonts w:ascii="宋体" w:hAnsi="宋体" w:cs="宋体"/>
          <w:color w:val="000000" w:themeColor="text1"/>
          <w:sz w:val="24"/>
          <w:szCs w:val="24"/>
          <w:highlight w:val="none"/>
          <w14:textFill>
            <w14:solidFill>
              <w14:schemeClr w14:val="tx1"/>
            </w14:solidFill>
          </w14:textFill>
        </w:rPr>
        <w:t>。发包人提出索赔的期限和</w:t>
      </w:r>
      <w:r>
        <w:rPr>
          <w:rFonts w:ascii="宋体" w:hAnsi="宋体" w:cs="宋体"/>
          <w:color w:val="000000" w:themeColor="text1"/>
          <w:spacing w:val="-1"/>
          <w:sz w:val="24"/>
          <w:szCs w:val="24"/>
          <w:highlight w:val="none"/>
          <w14:textFill>
            <w14:solidFill>
              <w14:schemeClr w14:val="tx1"/>
            </w14:solidFill>
          </w14:textFill>
        </w:rPr>
        <w:t>要求与第</w:t>
      </w:r>
      <w:r>
        <w:rPr>
          <w:rFonts w:ascii="宋体" w:hAnsi="宋体" w:cs="宋体"/>
          <w:color w:val="000000" w:themeColor="text1"/>
          <w:spacing w:val="-55"/>
          <w:sz w:val="24"/>
          <w:szCs w:val="24"/>
          <w:highlight w:val="none"/>
          <w14:textFill>
            <w14:solidFill>
              <w14:schemeClr w14:val="tx1"/>
            </w14:solidFill>
          </w14:textFill>
        </w:rPr>
        <w:t xml:space="preserve"> </w:t>
      </w:r>
      <w:r>
        <w:rPr>
          <w:rFonts w:eastAsia="Times New Roman"/>
          <w:color w:val="000000" w:themeColor="text1"/>
          <w:spacing w:val="-1"/>
          <w:sz w:val="24"/>
          <w:szCs w:val="24"/>
          <w:highlight w:val="none"/>
          <w14:textFill>
            <w14:solidFill>
              <w14:schemeClr w14:val="tx1"/>
            </w14:solidFill>
          </w14:textFill>
        </w:rPr>
        <w:t xml:space="preserve">23.3 </w:t>
      </w:r>
      <w:r>
        <w:rPr>
          <w:rFonts w:ascii="宋体" w:hAnsi="宋体" w:cs="宋体"/>
          <w:color w:val="000000" w:themeColor="text1"/>
          <w:spacing w:val="-1"/>
          <w:sz w:val="24"/>
          <w:szCs w:val="24"/>
          <w:highlight w:val="none"/>
          <w14:textFill>
            <w14:solidFill>
              <w14:schemeClr w14:val="tx1"/>
            </w14:solidFill>
          </w14:textFill>
        </w:rPr>
        <w:t>款的约定相同，延长缺陷责任期的通知</w:t>
      </w:r>
      <w:r>
        <w:rPr>
          <w:rFonts w:ascii="宋体" w:hAnsi="宋体" w:cs="宋体"/>
          <w:color w:val="000000" w:themeColor="text1"/>
          <w:spacing w:val="-2"/>
          <w:sz w:val="24"/>
          <w:szCs w:val="24"/>
          <w:highlight w:val="none"/>
          <w14:textFill>
            <w14:solidFill>
              <w14:schemeClr w14:val="tx1"/>
            </w14:solidFill>
          </w14:textFill>
        </w:rPr>
        <w:t>应在缺陷责任期届满前发出。</w:t>
      </w:r>
    </w:p>
    <w:p w14:paraId="295A932E">
      <w:pPr>
        <w:spacing w:before="116" w:line="278" w:lineRule="auto"/>
        <w:ind w:left="1" w:right="41" w:firstLine="475"/>
        <w:rPr>
          <w:color w:val="000000" w:themeColor="text1"/>
          <w:highlight w:val="none"/>
          <w14:textFill>
            <w14:solidFill>
              <w14:schemeClr w14:val="tx1"/>
            </w14:solidFill>
          </w14:textFill>
        </w:rPr>
      </w:pPr>
      <w:r>
        <w:rPr>
          <w:rFonts w:eastAsia="Times New Roman"/>
          <w:color w:val="000000" w:themeColor="text1"/>
          <w:spacing w:val="-1"/>
          <w:sz w:val="24"/>
          <w:szCs w:val="24"/>
          <w:highlight w:val="none"/>
          <w14:textFill>
            <w14:solidFill>
              <w14:schemeClr w14:val="tx1"/>
            </w14:solidFill>
          </w14:textFill>
        </w:rPr>
        <w:t xml:space="preserve">23.4.2  </w:t>
      </w:r>
      <w:r>
        <w:rPr>
          <w:rFonts w:ascii="宋体" w:hAnsi="宋体" w:cs="宋体"/>
          <w:color w:val="000000" w:themeColor="text1"/>
          <w:spacing w:val="-1"/>
          <w:sz w:val="24"/>
          <w:szCs w:val="24"/>
          <w:highlight w:val="none"/>
          <w14:textFill>
            <w14:solidFill>
              <w14:schemeClr w14:val="tx1"/>
            </w14:solidFill>
          </w14:textFill>
        </w:rPr>
        <w:t>咨询人按第</w:t>
      </w:r>
      <w:r>
        <w:rPr>
          <w:rFonts w:ascii="宋体" w:hAnsi="宋体" w:cs="宋体"/>
          <w:color w:val="000000" w:themeColor="text1"/>
          <w:spacing w:val="-45"/>
          <w:sz w:val="24"/>
          <w:szCs w:val="24"/>
          <w:highlight w:val="none"/>
          <w14:textFill>
            <w14:solidFill>
              <w14:schemeClr w14:val="tx1"/>
            </w14:solidFill>
          </w14:textFill>
        </w:rPr>
        <w:t xml:space="preserve"> </w:t>
      </w:r>
      <w:r>
        <w:rPr>
          <w:rFonts w:eastAsia="Times New Roman"/>
          <w:color w:val="000000" w:themeColor="text1"/>
          <w:spacing w:val="-1"/>
          <w:sz w:val="24"/>
          <w:szCs w:val="24"/>
          <w:highlight w:val="none"/>
          <w14:textFill>
            <w14:solidFill>
              <w14:schemeClr w14:val="tx1"/>
            </w14:solidFill>
          </w14:textFill>
        </w:rPr>
        <w:t xml:space="preserve">3.5 </w:t>
      </w:r>
      <w:r>
        <w:rPr>
          <w:rFonts w:ascii="宋体" w:hAnsi="宋体" w:cs="宋体"/>
          <w:color w:val="000000" w:themeColor="text1"/>
          <w:spacing w:val="-1"/>
          <w:sz w:val="24"/>
          <w:szCs w:val="24"/>
          <w:highlight w:val="none"/>
          <w14:textFill>
            <w14:solidFill>
              <w14:schemeClr w14:val="tx1"/>
            </w14:solidFill>
          </w14:textFill>
        </w:rPr>
        <w:t>款商定或确定发包人从承包人处得到赔付的金额和（或）</w:t>
      </w:r>
      <w:r>
        <w:rPr>
          <w:rFonts w:ascii="宋体" w:hAnsi="宋体" w:cs="宋体"/>
          <w:color w:val="000000" w:themeColor="text1"/>
          <w:spacing w:val="1"/>
          <w:sz w:val="24"/>
          <w:szCs w:val="24"/>
          <w:highlight w:val="none"/>
          <w14:textFill>
            <w14:solidFill>
              <w14:schemeClr w14:val="tx1"/>
            </w14:solidFill>
          </w14:textFill>
        </w:rPr>
        <w:t>缺陷责任期的延长期。承包人应付给发包人的金额可从拟</w:t>
      </w:r>
      <w:r>
        <w:rPr>
          <w:rFonts w:ascii="宋体" w:hAnsi="宋体" w:cs="宋体"/>
          <w:color w:val="000000" w:themeColor="text1"/>
          <w:sz w:val="24"/>
          <w:szCs w:val="24"/>
          <w:highlight w:val="none"/>
          <w14:textFill>
            <w14:solidFill>
              <w14:schemeClr w14:val="tx1"/>
            </w14:solidFill>
          </w14:textFill>
        </w:rPr>
        <w:t>支付给承包人的合同价款</w:t>
      </w:r>
      <w:r>
        <w:rPr>
          <w:rFonts w:ascii="宋体" w:hAnsi="宋体" w:cs="宋体"/>
          <w:color w:val="000000" w:themeColor="text1"/>
          <w:spacing w:val="-1"/>
          <w:sz w:val="24"/>
          <w:szCs w:val="24"/>
          <w:highlight w:val="none"/>
          <w14:textFill>
            <w14:solidFill>
              <w14:schemeClr w14:val="tx1"/>
            </w14:solidFill>
          </w14:textFill>
        </w:rPr>
        <w:t>中扣除，或由承包人以其他方式支付给发包人。</w:t>
      </w:r>
    </w:p>
    <w:p w14:paraId="3249E653">
      <w:pPr>
        <w:spacing w:before="79" w:line="219" w:lineRule="auto"/>
        <w:ind w:left="478"/>
        <w:outlineLvl w:val="2"/>
        <w:rPr>
          <w:rFonts w:ascii="宋体" w:hAnsi="宋体" w:cs="宋体"/>
          <w:color w:val="000000" w:themeColor="text1"/>
          <w:sz w:val="24"/>
          <w:szCs w:val="24"/>
          <w:highlight w:val="none"/>
          <w14:textFill>
            <w14:solidFill>
              <w14:schemeClr w14:val="tx1"/>
            </w14:solidFill>
          </w14:textFill>
        </w:rPr>
      </w:pPr>
      <w:bookmarkStart w:id="186" w:name="bookmark54"/>
      <w:bookmarkEnd w:id="186"/>
      <w:bookmarkStart w:id="187" w:name="bookmark53"/>
      <w:bookmarkEnd w:id="187"/>
      <w:bookmarkStart w:id="188" w:name="_Toc18620"/>
      <w:r>
        <w:rPr>
          <w:rFonts w:eastAsia="Times New Roman"/>
          <w:b/>
          <w:bCs/>
          <w:color w:val="000000" w:themeColor="text1"/>
          <w:spacing w:val="-4"/>
          <w:sz w:val="24"/>
          <w:szCs w:val="24"/>
          <w:highlight w:val="none"/>
          <w14:textFill>
            <w14:solidFill>
              <w14:schemeClr w14:val="tx1"/>
            </w14:solidFill>
          </w14:textFill>
        </w:rPr>
        <w:t>24.</w:t>
      </w:r>
      <w:r>
        <w:rPr>
          <w:rFonts w:eastAsia="Times New Roman"/>
          <w:b/>
          <w:bCs/>
          <w:color w:val="000000" w:themeColor="text1"/>
          <w:spacing w:val="8"/>
          <w:sz w:val="24"/>
          <w:szCs w:val="24"/>
          <w:highlight w:val="none"/>
          <w14:textFill>
            <w14:solidFill>
              <w14:schemeClr w14:val="tx1"/>
            </w14:solidFill>
          </w14:textFill>
        </w:rPr>
        <w:t xml:space="preserve">  </w:t>
      </w:r>
      <w:r>
        <w:rPr>
          <w:rFonts w:ascii="宋体" w:hAnsi="宋体" w:cs="宋体"/>
          <w:b/>
          <w:bCs/>
          <w:color w:val="000000" w:themeColor="text1"/>
          <w:spacing w:val="-4"/>
          <w:sz w:val="24"/>
          <w:szCs w:val="24"/>
          <w:highlight w:val="none"/>
          <w14:textFill>
            <w14:solidFill>
              <w14:schemeClr w14:val="tx1"/>
            </w14:solidFill>
          </w14:textFill>
        </w:rPr>
        <w:t>争议的解决</w:t>
      </w:r>
      <w:bookmarkEnd w:id="188"/>
    </w:p>
    <w:p w14:paraId="31065B44">
      <w:pPr>
        <w:spacing w:before="260" w:line="219" w:lineRule="auto"/>
        <w:ind w:left="478"/>
        <w:outlineLvl w:val="3"/>
        <w:rPr>
          <w:rFonts w:ascii="宋体" w:hAnsi="宋体" w:cs="宋体"/>
          <w:color w:val="000000" w:themeColor="text1"/>
          <w:sz w:val="24"/>
          <w:szCs w:val="24"/>
          <w:highlight w:val="none"/>
          <w14:textFill>
            <w14:solidFill>
              <w14:schemeClr w14:val="tx1"/>
            </w14:solidFill>
          </w14:textFill>
        </w:rPr>
      </w:pPr>
      <w:r>
        <w:rPr>
          <w:rFonts w:eastAsia="Times New Roman"/>
          <w:b/>
          <w:bCs/>
          <w:color w:val="000000" w:themeColor="text1"/>
          <w:spacing w:val="-2"/>
          <w:sz w:val="24"/>
          <w:szCs w:val="24"/>
          <w:highlight w:val="none"/>
          <w14:textFill>
            <w14:solidFill>
              <w14:schemeClr w14:val="tx1"/>
            </w14:solidFill>
          </w14:textFill>
        </w:rPr>
        <w:t xml:space="preserve">24.1  </w:t>
      </w:r>
      <w:r>
        <w:rPr>
          <w:rFonts w:ascii="宋体" w:hAnsi="宋体" w:cs="宋体"/>
          <w:b/>
          <w:bCs/>
          <w:color w:val="000000" w:themeColor="text1"/>
          <w:spacing w:val="-2"/>
          <w:sz w:val="24"/>
          <w:szCs w:val="24"/>
          <w:highlight w:val="none"/>
          <w14:textFill>
            <w14:solidFill>
              <w14:schemeClr w14:val="tx1"/>
            </w14:solidFill>
          </w14:textFill>
        </w:rPr>
        <w:t>争议的解决方式</w:t>
      </w:r>
    </w:p>
    <w:p w14:paraId="77D56AE9">
      <w:pPr>
        <w:spacing w:before="124" w:line="308" w:lineRule="auto"/>
        <w:ind w:right="166" w:firstLine="485"/>
        <w:rPr>
          <w:rFonts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pacing w:val="1"/>
          <w:sz w:val="24"/>
          <w:szCs w:val="24"/>
          <w:highlight w:val="none"/>
          <w14:textFill>
            <w14:solidFill>
              <w14:schemeClr w14:val="tx1"/>
            </w14:solidFill>
          </w14:textFill>
        </w:rPr>
        <w:t>发包人和承包人在履行合同中发生争议的，</w:t>
      </w:r>
      <w:r>
        <w:rPr>
          <w:rFonts w:ascii="宋体" w:hAnsi="宋体" w:cs="宋体"/>
          <w:color w:val="000000" w:themeColor="text1"/>
          <w:sz w:val="24"/>
          <w:szCs w:val="24"/>
          <w:highlight w:val="none"/>
          <w14:textFill>
            <w14:solidFill>
              <w14:schemeClr w14:val="tx1"/>
            </w14:solidFill>
          </w14:textFill>
        </w:rPr>
        <w:t>可以友好协商解决或者通过第三方</w:t>
      </w:r>
      <w:r>
        <w:rPr>
          <w:rFonts w:ascii="宋体" w:hAnsi="宋体" w:cs="宋体"/>
          <w:color w:val="000000" w:themeColor="text1"/>
          <w:spacing w:val="1"/>
          <w:sz w:val="24"/>
          <w:szCs w:val="24"/>
          <w:highlight w:val="none"/>
          <w14:textFill>
            <w14:solidFill>
              <w14:schemeClr w14:val="tx1"/>
            </w14:solidFill>
          </w14:textFill>
        </w:rPr>
        <w:t>进行调解。合同当事人友好协商解决或者调解不成，可在</w:t>
      </w:r>
      <w:r>
        <w:rPr>
          <w:rFonts w:ascii="宋体" w:hAnsi="宋体" w:cs="宋体"/>
          <w:color w:val="000000" w:themeColor="text1"/>
          <w:sz w:val="24"/>
          <w:szCs w:val="24"/>
          <w:highlight w:val="none"/>
          <w14:textFill>
            <w14:solidFill>
              <w14:schemeClr w14:val="tx1"/>
            </w14:solidFill>
          </w14:textFill>
        </w:rPr>
        <w:t>专用合同条款中约定下列</w:t>
      </w:r>
      <w:r>
        <w:rPr>
          <w:rFonts w:ascii="宋体" w:hAnsi="宋体" w:cs="宋体"/>
          <w:color w:val="000000" w:themeColor="text1"/>
          <w:spacing w:val="-2"/>
          <w:sz w:val="24"/>
          <w:szCs w:val="24"/>
          <w:highlight w:val="none"/>
          <w14:textFill>
            <w14:solidFill>
              <w14:schemeClr w14:val="tx1"/>
            </w14:solidFill>
          </w14:textFill>
        </w:rPr>
        <w:t>一种方式解决：</w:t>
      </w:r>
    </w:p>
    <w:p w14:paraId="080C9116">
      <w:pPr>
        <w:spacing w:before="1" w:line="218" w:lineRule="auto"/>
        <w:ind w:left="493"/>
        <w:rPr>
          <w:rFonts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pacing w:val="-2"/>
          <w:sz w:val="24"/>
          <w:szCs w:val="24"/>
          <w:highlight w:val="none"/>
          <w14:textFill>
            <w14:solidFill>
              <w14:schemeClr w14:val="tx1"/>
            </w14:solidFill>
          </w14:textFill>
        </w:rPr>
        <w:t>（</w:t>
      </w:r>
      <w:r>
        <w:rPr>
          <w:rFonts w:eastAsia="Times New Roman"/>
          <w:color w:val="000000" w:themeColor="text1"/>
          <w:spacing w:val="-2"/>
          <w:sz w:val="24"/>
          <w:szCs w:val="24"/>
          <w:highlight w:val="none"/>
          <w14:textFill>
            <w14:solidFill>
              <w14:schemeClr w14:val="tx1"/>
            </w14:solidFill>
          </w14:textFill>
        </w:rPr>
        <w:t>1</w:t>
      </w:r>
      <w:r>
        <w:rPr>
          <w:rFonts w:ascii="宋体" w:hAnsi="宋体" w:cs="宋体"/>
          <w:color w:val="000000" w:themeColor="text1"/>
          <w:spacing w:val="-2"/>
          <w:sz w:val="24"/>
          <w:szCs w:val="24"/>
          <w:highlight w:val="none"/>
          <w14:textFill>
            <w14:solidFill>
              <w14:schemeClr w14:val="tx1"/>
            </w14:solidFill>
          </w14:textFill>
        </w:rPr>
        <w:t>）向约定的仲裁委员会申请仲裁；</w:t>
      </w:r>
    </w:p>
    <w:p w14:paraId="63BA4E02">
      <w:pPr>
        <w:spacing w:before="116" w:line="219" w:lineRule="auto"/>
        <w:ind w:left="493"/>
        <w:rPr>
          <w:rFonts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pacing w:val="-2"/>
          <w:sz w:val="24"/>
          <w:szCs w:val="24"/>
          <w:highlight w:val="none"/>
          <w14:textFill>
            <w14:solidFill>
              <w14:schemeClr w14:val="tx1"/>
            </w14:solidFill>
          </w14:textFill>
        </w:rPr>
        <w:t>（</w:t>
      </w:r>
      <w:r>
        <w:rPr>
          <w:rFonts w:eastAsia="Times New Roman"/>
          <w:color w:val="000000" w:themeColor="text1"/>
          <w:spacing w:val="-2"/>
          <w:sz w:val="24"/>
          <w:szCs w:val="24"/>
          <w:highlight w:val="none"/>
          <w14:textFill>
            <w14:solidFill>
              <w14:schemeClr w14:val="tx1"/>
            </w14:solidFill>
          </w14:textFill>
        </w:rPr>
        <w:t>2</w:t>
      </w:r>
      <w:r>
        <w:rPr>
          <w:rFonts w:ascii="宋体" w:hAnsi="宋体" w:cs="宋体"/>
          <w:color w:val="000000" w:themeColor="text1"/>
          <w:spacing w:val="-2"/>
          <w:sz w:val="24"/>
          <w:szCs w:val="24"/>
          <w:highlight w:val="none"/>
          <w14:textFill>
            <w14:solidFill>
              <w14:schemeClr w14:val="tx1"/>
            </w14:solidFill>
          </w14:textFill>
        </w:rPr>
        <w:t>）向有管辖权的人民法院提起诉讼。</w:t>
      </w:r>
    </w:p>
    <w:p w14:paraId="2DFD081D">
      <w:pPr>
        <w:spacing w:before="105" w:line="219" w:lineRule="auto"/>
        <w:ind w:left="478"/>
        <w:outlineLvl w:val="3"/>
        <w:rPr>
          <w:rFonts w:ascii="宋体" w:hAnsi="宋体" w:cs="宋体"/>
          <w:color w:val="000000" w:themeColor="text1"/>
          <w:sz w:val="24"/>
          <w:szCs w:val="24"/>
          <w:highlight w:val="none"/>
          <w14:textFill>
            <w14:solidFill>
              <w14:schemeClr w14:val="tx1"/>
            </w14:solidFill>
          </w14:textFill>
        </w:rPr>
      </w:pPr>
      <w:r>
        <w:rPr>
          <w:rFonts w:eastAsia="Times New Roman"/>
          <w:b/>
          <w:bCs/>
          <w:color w:val="000000" w:themeColor="text1"/>
          <w:spacing w:val="-2"/>
          <w:sz w:val="24"/>
          <w:szCs w:val="24"/>
          <w:highlight w:val="none"/>
          <w14:textFill>
            <w14:solidFill>
              <w14:schemeClr w14:val="tx1"/>
            </w14:solidFill>
          </w14:textFill>
        </w:rPr>
        <w:t xml:space="preserve">24.2  </w:t>
      </w:r>
      <w:r>
        <w:rPr>
          <w:rFonts w:ascii="宋体" w:hAnsi="宋体" w:cs="宋体"/>
          <w:b/>
          <w:bCs/>
          <w:color w:val="000000" w:themeColor="text1"/>
          <w:spacing w:val="-2"/>
          <w:sz w:val="24"/>
          <w:szCs w:val="24"/>
          <w:highlight w:val="none"/>
          <w14:textFill>
            <w14:solidFill>
              <w14:schemeClr w14:val="tx1"/>
            </w14:solidFill>
          </w14:textFill>
        </w:rPr>
        <w:t>友好解决</w:t>
      </w:r>
    </w:p>
    <w:p w14:paraId="423ABC7E">
      <w:pPr>
        <w:spacing w:before="126" w:line="310" w:lineRule="auto"/>
        <w:ind w:left="2" w:right="164" w:firstLine="478"/>
        <w:rPr>
          <w:color w:val="000000" w:themeColor="text1"/>
          <w:highlight w:val="none"/>
          <w14:textFill>
            <w14:solidFill>
              <w14:schemeClr w14:val="tx1"/>
            </w14:solidFill>
          </w14:textFill>
        </w:rPr>
      </w:pPr>
      <w:r>
        <w:rPr>
          <w:rFonts w:ascii="宋体" w:hAnsi="宋体" w:cs="宋体"/>
          <w:color w:val="000000" w:themeColor="text1"/>
          <w:spacing w:val="1"/>
          <w:sz w:val="24"/>
          <w:szCs w:val="24"/>
          <w:highlight w:val="none"/>
          <w14:textFill>
            <w14:solidFill>
              <w14:schemeClr w14:val="tx1"/>
            </w14:solidFill>
          </w14:textFill>
        </w:rPr>
        <w:t>在仲裁或者诉讼前，以及在仲裁或诉讼过程中，发包人和承</w:t>
      </w:r>
      <w:r>
        <w:rPr>
          <w:rFonts w:ascii="宋体" w:hAnsi="宋体" w:cs="宋体"/>
          <w:color w:val="000000" w:themeColor="text1"/>
          <w:sz w:val="24"/>
          <w:szCs w:val="24"/>
          <w:highlight w:val="none"/>
          <w14:textFill>
            <w14:solidFill>
              <w14:schemeClr w14:val="tx1"/>
            </w14:solidFill>
          </w14:textFill>
        </w:rPr>
        <w:t>包人均可共同努力</w:t>
      </w:r>
      <w:r>
        <w:rPr>
          <w:rFonts w:ascii="宋体" w:hAnsi="宋体" w:cs="宋体"/>
          <w:color w:val="000000" w:themeColor="text1"/>
          <w:spacing w:val="-2"/>
          <w:sz w:val="24"/>
          <w:szCs w:val="24"/>
          <w:highlight w:val="none"/>
          <w14:textFill>
            <w14:solidFill>
              <w14:schemeClr w14:val="tx1"/>
            </w14:solidFill>
          </w14:textFill>
        </w:rPr>
        <w:t>友好协商解决争议。</w:t>
      </w:r>
    </w:p>
    <w:p w14:paraId="1D835A5C">
      <w:pPr>
        <w:spacing w:before="78" w:line="219" w:lineRule="auto"/>
        <w:ind w:left="478"/>
        <w:outlineLvl w:val="3"/>
        <w:rPr>
          <w:rFonts w:ascii="宋体" w:hAnsi="宋体" w:cs="宋体"/>
          <w:color w:val="000000" w:themeColor="text1"/>
          <w:sz w:val="24"/>
          <w:szCs w:val="24"/>
          <w:highlight w:val="none"/>
          <w14:textFill>
            <w14:solidFill>
              <w14:schemeClr w14:val="tx1"/>
            </w14:solidFill>
          </w14:textFill>
        </w:rPr>
      </w:pPr>
      <w:bookmarkStart w:id="189" w:name="bookmark232"/>
      <w:bookmarkEnd w:id="189"/>
      <w:r>
        <w:rPr>
          <w:rFonts w:eastAsia="Times New Roman"/>
          <w:b/>
          <w:bCs/>
          <w:color w:val="000000" w:themeColor="text1"/>
          <w:spacing w:val="-2"/>
          <w:sz w:val="24"/>
          <w:szCs w:val="24"/>
          <w:highlight w:val="none"/>
          <w14:textFill>
            <w14:solidFill>
              <w14:schemeClr w14:val="tx1"/>
            </w14:solidFill>
          </w14:textFill>
        </w:rPr>
        <w:t xml:space="preserve">24.3 </w:t>
      </w:r>
      <w:r>
        <w:rPr>
          <w:rFonts w:ascii="宋体" w:hAnsi="宋体" w:cs="宋体"/>
          <w:b/>
          <w:bCs/>
          <w:color w:val="000000" w:themeColor="text1"/>
          <w:spacing w:val="-2"/>
          <w:sz w:val="24"/>
          <w:szCs w:val="24"/>
          <w:highlight w:val="none"/>
          <w14:textFill>
            <w14:solidFill>
              <w14:schemeClr w14:val="tx1"/>
            </w14:solidFill>
          </w14:textFill>
        </w:rPr>
        <w:t>第三方调解</w:t>
      </w:r>
    </w:p>
    <w:p w14:paraId="405B8D64">
      <w:pPr>
        <w:spacing w:before="124" w:line="304" w:lineRule="auto"/>
        <w:ind w:left="2" w:right="145" w:firstLine="482"/>
        <w:rPr>
          <w:rFonts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pacing w:val="1"/>
          <w:sz w:val="24"/>
          <w:szCs w:val="24"/>
          <w:highlight w:val="none"/>
          <w14:textFill>
            <w14:solidFill>
              <w14:schemeClr w14:val="tx1"/>
            </w14:solidFill>
          </w14:textFill>
        </w:rPr>
        <w:t>发包人和承包人可以就争议通过第三方进行调解</w:t>
      </w:r>
      <w:r>
        <w:rPr>
          <w:rFonts w:ascii="宋体" w:hAnsi="宋体" w:cs="宋体"/>
          <w:color w:val="000000" w:themeColor="text1"/>
          <w:sz w:val="24"/>
          <w:szCs w:val="24"/>
          <w:highlight w:val="none"/>
          <w14:textFill>
            <w14:solidFill>
              <w14:schemeClr w14:val="tx1"/>
            </w14:solidFill>
          </w14:textFill>
        </w:rPr>
        <w:t>，调解达成协议的，经双方签</w:t>
      </w:r>
      <w:r>
        <w:rPr>
          <w:rFonts w:ascii="宋体" w:hAnsi="宋体" w:cs="宋体"/>
          <w:color w:val="000000" w:themeColor="text1"/>
          <w:spacing w:val="-1"/>
          <w:sz w:val="24"/>
          <w:szCs w:val="24"/>
          <w:highlight w:val="none"/>
          <w14:textFill>
            <w14:solidFill>
              <w14:schemeClr w14:val="tx1"/>
            </w14:solidFill>
          </w14:textFill>
        </w:rPr>
        <w:t>字盖章后作为合同的补充文件，双方均应遵照执行。</w:t>
      </w:r>
    </w:p>
    <w:p w14:paraId="17AA580B">
      <w:pPr>
        <w:spacing w:line="219" w:lineRule="auto"/>
        <w:ind w:left="478"/>
        <w:outlineLvl w:val="3"/>
        <w:rPr>
          <w:rFonts w:ascii="宋体" w:hAnsi="宋体" w:cs="宋体"/>
          <w:color w:val="000000" w:themeColor="text1"/>
          <w:sz w:val="24"/>
          <w:szCs w:val="24"/>
          <w:highlight w:val="none"/>
          <w14:textFill>
            <w14:solidFill>
              <w14:schemeClr w14:val="tx1"/>
            </w14:solidFill>
          </w14:textFill>
        </w:rPr>
      </w:pPr>
      <w:r>
        <w:rPr>
          <w:rFonts w:eastAsia="Times New Roman"/>
          <w:b/>
          <w:bCs/>
          <w:color w:val="000000" w:themeColor="text1"/>
          <w:spacing w:val="-4"/>
          <w:sz w:val="24"/>
          <w:szCs w:val="24"/>
          <w:highlight w:val="none"/>
          <w14:textFill>
            <w14:solidFill>
              <w14:schemeClr w14:val="tx1"/>
            </w14:solidFill>
          </w14:textFill>
        </w:rPr>
        <w:t>24.4</w:t>
      </w:r>
      <w:r>
        <w:rPr>
          <w:rFonts w:eastAsia="Times New Roman"/>
          <w:b/>
          <w:bCs/>
          <w:color w:val="000000" w:themeColor="text1"/>
          <w:spacing w:val="6"/>
          <w:sz w:val="24"/>
          <w:szCs w:val="24"/>
          <w:highlight w:val="none"/>
          <w14:textFill>
            <w14:solidFill>
              <w14:schemeClr w14:val="tx1"/>
            </w14:solidFill>
          </w14:textFill>
        </w:rPr>
        <w:t xml:space="preserve">  </w:t>
      </w:r>
      <w:r>
        <w:rPr>
          <w:rFonts w:ascii="宋体" w:hAnsi="宋体" w:cs="宋体"/>
          <w:b/>
          <w:bCs/>
          <w:color w:val="000000" w:themeColor="text1"/>
          <w:spacing w:val="-4"/>
          <w:sz w:val="24"/>
          <w:szCs w:val="24"/>
          <w:highlight w:val="none"/>
          <w14:textFill>
            <w14:solidFill>
              <w14:schemeClr w14:val="tx1"/>
            </w14:solidFill>
          </w14:textFill>
        </w:rPr>
        <w:t>仲裁</w:t>
      </w:r>
    </w:p>
    <w:p w14:paraId="7667AFB8">
      <w:pPr>
        <w:spacing w:before="124" w:line="263" w:lineRule="auto"/>
        <w:ind w:left="2" w:right="145" w:firstLine="490"/>
        <w:rPr>
          <w:rFonts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pacing w:val="4"/>
          <w:sz w:val="24"/>
          <w:szCs w:val="24"/>
          <w:highlight w:val="none"/>
          <w14:textFill>
            <w14:solidFill>
              <w14:schemeClr w14:val="tx1"/>
            </w14:solidFill>
          </w14:textFill>
        </w:rPr>
        <w:t>（</w:t>
      </w:r>
      <w:r>
        <w:rPr>
          <w:rFonts w:eastAsia="Times New Roman"/>
          <w:color w:val="000000" w:themeColor="text1"/>
          <w:spacing w:val="4"/>
          <w:sz w:val="24"/>
          <w:szCs w:val="24"/>
          <w:highlight w:val="none"/>
          <w14:textFill>
            <w14:solidFill>
              <w14:schemeClr w14:val="tx1"/>
            </w14:solidFill>
          </w14:textFill>
        </w:rPr>
        <w:t>1</w:t>
      </w:r>
      <w:r>
        <w:rPr>
          <w:rFonts w:ascii="宋体" w:hAnsi="宋体" w:cs="宋体"/>
          <w:color w:val="000000" w:themeColor="text1"/>
          <w:spacing w:val="4"/>
          <w:sz w:val="24"/>
          <w:szCs w:val="24"/>
          <w:highlight w:val="none"/>
          <w14:textFill>
            <w14:solidFill>
              <w14:schemeClr w14:val="tx1"/>
            </w14:solidFill>
          </w14:textFill>
        </w:rPr>
        <w:t>）对于未能友好解决或未能通过调解解决的争议，发包人或承包人任</w:t>
      </w:r>
      <w:r>
        <w:rPr>
          <w:rFonts w:ascii="宋体" w:hAnsi="宋体" w:cs="宋体"/>
          <w:color w:val="000000" w:themeColor="text1"/>
          <w:spacing w:val="3"/>
          <w:sz w:val="24"/>
          <w:szCs w:val="24"/>
          <w:highlight w:val="none"/>
          <w14:textFill>
            <w14:solidFill>
              <w14:schemeClr w14:val="tx1"/>
            </w14:solidFill>
          </w14:textFill>
        </w:rPr>
        <w:t>一方</w:t>
      </w:r>
      <w:r>
        <w:rPr>
          <w:rFonts w:ascii="宋体" w:hAnsi="宋体" w:cs="宋体"/>
          <w:color w:val="000000" w:themeColor="text1"/>
          <w:spacing w:val="-1"/>
          <w:sz w:val="24"/>
          <w:szCs w:val="24"/>
          <w:highlight w:val="none"/>
          <w14:textFill>
            <w14:solidFill>
              <w14:schemeClr w14:val="tx1"/>
            </w14:solidFill>
          </w14:textFill>
        </w:rPr>
        <w:t>均有权提交给第</w:t>
      </w:r>
      <w:r>
        <w:rPr>
          <w:rFonts w:ascii="宋体" w:hAnsi="宋体" w:cs="宋体"/>
          <w:color w:val="000000" w:themeColor="text1"/>
          <w:spacing w:val="-48"/>
          <w:sz w:val="24"/>
          <w:szCs w:val="24"/>
          <w:highlight w:val="none"/>
          <w14:textFill>
            <w14:solidFill>
              <w14:schemeClr w14:val="tx1"/>
            </w14:solidFill>
          </w14:textFill>
        </w:rPr>
        <w:t xml:space="preserve"> </w:t>
      </w:r>
      <w:r>
        <w:rPr>
          <w:rFonts w:eastAsia="Times New Roman"/>
          <w:color w:val="000000" w:themeColor="text1"/>
          <w:spacing w:val="-1"/>
          <w:sz w:val="24"/>
          <w:szCs w:val="24"/>
          <w:highlight w:val="none"/>
          <w14:textFill>
            <w14:solidFill>
              <w14:schemeClr w14:val="tx1"/>
            </w14:solidFill>
          </w14:textFill>
        </w:rPr>
        <w:t xml:space="preserve">24.1 </w:t>
      </w:r>
      <w:r>
        <w:rPr>
          <w:rFonts w:ascii="宋体" w:hAnsi="宋体" w:cs="宋体"/>
          <w:color w:val="000000" w:themeColor="text1"/>
          <w:spacing w:val="-1"/>
          <w:sz w:val="24"/>
          <w:szCs w:val="24"/>
          <w:highlight w:val="none"/>
          <w14:textFill>
            <w14:solidFill>
              <w14:schemeClr w14:val="tx1"/>
            </w14:solidFill>
          </w14:textFill>
        </w:rPr>
        <w:t>款约定的仲裁委员会仲裁。</w:t>
      </w:r>
    </w:p>
    <w:p w14:paraId="09B8ED92">
      <w:pPr>
        <w:spacing w:before="115" w:line="278" w:lineRule="auto"/>
        <w:ind w:right="145" w:firstLine="493"/>
        <w:rPr>
          <w:rFonts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pacing w:val="4"/>
          <w:sz w:val="24"/>
          <w:szCs w:val="24"/>
          <w:highlight w:val="none"/>
          <w14:textFill>
            <w14:solidFill>
              <w14:schemeClr w14:val="tx1"/>
            </w14:solidFill>
          </w14:textFill>
        </w:rPr>
        <w:t>（</w:t>
      </w:r>
      <w:r>
        <w:rPr>
          <w:rFonts w:eastAsia="Times New Roman"/>
          <w:color w:val="000000" w:themeColor="text1"/>
          <w:spacing w:val="4"/>
          <w:sz w:val="24"/>
          <w:szCs w:val="24"/>
          <w:highlight w:val="none"/>
          <w14:textFill>
            <w14:solidFill>
              <w14:schemeClr w14:val="tx1"/>
            </w14:solidFill>
          </w14:textFill>
        </w:rPr>
        <w:t>2</w:t>
      </w:r>
      <w:r>
        <w:rPr>
          <w:rFonts w:ascii="宋体" w:hAnsi="宋体" w:cs="宋体"/>
          <w:color w:val="000000" w:themeColor="text1"/>
          <w:spacing w:val="4"/>
          <w:sz w:val="24"/>
          <w:szCs w:val="24"/>
          <w:highlight w:val="none"/>
          <w14:textFill>
            <w14:solidFill>
              <w14:schemeClr w14:val="tx1"/>
            </w14:solidFill>
          </w14:textFill>
        </w:rPr>
        <w:t>）仲裁可在交工之前或之后进行，但发包人、咨询人和承包人各自的</w:t>
      </w:r>
      <w:r>
        <w:rPr>
          <w:rFonts w:ascii="宋体" w:hAnsi="宋体" w:cs="宋体"/>
          <w:color w:val="000000" w:themeColor="text1"/>
          <w:spacing w:val="3"/>
          <w:sz w:val="24"/>
          <w:szCs w:val="24"/>
          <w:highlight w:val="none"/>
          <w14:textFill>
            <w14:solidFill>
              <w14:schemeClr w14:val="tx1"/>
            </w14:solidFill>
          </w14:textFill>
        </w:rPr>
        <w:t>义务</w:t>
      </w:r>
      <w:r>
        <w:rPr>
          <w:rFonts w:ascii="宋体" w:hAnsi="宋体" w:cs="宋体"/>
          <w:color w:val="000000" w:themeColor="text1"/>
          <w:spacing w:val="1"/>
          <w:sz w:val="24"/>
          <w:szCs w:val="24"/>
          <w:highlight w:val="none"/>
          <w14:textFill>
            <w14:solidFill>
              <w14:schemeClr w14:val="tx1"/>
            </w14:solidFill>
          </w14:textFill>
        </w:rPr>
        <w:t>不得因在养护项目实施期间进行仲裁而有所改变。如果仲裁是</w:t>
      </w:r>
      <w:r>
        <w:rPr>
          <w:rFonts w:ascii="宋体" w:hAnsi="宋体" w:cs="宋体"/>
          <w:color w:val="000000" w:themeColor="text1"/>
          <w:sz w:val="24"/>
          <w:szCs w:val="24"/>
          <w:highlight w:val="none"/>
          <w14:textFill>
            <w14:solidFill>
              <w14:schemeClr w14:val="tx1"/>
            </w14:solidFill>
          </w14:textFill>
        </w:rPr>
        <w:t>在终止合同的情况下</w:t>
      </w:r>
      <w:r>
        <w:rPr>
          <w:rFonts w:ascii="宋体" w:hAnsi="宋体" w:cs="宋体"/>
          <w:color w:val="000000" w:themeColor="text1"/>
          <w:spacing w:val="-1"/>
          <w:sz w:val="24"/>
          <w:szCs w:val="24"/>
          <w:highlight w:val="none"/>
          <w14:textFill>
            <w14:solidFill>
              <w14:schemeClr w14:val="tx1"/>
            </w14:solidFill>
          </w14:textFill>
        </w:rPr>
        <w:t>进行，则对养护项目应采取保护措施，措施费由败诉方承担。</w:t>
      </w:r>
    </w:p>
    <w:p w14:paraId="6E94FC0F">
      <w:pPr>
        <w:spacing w:before="117" w:line="219" w:lineRule="auto"/>
        <w:ind w:left="493"/>
        <w:rPr>
          <w:rFonts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pacing w:val="-1"/>
          <w:sz w:val="24"/>
          <w:szCs w:val="24"/>
          <w:highlight w:val="none"/>
          <w14:textFill>
            <w14:solidFill>
              <w14:schemeClr w14:val="tx1"/>
            </w14:solidFill>
          </w14:textFill>
        </w:rPr>
        <w:t>（</w:t>
      </w:r>
      <w:r>
        <w:rPr>
          <w:rFonts w:eastAsia="Times New Roman"/>
          <w:color w:val="000000" w:themeColor="text1"/>
          <w:spacing w:val="-1"/>
          <w:sz w:val="24"/>
          <w:szCs w:val="24"/>
          <w:highlight w:val="none"/>
          <w14:textFill>
            <w14:solidFill>
              <w14:schemeClr w14:val="tx1"/>
            </w14:solidFill>
          </w14:textFill>
        </w:rPr>
        <w:t>3</w:t>
      </w:r>
      <w:r>
        <w:rPr>
          <w:rFonts w:ascii="宋体" w:hAnsi="宋体" w:cs="宋体"/>
          <w:color w:val="000000" w:themeColor="text1"/>
          <w:spacing w:val="-1"/>
          <w:sz w:val="24"/>
          <w:szCs w:val="24"/>
          <w:highlight w:val="none"/>
          <w14:textFill>
            <w14:solidFill>
              <w14:schemeClr w14:val="tx1"/>
            </w14:solidFill>
          </w14:textFill>
        </w:rPr>
        <w:t>）仲裁裁决是终局性的并对发包人和承包人双方具有约束力。</w:t>
      </w:r>
    </w:p>
    <w:p w14:paraId="0964D13D">
      <w:pPr>
        <w:spacing w:before="115" w:line="219" w:lineRule="auto"/>
        <w:ind w:left="493"/>
        <w:rPr>
          <w:rFonts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pacing w:val="-1"/>
          <w:sz w:val="24"/>
          <w:szCs w:val="24"/>
          <w:highlight w:val="none"/>
          <w14:textFill>
            <w14:solidFill>
              <w14:schemeClr w14:val="tx1"/>
            </w14:solidFill>
          </w14:textFill>
        </w:rPr>
        <w:t>（</w:t>
      </w:r>
      <w:r>
        <w:rPr>
          <w:rFonts w:eastAsia="Times New Roman"/>
          <w:color w:val="000000" w:themeColor="text1"/>
          <w:spacing w:val="-1"/>
          <w:sz w:val="24"/>
          <w:szCs w:val="24"/>
          <w:highlight w:val="none"/>
          <w14:textFill>
            <w14:solidFill>
              <w14:schemeClr w14:val="tx1"/>
            </w14:solidFill>
          </w14:textFill>
        </w:rPr>
        <w:t>4</w:t>
      </w:r>
      <w:r>
        <w:rPr>
          <w:rFonts w:ascii="宋体" w:hAnsi="宋体" w:cs="宋体"/>
          <w:color w:val="000000" w:themeColor="text1"/>
          <w:spacing w:val="-1"/>
          <w:sz w:val="24"/>
          <w:szCs w:val="24"/>
          <w:highlight w:val="none"/>
          <w14:textFill>
            <w14:solidFill>
              <w14:schemeClr w14:val="tx1"/>
            </w14:solidFill>
          </w14:textFill>
        </w:rPr>
        <w:t>）全部仲裁费用应由败诉方承担；或按仲裁委员会裁决的比例分担。</w:t>
      </w:r>
    </w:p>
    <w:p w14:paraId="30601167">
      <w:pPr>
        <w:spacing w:before="105" w:line="219" w:lineRule="auto"/>
        <w:ind w:left="478"/>
        <w:outlineLvl w:val="3"/>
        <w:rPr>
          <w:rFonts w:ascii="宋体" w:hAnsi="宋体" w:cs="宋体"/>
          <w:color w:val="000000" w:themeColor="text1"/>
          <w:sz w:val="24"/>
          <w:szCs w:val="24"/>
          <w:highlight w:val="none"/>
          <w14:textFill>
            <w14:solidFill>
              <w14:schemeClr w14:val="tx1"/>
            </w14:solidFill>
          </w14:textFill>
        </w:rPr>
      </w:pPr>
      <w:r>
        <w:rPr>
          <w:rFonts w:eastAsia="Times New Roman"/>
          <w:b/>
          <w:bCs/>
          <w:color w:val="000000" w:themeColor="text1"/>
          <w:spacing w:val="-2"/>
          <w:sz w:val="24"/>
          <w:szCs w:val="24"/>
          <w:highlight w:val="none"/>
          <w14:textFill>
            <w14:solidFill>
              <w14:schemeClr w14:val="tx1"/>
            </w14:solidFill>
          </w14:textFill>
        </w:rPr>
        <w:t xml:space="preserve">24.5  </w:t>
      </w:r>
      <w:r>
        <w:rPr>
          <w:rFonts w:ascii="宋体" w:hAnsi="宋体" w:cs="宋体"/>
          <w:b/>
          <w:bCs/>
          <w:color w:val="000000" w:themeColor="text1"/>
          <w:spacing w:val="-2"/>
          <w:sz w:val="24"/>
          <w:szCs w:val="24"/>
          <w:highlight w:val="none"/>
          <w14:textFill>
            <w14:solidFill>
              <w14:schemeClr w14:val="tx1"/>
            </w14:solidFill>
          </w14:textFill>
        </w:rPr>
        <w:t>争议解决条款效力</w:t>
      </w:r>
    </w:p>
    <w:p w14:paraId="412F1C27">
      <w:pPr>
        <w:spacing w:before="127" w:line="310" w:lineRule="auto"/>
        <w:ind w:left="5" w:firstLine="477"/>
        <w:rPr>
          <w:rFonts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pacing w:val="-2"/>
          <w:sz w:val="24"/>
          <w:szCs w:val="24"/>
          <w:highlight w:val="none"/>
          <w14:textFill>
            <w14:solidFill>
              <w14:schemeClr w14:val="tx1"/>
            </w14:solidFill>
          </w14:textFill>
        </w:rPr>
        <w:t>合同有关争议解决的条款独立存在，合同的不生效、无效、被撤销或者终止的，</w:t>
      </w:r>
      <w:r>
        <w:rPr>
          <w:rFonts w:ascii="宋体" w:hAnsi="宋体" w:cs="宋体"/>
          <w:color w:val="000000" w:themeColor="text1"/>
          <w:spacing w:val="-1"/>
          <w:sz w:val="24"/>
          <w:szCs w:val="24"/>
          <w:highlight w:val="none"/>
          <w14:textFill>
            <w14:solidFill>
              <w14:schemeClr w14:val="tx1"/>
            </w14:solidFill>
          </w14:textFill>
        </w:rPr>
        <w:t>不影响合同中有关争议解决条款的效力。</w:t>
      </w:r>
    </w:p>
    <w:p w14:paraId="19ACB3B5">
      <w:pPr>
        <w:spacing w:line="310" w:lineRule="auto"/>
        <w:rPr>
          <w:rFonts w:ascii="宋体" w:hAnsi="宋体" w:cs="宋体"/>
          <w:color w:val="000000" w:themeColor="text1"/>
          <w:sz w:val="24"/>
          <w:szCs w:val="24"/>
          <w:highlight w:val="none"/>
          <w14:textFill>
            <w14:solidFill>
              <w14:schemeClr w14:val="tx1"/>
            </w14:solidFill>
          </w14:textFill>
        </w:rPr>
        <w:sectPr>
          <w:headerReference r:id="rId19" w:type="default"/>
          <w:pgSz w:w="11907" w:h="16840"/>
          <w:pgMar w:top="1196" w:right="1417" w:bottom="1195" w:left="1417" w:header="0" w:footer="1017" w:gutter="0"/>
          <w:cols w:space="720" w:num="1"/>
        </w:sectPr>
      </w:pPr>
    </w:p>
    <w:p w14:paraId="5DF66C4D">
      <w:pPr>
        <w:pStyle w:val="204"/>
        <w:keepNext w:val="0"/>
        <w:keepLines w:val="0"/>
        <w:ind w:firstLine="2891" w:firstLineChars="800"/>
        <w:jc w:val="both"/>
        <w:rPr>
          <w:rFonts w:cs="Times New Roman"/>
          <w:color w:val="000000" w:themeColor="text1"/>
          <w:sz w:val="28"/>
          <w:szCs w:val="28"/>
          <w:highlight w:val="none"/>
          <w14:textFill>
            <w14:solidFill>
              <w14:schemeClr w14:val="tx1"/>
            </w14:solidFill>
          </w14:textFill>
        </w:rPr>
      </w:pPr>
      <w:bookmarkStart w:id="190" w:name="_Toc2891"/>
      <w:r>
        <w:rPr>
          <w:rFonts w:hint="eastAsia"/>
          <w:color w:val="000000" w:themeColor="text1"/>
          <w:highlight w:val="none"/>
          <w14:textFill>
            <w14:solidFill>
              <w14:schemeClr w14:val="tx1"/>
            </w14:solidFill>
          </w14:textFill>
        </w:rPr>
        <w:t>（</w:t>
      </w:r>
      <w:r>
        <w:rPr>
          <w:rFonts w:hint="eastAsia"/>
          <w:color w:val="000000" w:themeColor="text1"/>
          <w:sz w:val="32"/>
          <w:szCs w:val="32"/>
          <w:highlight w:val="none"/>
          <w14:textFill>
            <w14:solidFill>
              <w14:schemeClr w14:val="tx1"/>
            </w14:solidFill>
          </w14:textFill>
        </w:rPr>
        <w:t>二</w:t>
      </w:r>
      <w:r>
        <w:rPr>
          <w:rFonts w:hint="eastAsia"/>
          <w:color w:val="000000" w:themeColor="text1"/>
          <w:highlight w:val="none"/>
          <w14:textFill>
            <w14:solidFill>
              <w14:schemeClr w14:val="tx1"/>
            </w14:solidFill>
          </w14:textFill>
        </w:rPr>
        <w:t>）</w:t>
      </w:r>
      <w:r>
        <w:rPr>
          <w:rFonts w:hint="eastAsia"/>
          <w:color w:val="000000" w:themeColor="text1"/>
          <w:sz w:val="32"/>
          <w:szCs w:val="32"/>
          <w:highlight w:val="none"/>
          <w14:textFill>
            <w14:solidFill>
              <w14:schemeClr w14:val="tx1"/>
            </w14:solidFill>
          </w14:textFill>
        </w:rPr>
        <w:t>专用合同条款</w:t>
      </w:r>
      <w:bookmarkEnd w:id="190"/>
    </w:p>
    <w:p w14:paraId="20784B78">
      <w:pPr>
        <w:spacing w:before="78" w:line="219" w:lineRule="auto"/>
        <w:ind w:left="4101"/>
        <w:rPr>
          <w:rFonts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pacing w:val="-7"/>
          <w:sz w:val="24"/>
          <w:szCs w:val="24"/>
          <w:highlight w:val="none"/>
          <w14:textFill>
            <w14:solidFill>
              <w14:schemeClr w14:val="tx1"/>
            </w14:solidFill>
          </w14:textFill>
        </w:rPr>
        <w:t>说</w:t>
      </w:r>
      <w:r>
        <w:rPr>
          <w:rFonts w:ascii="宋体" w:hAnsi="宋体" w:cs="宋体"/>
          <w:color w:val="000000" w:themeColor="text1"/>
          <w:spacing w:val="16"/>
          <w:sz w:val="24"/>
          <w:szCs w:val="24"/>
          <w:highlight w:val="none"/>
          <w14:textFill>
            <w14:solidFill>
              <w14:schemeClr w14:val="tx1"/>
            </w14:solidFill>
          </w14:textFill>
        </w:rPr>
        <w:t xml:space="preserve">  </w:t>
      </w:r>
      <w:r>
        <w:rPr>
          <w:rFonts w:ascii="宋体" w:hAnsi="宋体" w:cs="宋体"/>
          <w:color w:val="000000" w:themeColor="text1"/>
          <w:spacing w:val="-7"/>
          <w:sz w:val="24"/>
          <w:szCs w:val="24"/>
          <w:highlight w:val="none"/>
          <w14:textFill>
            <w14:solidFill>
              <w14:schemeClr w14:val="tx1"/>
            </w14:solidFill>
          </w14:textFill>
        </w:rPr>
        <w:t>明</w:t>
      </w:r>
    </w:p>
    <w:p w14:paraId="762717A4">
      <w:pPr>
        <w:spacing w:before="113" w:line="286" w:lineRule="auto"/>
        <w:ind w:left="124" w:right="264" w:firstLine="496"/>
        <w:rPr>
          <w:rFonts w:ascii="宋体" w:hAnsi="宋体" w:cs="宋体"/>
          <w:color w:val="000000" w:themeColor="text1"/>
          <w:sz w:val="24"/>
          <w:szCs w:val="24"/>
          <w:highlight w:val="none"/>
          <w14:textFill>
            <w14:solidFill>
              <w14:schemeClr w14:val="tx1"/>
            </w14:solidFill>
          </w14:textFill>
        </w:rPr>
      </w:pPr>
      <w:r>
        <w:rPr>
          <w:rFonts w:eastAsia="Times New Roman"/>
          <w:color w:val="000000" w:themeColor="text1"/>
          <w:sz w:val="24"/>
          <w:szCs w:val="24"/>
          <w:highlight w:val="none"/>
          <w14:textFill>
            <w14:solidFill>
              <w14:schemeClr w14:val="tx1"/>
            </w14:solidFill>
          </w14:textFill>
        </w:rPr>
        <w:t>1.</w:t>
      </w:r>
      <w:r>
        <w:rPr>
          <w:rFonts w:ascii="宋体" w:hAnsi="宋体" w:cs="宋体"/>
          <w:color w:val="000000" w:themeColor="text1"/>
          <w:sz w:val="24"/>
          <w:szCs w:val="24"/>
          <w:highlight w:val="none"/>
          <w14:textFill>
            <w14:solidFill>
              <w14:schemeClr w14:val="tx1"/>
            </w14:solidFill>
          </w14:textFill>
        </w:rPr>
        <w:t>发包人在编制“专用合同条款</w:t>
      </w:r>
      <w:r>
        <w:rPr>
          <w:rFonts w:ascii="宋体" w:hAnsi="宋体" w:cs="宋体"/>
          <w:color w:val="000000" w:themeColor="text1"/>
          <w:spacing w:val="-83"/>
          <w:sz w:val="24"/>
          <w:szCs w:val="24"/>
          <w:highlight w:val="none"/>
          <w14:textFill>
            <w14:solidFill>
              <w14:schemeClr w14:val="tx1"/>
            </w14:solidFill>
          </w14:textFill>
        </w:rPr>
        <w:t xml:space="preserve"> </w:t>
      </w:r>
      <w:r>
        <w:rPr>
          <w:rFonts w:ascii="宋体" w:hAnsi="宋体" w:cs="宋体"/>
          <w:color w:val="000000" w:themeColor="text1"/>
          <w:sz w:val="24"/>
          <w:szCs w:val="24"/>
          <w:highlight w:val="none"/>
          <w14:textFill>
            <w14:solidFill>
              <w14:schemeClr w14:val="tx1"/>
            </w14:solidFill>
          </w14:textFill>
        </w:rPr>
        <w:t>”时，“通用合同条款</w:t>
      </w:r>
      <w:r>
        <w:rPr>
          <w:rFonts w:ascii="宋体" w:hAnsi="宋体" w:cs="宋体"/>
          <w:color w:val="000000" w:themeColor="text1"/>
          <w:spacing w:val="-83"/>
          <w:sz w:val="24"/>
          <w:szCs w:val="24"/>
          <w:highlight w:val="none"/>
          <w14:textFill>
            <w14:solidFill>
              <w14:schemeClr w14:val="tx1"/>
            </w14:solidFill>
          </w14:textFill>
        </w:rPr>
        <w:t xml:space="preserve"> </w:t>
      </w:r>
      <w:r>
        <w:rPr>
          <w:rFonts w:ascii="宋体" w:hAnsi="宋体" w:cs="宋体"/>
          <w:color w:val="000000" w:themeColor="text1"/>
          <w:spacing w:val="-1"/>
          <w:sz w:val="24"/>
          <w:szCs w:val="24"/>
          <w:highlight w:val="none"/>
          <w14:textFill>
            <w14:solidFill>
              <w14:schemeClr w14:val="tx1"/>
            </w14:solidFill>
          </w14:textFill>
        </w:rPr>
        <w:t>”的内容宜不加修改地</w:t>
      </w:r>
      <w:r>
        <w:rPr>
          <w:rFonts w:ascii="宋体" w:hAnsi="宋体" w:cs="宋体"/>
          <w:color w:val="000000" w:themeColor="text1"/>
          <w:sz w:val="24"/>
          <w:szCs w:val="24"/>
          <w:highlight w:val="none"/>
          <w14:textFill>
            <w14:solidFill>
              <w14:schemeClr w14:val="tx1"/>
            </w14:solidFill>
          </w14:textFill>
        </w:rPr>
        <w:t>直接引用，“专用合同条款</w:t>
      </w:r>
      <w:r>
        <w:rPr>
          <w:rFonts w:ascii="宋体" w:hAnsi="宋体" w:cs="宋体"/>
          <w:color w:val="000000" w:themeColor="text1"/>
          <w:spacing w:val="-83"/>
          <w:sz w:val="24"/>
          <w:szCs w:val="24"/>
          <w:highlight w:val="none"/>
          <w14:textFill>
            <w14:solidFill>
              <w14:schemeClr w14:val="tx1"/>
            </w14:solidFill>
          </w14:textFill>
        </w:rPr>
        <w:t xml:space="preserve"> </w:t>
      </w:r>
      <w:r>
        <w:rPr>
          <w:rFonts w:ascii="宋体" w:hAnsi="宋体" w:cs="宋体"/>
          <w:color w:val="000000" w:themeColor="text1"/>
          <w:sz w:val="24"/>
          <w:szCs w:val="24"/>
          <w:highlight w:val="none"/>
          <w14:textFill>
            <w14:solidFill>
              <w14:schemeClr w14:val="tx1"/>
            </w14:solidFill>
          </w14:textFill>
        </w:rPr>
        <w:t>”可以根据项目的具体</w:t>
      </w:r>
      <w:r>
        <w:rPr>
          <w:rFonts w:ascii="宋体" w:hAnsi="宋体" w:cs="宋体"/>
          <w:color w:val="000000" w:themeColor="text1"/>
          <w:spacing w:val="-1"/>
          <w:sz w:val="24"/>
          <w:szCs w:val="24"/>
          <w:highlight w:val="none"/>
          <w14:textFill>
            <w14:solidFill>
              <w14:schemeClr w14:val="tx1"/>
            </w14:solidFill>
          </w14:textFill>
        </w:rPr>
        <w:t>特点和实际需要，对“通用合同</w:t>
      </w:r>
      <w:r>
        <w:rPr>
          <w:rFonts w:ascii="宋体" w:hAnsi="宋体" w:cs="宋体"/>
          <w:color w:val="000000" w:themeColor="text1"/>
          <w:sz w:val="24"/>
          <w:szCs w:val="24"/>
          <w:highlight w:val="none"/>
          <w14:textFill>
            <w14:solidFill>
              <w14:schemeClr w14:val="tx1"/>
            </w14:solidFill>
          </w14:textFill>
        </w:rPr>
        <w:t>条款</w:t>
      </w:r>
      <w:r>
        <w:rPr>
          <w:rFonts w:ascii="宋体" w:hAnsi="宋体" w:cs="宋体"/>
          <w:color w:val="000000" w:themeColor="text1"/>
          <w:spacing w:val="-86"/>
          <w:sz w:val="24"/>
          <w:szCs w:val="24"/>
          <w:highlight w:val="none"/>
          <w14:textFill>
            <w14:solidFill>
              <w14:schemeClr w14:val="tx1"/>
            </w14:solidFill>
          </w14:textFill>
        </w:rPr>
        <w:t xml:space="preserve"> </w:t>
      </w:r>
      <w:r>
        <w:rPr>
          <w:rFonts w:ascii="宋体" w:hAnsi="宋体" w:cs="宋体"/>
          <w:color w:val="000000" w:themeColor="text1"/>
          <w:sz w:val="24"/>
          <w:szCs w:val="24"/>
          <w:highlight w:val="none"/>
          <w14:textFill>
            <w14:solidFill>
              <w14:schemeClr w14:val="tx1"/>
            </w14:solidFill>
          </w14:textFill>
        </w:rPr>
        <w:t>”进行补充、修改或约定。发包人补充、修改或约定</w:t>
      </w:r>
      <w:r>
        <w:rPr>
          <w:rFonts w:ascii="宋体" w:hAnsi="宋体" w:cs="宋体"/>
          <w:color w:val="000000" w:themeColor="text1"/>
          <w:spacing w:val="-1"/>
          <w:sz w:val="24"/>
          <w:szCs w:val="24"/>
          <w:highlight w:val="none"/>
          <w14:textFill>
            <w14:solidFill>
              <w14:schemeClr w14:val="tx1"/>
            </w14:solidFill>
          </w14:textFill>
        </w:rPr>
        <w:t>的内容，不得违反法律、</w:t>
      </w:r>
      <w:r>
        <w:rPr>
          <w:rFonts w:ascii="宋体" w:hAnsi="宋体" w:cs="宋体"/>
          <w:color w:val="000000" w:themeColor="text1"/>
          <w:spacing w:val="-2"/>
          <w:sz w:val="24"/>
          <w:szCs w:val="24"/>
          <w:highlight w:val="none"/>
          <w14:textFill>
            <w14:solidFill>
              <w14:schemeClr w14:val="tx1"/>
            </w14:solidFill>
          </w14:textFill>
        </w:rPr>
        <w:t>行政法规的强制性规定和平等、</w:t>
      </w:r>
      <w:r>
        <w:rPr>
          <w:rFonts w:ascii="宋体" w:hAnsi="宋体" w:cs="宋体"/>
          <w:color w:val="000000" w:themeColor="text1"/>
          <w:spacing w:val="-71"/>
          <w:sz w:val="24"/>
          <w:szCs w:val="24"/>
          <w:highlight w:val="none"/>
          <w14:textFill>
            <w14:solidFill>
              <w14:schemeClr w14:val="tx1"/>
            </w14:solidFill>
          </w14:textFill>
        </w:rPr>
        <w:t xml:space="preserve"> </w:t>
      </w:r>
      <w:r>
        <w:rPr>
          <w:rFonts w:ascii="宋体" w:hAnsi="宋体" w:cs="宋体"/>
          <w:color w:val="000000" w:themeColor="text1"/>
          <w:spacing w:val="-2"/>
          <w:sz w:val="24"/>
          <w:szCs w:val="24"/>
          <w:highlight w:val="none"/>
          <w14:textFill>
            <w14:solidFill>
              <w14:schemeClr w14:val="tx1"/>
            </w14:solidFill>
          </w14:textFill>
        </w:rPr>
        <w:t>自愿、公平</w:t>
      </w:r>
      <w:r>
        <w:rPr>
          <w:rFonts w:ascii="宋体" w:hAnsi="宋体" w:cs="宋体"/>
          <w:color w:val="000000" w:themeColor="text1"/>
          <w:spacing w:val="-3"/>
          <w:sz w:val="24"/>
          <w:szCs w:val="24"/>
          <w:highlight w:val="none"/>
          <w14:textFill>
            <w14:solidFill>
              <w14:schemeClr w14:val="tx1"/>
            </w14:solidFill>
          </w14:textFill>
        </w:rPr>
        <w:t>、诚实信用原则。</w:t>
      </w:r>
    </w:p>
    <w:p w14:paraId="636C10DF">
      <w:pPr>
        <w:spacing w:before="113" w:line="219" w:lineRule="auto"/>
        <w:ind w:left="597"/>
        <w:rPr>
          <w:rFonts w:ascii="宋体" w:hAnsi="宋体" w:cs="宋体"/>
          <w:color w:val="000000" w:themeColor="text1"/>
          <w:sz w:val="24"/>
          <w:szCs w:val="24"/>
          <w:highlight w:val="none"/>
          <w14:textFill>
            <w14:solidFill>
              <w14:schemeClr w14:val="tx1"/>
            </w14:solidFill>
          </w14:textFill>
        </w:rPr>
      </w:pPr>
      <w:r>
        <w:rPr>
          <w:rFonts w:eastAsia="Times New Roman"/>
          <w:color w:val="000000" w:themeColor="text1"/>
          <w:spacing w:val="-1"/>
          <w:sz w:val="24"/>
          <w:szCs w:val="24"/>
          <w:highlight w:val="none"/>
          <w14:textFill>
            <w14:solidFill>
              <w14:schemeClr w14:val="tx1"/>
            </w14:solidFill>
          </w14:textFill>
        </w:rPr>
        <w:t>2.</w:t>
      </w:r>
      <w:r>
        <w:rPr>
          <w:rFonts w:ascii="宋体" w:hAnsi="宋体" w:cs="宋体"/>
          <w:color w:val="000000" w:themeColor="text1"/>
          <w:spacing w:val="-1"/>
          <w:sz w:val="24"/>
          <w:szCs w:val="24"/>
          <w:highlight w:val="none"/>
          <w14:textFill>
            <w14:solidFill>
              <w14:schemeClr w14:val="tx1"/>
            </w14:solidFill>
          </w14:textFill>
        </w:rPr>
        <w:t>专用合同条款的编号应与通用合同条款编号一致。</w:t>
      </w:r>
    </w:p>
    <w:p w14:paraId="546FAAFE">
      <w:pPr>
        <w:spacing w:before="116" w:line="219" w:lineRule="auto"/>
        <w:ind w:left="602"/>
        <w:rPr>
          <w:rFonts w:ascii="宋体" w:hAnsi="宋体" w:cs="宋体"/>
          <w:color w:val="000000" w:themeColor="text1"/>
          <w:sz w:val="24"/>
          <w:szCs w:val="24"/>
          <w:highlight w:val="none"/>
          <w14:textFill>
            <w14:solidFill>
              <w14:schemeClr w14:val="tx1"/>
            </w14:solidFill>
          </w14:textFill>
        </w:rPr>
      </w:pPr>
      <w:r>
        <w:rPr>
          <w:rFonts w:eastAsia="Times New Roman"/>
          <w:color w:val="000000" w:themeColor="text1"/>
          <w:spacing w:val="-1"/>
          <w:sz w:val="24"/>
          <w:szCs w:val="24"/>
          <w:highlight w:val="none"/>
          <w14:textFill>
            <w14:solidFill>
              <w14:schemeClr w14:val="tx1"/>
            </w14:solidFill>
          </w14:textFill>
        </w:rPr>
        <w:t>3.</w:t>
      </w:r>
      <w:r>
        <w:rPr>
          <w:rFonts w:ascii="宋体" w:hAnsi="宋体" w:cs="宋体"/>
          <w:color w:val="000000" w:themeColor="text1"/>
          <w:spacing w:val="-1"/>
          <w:sz w:val="24"/>
          <w:szCs w:val="24"/>
          <w:highlight w:val="none"/>
          <w14:textFill>
            <w14:solidFill>
              <w14:schemeClr w14:val="tx1"/>
            </w14:solidFill>
          </w14:textFill>
        </w:rPr>
        <w:t>专用合同条款可对下列内容进行补充和细化：</w:t>
      </w:r>
    </w:p>
    <w:p w14:paraId="2C591AC5">
      <w:pPr>
        <w:spacing w:before="114" w:line="286" w:lineRule="auto"/>
        <w:ind w:left="124" w:right="65" w:firstLine="489"/>
        <w:rPr>
          <w:rFonts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pacing w:val="-6"/>
          <w:sz w:val="24"/>
          <w:szCs w:val="24"/>
          <w:highlight w:val="none"/>
          <w14:textFill>
            <w14:solidFill>
              <w14:schemeClr w14:val="tx1"/>
            </w14:solidFill>
          </w14:textFill>
        </w:rPr>
        <w:t>（</w:t>
      </w:r>
      <w:r>
        <w:rPr>
          <w:rFonts w:eastAsia="Times New Roman"/>
          <w:color w:val="000000" w:themeColor="text1"/>
          <w:spacing w:val="-6"/>
          <w:sz w:val="24"/>
          <w:szCs w:val="24"/>
          <w:highlight w:val="none"/>
          <w14:textFill>
            <w14:solidFill>
              <w14:schemeClr w14:val="tx1"/>
            </w14:solidFill>
          </w14:textFill>
        </w:rPr>
        <w:t>1</w:t>
      </w:r>
      <w:r>
        <w:rPr>
          <w:rFonts w:ascii="宋体" w:hAnsi="宋体" w:cs="宋体"/>
          <w:color w:val="000000" w:themeColor="text1"/>
          <w:spacing w:val="-6"/>
          <w:sz w:val="24"/>
          <w:szCs w:val="24"/>
          <w:highlight w:val="none"/>
          <w14:textFill>
            <w14:solidFill>
              <w14:schemeClr w14:val="tx1"/>
            </w14:solidFill>
          </w14:textFill>
        </w:rPr>
        <w:t>）“通用合同条款</w:t>
      </w:r>
      <w:r>
        <w:rPr>
          <w:rFonts w:ascii="宋体" w:hAnsi="宋体" w:cs="宋体"/>
          <w:color w:val="000000" w:themeColor="text1"/>
          <w:spacing w:val="-87"/>
          <w:sz w:val="24"/>
          <w:szCs w:val="24"/>
          <w:highlight w:val="none"/>
          <w14:textFill>
            <w14:solidFill>
              <w14:schemeClr w14:val="tx1"/>
            </w14:solidFill>
          </w14:textFill>
        </w:rPr>
        <w:t xml:space="preserve"> </w:t>
      </w:r>
      <w:r>
        <w:rPr>
          <w:rFonts w:ascii="宋体" w:hAnsi="宋体" w:cs="宋体"/>
          <w:color w:val="000000" w:themeColor="text1"/>
          <w:spacing w:val="-6"/>
          <w:sz w:val="24"/>
          <w:szCs w:val="24"/>
          <w:highlight w:val="none"/>
          <w14:textFill>
            <w14:solidFill>
              <w14:schemeClr w14:val="tx1"/>
            </w14:solidFill>
          </w14:textFill>
        </w:rPr>
        <w:t>”中明确指出“专用合同条款</w:t>
      </w:r>
      <w:r>
        <w:rPr>
          <w:rFonts w:ascii="宋体" w:hAnsi="宋体" w:cs="宋体"/>
          <w:color w:val="000000" w:themeColor="text1"/>
          <w:spacing w:val="-86"/>
          <w:sz w:val="24"/>
          <w:szCs w:val="24"/>
          <w:highlight w:val="none"/>
          <w14:textFill>
            <w14:solidFill>
              <w14:schemeClr w14:val="tx1"/>
            </w14:solidFill>
          </w14:textFill>
        </w:rPr>
        <w:t xml:space="preserve"> </w:t>
      </w:r>
      <w:r>
        <w:rPr>
          <w:rFonts w:ascii="宋体" w:hAnsi="宋体" w:cs="宋体"/>
          <w:color w:val="000000" w:themeColor="text1"/>
          <w:spacing w:val="-6"/>
          <w:sz w:val="24"/>
          <w:szCs w:val="24"/>
          <w:highlight w:val="none"/>
          <w14:textFill>
            <w14:solidFill>
              <w14:schemeClr w14:val="tx1"/>
            </w14:solidFill>
          </w14:textFill>
        </w:rPr>
        <w:t>”可对“通用合同条款</w:t>
      </w:r>
      <w:r>
        <w:rPr>
          <w:rFonts w:ascii="宋体" w:hAnsi="宋体" w:cs="宋体"/>
          <w:color w:val="000000" w:themeColor="text1"/>
          <w:spacing w:val="-86"/>
          <w:sz w:val="24"/>
          <w:szCs w:val="24"/>
          <w:highlight w:val="none"/>
          <w14:textFill>
            <w14:solidFill>
              <w14:schemeClr w14:val="tx1"/>
            </w14:solidFill>
          </w14:textFill>
        </w:rPr>
        <w:t xml:space="preserve"> </w:t>
      </w:r>
      <w:r>
        <w:rPr>
          <w:rFonts w:ascii="宋体" w:hAnsi="宋体" w:cs="宋体"/>
          <w:color w:val="000000" w:themeColor="text1"/>
          <w:spacing w:val="-6"/>
          <w:sz w:val="24"/>
          <w:szCs w:val="24"/>
          <w:highlight w:val="none"/>
          <w14:textFill>
            <w14:solidFill>
              <w14:schemeClr w14:val="tx1"/>
            </w14:solidFill>
          </w14:textFill>
        </w:rPr>
        <w:t>”进</w:t>
      </w:r>
      <w:r>
        <w:rPr>
          <w:rFonts w:ascii="宋体" w:hAnsi="宋体" w:cs="宋体"/>
          <w:color w:val="000000" w:themeColor="text1"/>
          <w:spacing w:val="-1"/>
          <w:sz w:val="24"/>
          <w:szCs w:val="24"/>
          <w:highlight w:val="none"/>
          <w14:textFill>
            <w14:solidFill>
              <w14:schemeClr w14:val="tx1"/>
            </w14:solidFill>
          </w14:textFill>
        </w:rPr>
        <w:t>行修改的内容（在“通用合同条款</w:t>
      </w:r>
      <w:r>
        <w:rPr>
          <w:rFonts w:ascii="宋体" w:hAnsi="宋体" w:cs="宋体"/>
          <w:color w:val="000000" w:themeColor="text1"/>
          <w:spacing w:val="-84"/>
          <w:sz w:val="24"/>
          <w:szCs w:val="24"/>
          <w:highlight w:val="none"/>
          <w14:textFill>
            <w14:solidFill>
              <w14:schemeClr w14:val="tx1"/>
            </w14:solidFill>
          </w14:textFill>
        </w:rPr>
        <w:t xml:space="preserve"> </w:t>
      </w:r>
      <w:r>
        <w:rPr>
          <w:rFonts w:ascii="宋体" w:hAnsi="宋体" w:cs="宋体"/>
          <w:color w:val="000000" w:themeColor="text1"/>
          <w:spacing w:val="-1"/>
          <w:sz w:val="24"/>
          <w:szCs w:val="24"/>
          <w:highlight w:val="none"/>
          <w14:textFill>
            <w14:solidFill>
              <w14:schemeClr w14:val="tx1"/>
            </w14:solidFill>
          </w14:textFill>
        </w:rPr>
        <w:t>”中用“应按合</w:t>
      </w:r>
      <w:r>
        <w:rPr>
          <w:rFonts w:ascii="宋体" w:hAnsi="宋体" w:cs="宋体"/>
          <w:color w:val="000000" w:themeColor="text1"/>
          <w:spacing w:val="-2"/>
          <w:sz w:val="24"/>
          <w:szCs w:val="24"/>
          <w:highlight w:val="none"/>
          <w14:textFill>
            <w14:solidFill>
              <w14:schemeClr w14:val="tx1"/>
            </w14:solidFill>
          </w14:textFill>
        </w:rPr>
        <w:t>同约定</w:t>
      </w:r>
      <w:r>
        <w:rPr>
          <w:rFonts w:ascii="宋体" w:hAnsi="宋体" w:cs="宋体"/>
          <w:color w:val="000000" w:themeColor="text1"/>
          <w:spacing w:val="-83"/>
          <w:sz w:val="24"/>
          <w:szCs w:val="24"/>
          <w:highlight w:val="none"/>
          <w14:textFill>
            <w14:solidFill>
              <w14:schemeClr w14:val="tx1"/>
            </w14:solidFill>
          </w14:textFill>
        </w:rPr>
        <w:t xml:space="preserve"> </w:t>
      </w:r>
      <w:r>
        <w:rPr>
          <w:rFonts w:ascii="宋体" w:hAnsi="宋体" w:cs="宋体"/>
          <w:color w:val="000000" w:themeColor="text1"/>
          <w:spacing w:val="-2"/>
          <w:sz w:val="24"/>
          <w:szCs w:val="24"/>
          <w:highlight w:val="none"/>
          <w14:textFill>
            <w14:solidFill>
              <w14:schemeClr w14:val="tx1"/>
            </w14:solidFill>
          </w14:textFill>
        </w:rPr>
        <w:t>”“应按专用合同条款约</w:t>
      </w:r>
      <w:r>
        <w:rPr>
          <w:rFonts w:ascii="宋体" w:hAnsi="宋体" w:cs="宋体"/>
          <w:color w:val="000000" w:themeColor="text1"/>
          <w:spacing w:val="-10"/>
          <w:sz w:val="24"/>
          <w:szCs w:val="24"/>
          <w:highlight w:val="none"/>
          <w14:textFill>
            <w14:solidFill>
              <w14:schemeClr w14:val="tx1"/>
            </w14:solidFill>
          </w14:textFill>
        </w:rPr>
        <w:t>定</w:t>
      </w:r>
      <w:r>
        <w:rPr>
          <w:rFonts w:ascii="宋体" w:hAnsi="宋体" w:cs="宋体"/>
          <w:color w:val="000000" w:themeColor="text1"/>
          <w:spacing w:val="-89"/>
          <w:sz w:val="24"/>
          <w:szCs w:val="24"/>
          <w:highlight w:val="none"/>
          <w14:textFill>
            <w14:solidFill>
              <w14:schemeClr w14:val="tx1"/>
            </w14:solidFill>
          </w14:textFill>
        </w:rPr>
        <w:t xml:space="preserve"> </w:t>
      </w:r>
      <w:r>
        <w:rPr>
          <w:rFonts w:ascii="宋体" w:hAnsi="宋体" w:cs="宋体"/>
          <w:color w:val="000000" w:themeColor="text1"/>
          <w:spacing w:val="-10"/>
          <w:sz w:val="24"/>
          <w:szCs w:val="24"/>
          <w:highlight w:val="none"/>
          <w14:textFill>
            <w14:solidFill>
              <w14:schemeClr w14:val="tx1"/>
            </w14:solidFill>
          </w14:textFill>
        </w:rPr>
        <w:t>”“除合同另有约定外</w:t>
      </w:r>
      <w:r>
        <w:rPr>
          <w:rFonts w:ascii="宋体" w:hAnsi="宋体" w:cs="宋体"/>
          <w:color w:val="000000" w:themeColor="text1"/>
          <w:spacing w:val="-88"/>
          <w:sz w:val="24"/>
          <w:szCs w:val="24"/>
          <w:highlight w:val="none"/>
          <w14:textFill>
            <w14:solidFill>
              <w14:schemeClr w14:val="tx1"/>
            </w14:solidFill>
          </w14:textFill>
        </w:rPr>
        <w:t xml:space="preserve"> </w:t>
      </w:r>
      <w:r>
        <w:rPr>
          <w:rFonts w:ascii="宋体" w:hAnsi="宋体" w:cs="宋体"/>
          <w:color w:val="000000" w:themeColor="text1"/>
          <w:spacing w:val="-10"/>
          <w:sz w:val="24"/>
          <w:szCs w:val="24"/>
          <w:highlight w:val="none"/>
          <w14:textFill>
            <w14:solidFill>
              <w14:schemeClr w14:val="tx1"/>
            </w14:solidFill>
          </w14:textFill>
        </w:rPr>
        <w:t>”“除专用合同条款另有约定外</w:t>
      </w:r>
      <w:r>
        <w:rPr>
          <w:rFonts w:ascii="宋体" w:hAnsi="宋体" w:cs="宋体"/>
          <w:color w:val="000000" w:themeColor="text1"/>
          <w:spacing w:val="-88"/>
          <w:sz w:val="24"/>
          <w:szCs w:val="24"/>
          <w:highlight w:val="none"/>
          <w14:textFill>
            <w14:solidFill>
              <w14:schemeClr w14:val="tx1"/>
            </w14:solidFill>
          </w14:textFill>
        </w:rPr>
        <w:t xml:space="preserve"> </w:t>
      </w:r>
      <w:r>
        <w:rPr>
          <w:rFonts w:ascii="宋体" w:hAnsi="宋体" w:cs="宋体"/>
          <w:color w:val="000000" w:themeColor="text1"/>
          <w:spacing w:val="-10"/>
          <w:sz w:val="24"/>
          <w:szCs w:val="24"/>
          <w:highlight w:val="none"/>
          <w14:textFill>
            <w14:solidFill>
              <w14:schemeClr w14:val="tx1"/>
            </w14:solidFill>
          </w14:textFill>
        </w:rPr>
        <w:t>”“在专用合同条</w:t>
      </w:r>
      <w:r>
        <w:rPr>
          <w:rFonts w:ascii="宋体" w:hAnsi="宋体" w:cs="宋体"/>
          <w:color w:val="000000" w:themeColor="text1"/>
          <w:spacing w:val="-11"/>
          <w:sz w:val="24"/>
          <w:szCs w:val="24"/>
          <w:highlight w:val="none"/>
          <w14:textFill>
            <w14:solidFill>
              <w14:schemeClr w14:val="tx1"/>
            </w14:solidFill>
          </w14:textFill>
        </w:rPr>
        <w:t>款中约定</w:t>
      </w:r>
      <w:r>
        <w:rPr>
          <w:rFonts w:ascii="宋体" w:hAnsi="宋体" w:cs="宋体"/>
          <w:color w:val="000000" w:themeColor="text1"/>
          <w:spacing w:val="-88"/>
          <w:sz w:val="24"/>
          <w:szCs w:val="24"/>
          <w:highlight w:val="none"/>
          <w14:textFill>
            <w14:solidFill>
              <w14:schemeClr w14:val="tx1"/>
            </w14:solidFill>
          </w14:textFill>
        </w:rPr>
        <w:t xml:space="preserve"> </w:t>
      </w:r>
      <w:r>
        <w:rPr>
          <w:rFonts w:ascii="宋体" w:hAnsi="宋体" w:cs="宋体"/>
          <w:color w:val="000000" w:themeColor="text1"/>
          <w:spacing w:val="-11"/>
          <w:sz w:val="24"/>
          <w:szCs w:val="24"/>
          <w:highlight w:val="none"/>
          <w14:textFill>
            <w14:solidFill>
              <w14:schemeClr w14:val="tx1"/>
            </w14:solidFill>
          </w14:textFill>
        </w:rPr>
        <w:t>”</w:t>
      </w:r>
      <w:r>
        <w:rPr>
          <w:rFonts w:ascii="宋体" w:hAnsi="宋体" w:cs="宋体"/>
          <w:color w:val="000000" w:themeColor="text1"/>
          <w:spacing w:val="-2"/>
          <w:sz w:val="24"/>
          <w:szCs w:val="24"/>
          <w:highlight w:val="none"/>
          <w14:textFill>
            <w14:solidFill>
              <w14:schemeClr w14:val="tx1"/>
            </w14:solidFill>
          </w14:textFill>
        </w:rPr>
        <w:t>等多种文字形式表达</w:t>
      </w:r>
      <w:r>
        <w:rPr>
          <w:rFonts w:ascii="宋体" w:hAnsi="宋体" w:cs="宋体"/>
          <w:color w:val="000000" w:themeColor="text1"/>
          <w:spacing w:val="-63"/>
          <w:w w:val="99"/>
          <w:sz w:val="24"/>
          <w:szCs w:val="24"/>
          <w:highlight w:val="none"/>
          <w14:textFill>
            <w14:solidFill>
              <w14:schemeClr w14:val="tx1"/>
            </w14:solidFill>
          </w14:textFill>
        </w:rPr>
        <w:t>）；</w:t>
      </w:r>
    </w:p>
    <w:p w14:paraId="2A69BF4C">
      <w:pPr>
        <w:spacing w:before="113" w:line="219" w:lineRule="auto"/>
        <w:ind w:left="613"/>
        <w:rPr>
          <w:rFonts w:ascii="宋体" w:hAnsi="宋体" w:cs="宋体"/>
          <w:color w:val="000000" w:themeColor="text1"/>
          <w:spacing w:val="-2"/>
          <w:sz w:val="24"/>
          <w:szCs w:val="24"/>
          <w:highlight w:val="none"/>
          <w14:textFill>
            <w14:solidFill>
              <w14:schemeClr w14:val="tx1"/>
            </w14:solidFill>
          </w14:textFill>
        </w:rPr>
      </w:pPr>
      <w:r>
        <w:rPr>
          <w:rFonts w:ascii="宋体" w:hAnsi="宋体" w:cs="宋体"/>
          <w:color w:val="000000" w:themeColor="text1"/>
          <w:spacing w:val="-2"/>
          <w:sz w:val="24"/>
          <w:szCs w:val="24"/>
          <w:highlight w:val="none"/>
          <w14:textFill>
            <w14:solidFill>
              <w14:schemeClr w14:val="tx1"/>
            </w14:solidFill>
          </w14:textFill>
        </w:rPr>
        <w:t>（</w:t>
      </w:r>
      <w:r>
        <w:rPr>
          <w:rFonts w:eastAsia="Times New Roman"/>
          <w:color w:val="000000" w:themeColor="text1"/>
          <w:spacing w:val="-2"/>
          <w:sz w:val="24"/>
          <w:szCs w:val="24"/>
          <w:highlight w:val="none"/>
          <w14:textFill>
            <w14:solidFill>
              <w14:schemeClr w14:val="tx1"/>
            </w14:solidFill>
          </w14:textFill>
        </w:rPr>
        <w:t>2</w:t>
      </w:r>
      <w:r>
        <w:rPr>
          <w:rFonts w:ascii="宋体" w:hAnsi="宋体" w:cs="宋体"/>
          <w:color w:val="000000" w:themeColor="text1"/>
          <w:spacing w:val="-2"/>
          <w:sz w:val="24"/>
          <w:szCs w:val="24"/>
          <w:highlight w:val="none"/>
          <w14:textFill>
            <w14:solidFill>
              <w14:schemeClr w14:val="tx1"/>
            </w14:solidFill>
          </w14:textFill>
        </w:rPr>
        <w:t>）其他需要补充、细化的内容。</w:t>
      </w:r>
    </w:p>
    <w:p w14:paraId="63854CC6">
      <w:pPr>
        <w:spacing w:before="113" w:line="219" w:lineRule="auto"/>
        <w:ind w:left="613"/>
        <w:rPr>
          <w:rFonts w:ascii="宋体" w:hAnsi="宋体" w:cs="宋体"/>
          <w:color w:val="000000" w:themeColor="text1"/>
          <w:spacing w:val="-2"/>
          <w:sz w:val="24"/>
          <w:szCs w:val="24"/>
          <w:highlight w:val="none"/>
          <w14:textFill>
            <w14:solidFill>
              <w14:schemeClr w14:val="tx1"/>
            </w14:solidFill>
          </w14:textFill>
        </w:rPr>
      </w:pPr>
    </w:p>
    <w:p w14:paraId="3BC1AD00">
      <w:pPr>
        <w:spacing w:before="113" w:line="219" w:lineRule="auto"/>
        <w:ind w:left="613"/>
        <w:rPr>
          <w:rFonts w:ascii="宋体" w:hAnsi="宋体" w:cs="宋体"/>
          <w:color w:val="000000" w:themeColor="text1"/>
          <w:spacing w:val="-2"/>
          <w:sz w:val="24"/>
          <w:szCs w:val="24"/>
          <w:highlight w:val="none"/>
          <w14:textFill>
            <w14:solidFill>
              <w14:schemeClr w14:val="tx1"/>
            </w14:solidFill>
          </w14:textFill>
        </w:rPr>
      </w:pPr>
    </w:p>
    <w:p w14:paraId="5224D62F">
      <w:pPr>
        <w:spacing w:before="113" w:line="219" w:lineRule="auto"/>
        <w:ind w:left="613"/>
        <w:rPr>
          <w:rFonts w:ascii="宋体" w:hAnsi="宋体" w:cs="宋体"/>
          <w:color w:val="000000" w:themeColor="text1"/>
          <w:spacing w:val="-2"/>
          <w:sz w:val="24"/>
          <w:szCs w:val="24"/>
          <w:highlight w:val="none"/>
          <w14:textFill>
            <w14:solidFill>
              <w14:schemeClr w14:val="tx1"/>
            </w14:solidFill>
          </w14:textFill>
        </w:rPr>
      </w:pPr>
    </w:p>
    <w:p w14:paraId="709A6614">
      <w:pPr>
        <w:spacing w:before="113" w:line="219" w:lineRule="auto"/>
        <w:ind w:left="613"/>
        <w:rPr>
          <w:rFonts w:ascii="宋体" w:hAnsi="宋体" w:cs="宋体"/>
          <w:color w:val="000000" w:themeColor="text1"/>
          <w:spacing w:val="-2"/>
          <w:sz w:val="24"/>
          <w:szCs w:val="24"/>
          <w:highlight w:val="none"/>
          <w14:textFill>
            <w14:solidFill>
              <w14:schemeClr w14:val="tx1"/>
            </w14:solidFill>
          </w14:textFill>
        </w:rPr>
      </w:pPr>
    </w:p>
    <w:p w14:paraId="03622923">
      <w:pPr>
        <w:spacing w:before="113" w:line="219" w:lineRule="auto"/>
        <w:ind w:left="613"/>
        <w:rPr>
          <w:rFonts w:ascii="宋体" w:hAnsi="宋体" w:cs="宋体"/>
          <w:color w:val="000000" w:themeColor="text1"/>
          <w:spacing w:val="-2"/>
          <w:sz w:val="24"/>
          <w:szCs w:val="24"/>
          <w:highlight w:val="none"/>
          <w14:textFill>
            <w14:solidFill>
              <w14:schemeClr w14:val="tx1"/>
            </w14:solidFill>
          </w14:textFill>
        </w:rPr>
      </w:pPr>
    </w:p>
    <w:p w14:paraId="120AEA0F">
      <w:pPr>
        <w:spacing w:before="113" w:line="219" w:lineRule="auto"/>
        <w:ind w:left="613"/>
        <w:rPr>
          <w:rFonts w:ascii="宋体" w:hAnsi="宋体" w:cs="宋体"/>
          <w:color w:val="000000" w:themeColor="text1"/>
          <w:spacing w:val="-2"/>
          <w:sz w:val="24"/>
          <w:szCs w:val="24"/>
          <w:highlight w:val="none"/>
          <w14:textFill>
            <w14:solidFill>
              <w14:schemeClr w14:val="tx1"/>
            </w14:solidFill>
          </w14:textFill>
        </w:rPr>
      </w:pPr>
    </w:p>
    <w:p w14:paraId="2031DEC1">
      <w:pPr>
        <w:spacing w:before="113" w:line="219" w:lineRule="auto"/>
        <w:ind w:left="613"/>
        <w:rPr>
          <w:rFonts w:ascii="宋体" w:hAnsi="宋体" w:cs="宋体"/>
          <w:color w:val="000000" w:themeColor="text1"/>
          <w:spacing w:val="-2"/>
          <w:sz w:val="24"/>
          <w:szCs w:val="24"/>
          <w:highlight w:val="none"/>
          <w14:textFill>
            <w14:solidFill>
              <w14:schemeClr w14:val="tx1"/>
            </w14:solidFill>
          </w14:textFill>
        </w:rPr>
      </w:pPr>
    </w:p>
    <w:p w14:paraId="3FA676A3">
      <w:pPr>
        <w:spacing w:before="113" w:line="219" w:lineRule="auto"/>
        <w:ind w:left="613"/>
        <w:rPr>
          <w:rFonts w:ascii="宋体" w:hAnsi="宋体" w:cs="宋体"/>
          <w:color w:val="000000" w:themeColor="text1"/>
          <w:spacing w:val="-2"/>
          <w:sz w:val="24"/>
          <w:szCs w:val="24"/>
          <w:highlight w:val="none"/>
          <w14:textFill>
            <w14:solidFill>
              <w14:schemeClr w14:val="tx1"/>
            </w14:solidFill>
          </w14:textFill>
        </w:rPr>
      </w:pPr>
    </w:p>
    <w:p w14:paraId="7B3D114C">
      <w:pPr>
        <w:spacing w:before="113" w:line="219" w:lineRule="auto"/>
        <w:ind w:left="613"/>
        <w:rPr>
          <w:rFonts w:ascii="宋体" w:hAnsi="宋体" w:cs="宋体"/>
          <w:color w:val="000000" w:themeColor="text1"/>
          <w:spacing w:val="-2"/>
          <w:sz w:val="24"/>
          <w:szCs w:val="24"/>
          <w:highlight w:val="none"/>
          <w14:textFill>
            <w14:solidFill>
              <w14:schemeClr w14:val="tx1"/>
            </w14:solidFill>
          </w14:textFill>
        </w:rPr>
      </w:pPr>
    </w:p>
    <w:p w14:paraId="14F29B61">
      <w:pPr>
        <w:spacing w:before="113" w:line="219" w:lineRule="auto"/>
        <w:ind w:left="613"/>
        <w:rPr>
          <w:rFonts w:ascii="宋体" w:hAnsi="宋体" w:cs="宋体"/>
          <w:color w:val="000000" w:themeColor="text1"/>
          <w:spacing w:val="-2"/>
          <w:sz w:val="24"/>
          <w:szCs w:val="24"/>
          <w:highlight w:val="none"/>
          <w14:textFill>
            <w14:solidFill>
              <w14:schemeClr w14:val="tx1"/>
            </w14:solidFill>
          </w14:textFill>
        </w:rPr>
      </w:pPr>
    </w:p>
    <w:p w14:paraId="59041FAB">
      <w:pPr>
        <w:spacing w:before="113" w:line="219" w:lineRule="auto"/>
        <w:ind w:left="613"/>
        <w:rPr>
          <w:rFonts w:ascii="宋体" w:hAnsi="宋体" w:cs="宋体"/>
          <w:color w:val="000000" w:themeColor="text1"/>
          <w:spacing w:val="-2"/>
          <w:sz w:val="24"/>
          <w:szCs w:val="24"/>
          <w:highlight w:val="none"/>
          <w14:textFill>
            <w14:solidFill>
              <w14:schemeClr w14:val="tx1"/>
            </w14:solidFill>
          </w14:textFill>
        </w:rPr>
      </w:pPr>
    </w:p>
    <w:p w14:paraId="60BD6072">
      <w:pPr>
        <w:spacing w:before="113" w:line="219" w:lineRule="auto"/>
        <w:ind w:left="613"/>
        <w:rPr>
          <w:rFonts w:ascii="宋体" w:hAnsi="宋体" w:cs="宋体"/>
          <w:color w:val="000000" w:themeColor="text1"/>
          <w:spacing w:val="-2"/>
          <w:sz w:val="24"/>
          <w:szCs w:val="24"/>
          <w:highlight w:val="none"/>
          <w14:textFill>
            <w14:solidFill>
              <w14:schemeClr w14:val="tx1"/>
            </w14:solidFill>
          </w14:textFill>
        </w:rPr>
      </w:pPr>
    </w:p>
    <w:p w14:paraId="6728E0BF">
      <w:pPr>
        <w:spacing w:before="113" w:line="219" w:lineRule="auto"/>
        <w:ind w:left="613"/>
        <w:rPr>
          <w:rFonts w:ascii="宋体" w:hAnsi="宋体" w:cs="宋体"/>
          <w:color w:val="000000" w:themeColor="text1"/>
          <w:spacing w:val="-2"/>
          <w:sz w:val="24"/>
          <w:szCs w:val="24"/>
          <w:highlight w:val="none"/>
          <w14:textFill>
            <w14:solidFill>
              <w14:schemeClr w14:val="tx1"/>
            </w14:solidFill>
          </w14:textFill>
        </w:rPr>
      </w:pPr>
    </w:p>
    <w:p w14:paraId="097467AD">
      <w:pPr>
        <w:spacing w:before="113" w:line="219" w:lineRule="auto"/>
        <w:ind w:left="613"/>
        <w:rPr>
          <w:rFonts w:ascii="宋体" w:hAnsi="宋体" w:cs="宋体"/>
          <w:color w:val="000000" w:themeColor="text1"/>
          <w:spacing w:val="-2"/>
          <w:sz w:val="24"/>
          <w:szCs w:val="24"/>
          <w:highlight w:val="none"/>
          <w14:textFill>
            <w14:solidFill>
              <w14:schemeClr w14:val="tx1"/>
            </w14:solidFill>
          </w14:textFill>
        </w:rPr>
      </w:pPr>
    </w:p>
    <w:p w14:paraId="55071131">
      <w:pPr>
        <w:spacing w:before="113" w:line="219" w:lineRule="auto"/>
        <w:ind w:left="613"/>
        <w:rPr>
          <w:rFonts w:ascii="宋体" w:hAnsi="宋体" w:cs="宋体"/>
          <w:color w:val="000000" w:themeColor="text1"/>
          <w:spacing w:val="-2"/>
          <w:sz w:val="24"/>
          <w:szCs w:val="24"/>
          <w:highlight w:val="none"/>
          <w14:textFill>
            <w14:solidFill>
              <w14:schemeClr w14:val="tx1"/>
            </w14:solidFill>
          </w14:textFill>
        </w:rPr>
      </w:pPr>
    </w:p>
    <w:p w14:paraId="6898403E">
      <w:pPr>
        <w:spacing w:before="113" w:line="219" w:lineRule="auto"/>
        <w:ind w:left="613"/>
        <w:rPr>
          <w:rFonts w:ascii="宋体" w:hAnsi="宋体" w:cs="宋体"/>
          <w:color w:val="000000" w:themeColor="text1"/>
          <w:spacing w:val="-2"/>
          <w:sz w:val="24"/>
          <w:szCs w:val="24"/>
          <w:highlight w:val="none"/>
          <w14:textFill>
            <w14:solidFill>
              <w14:schemeClr w14:val="tx1"/>
            </w14:solidFill>
          </w14:textFill>
        </w:rPr>
      </w:pPr>
    </w:p>
    <w:p w14:paraId="426D21AB">
      <w:pPr>
        <w:spacing w:before="113" w:line="219" w:lineRule="auto"/>
        <w:ind w:left="613"/>
        <w:rPr>
          <w:rFonts w:ascii="宋体" w:hAnsi="宋体" w:cs="宋体"/>
          <w:color w:val="000000" w:themeColor="text1"/>
          <w:spacing w:val="-2"/>
          <w:sz w:val="24"/>
          <w:szCs w:val="24"/>
          <w:highlight w:val="none"/>
          <w14:textFill>
            <w14:solidFill>
              <w14:schemeClr w14:val="tx1"/>
            </w14:solidFill>
          </w14:textFill>
        </w:rPr>
      </w:pPr>
    </w:p>
    <w:p w14:paraId="0D814B48">
      <w:pPr>
        <w:spacing w:before="113" w:line="219" w:lineRule="auto"/>
        <w:ind w:left="613"/>
        <w:rPr>
          <w:rFonts w:ascii="宋体" w:hAnsi="宋体" w:cs="宋体"/>
          <w:color w:val="000000" w:themeColor="text1"/>
          <w:spacing w:val="-2"/>
          <w:sz w:val="24"/>
          <w:szCs w:val="24"/>
          <w:highlight w:val="none"/>
          <w14:textFill>
            <w14:solidFill>
              <w14:schemeClr w14:val="tx1"/>
            </w14:solidFill>
          </w14:textFill>
        </w:rPr>
      </w:pPr>
    </w:p>
    <w:p w14:paraId="2372B343">
      <w:pPr>
        <w:spacing w:before="113" w:line="219" w:lineRule="auto"/>
        <w:ind w:left="613"/>
        <w:rPr>
          <w:rFonts w:ascii="宋体" w:hAnsi="宋体" w:cs="宋体"/>
          <w:color w:val="000000" w:themeColor="text1"/>
          <w:spacing w:val="-2"/>
          <w:sz w:val="24"/>
          <w:szCs w:val="24"/>
          <w:highlight w:val="none"/>
          <w14:textFill>
            <w14:solidFill>
              <w14:schemeClr w14:val="tx1"/>
            </w14:solidFill>
          </w14:textFill>
        </w:rPr>
      </w:pPr>
    </w:p>
    <w:p w14:paraId="27BCD350">
      <w:pPr>
        <w:spacing w:before="113" w:line="219" w:lineRule="auto"/>
        <w:ind w:left="613"/>
        <w:rPr>
          <w:rFonts w:ascii="宋体" w:hAnsi="宋体" w:cs="宋体"/>
          <w:color w:val="000000" w:themeColor="text1"/>
          <w:spacing w:val="-2"/>
          <w:sz w:val="24"/>
          <w:szCs w:val="24"/>
          <w:highlight w:val="none"/>
          <w14:textFill>
            <w14:solidFill>
              <w14:schemeClr w14:val="tx1"/>
            </w14:solidFill>
          </w14:textFill>
        </w:rPr>
      </w:pPr>
    </w:p>
    <w:p w14:paraId="10C0924E">
      <w:pPr>
        <w:spacing w:before="113" w:line="219" w:lineRule="auto"/>
        <w:ind w:left="613"/>
        <w:rPr>
          <w:rFonts w:ascii="宋体" w:hAnsi="宋体" w:cs="宋体"/>
          <w:color w:val="000000" w:themeColor="text1"/>
          <w:spacing w:val="-2"/>
          <w:sz w:val="24"/>
          <w:szCs w:val="24"/>
          <w:highlight w:val="none"/>
          <w14:textFill>
            <w14:solidFill>
              <w14:schemeClr w14:val="tx1"/>
            </w14:solidFill>
          </w14:textFill>
        </w:rPr>
      </w:pPr>
    </w:p>
    <w:p w14:paraId="6742EFF3">
      <w:pPr>
        <w:spacing w:before="113" w:line="219" w:lineRule="auto"/>
        <w:ind w:left="613"/>
        <w:rPr>
          <w:rFonts w:ascii="宋体" w:hAnsi="宋体" w:cs="宋体"/>
          <w:color w:val="000000" w:themeColor="text1"/>
          <w:spacing w:val="-2"/>
          <w:sz w:val="24"/>
          <w:szCs w:val="24"/>
          <w:highlight w:val="none"/>
          <w14:textFill>
            <w14:solidFill>
              <w14:schemeClr w14:val="tx1"/>
            </w14:solidFill>
          </w14:textFill>
        </w:rPr>
      </w:pPr>
    </w:p>
    <w:p w14:paraId="70E49095">
      <w:pPr>
        <w:spacing w:before="79" w:line="219" w:lineRule="auto"/>
        <w:jc w:val="center"/>
        <w:outlineLvl w:val="2"/>
        <w:rPr>
          <w:rFonts w:ascii="宋体" w:hAnsi="宋体" w:cs="宋体"/>
          <w:color w:val="000000" w:themeColor="text1"/>
          <w:sz w:val="36"/>
          <w:szCs w:val="36"/>
          <w:highlight w:val="none"/>
          <w14:textFill>
            <w14:solidFill>
              <w14:schemeClr w14:val="tx1"/>
            </w14:solidFill>
          </w14:textFill>
        </w:rPr>
      </w:pPr>
      <w:bookmarkStart w:id="191" w:name="bookmark76"/>
      <w:bookmarkEnd w:id="191"/>
      <w:bookmarkStart w:id="192" w:name="bookmark75"/>
      <w:bookmarkEnd w:id="192"/>
      <w:bookmarkStart w:id="193" w:name="_Toc22871"/>
      <w:r>
        <w:rPr>
          <w:rFonts w:ascii="宋体" w:hAnsi="宋体" w:cs="宋体"/>
          <w:b/>
          <w:bCs/>
          <w:color w:val="000000" w:themeColor="text1"/>
          <w:spacing w:val="-3"/>
          <w:sz w:val="36"/>
          <w:szCs w:val="36"/>
          <w:highlight w:val="none"/>
          <w14:textFill>
            <w14:solidFill>
              <w14:schemeClr w14:val="tx1"/>
            </w14:solidFill>
          </w14:textFill>
        </w:rPr>
        <w:t>专用合同条款数据表</w:t>
      </w:r>
      <w:bookmarkEnd w:id="193"/>
    </w:p>
    <w:p w14:paraId="5AD95D09">
      <w:pPr>
        <w:spacing w:before="269" w:line="219" w:lineRule="auto"/>
        <w:ind w:left="605"/>
        <w:rPr>
          <w:rFonts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pacing w:val="1"/>
          <w:sz w:val="24"/>
          <w:szCs w:val="24"/>
          <w:highlight w:val="none"/>
          <w14:textFill>
            <w14:solidFill>
              <w14:schemeClr w14:val="tx1"/>
            </w14:solidFill>
          </w14:textFill>
        </w:rPr>
        <w:t>说明：本数据表是专用合同条款中适用于本项</w:t>
      </w:r>
      <w:r>
        <w:rPr>
          <w:rFonts w:ascii="宋体" w:hAnsi="宋体" w:cs="宋体"/>
          <w:color w:val="000000" w:themeColor="text1"/>
          <w:sz w:val="24"/>
          <w:szCs w:val="24"/>
          <w:highlight w:val="none"/>
          <w14:textFill>
            <w14:solidFill>
              <w14:schemeClr w14:val="tx1"/>
            </w14:solidFill>
          </w14:textFill>
        </w:rPr>
        <w:t>目的信息和数据的归纳与提示，</w:t>
      </w:r>
    </w:p>
    <w:p w14:paraId="75724FC2">
      <w:pPr>
        <w:spacing w:before="117" w:line="212" w:lineRule="auto"/>
        <w:ind w:left="126"/>
        <w:rPr>
          <w:rFonts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是专用合同条款的组成部分。编写者应仔细校</w:t>
      </w:r>
      <w:r>
        <w:rPr>
          <w:rFonts w:ascii="宋体" w:hAnsi="宋体" w:cs="宋体"/>
          <w:color w:val="000000" w:themeColor="text1"/>
          <w:spacing w:val="-1"/>
          <w:sz w:val="24"/>
          <w:szCs w:val="24"/>
          <w:highlight w:val="none"/>
          <w14:textFill>
            <w14:solidFill>
              <w14:schemeClr w14:val="tx1"/>
            </w14:solidFill>
          </w14:textFill>
        </w:rPr>
        <w:t>核，避免数据出现差错或不一致。</w:t>
      </w:r>
    </w:p>
    <w:tbl>
      <w:tblPr>
        <w:tblStyle w:val="473"/>
        <w:tblW w:w="946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74"/>
        <w:gridCol w:w="1386"/>
        <w:gridCol w:w="7301"/>
      </w:tblGrid>
      <w:tr w14:paraId="13DD4B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4" w:hRule="atLeast"/>
        </w:trPr>
        <w:tc>
          <w:tcPr>
            <w:tcW w:w="774" w:type="dxa"/>
          </w:tcPr>
          <w:p w14:paraId="0DF81DA9">
            <w:pPr>
              <w:pStyle w:val="471"/>
              <w:spacing w:before="129" w:line="360" w:lineRule="auto"/>
              <w:ind w:left="152"/>
              <w:rPr>
                <w:color w:val="000000" w:themeColor="text1"/>
                <w:sz w:val="24"/>
                <w:szCs w:val="24"/>
                <w:highlight w:val="none"/>
                <w14:textFill>
                  <w14:solidFill>
                    <w14:schemeClr w14:val="tx1"/>
                  </w14:solidFill>
                </w14:textFill>
              </w:rPr>
            </w:pPr>
            <w:r>
              <w:rPr>
                <w:color w:val="000000" w:themeColor="text1"/>
                <w:spacing w:val="-5"/>
                <w:sz w:val="24"/>
                <w:szCs w:val="24"/>
                <w:highlight w:val="none"/>
                <w14:textFill>
                  <w14:solidFill>
                    <w14:schemeClr w14:val="tx1"/>
                  </w14:solidFill>
                </w14:textFill>
              </w:rPr>
              <w:t>序号</w:t>
            </w:r>
          </w:p>
        </w:tc>
        <w:tc>
          <w:tcPr>
            <w:tcW w:w="1386" w:type="dxa"/>
          </w:tcPr>
          <w:p w14:paraId="47F92955">
            <w:pPr>
              <w:pStyle w:val="471"/>
              <w:spacing w:before="129" w:line="360" w:lineRule="auto"/>
              <w:ind w:left="341"/>
              <w:rPr>
                <w:color w:val="000000" w:themeColor="text1"/>
                <w:sz w:val="24"/>
                <w:szCs w:val="24"/>
                <w:highlight w:val="none"/>
                <w14:textFill>
                  <w14:solidFill>
                    <w14:schemeClr w14:val="tx1"/>
                  </w14:solidFill>
                </w14:textFill>
              </w:rPr>
            </w:pPr>
            <w:r>
              <w:rPr>
                <w:color w:val="000000" w:themeColor="text1"/>
                <w:spacing w:val="-4"/>
                <w:sz w:val="24"/>
                <w:szCs w:val="24"/>
                <w:highlight w:val="none"/>
                <w14:textFill>
                  <w14:solidFill>
                    <w14:schemeClr w14:val="tx1"/>
                  </w14:solidFill>
                </w14:textFill>
              </w:rPr>
              <w:t>条目号</w:t>
            </w:r>
          </w:p>
        </w:tc>
        <w:tc>
          <w:tcPr>
            <w:tcW w:w="7301" w:type="dxa"/>
          </w:tcPr>
          <w:p w14:paraId="2F9E8472">
            <w:pPr>
              <w:pStyle w:val="471"/>
              <w:spacing w:before="129" w:line="360" w:lineRule="auto"/>
              <w:ind w:left="2848"/>
              <w:rPr>
                <w:color w:val="000000" w:themeColor="text1"/>
                <w:sz w:val="24"/>
                <w:szCs w:val="24"/>
                <w:highlight w:val="none"/>
                <w14:textFill>
                  <w14:solidFill>
                    <w14:schemeClr w14:val="tx1"/>
                  </w14:solidFill>
                </w14:textFill>
              </w:rPr>
            </w:pPr>
            <w:r>
              <w:rPr>
                <w:color w:val="000000" w:themeColor="text1"/>
                <w:spacing w:val="-2"/>
                <w:sz w:val="24"/>
                <w:szCs w:val="24"/>
                <w:highlight w:val="none"/>
                <w14:textFill>
                  <w14:solidFill>
                    <w14:schemeClr w14:val="tx1"/>
                  </w14:solidFill>
                </w14:textFill>
              </w:rPr>
              <w:t>信息或数据</w:t>
            </w:r>
          </w:p>
        </w:tc>
      </w:tr>
      <w:tr w14:paraId="47C9E2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1" w:hRule="atLeast"/>
        </w:trPr>
        <w:tc>
          <w:tcPr>
            <w:tcW w:w="774" w:type="dxa"/>
          </w:tcPr>
          <w:p w14:paraId="58EBBF05">
            <w:pPr>
              <w:spacing w:line="360" w:lineRule="auto"/>
              <w:rPr>
                <w:rFonts w:ascii="Arial"/>
                <w:color w:val="000000" w:themeColor="text1"/>
                <w:sz w:val="24"/>
                <w:szCs w:val="24"/>
                <w:highlight w:val="none"/>
                <w14:textFill>
                  <w14:solidFill>
                    <w14:schemeClr w14:val="tx1"/>
                  </w14:solidFill>
                </w14:textFill>
              </w:rPr>
            </w:pPr>
          </w:p>
          <w:p w14:paraId="1A5B0EDF">
            <w:pPr>
              <w:spacing w:before="69" w:line="360" w:lineRule="auto"/>
              <w:ind w:left="351"/>
              <w:rPr>
                <w:rFonts w:eastAsia="Times New Roman"/>
                <w:color w:val="000000" w:themeColor="text1"/>
                <w:sz w:val="24"/>
                <w:szCs w:val="24"/>
                <w:highlight w:val="none"/>
                <w14:textFill>
                  <w14:solidFill>
                    <w14:schemeClr w14:val="tx1"/>
                  </w14:solidFill>
                </w14:textFill>
              </w:rPr>
            </w:pPr>
            <w:r>
              <w:rPr>
                <w:rFonts w:eastAsia="Times New Roman"/>
                <w:color w:val="000000" w:themeColor="text1"/>
                <w:sz w:val="24"/>
                <w:szCs w:val="24"/>
                <w:highlight w:val="none"/>
                <w14:textFill>
                  <w14:solidFill>
                    <w14:schemeClr w14:val="tx1"/>
                  </w14:solidFill>
                </w14:textFill>
              </w:rPr>
              <w:t>1</w:t>
            </w:r>
          </w:p>
        </w:tc>
        <w:tc>
          <w:tcPr>
            <w:tcW w:w="1386" w:type="dxa"/>
          </w:tcPr>
          <w:p w14:paraId="1638E973">
            <w:pPr>
              <w:spacing w:line="360" w:lineRule="auto"/>
              <w:rPr>
                <w:rFonts w:ascii="Arial"/>
                <w:color w:val="000000" w:themeColor="text1"/>
                <w:sz w:val="24"/>
                <w:szCs w:val="24"/>
                <w:highlight w:val="none"/>
                <w14:textFill>
                  <w14:solidFill>
                    <w14:schemeClr w14:val="tx1"/>
                  </w14:solidFill>
                </w14:textFill>
              </w:rPr>
            </w:pPr>
          </w:p>
          <w:p w14:paraId="25CE44B5">
            <w:pPr>
              <w:spacing w:before="69" w:line="360" w:lineRule="auto"/>
              <w:ind w:left="386"/>
              <w:rPr>
                <w:rFonts w:eastAsia="Times New Roman"/>
                <w:color w:val="000000" w:themeColor="text1"/>
                <w:sz w:val="24"/>
                <w:szCs w:val="24"/>
                <w:highlight w:val="none"/>
                <w14:textFill>
                  <w14:solidFill>
                    <w14:schemeClr w14:val="tx1"/>
                  </w14:solidFill>
                </w14:textFill>
              </w:rPr>
            </w:pPr>
            <w:r>
              <w:rPr>
                <w:rFonts w:eastAsia="Times New Roman"/>
                <w:color w:val="000000" w:themeColor="text1"/>
                <w:spacing w:val="-5"/>
                <w:sz w:val="24"/>
                <w:szCs w:val="24"/>
                <w:highlight w:val="none"/>
                <w14:textFill>
                  <w14:solidFill>
                    <w14:schemeClr w14:val="tx1"/>
                  </w14:solidFill>
                </w14:textFill>
              </w:rPr>
              <w:t>1.1.2.2</w:t>
            </w:r>
          </w:p>
        </w:tc>
        <w:tc>
          <w:tcPr>
            <w:tcW w:w="7301" w:type="dxa"/>
          </w:tcPr>
          <w:p w14:paraId="19A9C0B7">
            <w:pPr>
              <w:pStyle w:val="471"/>
              <w:spacing w:before="126" w:line="360" w:lineRule="auto"/>
              <w:ind w:left="118"/>
              <w:rPr>
                <w:color w:val="000000" w:themeColor="text1"/>
                <w:sz w:val="24"/>
                <w:szCs w:val="24"/>
                <w:highlight w:val="none"/>
                <w:lang w:eastAsia="zh-CN"/>
                <w14:textFill>
                  <w14:solidFill>
                    <w14:schemeClr w14:val="tx1"/>
                  </w14:solidFill>
                </w14:textFill>
              </w:rPr>
            </w:pPr>
            <w:r>
              <w:rPr>
                <w:color w:val="000000" w:themeColor="text1"/>
                <w:spacing w:val="-17"/>
                <w:sz w:val="24"/>
                <w:szCs w:val="24"/>
                <w:highlight w:val="none"/>
                <w:lang w:eastAsia="zh-CN"/>
                <w14:textFill>
                  <w14:solidFill>
                    <w14:schemeClr w14:val="tx1"/>
                  </w14:solidFill>
                </w14:textFill>
              </w:rPr>
              <w:t>发</w:t>
            </w:r>
            <w:r>
              <w:rPr>
                <w:color w:val="000000" w:themeColor="text1"/>
                <w:spacing w:val="11"/>
                <w:sz w:val="24"/>
                <w:szCs w:val="24"/>
                <w:highlight w:val="none"/>
                <w:lang w:eastAsia="zh-CN"/>
                <w14:textFill>
                  <w14:solidFill>
                    <w14:schemeClr w14:val="tx1"/>
                  </w14:solidFill>
                </w14:textFill>
              </w:rPr>
              <w:t xml:space="preserve"> </w:t>
            </w:r>
            <w:r>
              <w:rPr>
                <w:color w:val="000000" w:themeColor="text1"/>
                <w:spacing w:val="-17"/>
                <w:sz w:val="24"/>
                <w:szCs w:val="24"/>
                <w:highlight w:val="none"/>
                <w:lang w:eastAsia="zh-CN"/>
                <w14:textFill>
                  <w14:solidFill>
                    <w14:schemeClr w14:val="tx1"/>
                  </w14:solidFill>
                </w14:textFill>
              </w:rPr>
              <w:t>包</w:t>
            </w:r>
            <w:r>
              <w:rPr>
                <w:color w:val="000000" w:themeColor="text1"/>
                <w:spacing w:val="12"/>
                <w:sz w:val="24"/>
                <w:szCs w:val="24"/>
                <w:highlight w:val="none"/>
                <w:lang w:eastAsia="zh-CN"/>
                <w14:textFill>
                  <w14:solidFill>
                    <w14:schemeClr w14:val="tx1"/>
                  </w14:solidFill>
                </w14:textFill>
              </w:rPr>
              <w:t xml:space="preserve"> </w:t>
            </w:r>
            <w:r>
              <w:rPr>
                <w:color w:val="000000" w:themeColor="text1"/>
                <w:spacing w:val="-17"/>
                <w:sz w:val="24"/>
                <w:szCs w:val="24"/>
                <w:highlight w:val="none"/>
                <w:lang w:eastAsia="zh-CN"/>
                <w14:textFill>
                  <w14:solidFill>
                    <w14:schemeClr w14:val="tx1"/>
                  </w14:solidFill>
                </w14:textFill>
              </w:rPr>
              <w:t>人</w:t>
            </w:r>
            <w:r>
              <w:rPr>
                <w:color w:val="000000" w:themeColor="text1"/>
                <w:spacing w:val="-90"/>
                <w:sz w:val="24"/>
                <w:szCs w:val="24"/>
                <w:highlight w:val="none"/>
                <w:lang w:eastAsia="zh-CN"/>
                <w14:textFill>
                  <w14:solidFill>
                    <w14:schemeClr w14:val="tx1"/>
                  </w14:solidFill>
                </w14:textFill>
              </w:rPr>
              <w:t xml:space="preserve"> </w:t>
            </w:r>
            <w:r>
              <w:rPr>
                <w:color w:val="000000" w:themeColor="text1"/>
                <w:spacing w:val="-17"/>
                <w:sz w:val="24"/>
                <w:szCs w:val="24"/>
                <w:highlight w:val="none"/>
                <w:lang w:eastAsia="zh-CN"/>
                <w14:textFill>
                  <w14:solidFill>
                    <w14:schemeClr w14:val="tx1"/>
                  </w14:solidFill>
                </w14:textFill>
              </w:rPr>
              <w:t>：</w:t>
            </w:r>
            <w:r>
              <w:rPr>
                <w:color w:val="000000" w:themeColor="text1"/>
                <w:sz w:val="24"/>
                <w:szCs w:val="24"/>
                <w:highlight w:val="none"/>
                <w:u w:val="single"/>
                <w:lang w:eastAsia="zh-CN"/>
                <w14:textFill>
                  <w14:solidFill>
                    <w14:schemeClr w14:val="tx1"/>
                  </w14:solidFill>
                </w14:textFill>
              </w:rPr>
              <w:t xml:space="preserve"> </w:t>
            </w:r>
            <w:r>
              <w:rPr>
                <w:rFonts w:hint="eastAsia"/>
                <w:color w:val="000000" w:themeColor="text1"/>
                <w:kern w:val="0"/>
                <w:sz w:val="24"/>
                <w:szCs w:val="24"/>
                <w:highlight w:val="none"/>
                <w:u w:val="single"/>
                <w:lang w:eastAsia="zh-CN"/>
                <w14:textFill>
                  <w14:solidFill>
                    <w14:schemeClr w14:val="tx1"/>
                  </w14:solidFill>
                </w14:textFill>
              </w:rPr>
              <w:t>广西壮族自治区金秀公路养护中心</w:t>
            </w:r>
            <w:r>
              <w:rPr>
                <w:color w:val="000000" w:themeColor="text1"/>
                <w:sz w:val="24"/>
                <w:szCs w:val="24"/>
                <w:highlight w:val="none"/>
                <w:lang w:eastAsia="zh-CN"/>
                <w14:textFill>
                  <w14:solidFill>
                    <w14:schemeClr w14:val="tx1"/>
                  </w14:solidFill>
                </w14:textFill>
              </w:rPr>
              <w:t xml:space="preserve">            </w:t>
            </w:r>
          </w:p>
          <w:p w14:paraId="20383373">
            <w:pPr>
              <w:pStyle w:val="471"/>
              <w:spacing w:before="112" w:line="360" w:lineRule="auto"/>
              <w:ind w:left="113"/>
              <w:rPr>
                <w:color w:val="000000" w:themeColor="text1"/>
                <w:sz w:val="24"/>
                <w:szCs w:val="24"/>
                <w:highlight w:val="none"/>
                <w:lang w:eastAsia="zh-CN"/>
                <w14:textFill>
                  <w14:solidFill>
                    <w14:schemeClr w14:val="tx1"/>
                  </w14:solidFill>
                </w14:textFill>
              </w:rPr>
            </w:pPr>
            <w:r>
              <w:rPr>
                <w:color w:val="000000" w:themeColor="text1"/>
                <w:spacing w:val="-4"/>
                <w:sz w:val="24"/>
                <w:szCs w:val="24"/>
                <w:highlight w:val="none"/>
                <w:lang w:eastAsia="zh-CN"/>
                <w14:textFill>
                  <w14:solidFill>
                    <w14:schemeClr w14:val="tx1"/>
                  </w14:solidFill>
                </w14:textFill>
              </w:rPr>
              <w:t>住    所：</w:t>
            </w:r>
            <w:r>
              <w:rPr>
                <w:rFonts w:hint="eastAsia"/>
                <w:color w:val="000000" w:themeColor="text1"/>
                <w:spacing w:val="-4"/>
                <w:sz w:val="24"/>
                <w:szCs w:val="24"/>
                <w:highlight w:val="none"/>
                <w:u w:val="single"/>
                <w:lang w:eastAsia="zh-CN"/>
                <w14:textFill>
                  <w14:solidFill>
                    <w14:schemeClr w14:val="tx1"/>
                  </w14:solidFill>
                </w14:textFill>
              </w:rPr>
              <w:t>广西金秀县金秀镇解放路171号</w:t>
            </w:r>
            <w:r>
              <w:rPr>
                <w:color w:val="000000" w:themeColor="text1"/>
                <w:sz w:val="24"/>
                <w:szCs w:val="24"/>
                <w:highlight w:val="none"/>
                <w:u w:val="single"/>
                <w:lang w:eastAsia="zh-CN"/>
                <w14:textFill>
                  <w14:solidFill>
                    <w14:schemeClr w14:val="tx1"/>
                  </w14:solidFill>
                </w14:textFill>
              </w:rPr>
              <w:t xml:space="preserve"> </w:t>
            </w:r>
            <w:r>
              <w:rPr>
                <w:color w:val="000000" w:themeColor="text1"/>
                <w:spacing w:val="-82"/>
                <w:sz w:val="24"/>
                <w:szCs w:val="24"/>
                <w:highlight w:val="none"/>
                <w:lang w:eastAsia="zh-CN"/>
                <w14:textFill>
                  <w14:solidFill>
                    <w14:schemeClr w14:val="tx1"/>
                  </w14:solidFill>
                </w14:textFill>
              </w:rPr>
              <w:t xml:space="preserve"> </w:t>
            </w:r>
            <w:r>
              <w:rPr>
                <w:color w:val="000000" w:themeColor="text1"/>
                <w:spacing w:val="-4"/>
                <w:sz w:val="24"/>
                <w:szCs w:val="24"/>
                <w:highlight w:val="none"/>
                <w:lang w:eastAsia="zh-CN"/>
                <w14:textFill>
                  <w14:solidFill>
                    <w14:schemeClr w14:val="tx1"/>
                  </w14:solidFill>
                </w14:textFill>
              </w:rPr>
              <w:t>邮政编码：</w:t>
            </w:r>
            <w:r>
              <w:rPr>
                <w:color w:val="000000" w:themeColor="text1"/>
                <w:sz w:val="24"/>
                <w:szCs w:val="24"/>
                <w:highlight w:val="none"/>
                <w:u w:val="single"/>
                <w:lang w:eastAsia="zh-CN"/>
                <w14:textFill>
                  <w14:solidFill>
                    <w14:schemeClr w14:val="tx1"/>
                  </w14:solidFill>
                </w14:textFill>
              </w:rPr>
              <w:t xml:space="preserve"> </w:t>
            </w:r>
            <w:r>
              <w:rPr>
                <w:rFonts w:hint="eastAsia"/>
                <w:color w:val="000000" w:themeColor="text1"/>
                <w:sz w:val="24"/>
                <w:szCs w:val="24"/>
                <w:highlight w:val="none"/>
                <w:u w:val="single"/>
                <w:lang w:eastAsia="zh-CN"/>
                <w14:textFill>
                  <w14:solidFill>
                    <w14:schemeClr w14:val="tx1"/>
                  </w14:solidFill>
                </w14:textFill>
              </w:rPr>
              <w:t>545700</w:t>
            </w:r>
            <w:r>
              <w:rPr>
                <w:color w:val="000000" w:themeColor="text1"/>
                <w:sz w:val="24"/>
                <w:szCs w:val="24"/>
                <w:highlight w:val="none"/>
                <w:u w:val="single"/>
                <w:lang w:eastAsia="zh-CN"/>
                <w14:textFill>
                  <w14:solidFill>
                    <w14:schemeClr w14:val="tx1"/>
                  </w14:solidFill>
                </w14:textFill>
              </w:rPr>
              <w:t xml:space="preserve"> </w:t>
            </w:r>
          </w:p>
        </w:tc>
      </w:tr>
      <w:tr w14:paraId="1D471D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7" w:hRule="atLeast"/>
        </w:trPr>
        <w:tc>
          <w:tcPr>
            <w:tcW w:w="774" w:type="dxa"/>
          </w:tcPr>
          <w:p w14:paraId="5CEC54B5">
            <w:pPr>
              <w:spacing w:line="360" w:lineRule="auto"/>
              <w:rPr>
                <w:rFonts w:ascii="Arial"/>
                <w:color w:val="000000" w:themeColor="text1"/>
                <w:sz w:val="24"/>
                <w:szCs w:val="24"/>
                <w:highlight w:val="none"/>
                <w14:textFill>
                  <w14:solidFill>
                    <w14:schemeClr w14:val="tx1"/>
                  </w14:solidFill>
                </w14:textFill>
              </w:rPr>
            </w:pPr>
          </w:p>
          <w:p w14:paraId="098D2DEA">
            <w:pPr>
              <w:spacing w:before="69" w:line="360" w:lineRule="auto"/>
              <w:ind w:left="328"/>
              <w:rPr>
                <w:rFonts w:eastAsia="Times New Roman"/>
                <w:color w:val="000000" w:themeColor="text1"/>
                <w:sz w:val="24"/>
                <w:szCs w:val="24"/>
                <w:highlight w:val="none"/>
                <w14:textFill>
                  <w14:solidFill>
                    <w14:schemeClr w14:val="tx1"/>
                  </w14:solidFill>
                </w14:textFill>
              </w:rPr>
            </w:pPr>
            <w:r>
              <w:rPr>
                <w:rFonts w:eastAsia="Times New Roman"/>
                <w:color w:val="000000" w:themeColor="text1"/>
                <w:sz w:val="24"/>
                <w:szCs w:val="24"/>
                <w:highlight w:val="none"/>
                <w14:textFill>
                  <w14:solidFill>
                    <w14:schemeClr w14:val="tx1"/>
                  </w14:solidFill>
                </w14:textFill>
              </w:rPr>
              <w:t>2</w:t>
            </w:r>
          </w:p>
        </w:tc>
        <w:tc>
          <w:tcPr>
            <w:tcW w:w="1386" w:type="dxa"/>
          </w:tcPr>
          <w:p w14:paraId="3DEC0608">
            <w:pPr>
              <w:spacing w:line="360" w:lineRule="auto"/>
              <w:rPr>
                <w:rFonts w:ascii="Arial"/>
                <w:color w:val="000000" w:themeColor="text1"/>
                <w:sz w:val="24"/>
                <w:szCs w:val="24"/>
                <w:highlight w:val="none"/>
                <w14:textFill>
                  <w14:solidFill>
                    <w14:schemeClr w14:val="tx1"/>
                  </w14:solidFill>
                </w14:textFill>
              </w:rPr>
            </w:pPr>
          </w:p>
          <w:p w14:paraId="51B77059">
            <w:pPr>
              <w:spacing w:before="69" w:line="360" w:lineRule="auto"/>
              <w:ind w:left="386"/>
              <w:rPr>
                <w:rFonts w:eastAsia="Times New Roman"/>
                <w:color w:val="000000" w:themeColor="text1"/>
                <w:sz w:val="24"/>
                <w:szCs w:val="24"/>
                <w:highlight w:val="none"/>
                <w14:textFill>
                  <w14:solidFill>
                    <w14:schemeClr w14:val="tx1"/>
                  </w14:solidFill>
                </w14:textFill>
              </w:rPr>
            </w:pPr>
            <w:r>
              <w:rPr>
                <w:rFonts w:eastAsia="Times New Roman"/>
                <w:color w:val="000000" w:themeColor="text1"/>
                <w:spacing w:val="-5"/>
                <w:sz w:val="24"/>
                <w:szCs w:val="24"/>
                <w:highlight w:val="none"/>
                <w14:textFill>
                  <w14:solidFill>
                    <w14:schemeClr w14:val="tx1"/>
                  </w14:solidFill>
                </w14:textFill>
              </w:rPr>
              <w:t>1.1.2.7</w:t>
            </w:r>
          </w:p>
        </w:tc>
        <w:tc>
          <w:tcPr>
            <w:tcW w:w="7301" w:type="dxa"/>
          </w:tcPr>
          <w:p w14:paraId="638B0795">
            <w:pPr>
              <w:pStyle w:val="471"/>
              <w:spacing w:before="125" w:line="360" w:lineRule="auto"/>
              <w:ind w:left="124"/>
              <w:rPr>
                <w:color w:val="000000" w:themeColor="text1"/>
                <w:sz w:val="24"/>
                <w:szCs w:val="24"/>
                <w:highlight w:val="none"/>
                <w:lang w:eastAsia="zh-CN"/>
                <w14:textFill>
                  <w14:solidFill>
                    <w14:schemeClr w14:val="tx1"/>
                  </w14:solidFill>
                </w14:textFill>
              </w:rPr>
            </w:pPr>
            <w:r>
              <w:rPr>
                <w:color w:val="000000" w:themeColor="text1"/>
                <w:spacing w:val="-4"/>
                <w:sz w:val="24"/>
                <w:szCs w:val="24"/>
                <w:highlight w:val="none"/>
                <w:lang w:eastAsia="zh-CN"/>
                <w14:textFill>
                  <w14:solidFill>
                    <w14:schemeClr w14:val="tx1"/>
                  </w14:solidFill>
                </w14:textFill>
              </w:rPr>
              <w:t>咨 询</w:t>
            </w:r>
            <w:r>
              <w:rPr>
                <w:color w:val="000000" w:themeColor="text1"/>
                <w:spacing w:val="11"/>
                <w:sz w:val="24"/>
                <w:szCs w:val="24"/>
                <w:highlight w:val="none"/>
                <w:lang w:eastAsia="zh-CN"/>
                <w14:textFill>
                  <w14:solidFill>
                    <w14:schemeClr w14:val="tx1"/>
                  </w14:solidFill>
                </w14:textFill>
              </w:rPr>
              <w:t xml:space="preserve"> </w:t>
            </w:r>
            <w:r>
              <w:rPr>
                <w:color w:val="000000" w:themeColor="text1"/>
                <w:spacing w:val="-4"/>
                <w:sz w:val="24"/>
                <w:szCs w:val="24"/>
                <w:highlight w:val="none"/>
                <w:lang w:eastAsia="zh-CN"/>
                <w14:textFill>
                  <w14:solidFill>
                    <w14:schemeClr w14:val="tx1"/>
                  </w14:solidFill>
                </w14:textFill>
              </w:rPr>
              <w:t>人（监理人</w:t>
            </w:r>
            <w:r>
              <w:rPr>
                <w:color w:val="000000" w:themeColor="text1"/>
                <w:spacing w:val="-60"/>
                <w:sz w:val="24"/>
                <w:szCs w:val="24"/>
                <w:highlight w:val="none"/>
                <w:lang w:eastAsia="zh-CN"/>
                <w14:textFill>
                  <w14:solidFill>
                    <w14:schemeClr w14:val="tx1"/>
                  </w14:solidFill>
                </w14:textFill>
              </w:rPr>
              <w:t>）：</w:t>
            </w:r>
            <w:r>
              <w:rPr>
                <w:color w:val="000000" w:themeColor="text1"/>
                <w:sz w:val="24"/>
                <w:szCs w:val="24"/>
                <w:highlight w:val="none"/>
                <w:u w:val="single"/>
                <w:lang w:eastAsia="zh-CN"/>
                <w14:textFill>
                  <w14:solidFill>
                    <w14:schemeClr w14:val="tx1"/>
                  </w14:solidFill>
                </w14:textFill>
              </w:rPr>
              <w:t xml:space="preserve">    </w:t>
            </w:r>
            <w:r>
              <w:rPr>
                <w:rFonts w:hint="eastAsia"/>
                <w:color w:val="000000" w:themeColor="text1"/>
                <w:sz w:val="24"/>
                <w:szCs w:val="24"/>
                <w:highlight w:val="none"/>
                <w:u w:val="single"/>
                <w:lang w:eastAsia="zh-CN"/>
                <w14:textFill>
                  <w14:solidFill>
                    <w14:schemeClr w14:val="tx1"/>
                  </w14:solidFill>
                </w14:textFill>
              </w:rPr>
              <w:t>待定</w:t>
            </w:r>
            <w:r>
              <w:rPr>
                <w:color w:val="000000" w:themeColor="text1"/>
                <w:sz w:val="24"/>
                <w:szCs w:val="24"/>
                <w:highlight w:val="none"/>
                <w:u w:val="single"/>
                <w:lang w:eastAsia="zh-CN"/>
                <w14:textFill>
                  <w14:solidFill>
                    <w14:schemeClr w14:val="tx1"/>
                  </w14:solidFill>
                </w14:textFill>
              </w:rPr>
              <w:t xml:space="preserve">     </w:t>
            </w:r>
          </w:p>
          <w:p w14:paraId="191516A1">
            <w:pPr>
              <w:pStyle w:val="471"/>
              <w:spacing w:before="114" w:line="360" w:lineRule="auto"/>
              <w:ind w:left="113"/>
              <w:rPr>
                <w:color w:val="000000" w:themeColor="text1"/>
                <w:sz w:val="24"/>
                <w:szCs w:val="24"/>
                <w:highlight w:val="none"/>
                <w14:textFill>
                  <w14:solidFill>
                    <w14:schemeClr w14:val="tx1"/>
                  </w14:solidFill>
                </w14:textFill>
              </w:rPr>
            </w:pPr>
            <w:r>
              <w:rPr>
                <w:color w:val="000000" w:themeColor="text1"/>
                <w:spacing w:val="-4"/>
                <w:sz w:val="24"/>
                <w:szCs w:val="24"/>
                <w:highlight w:val="none"/>
                <w14:textFill>
                  <w14:solidFill>
                    <w14:schemeClr w14:val="tx1"/>
                  </w14:solidFill>
                </w14:textFill>
              </w:rPr>
              <w:t>住    所：</w:t>
            </w:r>
            <w:r>
              <w:rPr>
                <w:color w:val="000000" w:themeColor="text1"/>
                <w:sz w:val="24"/>
                <w:szCs w:val="24"/>
                <w:highlight w:val="none"/>
                <w:u w:val="single"/>
                <w14:textFill>
                  <w14:solidFill>
                    <w14:schemeClr w14:val="tx1"/>
                  </w14:solidFill>
                </w14:textFill>
              </w:rPr>
              <w:t xml:space="preserve">                   </w:t>
            </w:r>
            <w:r>
              <w:rPr>
                <w:color w:val="000000" w:themeColor="text1"/>
                <w:spacing w:val="-82"/>
                <w:sz w:val="24"/>
                <w:szCs w:val="24"/>
                <w:highlight w:val="none"/>
                <w14:textFill>
                  <w14:solidFill>
                    <w14:schemeClr w14:val="tx1"/>
                  </w14:solidFill>
                </w14:textFill>
              </w:rPr>
              <w:t xml:space="preserve"> </w:t>
            </w:r>
            <w:r>
              <w:rPr>
                <w:color w:val="000000" w:themeColor="text1"/>
                <w:spacing w:val="-4"/>
                <w:sz w:val="24"/>
                <w:szCs w:val="24"/>
                <w:highlight w:val="none"/>
                <w14:textFill>
                  <w14:solidFill>
                    <w14:schemeClr w14:val="tx1"/>
                  </w14:solidFill>
                </w14:textFill>
              </w:rPr>
              <w:t>邮政编码：</w:t>
            </w:r>
            <w:r>
              <w:rPr>
                <w:color w:val="000000" w:themeColor="text1"/>
                <w:sz w:val="24"/>
                <w:szCs w:val="24"/>
                <w:highlight w:val="none"/>
                <w:u w:val="single"/>
                <w14:textFill>
                  <w14:solidFill>
                    <w14:schemeClr w14:val="tx1"/>
                  </w14:solidFill>
                </w14:textFill>
              </w:rPr>
              <w:t xml:space="preserve">             </w:t>
            </w:r>
          </w:p>
        </w:tc>
      </w:tr>
      <w:tr w14:paraId="39098F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0" w:hRule="atLeast"/>
        </w:trPr>
        <w:tc>
          <w:tcPr>
            <w:tcW w:w="774" w:type="dxa"/>
          </w:tcPr>
          <w:p w14:paraId="55E8BAAE">
            <w:pPr>
              <w:spacing w:before="187" w:line="360" w:lineRule="auto"/>
              <w:ind w:left="333"/>
              <w:rPr>
                <w:rFonts w:eastAsia="Times New Roman"/>
                <w:color w:val="000000" w:themeColor="text1"/>
                <w:sz w:val="24"/>
                <w:szCs w:val="24"/>
                <w:highlight w:val="none"/>
                <w14:textFill>
                  <w14:solidFill>
                    <w14:schemeClr w14:val="tx1"/>
                  </w14:solidFill>
                </w14:textFill>
              </w:rPr>
            </w:pPr>
            <w:r>
              <w:rPr>
                <w:rFonts w:eastAsia="Times New Roman"/>
                <w:color w:val="000000" w:themeColor="text1"/>
                <w:sz w:val="24"/>
                <w:szCs w:val="24"/>
                <w:highlight w:val="none"/>
                <w14:textFill>
                  <w14:solidFill>
                    <w14:schemeClr w14:val="tx1"/>
                  </w14:solidFill>
                </w14:textFill>
              </w:rPr>
              <w:t>3</w:t>
            </w:r>
          </w:p>
        </w:tc>
        <w:tc>
          <w:tcPr>
            <w:tcW w:w="1386" w:type="dxa"/>
          </w:tcPr>
          <w:p w14:paraId="595474B0">
            <w:pPr>
              <w:spacing w:before="187" w:line="360" w:lineRule="auto"/>
              <w:ind w:left="386"/>
              <w:rPr>
                <w:rFonts w:eastAsia="Times New Roman"/>
                <w:color w:val="000000" w:themeColor="text1"/>
                <w:sz w:val="24"/>
                <w:szCs w:val="24"/>
                <w:highlight w:val="none"/>
                <w14:textFill>
                  <w14:solidFill>
                    <w14:schemeClr w14:val="tx1"/>
                  </w14:solidFill>
                </w14:textFill>
              </w:rPr>
            </w:pPr>
            <w:r>
              <w:rPr>
                <w:rFonts w:eastAsia="Times New Roman"/>
                <w:color w:val="000000" w:themeColor="text1"/>
                <w:spacing w:val="-5"/>
                <w:sz w:val="24"/>
                <w:szCs w:val="24"/>
                <w:highlight w:val="none"/>
                <w14:textFill>
                  <w14:solidFill>
                    <w14:schemeClr w14:val="tx1"/>
                  </w14:solidFill>
                </w14:textFill>
              </w:rPr>
              <w:t>1.1.4.5</w:t>
            </w:r>
          </w:p>
        </w:tc>
        <w:tc>
          <w:tcPr>
            <w:tcW w:w="7301" w:type="dxa"/>
          </w:tcPr>
          <w:p w14:paraId="0422AD02">
            <w:pPr>
              <w:pStyle w:val="471"/>
              <w:spacing w:before="109" w:line="360" w:lineRule="auto"/>
              <w:ind w:left="114"/>
              <w:rPr>
                <w:color w:val="000000" w:themeColor="text1"/>
                <w:sz w:val="24"/>
                <w:szCs w:val="24"/>
                <w:highlight w:val="none"/>
                <w:lang w:eastAsia="zh-CN"/>
                <w14:textFill>
                  <w14:solidFill>
                    <w14:schemeClr w14:val="tx1"/>
                  </w14:solidFill>
                </w14:textFill>
              </w:rPr>
            </w:pPr>
            <w:r>
              <w:rPr>
                <w:color w:val="000000" w:themeColor="text1"/>
                <w:spacing w:val="-4"/>
                <w:sz w:val="24"/>
                <w:szCs w:val="24"/>
                <w:highlight w:val="none"/>
                <w:lang w:eastAsia="zh-CN"/>
                <w14:textFill>
                  <w14:solidFill>
                    <w14:schemeClr w14:val="tx1"/>
                  </w14:solidFill>
                </w14:textFill>
              </w:rPr>
              <w:t>缺陷责任期：</w:t>
            </w:r>
            <w:r>
              <w:rPr>
                <w:color w:val="000000" w:themeColor="text1"/>
                <w:spacing w:val="-58"/>
                <w:sz w:val="24"/>
                <w:szCs w:val="24"/>
                <w:highlight w:val="none"/>
                <w:lang w:eastAsia="zh-CN"/>
                <w14:textFill>
                  <w14:solidFill>
                    <w14:schemeClr w14:val="tx1"/>
                  </w14:solidFill>
                </w14:textFill>
              </w:rPr>
              <w:t xml:space="preserve"> </w:t>
            </w:r>
            <w:r>
              <w:rPr>
                <w:color w:val="000000" w:themeColor="text1"/>
                <w:spacing w:val="-4"/>
                <w:sz w:val="24"/>
                <w:szCs w:val="24"/>
                <w:highlight w:val="none"/>
                <w:lang w:eastAsia="zh-CN"/>
                <w14:textFill>
                  <w14:solidFill>
                    <w14:schemeClr w14:val="tx1"/>
                  </w14:solidFill>
                </w14:textFill>
              </w:rPr>
              <w:t>自实际交工日期起计算</w:t>
            </w:r>
            <w:r>
              <w:rPr>
                <w:color w:val="000000" w:themeColor="text1"/>
                <w:spacing w:val="-4"/>
                <w:sz w:val="24"/>
                <w:szCs w:val="24"/>
                <w:highlight w:val="none"/>
                <w:u w:val="single"/>
                <w:lang w:eastAsia="zh-CN"/>
                <w14:textFill>
                  <w14:solidFill>
                    <w14:schemeClr w14:val="tx1"/>
                  </w14:solidFill>
                </w14:textFill>
              </w:rPr>
              <w:t xml:space="preserve"> </w:t>
            </w:r>
            <w:r>
              <w:rPr>
                <w:rFonts w:hint="eastAsia"/>
                <w:color w:val="000000" w:themeColor="text1"/>
                <w:spacing w:val="-4"/>
                <w:sz w:val="24"/>
                <w:szCs w:val="24"/>
                <w:highlight w:val="none"/>
                <w:u w:val="single"/>
                <w:lang w:eastAsia="zh-CN"/>
                <w14:textFill>
                  <w14:solidFill>
                    <w14:schemeClr w14:val="tx1"/>
                  </w14:solidFill>
                </w14:textFill>
              </w:rPr>
              <w:t>1</w:t>
            </w:r>
            <w:r>
              <w:rPr>
                <w:color w:val="000000" w:themeColor="text1"/>
                <w:spacing w:val="-4"/>
                <w:sz w:val="24"/>
                <w:szCs w:val="24"/>
                <w:highlight w:val="none"/>
                <w:u w:val="single"/>
                <w:lang w:eastAsia="zh-CN"/>
                <w14:textFill>
                  <w14:solidFill>
                    <w14:schemeClr w14:val="tx1"/>
                  </w14:solidFill>
                </w14:textFill>
              </w:rPr>
              <w:t xml:space="preserve">  </w:t>
            </w:r>
            <w:r>
              <w:rPr>
                <w:color w:val="000000" w:themeColor="text1"/>
                <w:spacing w:val="-109"/>
                <w:sz w:val="24"/>
                <w:szCs w:val="24"/>
                <w:highlight w:val="none"/>
                <w:lang w:eastAsia="zh-CN"/>
                <w14:textFill>
                  <w14:solidFill>
                    <w14:schemeClr w14:val="tx1"/>
                  </w14:solidFill>
                </w14:textFill>
              </w:rPr>
              <w:t xml:space="preserve"> </w:t>
            </w:r>
            <w:r>
              <w:rPr>
                <w:color w:val="000000" w:themeColor="text1"/>
                <w:spacing w:val="-4"/>
                <w:sz w:val="24"/>
                <w:szCs w:val="24"/>
                <w:highlight w:val="none"/>
                <w:lang w:eastAsia="zh-CN"/>
                <w14:textFill>
                  <w14:solidFill>
                    <w14:schemeClr w14:val="tx1"/>
                  </w14:solidFill>
                </w14:textFill>
              </w:rPr>
              <w:t>年</w:t>
            </w:r>
          </w:p>
        </w:tc>
      </w:tr>
      <w:tr w14:paraId="0DB5C0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3" w:hRule="atLeast"/>
        </w:trPr>
        <w:tc>
          <w:tcPr>
            <w:tcW w:w="774" w:type="dxa"/>
          </w:tcPr>
          <w:p w14:paraId="793FCB7C">
            <w:pPr>
              <w:spacing w:before="188" w:line="360" w:lineRule="auto"/>
              <w:ind w:left="327"/>
              <w:rPr>
                <w:rFonts w:eastAsia="Times New Roman"/>
                <w:color w:val="000000" w:themeColor="text1"/>
                <w:sz w:val="24"/>
                <w:szCs w:val="24"/>
                <w:highlight w:val="none"/>
                <w14:textFill>
                  <w14:solidFill>
                    <w14:schemeClr w14:val="tx1"/>
                  </w14:solidFill>
                </w14:textFill>
              </w:rPr>
            </w:pPr>
            <w:r>
              <w:rPr>
                <w:rFonts w:eastAsia="Times New Roman"/>
                <w:color w:val="000000" w:themeColor="text1"/>
                <w:sz w:val="24"/>
                <w:szCs w:val="24"/>
                <w:highlight w:val="none"/>
                <w14:textFill>
                  <w14:solidFill>
                    <w14:schemeClr w14:val="tx1"/>
                  </w14:solidFill>
                </w14:textFill>
              </w:rPr>
              <w:t>4</w:t>
            </w:r>
          </w:p>
        </w:tc>
        <w:tc>
          <w:tcPr>
            <w:tcW w:w="1386" w:type="dxa"/>
          </w:tcPr>
          <w:p w14:paraId="06615BE1">
            <w:pPr>
              <w:spacing w:before="188" w:line="360" w:lineRule="auto"/>
              <w:ind w:left="477"/>
              <w:rPr>
                <w:rFonts w:eastAsia="Times New Roman"/>
                <w:color w:val="000000" w:themeColor="text1"/>
                <w:sz w:val="24"/>
                <w:szCs w:val="24"/>
                <w:highlight w:val="none"/>
                <w14:textFill>
                  <w14:solidFill>
                    <w14:schemeClr w14:val="tx1"/>
                  </w14:solidFill>
                </w14:textFill>
              </w:rPr>
            </w:pPr>
            <w:r>
              <w:rPr>
                <w:rFonts w:eastAsia="Times New Roman"/>
                <w:color w:val="000000" w:themeColor="text1"/>
                <w:spacing w:val="-6"/>
                <w:sz w:val="24"/>
                <w:szCs w:val="24"/>
                <w:highlight w:val="none"/>
                <w14:textFill>
                  <w14:solidFill>
                    <w14:schemeClr w14:val="tx1"/>
                  </w14:solidFill>
                </w14:textFill>
              </w:rPr>
              <w:t>1.5.1</w:t>
            </w:r>
          </w:p>
        </w:tc>
        <w:tc>
          <w:tcPr>
            <w:tcW w:w="7301" w:type="dxa"/>
          </w:tcPr>
          <w:p w14:paraId="683582C0">
            <w:pPr>
              <w:pStyle w:val="471"/>
              <w:spacing w:before="129" w:line="360" w:lineRule="auto"/>
              <w:ind w:left="115"/>
              <w:rPr>
                <w:color w:val="000000" w:themeColor="text1"/>
                <w:sz w:val="24"/>
                <w:szCs w:val="24"/>
                <w:highlight w:val="none"/>
                <w14:textFill>
                  <w14:solidFill>
                    <w14:schemeClr w14:val="tx1"/>
                  </w14:solidFill>
                </w14:textFill>
              </w:rPr>
            </w:pPr>
            <w:r>
              <w:rPr>
                <w:color w:val="000000" w:themeColor="text1"/>
                <w:spacing w:val="-1"/>
                <w:sz w:val="24"/>
                <w:szCs w:val="24"/>
                <w:highlight w:val="none"/>
                <w14:textFill>
                  <w14:solidFill>
                    <w14:schemeClr w14:val="tx1"/>
                  </w14:solidFill>
                </w14:textFill>
              </w:rPr>
              <w:t>提供图纸的期限：</w:t>
            </w:r>
            <w:r>
              <w:rPr>
                <w:color w:val="000000" w:themeColor="text1"/>
                <w:spacing w:val="-1"/>
                <w:sz w:val="24"/>
                <w:szCs w:val="24"/>
                <w:highlight w:val="none"/>
                <w:u w:val="single"/>
                <w14:textFill>
                  <w14:solidFill>
                    <w14:schemeClr w14:val="tx1"/>
                  </w14:solidFill>
                </w14:textFill>
              </w:rPr>
              <w:t xml:space="preserve">  </w:t>
            </w:r>
            <w:r>
              <w:rPr>
                <w:rFonts w:hint="eastAsia"/>
                <w:color w:val="000000" w:themeColor="text1"/>
                <w:spacing w:val="-1"/>
                <w:sz w:val="24"/>
                <w:szCs w:val="24"/>
                <w:highlight w:val="none"/>
                <w:u w:val="single"/>
                <w:lang w:eastAsia="zh-CN"/>
                <w14:textFill>
                  <w14:solidFill>
                    <w14:schemeClr w14:val="tx1"/>
                  </w14:solidFill>
                </w14:textFill>
              </w:rPr>
              <w:t>14</w:t>
            </w:r>
            <w:r>
              <w:rPr>
                <w:color w:val="000000" w:themeColor="text1"/>
                <w:spacing w:val="-1"/>
                <w:sz w:val="24"/>
                <w:szCs w:val="24"/>
                <w:highlight w:val="none"/>
                <w:u w:val="single"/>
                <w14:textFill>
                  <w14:solidFill>
                    <w14:schemeClr w14:val="tx1"/>
                  </w14:solidFill>
                </w14:textFill>
              </w:rPr>
              <w:t xml:space="preserve"> </w:t>
            </w:r>
            <w:r>
              <w:rPr>
                <w:color w:val="000000" w:themeColor="text1"/>
                <w:spacing w:val="-105"/>
                <w:sz w:val="24"/>
                <w:szCs w:val="24"/>
                <w:highlight w:val="none"/>
                <w14:textFill>
                  <w14:solidFill>
                    <w14:schemeClr w14:val="tx1"/>
                  </w14:solidFill>
                </w14:textFill>
              </w:rPr>
              <w:t xml:space="preserve"> </w:t>
            </w:r>
            <w:r>
              <w:rPr>
                <w:color w:val="000000" w:themeColor="text1"/>
                <w:spacing w:val="-1"/>
                <w:sz w:val="24"/>
                <w:szCs w:val="24"/>
                <w:highlight w:val="none"/>
                <w14:textFill>
                  <w14:solidFill>
                    <w14:schemeClr w14:val="tx1"/>
                  </w14:solidFill>
                </w14:textFill>
              </w:rPr>
              <w:t>天</w:t>
            </w:r>
          </w:p>
        </w:tc>
      </w:tr>
      <w:tr w14:paraId="5861E5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6" w:hRule="atLeast"/>
        </w:trPr>
        <w:tc>
          <w:tcPr>
            <w:tcW w:w="774" w:type="dxa"/>
            <w:shd w:val="clear" w:color="auto" w:fill="auto"/>
          </w:tcPr>
          <w:p w14:paraId="4C165278">
            <w:pPr>
              <w:spacing w:line="360" w:lineRule="auto"/>
              <w:rPr>
                <w:rFonts w:ascii="Arial"/>
                <w:color w:val="000000" w:themeColor="text1"/>
                <w:sz w:val="24"/>
                <w:szCs w:val="24"/>
                <w:highlight w:val="none"/>
                <w14:textFill>
                  <w14:solidFill>
                    <w14:schemeClr w14:val="tx1"/>
                  </w14:solidFill>
                </w14:textFill>
              </w:rPr>
            </w:pPr>
          </w:p>
          <w:p w14:paraId="0484F35A">
            <w:pPr>
              <w:spacing w:line="360" w:lineRule="auto"/>
              <w:rPr>
                <w:rFonts w:ascii="Arial"/>
                <w:color w:val="000000" w:themeColor="text1"/>
                <w:sz w:val="24"/>
                <w:szCs w:val="24"/>
                <w:highlight w:val="none"/>
                <w14:textFill>
                  <w14:solidFill>
                    <w14:schemeClr w14:val="tx1"/>
                  </w14:solidFill>
                </w14:textFill>
              </w:rPr>
            </w:pPr>
          </w:p>
          <w:p w14:paraId="2542F182">
            <w:pPr>
              <w:spacing w:before="69" w:line="360" w:lineRule="auto"/>
              <w:ind w:left="335"/>
              <w:rPr>
                <w:rFonts w:eastAsia="Times New Roman"/>
                <w:color w:val="000000" w:themeColor="text1"/>
                <w:sz w:val="24"/>
                <w:szCs w:val="24"/>
                <w:highlight w:val="none"/>
                <w14:textFill>
                  <w14:solidFill>
                    <w14:schemeClr w14:val="tx1"/>
                  </w14:solidFill>
                </w14:textFill>
              </w:rPr>
            </w:pPr>
            <w:r>
              <w:rPr>
                <w:rFonts w:eastAsia="Times New Roman"/>
                <w:color w:val="000000" w:themeColor="text1"/>
                <w:sz w:val="24"/>
                <w:szCs w:val="24"/>
                <w:highlight w:val="none"/>
                <w14:textFill>
                  <w14:solidFill>
                    <w14:schemeClr w14:val="tx1"/>
                  </w14:solidFill>
                </w14:textFill>
              </w:rPr>
              <w:t>5</w:t>
            </w:r>
          </w:p>
        </w:tc>
        <w:tc>
          <w:tcPr>
            <w:tcW w:w="1386" w:type="dxa"/>
            <w:shd w:val="clear" w:color="auto" w:fill="auto"/>
          </w:tcPr>
          <w:p w14:paraId="2A11B647">
            <w:pPr>
              <w:spacing w:line="360" w:lineRule="auto"/>
              <w:rPr>
                <w:rFonts w:ascii="Arial"/>
                <w:color w:val="000000" w:themeColor="text1"/>
                <w:sz w:val="24"/>
                <w:szCs w:val="24"/>
                <w:highlight w:val="none"/>
                <w14:textFill>
                  <w14:solidFill>
                    <w14:schemeClr w14:val="tx1"/>
                  </w14:solidFill>
                </w14:textFill>
              </w:rPr>
            </w:pPr>
          </w:p>
          <w:p w14:paraId="25AFAC54">
            <w:pPr>
              <w:spacing w:line="360" w:lineRule="auto"/>
              <w:rPr>
                <w:rFonts w:ascii="Arial"/>
                <w:color w:val="000000" w:themeColor="text1"/>
                <w:sz w:val="24"/>
                <w:szCs w:val="24"/>
                <w:highlight w:val="none"/>
                <w14:textFill>
                  <w14:solidFill>
                    <w14:schemeClr w14:val="tx1"/>
                  </w14:solidFill>
                </w14:textFill>
              </w:rPr>
            </w:pPr>
          </w:p>
          <w:p w14:paraId="3A1025C8">
            <w:pPr>
              <w:spacing w:before="68" w:line="360" w:lineRule="auto"/>
              <w:ind w:left="477"/>
              <w:rPr>
                <w:rFonts w:eastAsia="Times New Roman"/>
                <w:color w:val="000000" w:themeColor="text1"/>
                <w:sz w:val="24"/>
                <w:szCs w:val="24"/>
                <w:highlight w:val="none"/>
                <w14:textFill>
                  <w14:solidFill>
                    <w14:schemeClr w14:val="tx1"/>
                  </w14:solidFill>
                </w14:textFill>
              </w:rPr>
            </w:pPr>
            <w:r>
              <w:rPr>
                <w:rFonts w:eastAsia="Times New Roman"/>
                <w:color w:val="000000" w:themeColor="text1"/>
                <w:spacing w:val="-6"/>
                <w:sz w:val="24"/>
                <w:szCs w:val="24"/>
                <w:highlight w:val="none"/>
                <w14:textFill>
                  <w14:solidFill>
                    <w14:schemeClr w14:val="tx1"/>
                  </w14:solidFill>
                </w14:textFill>
              </w:rPr>
              <w:t>1.5.3</w:t>
            </w:r>
          </w:p>
        </w:tc>
        <w:tc>
          <w:tcPr>
            <w:tcW w:w="7301" w:type="dxa"/>
            <w:shd w:val="clear" w:color="auto" w:fill="auto"/>
          </w:tcPr>
          <w:p w14:paraId="560CBD4A">
            <w:pPr>
              <w:pStyle w:val="471"/>
              <w:spacing w:before="127" w:line="360" w:lineRule="auto"/>
              <w:ind w:left="115" w:right="105" w:firstLine="22"/>
              <w:rPr>
                <w:color w:val="000000" w:themeColor="text1"/>
                <w:sz w:val="24"/>
                <w:szCs w:val="24"/>
                <w:highlight w:val="none"/>
                <w:lang w:eastAsia="zh-CN"/>
                <w14:textFill>
                  <w14:solidFill>
                    <w14:schemeClr w14:val="tx1"/>
                  </w14:solidFill>
                </w14:textFill>
              </w:rPr>
            </w:pPr>
            <w:r>
              <w:rPr>
                <w:color w:val="000000" w:themeColor="text1"/>
                <w:spacing w:val="6"/>
                <w:sz w:val="24"/>
                <w:szCs w:val="24"/>
                <w:highlight w:val="none"/>
                <w:lang w:eastAsia="zh-CN"/>
                <w14:textFill>
                  <w14:solidFill>
                    <w14:schemeClr w14:val="tx1"/>
                  </w14:solidFill>
                </w14:textFill>
              </w:rPr>
              <w:t>图纸需要修改和补充的，应由咨询人取得发包人同</w:t>
            </w:r>
            <w:r>
              <w:rPr>
                <w:color w:val="000000" w:themeColor="text1"/>
                <w:spacing w:val="5"/>
                <w:sz w:val="24"/>
                <w:szCs w:val="24"/>
                <w:highlight w:val="none"/>
                <w:lang w:eastAsia="zh-CN"/>
                <w14:textFill>
                  <w14:solidFill>
                    <w14:schemeClr w14:val="tx1"/>
                  </w14:solidFill>
                </w14:textFill>
              </w:rPr>
              <w:t>意后，在该养护工程或养护工程相应部位施工前的</w:t>
            </w:r>
            <w:r>
              <w:rPr>
                <w:color w:val="000000" w:themeColor="text1"/>
                <w:spacing w:val="-109"/>
                <w:sz w:val="24"/>
                <w:szCs w:val="24"/>
                <w:highlight w:val="none"/>
                <w:lang w:eastAsia="zh-CN"/>
                <w14:textFill>
                  <w14:solidFill>
                    <w14:schemeClr w14:val="tx1"/>
                  </w14:solidFill>
                </w14:textFill>
              </w:rPr>
              <w:t xml:space="preserve"> </w:t>
            </w:r>
            <w:r>
              <w:rPr>
                <w:color w:val="000000" w:themeColor="text1"/>
                <w:spacing w:val="6"/>
                <w:sz w:val="24"/>
                <w:szCs w:val="24"/>
                <w:highlight w:val="none"/>
                <w:u w:val="single"/>
                <w:lang w:eastAsia="zh-CN"/>
                <w14:textFill>
                  <w14:solidFill>
                    <w14:schemeClr w14:val="tx1"/>
                  </w14:solidFill>
                </w14:textFill>
              </w:rPr>
              <w:t xml:space="preserve"> </w:t>
            </w:r>
            <w:r>
              <w:rPr>
                <w:rFonts w:hint="eastAsia"/>
                <w:color w:val="000000" w:themeColor="text1"/>
                <w:spacing w:val="6"/>
                <w:sz w:val="24"/>
                <w:szCs w:val="24"/>
                <w:highlight w:val="none"/>
                <w:u w:val="single"/>
                <w:lang w:eastAsia="zh-CN"/>
                <w14:textFill>
                  <w14:solidFill>
                    <w14:schemeClr w14:val="tx1"/>
                  </w14:solidFill>
                </w14:textFill>
              </w:rPr>
              <w:t>14</w:t>
            </w:r>
            <w:r>
              <w:rPr>
                <w:color w:val="000000" w:themeColor="text1"/>
                <w:spacing w:val="6"/>
                <w:sz w:val="24"/>
                <w:szCs w:val="24"/>
                <w:highlight w:val="none"/>
                <w:u w:val="single"/>
                <w:lang w:eastAsia="zh-CN"/>
                <w14:textFill>
                  <w14:solidFill>
                    <w14:schemeClr w14:val="tx1"/>
                  </w14:solidFill>
                </w14:textFill>
              </w:rPr>
              <w:t xml:space="preserve"> </w:t>
            </w:r>
            <w:r>
              <w:rPr>
                <w:color w:val="000000" w:themeColor="text1"/>
                <w:spacing w:val="5"/>
                <w:sz w:val="24"/>
                <w:szCs w:val="24"/>
                <w:highlight w:val="none"/>
                <w:lang w:eastAsia="zh-CN"/>
                <w14:textFill>
                  <w14:solidFill>
                    <w14:schemeClr w14:val="tx1"/>
                  </w14:solidFill>
                </w14:textFill>
              </w:rPr>
              <w:t>天内签发图纸修改</w:t>
            </w:r>
            <w:r>
              <w:rPr>
                <w:color w:val="000000" w:themeColor="text1"/>
                <w:spacing w:val="-3"/>
                <w:sz w:val="24"/>
                <w:szCs w:val="24"/>
                <w:highlight w:val="none"/>
                <w:lang w:eastAsia="zh-CN"/>
                <w14:textFill>
                  <w14:solidFill>
                    <w14:schemeClr w14:val="tx1"/>
                  </w14:solidFill>
                </w14:textFill>
              </w:rPr>
              <w:t>图给承包人</w:t>
            </w:r>
            <w:r>
              <w:rPr>
                <w:rFonts w:hint="eastAsia"/>
                <w:color w:val="000000" w:themeColor="text1"/>
                <w:spacing w:val="-3"/>
                <w:sz w:val="24"/>
                <w:szCs w:val="24"/>
                <w:highlight w:val="none"/>
                <w:lang w:eastAsia="zh-CN"/>
                <w14:textFill>
                  <w14:solidFill>
                    <w14:schemeClr w14:val="tx1"/>
                  </w14:solidFill>
                </w14:textFill>
              </w:rPr>
              <w:t>。</w:t>
            </w:r>
          </w:p>
        </w:tc>
      </w:tr>
      <w:tr w14:paraId="25530B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57" w:hRule="atLeast"/>
        </w:trPr>
        <w:tc>
          <w:tcPr>
            <w:tcW w:w="774" w:type="dxa"/>
            <w:shd w:val="clear" w:color="auto" w:fill="auto"/>
          </w:tcPr>
          <w:p w14:paraId="19850965">
            <w:pPr>
              <w:spacing w:line="360" w:lineRule="auto"/>
              <w:rPr>
                <w:rFonts w:ascii="Arial"/>
                <w:color w:val="000000" w:themeColor="text1"/>
                <w:sz w:val="24"/>
                <w:szCs w:val="24"/>
                <w:highlight w:val="none"/>
                <w14:textFill>
                  <w14:solidFill>
                    <w14:schemeClr w14:val="tx1"/>
                  </w14:solidFill>
                </w14:textFill>
              </w:rPr>
            </w:pPr>
          </w:p>
          <w:p w14:paraId="23646180">
            <w:pPr>
              <w:spacing w:line="360" w:lineRule="auto"/>
              <w:rPr>
                <w:rFonts w:ascii="Arial"/>
                <w:color w:val="000000" w:themeColor="text1"/>
                <w:sz w:val="24"/>
                <w:szCs w:val="24"/>
                <w:highlight w:val="none"/>
                <w14:textFill>
                  <w14:solidFill>
                    <w14:schemeClr w14:val="tx1"/>
                  </w14:solidFill>
                </w14:textFill>
              </w:rPr>
            </w:pPr>
          </w:p>
          <w:p w14:paraId="62C41F20">
            <w:pPr>
              <w:spacing w:before="69" w:line="360" w:lineRule="auto"/>
              <w:ind w:left="334"/>
              <w:rPr>
                <w:rFonts w:eastAsia="Times New Roman"/>
                <w:color w:val="000000" w:themeColor="text1"/>
                <w:sz w:val="24"/>
                <w:szCs w:val="24"/>
                <w:highlight w:val="none"/>
                <w14:textFill>
                  <w14:solidFill>
                    <w14:schemeClr w14:val="tx1"/>
                  </w14:solidFill>
                </w14:textFill>
              </w:rPr>
            </w:pPr>
            <w:r>
              <w:rPr>
                <w:rFonts w:eastAsia="Times New Roman"/>
                <w:color w:val="000000" w:themeColor="text1"/>
                <w:sz w:val="24"/>
                <w:szCs w:val="24"/>
                <w:highlight w:val="none"/>
                <w14:textFill>
                  <w14:solidFill>
                    <w14:schemeClr w14:val="tx1"/>
                  </w14:solidFill>
                </w14:textFill>
              </w:rPr>
              <w:t>6</w:t>
            </w:r>
          </w:p>
        </w:tc>
        <w:tc>
          <w:tcPr>
            <w:tcW w:w="1386" w:type="dxa"/>
            <w:shd w:val="clear" w:color="auto" w:fill="auto"/>
          </w:tcPr>
          <w:p w14:paraId="22AA8D4B">
            <w:pPr>
              <w:spacing w:line="360" w:lineRule="auto"/>
              <w:rPr>
                <w:rFonts w:ascii="Arial"/>
                <w:color w:val="000000" w:themeColor="text1"/>
                <w:sz w:val="24"/>
                <w:szCs w:val="24"/>
                <w:highlight w:val="none"/>
                <w14:textFill>
                  <w14:solidFill>
                    <w14:schemeClr w14:val="tx1"/>
                  </w14:solidFill>
                </w14:textFill>
              </w:rPr>
            </w:pPr>
          </w:p>
          <w:p w14:paraId="103745A9">
            <w:pPr>
              <w:spacing w:line="360" w:lineRule="auto"/>
              <w:rPr>
                <w:rFonts w:ascii="Arial"/>
                <w:color w:val="000000" w:themeColor="text1"/>
                <w:sz w:val="24"/>
                <w:szCs w:val="24"/>
                <w:highlight w:val="none"/>
                <w14:textFill>
                  <w14:solidFill>
                    <w14:schemeClr w14:val="tx1"/>
                  </w14:solidFill>
                </w14:textFill>
              </w:rPr>
            </w:pPr>
          </w:p>
          <w:p w14:paraId="0589A41A">
            <w:pPr>
              <w:spacing w:before="69" w:line="360" w:lineRule="auto"/>
              <w:ind w:left="453"/>
              <w:rPr>
                <w:rFonts w:eastAsia="Times New Roman"/>
                <w:color w:val="000000" w:themeColor="text1"/>
                <w:sz w:val="24"/>
                <w:szCs w:val="24"/>
                <w:highlight w:val="none"/>
                <w14:textFill>
                  <w14:solidFill>
                    <w14:schemeClr w14:val="tx1"/>
                  </w14:solidFill>
                </w14:textFill>
              </w:rPr>
            </w:pPr>
            <w:r>
              <w:rPr>
                <w:rFonts w:eastAsia="Times New Roman"/>
                <w:color w:val="000000" w:themeColor="text1"/>
                <w:spacing w:val="-1"/>
                <w:sz w:val="24"/>
                <w:szCs w:val="24"/>
                <w:highlight w:val="none"/>
                <w14:textFill>
                  <w14:solidFill>
                    <w14:schemeClr w14:val="tx1"/>
                  </w14:solidFill>
                </w14:textFill>
              </w:rPr>
              <w:t>4.6.3</w:t>
            </w:r>
          </w:p>
        </w:tc>
        <w:tc>
          <w:tcPr>
            <w:tcW w:w="7301" w:type="dxa"/>
            <w:shd w:val="clear" w:color="auto" w:fill="auto"/>
          </w:tcPr>
          <w:p w14:paraId="0960A8B2">
            <w:pPr>
              <w:pStyle w:val="471"/>
              <w:spacing w:before="126" w:line="360" w:lineRule="auto"/>
              <w:ind w:left="114" w:right="108"/>
              <w:rPr>
                <w:color w:val="000000" w:themeColor="text1"/>
                <w:sz w:val="24"/>
                <w:szCs w:val="24"/>
                <w:highlight w:val="none"/>
                <w:lang w:eastAsia="zh-CN"/>
                <w14:textFill>
                  <w14:solidFill>
                    <w14:schemeClr w14:val="tx1"/>
                  </w14:solidFill>
                </w14:textFill>
              </w:rPr>
            </w:pPr>
            <w:r>
              <w:rPr>
                <w:color w:val="000000" w:themeColor="text1"/>
                <w:spacing w:val="6"/>
                <w:sz w:val="24"/>
                <w:szCs w:val="24"/>
                <w:highlight w:val="none"/>
                <w:lang w:eastAsia="zh-CN"/>
                <w14:textFill>
                  <w14:solidFill>
                    <w14:schemeClr w14:val="tx1"/>
                  </w14:solidFill>
                </w14:textFill>
              </w:rPr>
              <w:t>承包人安排在养护作业场地的主要管理人员、技术骨干每月在</w:t>
            </w:r>
            <w:r>
              <w:rPr>
                <w:color w:val="000000" w:themeColor="text1"/>
                <w:spacing w:val="-1"/>
                <w:sz w:val="24"/>
                <w:szCs w:val="24"/>
                <w:highlight w:val="none"/>
                <w:lang w:eastAsia="zh-CN"/>
                <w14:textFill>
                  <w14:solidFill>
                    <w14:schemeClr w14:val="tx1"/>
                  </w14:solidFill>
                </w14:textFill>
              </w:rPr>
              <w:t>养护作业场地时间不得少于</w:t>
            </w:r>
            <w:r>
              <w:rPr>
                <w:color w:val="000000" w:themeColor="text1"/>
                <w:spacing w:val="-1"/>
                <w:sz w:val="24"/>
                <w:szCs w:val="24"/>
                <w:highlight w:val="none"/>
                <w:u w:val="single"/>
                <w:lang w:eastAsia="zh-CN"/>
                <w14:textFill>
                  <w14:solidFill>
                    <w14:schemeClr w14:val="tx1"/>
                  </w14:solidFill>
                </w14:textFill>
              </w:rPr>
              <w:t xml:space="preserve">  </w:t>
            </w:r>
            <w:r>
              <w:rPr>
                <w:rFonts w:hint="eastAsia"/>
                <w:color w:val="000000" w:themeColor="text1"/>
                <w:spacing w:val="-1"/>
                <w:sz w:val="24"/>
                <w:szCs w:val="24"/>
                <w:highlight w:val="none"/>
                <w:u w:val="single"/>
                <w:lang w:eastAsia="zh-CN"/>
                <w14:textFill>
                  <w14:solidFill>
                    <w14:schemeClr w14:val="tx1"/>
                  </w14:solidFill>
                </w14:textFill>
              </w:rPr>
              <w:t>22</w:t>
            </w:r>
            <w:r>
              <w:rPr>
                <w:color w:val="000000" w:themeColor="text1"/>
                <w:spacing w:val="-1"/>
                <w:sz w:val="24"/>
                <w:szCs w:val="24"/>
                <w:highlight w:val="none"/>
                <w:u w:val="single"/>
                <w:lang w:eastAsia="zh-CN"/>
                <w14:textFill>
                  <w14:solidFill>
                    <w14:schemeClr w14:val="tx1"/>
                  </w14:solidFill>
                </w14:textFill>
              </w:rPr>
              <w:t xml:space="preserve">  </w:t>
            </w:r>
            <w:r>
              <w:rPr>
                <w:color w:val="000000" w:themeColor="text1"/>
                <w:spacing w:val="-101"/>
                <w:sz w:val="24"/>
                <w:szCs w:val="24"/>
                <w:highlight w:val="none"/>
                <w:lang w:eastAsia="zh-CN"/>
                <w14:textFill>
                  <w14:solidFill>
                    <w14:schemeClr w14:val="tx1"/>
                  </w14:solidFill>
                </w14:textFill>
              </w:rPr>
              <w:t xml:space="preserve"> </w:t>
            </w:r>
            <w:r>
              <w:rPr>
                <w:color w:val="000000" w:themeColor="text1"/>
                <w:spacing w:val="-1"/>
                <w:sz w:val="24"/>
                <w:szCs w:val="24"/>
                <w:highlight w:val="none"/>
                <w:lang w:eastAsia="zh-CN"/>
                <w14:textFill>
                  <w14:solidFill>
                    <w14:schemeClr w14:val="tx1"/>
                  </w14:solidFill>
                </w14:textFill>
              </w:rPr>
              <w:t>天</w:t>
            </w:r>
          </w:p>
          <w:p w14:paraId="7880E549">
            <w:pPr>
              <w:pStyle w:val="471"/>
              <w:spacing w:line="360" w:lineRule="auto"/>
              <w:ind w:left="114"/>
              <w:rPr>
                <w:color w:val="000000" w:themeColor="text1"/>
                <w:sz w:val="24"/>
                <w:szCs w:val="24"/>
                <w:highlight w:val="none"/>
                <w:lang w:eastAsia="zh-CN"/>
                <w14:textFill>
                  <w14:solidFill>
                    <w14:schemeClr w14:val="tx1"/>
                  </w14:solidFill>
                </w14:textFill>
              </w:rPr>
            </w:pPr>
            <w:r>
              <w:rPr>
                <w:color w:val="000000" w:themeColor="text1"/>
                <w:spacing w:val="-1"/>
                <w:sz w:val="24"/>
                <w:szCs w:val="24"/>
                <w:highlight w:val="none"/>
                <w:lang w:eastAsia="zh-CN"/>
                <w14:textFill>
                  <w14:solidFill>
                    <w14:schemeClr w14:val="tx1"/>
                  </w14:solidFill>
                </w14:textFill>
              </w:rPr>
              <w:t>相关人员现场管理的其他要求：</w:t>
            </w:r>
            <w:r>
              <w:rPr>
                <w:rFonts w:hint="eastAsia"/>
                <w:color w:val="000000" w:themeColor="text1"/>
                <w:spacing w:val="-1"/>
                <w:sz w:val="24"/>
                <w:szCs w:val="24"/>
                <w:highlight w:val="none"/>
                <w:u w:val="single"/>
                <w:lang w:eastAsia="zh-CN"/>
                <w14:textFill>
                  <w14:solidFill>
                    <w14:schemeClr w14:val="tx1"/>
                  </w14:solidFill>
                </w14:textFill>
              </w:rPr>
              <w:t>项目经理、总工及主要管理人员，技术骨干离开工地必须向咨询人书面请假，并经项目建设管理机构相关负责人、咨询总负责人书面同意方能离开。</w:t>
            </w:r>
          </w:p>
        </w:tc>
      </w:tr>
      <w:tr w14:paraId="390394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5" w:hRule="atLeast"/>
        </w:trPr>
        <w:tc>
          <w:tcPr>
            <w:tcW w:w="774" w:type="dxa"/>
            <w:shd w:val="clear" w:color="auto" w:fill="auto"/>
          </w:tcPr>
          <w:p w14:paraId="1531EEEB">
            <w:pPr>
              <w:spacing w:line="360" w:lineRule="auto"/>
              <w:rPr>
                <w:rFonts w:ascii="Arial"/>
                <w:color w:val="000000" w:themeColor="text1"/>
                <w:sz w:val="24"/>
                <w:szCs w:val="24"/>
                <w:highlight w:val="none"/>
                <w14:textFill>
                  <w14:solidFill>
                    <w14:schemeClr w14:val="tx1"/>
                  </w14:solidFill>
                </w14:textFill>
              </w:rPr>
            </w:pPr>
          </w:p>
          <w:p w14:paraId="0D4AAA6E">
            <w:pPr>
              <w:spacing w:before="69" w:line="360" w:lineRule="auto"/>
              <w:ind w:left="332"/>
              <w:rPr>
                <w:rFonts w:eastAsia="Times New Roman"/>
                <w:color w:val="000000" w:themeColor="text1"/>
                <w:sz w:val="24"/>
                <w:szCs w:val="24"/>
                <w:highlight w:val="none"/>
                <w14:textFill>
                  <w14:solidFill>
                    <w14:schemeClr w14:val="tx1"/>
                  </w14:solidFill>
                </w14:textFill>
              </w:rPr>
            </w:pPr>
            <w:r>
              <w:rPr>
                <w:rFonts w:eastAsia="Times New Roman"/>
                <w:color w:val="000000" w:themeColor="text1"/>
                <w:sz w:val="24"/>
                <w:szCs w:val="24"/>
                <w:highlight w:val="none"/>
                <w14:textFill>
                  <w14:solidFill>
                    <w14:schemeClr w14:val="tx1"/>
                  </w14:solidFill>
                </w14:textFill>
              </w:rPr>
              <w:t>7</w:t>
            </w:r>
          </w:p>
        </w:tc>
        <w:tc>
          <w:tcPr>
            <w:tcW w:w="1386" w:type="dxa"/>
            <w:shd w:val="clear" w:color="auto" w:fill="auto"/>
          </w:tcPr>
          <w:p w14:paraId="5FCC9AB5">
            <w:pPr>
              <w:spacing w:line="360" w:lineRule="auto"/>
              <w:rPr>
                <w:rFonts w:ascii="Arial"/>
                <w:color w:val="000000" w:themeColor="text1"/>
                <w:sz w:val="24"/>
                <w:szCs w:val="24"/>
                <w:highlight w:val="none"/>
                <w14:textFill>
                  <w14:solidFill>
                    <w14:schemeClr w14:val="tx1"/>
                  </w14:solidFill>
                </w14:textFill>
              </w:rPr>
            </w:pPr>
          </w:p>
          <w:p w14:paraId="77468FF3">
            <w:pPr>
              <w:spacing w:before="69" w:line="360" w:lineRule="auto"/>
              <w:ind w:left="550"/>
              <w:rPr>
                <w:rFonts w:eastAsia="Times New Roman"/>
                <w:color w:val="000000" w:themeColor="text1"/>
                <w:sz w:val="24"/>
                <w:szCs w:val="24"/>
                <w:highlight w:val="none"/>
                <w14:textFill>
                  <w14:solidFill>
                    <w14:schemeClr w14:val="tx1"/>
                  </w14:solidFill>
                </w14:textFill>
              </w:rPr>
            </w:pPr>
            <w:r>
              <w:rPr>
                <w:rFonts w:eastAsia="Times New Roman"/>
                <w:color w:val="000000" w:themeColor="text1"/>
                <w:spacing w:val="-4"/>
                <w:sz w:val="24"/>
                <w:szCs w:val="24"/>
                <w:highlight w:val="none"/>
                <w14:textFill>
                  <w14:solidFill>
                    <w14:schemeClr w14:val="tx1"/>
                  </w14:solidFill>
                </w14:textFill>
              </w:rPr>
              <w:t>5.2</w:t>
            </w:r>
          </w:p>
        </w:tc>
        <w:tc>
          <w:tcPr>
            <w:tcW w:w="7301" w:type="dxa"/>
            <w:shd w:val="clear" w:color="auto" w:fill="auto"/>
          </w:tcPr>
          <w:p w14:paraId="000D18C2">
            <w:pPr>
              <w:pStyle w:val="471"/>
              <w:spacing w:before="125" w:line="360" w:lineRule="auto"/>
              <w:ind w:left="118"/>
              <w:rPr>
                <w:color w:val="000000" w:themeColor="text1"/>
                <w:sz w:val="24"/>
                <w:szCs w:val="24"/>
                <w:highlight w:val="none"/>
                <w:lang w:eastAsia="zh-CN"/>
                <w14:textFill>
                  <w14:solidFill>
                    <w14:schemeClr w14:val="tx1"/>
                  </w14:solidFill>
                </w14:textFill>
              </w:rPr>
            </w:pPr>
            <w:r>
              <w:rPr>
                <w:color w:val="000000" w:themeColor="text1"/>
                <w:spacing w:val="-1"/>
                <w:sz w:val="24"/>
                <w:szCs w:val="24"/>
                <w:highlight w:val="none"/>
                <w:lang w:eastAsia="zh-CN"/>
                <w14:textFill>
                  <w14:solidFill>
                    <w14:schemeClr w14:val="tx1"/>
                  </w14:solidFill>
                </w14:textFill>
              </w:rPr>
              <w:t>发包人是否提供材料或工程设备：</w:t>
            </w:r>
            <w:r>
              <w:rPr>
                <w:color w:val="000000" w:themeColor="text1"/>
                <w:spacing w:val="-1"/>
                <w:sz w:val="24"/>
                <w:szCs w:val="24"/>
                <w:highlight w:val="none"/>
                <w:u w:val="single"/>
                <w:lang w:eastAsia="zh-CN"/>
                <w14:textFill>
                  <w14:solidFill>
                    <w14:schemeClr w14:val="tx1"/>
                  </w14:solidFill>
                </w14:textFill>
              </w:rPr>
              <w:t xml:space="preserve">  否</w:t>
            </w:r>
            <w:r>
              <w:rPr>
                <w:color w:val="000000" w:themeColor="text1"/>
                <w:spacing w:val="2"/>
                <w:sz w:val="24"/>
                <w:szCs w:val="24"/>
                <w:highlight w:val="none"/>
                <w:u w:val="single"/>
                <w:lang w:eastAsia="zh-CN"/>
                <w14:textFill>
                  <w14:solidFill>
                    <w14:schemeClr w14:val="tx1"/>
                  </w14:solidFill>
                </w14:textFill>
              </w:rPr>
              <w:t xml:space="preserve">  </w:t>
            </w:r>
          </w:p>
          <w:p w14:paraId="595F5910">
            <w:pPr>
              <w:pStyle w:val="471"/>
              <w:spacing w:before="116" w:line="360" w:lineRule="auto"/>
              <w:ind w:left="118"/>
              <w:rPr>
                <w:color w:val="000000" w:themeColor="text1"/>
                <w:sz w:val="24"/>
                <w:szCs w:val="24"/>
                <w:highlight w:val="none"/>
                <w:lang w:eastAsia="zh-CN"/>
                <w14:textFill>
                  <w14:solidFill>
                    <w14:schemeClr w14:val="tx1"/>
                  </w14:solidFill>
                </w14:textFill>
              </w:rPr>
            </w:pPr>
            <w:r>
              <w:rPr>
                <w:color w:val="000000" w:themeColor="text1"/>
                <w:spacing w:val="-2"/>
                <w:sz w:val="24"/>
                <w:szCs w:val="24"/>
                <w:highlight w:val="none"/>
                <w:lang w:eastAsia="zh-CN"/>
                <w14:textFill>
                  <w14:solidFill>
                    <w14:schemeClr w14:val="tx1"/>
                  </w14:solidFill>
                </w14:textFill>
              </w:rPr>
              <w:t>如发包人负责提供部分材料或工程设备，相关约定如下：</w:t>
            </w:r>
            <w:r>
              <w:rPr>
                <w:color w:val="000000" w:themeColor="text1"/>
                <w:spacing w:val="-2"/>
                <w:sz w:val="24"/>
                <w:szCs w:val="24"/>
                <w:highlight w:val="none"/>
                <w:u w:val="single"/>
                <w:lang w:eastAsia="zh-CN"/>
                <w14:textFill>
                  <w14:solidFill>
                    <w14:schemeClr w14:val="tx1"/>
                  </w14:solidFill>
                </w14:textFill>
              </w:rPr>
              <w:t xml:space="preserve"> </w:t>
            </w:r>
            <w:r>
              <w:rPr>
                <w:rFonts w:hint="eastAsia"/>
                <w:color w:val="000000" w:themeColor="text1"/>
                <w:spacing w:val="-2"/>
                <w:sz w:val="24"/>
                <w:szCs w:val="24"/>
                <w:highlight w:val="none"/>
                <w:u w:val="single"/>
                <w:lang w:eastAsia="zh-CN"/>
                <w14:textFill>
                  <w14:solidFill>
                    <w14:schemeClr w14:val="tx1"/>
                  </w14:solidFill>
                </w14:textFill>
              </w:rPr>
              <w:t>否</w:t>
            </w:r>
            <w:r>
              <w:rPr>
                <w:color w:val="000000" w:themeColor="text1"/>
                <w:spacing w:val="-3"/>
                <w:sz w:val="24"/>
                <w:szCs w:val="24"/>
                <w:highlight w:val="none"/>
                <w:u w:val="single"/>
                <w:lang w:eastAsia="zh-CN"/>
                <w14:textFill>
                  <w14:solidFill>
                    <w14:schemeClr w14:val="tx1"/>
                  </w14:solidFill>
                </w14:textFill>
              </w:rPr>
              <w:t xml:space="preserve">  </w:t>
            </w:r>
          </w:p>
        </w:tc>
      </w:tr>
      <w:tr w14:paraId="690CAF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6" w:hRule="atLeast"/>
        </w:trPr>
        <w:tc>
          <w:tcPr>
            <w:tcW w:w="774" w:type="dxa"/>
            <w:shd w:val="clear" w:color="auto" w:fill="auto"/>
          </w:tcPr>
          <w:p w14:paraId="61D7C5D4">
            <w:pPr>
              <w:spacing w:line="360" w:lineRule="auto"/>
              <w:rPr>
                <w:rFonts w:ascii="Arial"/>
                <w:color w:val="000000" w:themeColor="text1"/>
                <w:sz w:val="24"/>
                <w:szCs w:val="24"/>
                <w:highlight w:val="none"/>
                <w14:textFill>
                  <w14:solidFill>
                    <w14:schemeClr w14:val="tx1"/>
                  </w14:solidFill>
                </w14:textFill>
              </w:rPr>
            </w:pPr>
          </w:p>
          <w:p w14:paraId="74374243">
            <w:pPr>
              <w:spacing w:line="360" w:lineRule="auto"/>
              <w:rPr>
                <w:rFonts w:ascii="Arial"/>
                <w:color w:val="000000" w:themeColor="text1"/>
                <w:sz w:val="24"/>
                <w:szCs w:val="24"/>
                <w:highlight w:val="none"/>
                <w14:textFill>
                  <w14:solidFill>
                    <w14:schemeClr w14:val="tx1"/>
                  </w14:solidFill>
                </w14:textFill>
              </w:rPr>
            </w:pPr>
          </w:p>
          <w:p w14:paraId="4EC1EBED">
            <w:pPr>
              <w:spacing w:before="69" w:line="360" w:lineRule="auto"/>
              <w:ind w:left="338"/>
              <w:rPr>
                <w:rFonts w:eastAsia="Times New Roman"/>
                <w:color w:val="000000" w:themeColor="text1"/>
                <w:sz w:val="24"/>
                <w:szCs w:val="24"/>
                <w:highlight w:val="none"/>
                <w14:textFill>
                  <w14:solidFill>
                    <w14:schemeClr w14:val="tx1"/>
                  </w14:solidFill>
                </w14:textFill>
              </w:rPr>
            </w:pPr>
            <w:r>
              <w:rPr>
                <w:rFonts w:eastAsia="Times New Roman"/>
                <w:color w:val="000000" w:themeColor="text1"/>
                <w:sz w:val="24"/>
                <w:szCs w:val="24"/>
                <w:highlight w:val="none"/>
                <w14:textFill>
                  <w14:solidFill>
                    <w14:schemeClr w14:val="tx1"/>
                  </w14:solidFill>
                </w14:textFill>
              </w:rPr>
              <w:t>8</w:t>
            </w:r>
          </w:p>
        </w:tc>
        <w:tc>
          <w:tcPr>
            <w:tcW w:w="1386" w:type="dxa"/>
            <w:shd w:val="clear" w:color="auto" w:fill="auto"/>
          </w:tcPr>
          <w:p w14:paraId="4814BAAE">
            <w:pPr>
              <w:spacing w:line="360" w:lineRule="auto"/>
              <w:rPr>
                <w:rFonts w:ascii="Arial"/>
                <w:color w:val="000000" w:themeColor="text1"/>
                <w:sz w:val="24"/>
                <w:szCs w:val="24"/>
                <w:highlight w:val="none"/>
                <w14:textFill>
                  <w14:solidFill>
                    <w14:schemeClr w14:val="tx1"/>
                  </w14:solidFill>
                </w14:textFill>
              </w:rPr>
            </w:pPr>
          </w:p>
          <w:p w14:paraId="60EBDA88">
            <w:pPr>
              <w:spacing w:line="360" w:lineRule="auto"/>
              <w:rPr>
                <w:rFonts w:ascii="Arial"/>
                <w:color w:val="000000" w:themeColor="text1"/>
                <w:sz w:val="24"/>
                <w:szCs w:val="24"/>
                <w:highlight w:val="none"/>
                <w14:textFill>
                  <w14:solidFill>
                    <w14:schemeClr w14:val="tx1"/>
                  </w14:solidFill>
                </w14:textFill>
              </w:rPr>
            </w:pPr>
          </w:p>
          <w:p w14:paraId="730EE42E">
            <w:pPr>
              <w:spacing w:before="69" w:line="360" w:lineRule="auto"/>
              <w:ind w:left="548"/>
              <w:rPr>
                <w:rFonts w:eastAsia="Times New Roman"/>
                <w:color w:val="000000" w:themeColor="text1"/>
                <w:sz w:val="24"/>
                <w:szCs w:val="24"/>
                <w:highlight w:val="none"/>
                <w14:textFill>
                  <w14:solidFill>
                    <w14:schemeClr w14:val="tx1"/>
                  </w14:solidFill>
                </w14:textFill>
              </w:rPr>
            </w:pPr>
            <w:r>
              <w:rPr>
                <w:rFonts w:eastAsia="Times New Roman"/>
                <w:color w:val="000000" w:themeColor="text1"/>
                <w:spacing w:val="-4"/>
                <w:sz w:val="24"/>
                <w:szCs w:val="24"/>
                <w:highlight w:val="none"/>
                <w14:textFill>
                  <w14:solidFill>
                    <w14:schemeClr w14:val="tx1"/>
                  </w14:solidFill>
                </w14:textFill>
              </w:rPr>
              <w:t>6.2</w:t>
            </w:r>
          </w:p>
        </w:tc>
        <w:tc>
          <w:tcPr>
            <w:tcW w:w="7301" w:type="dxa"/>
            <w:shd w:val="clear" w:color="auto" w:fill="auto"/>
          </w:tcPr>
          <w:p w14:paraId="08B115AF">
            <w:pPr>
              <w:pStyle w:val="471"/>
              <w:spacing w:before="126" w:line="360" w:lineRule="auto"/>
              <w:ind w:left="118"/>
              <w:rPr>
                <w:color w:val="000000" w:themeColor="text1"/>
                <w:sz w:val="24"/>
                <w:szCs w:val="24"/>
                <w:highlight w:val="none"/>
                <w:lang w:eastAsia="zh-CN"/>
                <w14:textFill>
                  <w14:solidFill>
                    <w14:schemeClr w14:val="tx1"/>
                  </w14:solidFill>
                </w14:textFill>
              </w:rPr>
            </w:pPr>
            <w:r>
              <w:rPr>
                <w:color w:val="000000" w:themeColor="text1"/>
                <w:spacing w:val="-1"/>
                <w:sz w:val="24"/>
                <w:szCs w:val="24"/>
                <w:highlight w:val="none"/>
                <w:lang w:eastAsia="zh-CN"/>
                <w14:textFill>
                  <w14:solidFill>
                    <w14:schemeClr w14:val="tx1"/>
                  </w14:solidFill>
                </w14:textFill>
              </w:rPr>
              <w:t>发包人是否提供养护作业设备和临时设施：</w:t>
            </w:r>
            <w:r>
              <w:rPr>
                <w:color w:val="000000" w:themeColor="text1"/>
                <w:spacing w:val="-1"/>
                <w:sz w:val="24"/>
                <w:szCs w:val="24"/>
                <w:highlight w:val="none"/>
                <w:u w:val="single"/>
                <w:lang w:eastAsia="zh-CN"/>
                <w14:textFill>
                  <w14:solidFill>
                    <w14:schemeClr w14:val="tx1"/>
                  </w14:solidFill>
                </w14:textFill>
              </w:rPr>
              <w:t xml:space="preserve"> 否</w:t>
            </w:r>
            <w:r>
              <w:rPr>
                <w:color w:val="000000" w:themeColor="text1"/>
                <w:spacing w:val="4"/>
                <w:sz w:val="24"/>
                <w:szCs w:val="24"/>
                <w:highlight w:val="none"/>
                <w:u w:val="single"/>
                <w:lang w:eastAsia="zh-CN"/>
                <w14:textFill>
                  <w14:solidFill>
                    <w14:schemeClr w14:val="tx1"/>
                  </w14:solidFill>
                </w14:textFill>
              </w:rPr>
              <w:t xml:space="preserve">  </w:t>
            </w:r>
          </w:p>
          <w:p w14:paraId="6519340D">
            <w:pPr>
              <w:pStyle w:val="471"/>
              <w:spacing w:before="114" w:line="360" w:lineRule="auto"/>
              <w:ind w:left="121" w:right="105" w:hanging="3"/>
              <w:rPr>
                <w:color w:val="000000" w:themeColor="text1"/>
                <w:sz w:val="24"/>
                <w:szCs w:val="24"/>
                <w:highlight w:val="none"/>
                <w:lang w:eastAsia="zh-CN"/>
                <w14:textFill>
                  <w14:solidFill>
                    <w14:schemeClr w14:val="tx1"/>
                  </w14:solidFill>
                </w14:textFill>
              </w:rPr>
            </w:pPr>
            <w:r>
              <w:rPr>
                <w:color w:val="000000" w:themeColor="text1"/>
                <w:spacing w:val="6"/>
                <w:sz w:val="24"/>
                <w:szCs w:val="24"/>
                <w:highlight w:val="none"/>
                <w:lang w:eastAsia="zh-CN"/>
                <w14:textFill>
                  <w14:solidFill>
                    <w14:schemeClr w14:val="tx1"/>
                  </w14:solidFill>
                </w14:textFill>
              </w:rPr>
              <w:t>如发包人负责提供部分养护作业设备和临时设施，相关约定如</w:t>
            </w:r>
            <w:r>
              <w:rPr>
                <w:color w:val="000000" w:themeColor="text1"/>
                <w:spacing w:val="-9"/>
                <w:sz w:val="24"/>
                <w:szCs w:val="24"/>
                <w:highlight w:val="none"/>
                <w:lang w:eastAsia="zh-CN"/>
                <w14:textFill>
                  <w14:solidFill>
                    <w14:schemeClr w14:val="tx1"/>
                  </w14:solidFill>
                </w14:textFill>
              </w:rPr>
              <w:t>下：</w:t>
            </w:r>
            <w:r>
              <w:rPr>
                <w:color w:val="000000" w:themeColor="text1"/>
                <w:sz w:val="24"/>
                <w:szCs w:val="24"/>
                <w:highlight w:val="none"/>
                <w:u w:val="single"/>
                <w:lang w:eastAsia="zh-CN"/>
                <w14:textFill>
                  <w14:solidFill>
                    <w14:schemeClr w14:val="tx1"/>
                  </w14:solidFill>
                </w14:textFill>
              </w:rPr>
              <w:t xml:space="preserve"> </w:t>
            </w:r>
            <w:r>
              <w:rPr>
                <w:rFonts w:hint="eastAsia"/>
                <w:color w:val="000000" w:themeColor="text1"/>
                <w:sz w:val="24"/>
                <w:szCs w:val="24"/>
                <w:highlight w:val="none"/>
                <w:u w:val="single"/>
                <w:lang w:eastAsia="zh-CN"/>
                <w14:textFill>
                  <w14:solidFill>
                    <w14:schemeClr w14:val="tx1"/>
                  </w14:solidFill>
                </w14:textFill>
              </w:rPr>
              <w:t>/</w:t>
            </w:r>
            <w:r>
              <w:rPr>
                <w:color w:val="000000" w:themeColor="text1"/>
                <w:sz w:val="24"/>
                <w:szCs w:val="24"/>
                <w:highlight w:val="none"/>
                <w:u w:val="single"/>
                <w:lang w:eastAsia="zh-CN"/>
                <w14:textFill>
                  <w14:solidFill>
                    <w14:schemeClr w14:val="tx1"/>
                  </w14:solidFill>
                </w14:textFill>
              </w:rPr>
              <w:t xml:space="preserve"> </w:t>
            </w:r>
          </w:p>
        </w:tc>
      </w:tr>
      <w:tr w14:paraId="3337D1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74" w:hRule="atLeast"/>
        </w:trPr>
        <w:tc>
          <w:tcPr>
            <w:tcW w:w="774" w:type="dxa"/>
            <w:shd w:val="clear" w:color="auto" w:fill="auto"/>
          </w:tcPr>
          <w:p w14:paraId="6DBD51C9">
            <w:pPr>
              <w:spacing w:line="360" w:lineRule="auto"/>
              <w:rPr>
                <w:rFonts w:ascii="Arial"/>
                <w:color w:val="000000" w:themeColor="text1"/>
                <w:sz w:val="24"/>
                <w:szCs w:val="24"/>
                <w:highlight w:val="none"/>
                <w14:textFill>
                  <w14:solidFill>
                    <w14:schemeClr w14:val="tx1"/>
                  </w14:solidFill>
                </w14:textFill>
              </w:rPr>
            </w:pPr>
          </w:p>
          <w:p w14:paraId="26B0347D">
            <w:pPr>
              <w:spacing w:line="360" w:lineRule="auto"/>
              <w:rPr>
                <w:rFonts w:ascii="Arial"/>
                <w:color w:val="000000" w:themeColor="text1"/>
                <w:sz w:val="24"/>
                <w:szCs w:val="24"/>
                <w:highlight w:val="none"/>
                <w14:textFill>
                  <w14:solidFill>
                    <w14:schemeClr w14:val="tx1"/>
                  </w14:solidFill>
                </w14:textFill>
              </w:rPr>
            </w:pPr>
          </w:p>
          <w:p w14:paraId="0F11DAA6">
            <w:pPr>
              <w:spacing w:before="68" w:line="360" w:lineRule="auto"/>
              <w:ind w:left="333"/>
              <w:rPr>
                <w:rFonts w:eastAsia="Times New Roman"/>
                <w:color w:val="000000" w:themeColor="text1"/>
                <w:sz w:val="24"/>
                <w:szCs w:val="24"/>
                <w:highlight w:val="none"/>
                <w14:textFill>
                  <w14:solidFill>
                    <w14:schemeClr w14:val="tx1"/>
                  </w14:solidFill>
                </w14:textFill>
              </w:rPr>
            </w:pPr>
            <w:r>
              <w:rPr>
                <w:rFonts w:eastAsia="Times New Roman"/>
                <w:color w:val="000000" w:themeColor="text1"/>
                <w:sz w:val="24"/>
                <w:szCs w:val="24"/>
                <w:highlight w:val="none"/>
                <w14:textFill>
                  <w14:solidFill>
                    <w14:schemeClr w14:val="tx1"/>
                  </w14:solidFill>
                </w14:textFill>
              </w:rPr>
              <w:t>9</w:t>
            </w:r>
          </w:p>
        </w:tc>
        <w:tc>
          <w:tcPr>
            <w:tcW w:w="1386" w:type="dxa"/>
            <w:shd w:val="clear" w:color="auto" w:fill="auto"/>
          </w:tcPr>
          <w:p w14:paraId="4F8428B0">
            <w:pPr>
              <w:spacing w:line="360" w:lineRule="auto"/>
              <w:rPr>
                <w:rFonts w:ascii="Arial"/>
                <w:color w:val="000000" w:themeColor="text1"/>
                <w:sz w:val="24"/>
                <w:szCs w:val="24"/>
                <w:highlight w:val="none"/>
                <w14:textFill>
                  <w14:solidFill>
                    <w14:schemeClr w14:val="tx1"/>
                  </w14:solidFill>
                </w14:textFill>
              </w:rPr>
            </w:pPr>
          </w:p>
          <w:p w14:paraId="4B17E367">
            <w:pPr>
              <w:spacing w:line="360" w:lineRule="auto"/>
              <w:rPr>
                <w:rFonts w:ascii="Arial"/>
                <w:color w:val="000000" w:themeColor="text1"/>
                <w:sz w:val="24"/>
                <w:szCs w:val="24"/>
                <w:highlight w:val="none"/>
                <w14:textFill>
                  <w14:solidFill>
                    <w14:schemeClr w14:val="tx1"/>
                  </w14:solidFill>
                </w14:textFill>
              </w:rPr>
            </w:pPr>
          </w:p>
          <w:p w14:paraId="6A18AF92">
            <w:pPr>
              <w:spacing w:before="68" w:line="360" w:lineRule="auto"/>
              <w:ind w:left="464"/>
              <w:rPr>
                <w:rFonts w:eastAsia="Times New Roman"/>
                <w:color w:val="000000" w:themeColor="text1"/>
                <w:sz w:val="24"/>
                <w:szCs w:val="24"/>
                <w:highlight w:val="none"/>
                <w14:textFill>
                  <w14:solidFill>
                    <w14:schemeClr w14:val="tx1"/>
                  </w14:solidFill>
                </w14:textFill>
              </w:rPr>
            </w:pPr>
            <w:r>
              <w:rPr>
                <w:rFonts w:eastAsia="Times New Roman"/>
                <w:color w:val="000000" w:themeColor="text1"/>
                <w:spacing w:val="-3"/>
                <w:sz w:val="24"/>
                <w:szCs w:val="24"/>
                <w:highlight w:val="none"/>
                <w14:textFill>
                  <w14:solidFill>
                    <w14:schemeClr w14:val="tx1"/>
                  </w14:solidFill>
                </w14:textFill>
              </w:rPr>
              <w:t>8.1.1</w:t>
            </w:r>
          </w:p>
        </w:tc>
        <w:tc>
          <w:tcPr>
            <w:tcW w:w="7301" w:type="dxa"/>
            <w:shd w:val="clear" w:color="auto" w:fill="auto"/>
          </w:tcPr>
          <w:p w14:paraId="25A74E0A">
            <w:pPr>
              <w:pStyle w:val="471"/>
              <w:spacing w:before="128" w:line="360" w:lineRule="auto"/>
              <w:ind w:left="130" w:right="105" w:hanging="12"/>
              <w:rPr>
                <w:color w:val="000000" w:themeColor="text1"/>
                <w:sz w:val="24"/>
                <w:szCs w:val="24"/>
                <w:highlight w:val="none"/>
                <w:lang w:eastAsia="zh-CN"/>
                <w14:textFill>
                  <w14:solidFill>
                    <w14:schemeClr w14:val="tx1"/>
                  </w14:solidFill>
                </w14:textFill>
              </w:rPr>
            </w:pPr>
            <w:r>
              <w:rPr>
                <w:color w:val="000000" w:themeColor="text1"/>
                <w:spacing w:val="16"/>
                <w:sz w:val="24"/>
                <w:szCs w:val="24"/>
                <w:highlight w:val="none"/>
                <w:lang w:eastAsia="zh-CN"/>
                <w14:textFill>
                  <w14:solidFill>
                    <w14:schemeClr w14:val="tx1"/>
                  </w14:solidFill>
                </w14:textFill>
              </w:rPr>
              <w:t>发包人提供测量基准点、基准线和水准点及其书面资料的期</w:t>
            </w:r>
            <w:r>
              <w:rPr>
                <w:color w:val="000000" w:themeColor="text1"/>
                <w:spacing w:val="-14"/>
                <w:sz w:val="24"/>
                <w:szCs w:val="24"/>
                <w:highlight w:val="none"/>
                <w:lang w:eastAsia="zh-CN"/>
                <w14:textFill>
                  <w14:solidFill>
                    <w14:schemeClr w14:val="tx1"/>
                  </w14:solidFill>
                </w14:textFill>
              </w:rPr>
              <w:t>限：</w:t>
            </w:r>
            <w:r>
              <w:rPr>
                <w:rFonts w:hint="eastAsia"/>
                <w:color w:val="000000" w:themeColor="text1"/>
                <w:sz w:val="24"/>
                <w:szCs w:val="24"/>
                <w:highlight w:val="none"/>
                <w:u w:val="single"/>
                <w:lang w:eastAsia="zh-CN"/>
                <w14:textFill>
                  <w14:solidFill>
                    <w14:schemeClr w14:val="tx1"/>
                  </w14:solidFill>
                </w14:textFill>
              </w:rPr>
              <w:t>承</w:t>
            </w:r>
            <w:r>
              <w:rPr>
                <w:rFonts w:hint="eastAsia"/>
                <w:color w:val="000000" w:themeColor="text1"/>
                <w:spacing w:val="-1"/>
                <w:sz w:val="24"/>
                <w:szCs w:val="24"/>
                <w:highlight w:val="none"/>
                <w:u w:val="single"/>
                <w:lang w:eastAsia="zh-CN"/>
                <w14:textFill>
                  <w14:solidFill>
                    <w14:schemeClr w14:val="tx1"/>
                  </w14:solidFill>
                </w14:textFill>
              </w:rPr>
              <w:t>包人接到开工通知书后</w:t>
            </w:r>
            <w:r>
              <w:rPr>
                <w:color w:val="000000" w:themeColor="text1"/>
                <w:spacing w:val="-1"/>
                <w:sz w:val="24"/>
                <w:szCs w:val="24"/>
                <w:highlight w:val="none"/>
                <w:u w:val="single"/>
                <w:lang w:eastAsia="zh-CN"/>
                <w14:textFill>
                  <w14:solidFill>
                    <w14:schemeClr w14:val="tx1"/>
                  </w14:solidFill>
                </w14:textFill>
              </w:rPr>
              <w:t>14</w:t>
            </w:r>
            <w:r>
              <w:rPr>
                <w:rFonts w:hint="eastAsia"/>
                <w:color w:val="000000" w:themeColor="text1"/>
                <w:spacing w:val="-1"/>
                <w:sz w:val="24"/>
                <w:szCs w:val="24"/>
                <w:highlight w:val="none"/>
                <w:u w:val="single"/>
                <w:lang w:eastAsia="zh-CN"/>
                <w14:textFill>
                  <w14:solidFill>
                    <w14:schemeClr w14:val="tx1"/>
                  </w14:solidFill>
                </w14:textFill>
              </w:rPr>
              <w:t>天内</w:t>
            </w:r>
            <w:r>
              <w:rPr>
                <w:color w:val="000000" w:themeColor="text1"/>
                <w:sz w:val="24"/>
                <w:szCs w:val="24"/>
                <w:highlight w:val="none"/>
                <w:u w:val="single"/>
                <w:lang w:eastAsia="zh-CN"/>
                <w14:textFill>
                  <w14:solidFill>
                    <w14:schemeClr w14:val="tx1"/>
                  </w14:solidFill>
                </w14:textFill>
              </w:rPr>
              <w:t xml:space="preserve"> </w:t>
            </w:r>
          </w:p>
          <w:p w14:paraId="41AB294A">
            <w:pPr>
              <w:pStyle w:val="471"/>
              <w:spacing w:line="360" w:lineRule="auto"/>
              <w:ind w:left="114"/>
              <w:rPr>
                <w:color w:val="000000" w:themeColor="text1"/>
                <w:sz w:val="24"/>
                <w:szCs w:val="24"/>
                <w:highlight w:val="none"/>
                <w:lang w:eastAsia="zh-CN"/>
                <w14:textFill>
                  <w14:solidFill>
                    <w14:schemeClr w14:val="tx1"/>
                  </w14:solidFill>
                </w14:textFill>
              </w:rPr>
            </w:pPr>
            <w:r>
              <w:rPr>
                <w:color w:val="000000" w:themeColor="text1"/>
                <w:spacing w:val="-2"/>
                <w:sz w:val="24"/>
                <w:szCs w:val="24"/>
                <w:highlight w:val="none"/>
                <w:lang w:eastAsia="zh-CN"/>
                <w14:textFill>
                  <w14:solidFill>
                    <w14:schemeClr w14:val="tx1"/>
                  </w14:solidFill>
                </w14:textFill>
              </w:rPr>
              <w:t>承包人将施工控制网资料报送咨询人审批的期限：</w:t>
            </w:r>
            <w:r>
              <w:rPr>
                <w:color w:val="000000" w:themeColor="text1"/>
                <w:spacing w:val="-2"/>
                <w:sz w:val="24"/>
                <w:szCs w:val="24"/>
                <w:highlight w:val="none"/>
                <w:u w:val="single"/>
                <w:lang w:eastAsia="zh-CN"/>
                <w14:textFill>
                  <w14:solidFill>
                    <w14:schemeClr w14:val="tx1"/>
                  </w14:solidFill>
                </w14:textFill>
              </w:rPr>
              <w:t xml:space="preserve"> </w:t>
            </w:r>
            <w:r>
              <w:rPr>
                <w:rStyle w:val="465"/>
                <w:rFonts w:hint="eastAsia"/>
                <w:color w:val="000000" w:themeColor="text1"/>
                <w:highlight w:val="none"/>
                <w:lang w:eastAsia="zh-CN"/>
                <w14:textFill>
                  <w14:solidFill>
                    <w14:schemeClr w14:val="tx1"/>
                  </w14:solidFill>
                </w14:textFill>
              </w:rPr>
              <w:t>发出开工通知后</w:t>
            </w:r>
            <w:r>
              <w:rPr>
                <w:rStyle w:val="465"/>
                <w:color w:val="000000" w:themeColor="text1"/>
                <w:highlight w:val="none"/>
                <w:lang w:eastAsia="zh-CN"/>
                <w14:textFill>
                  <w14:solidFill>
                    <w14:schemeClr w14:val="tx1"/>
                  </w14:solidFill>
                </w14:textFill>
              </w:rPr>
              <w:t>7</w:t>
            </w:r>
            <w:r>
              <w:rPr>
                <w:rStyle w:val="465"/>
                <w:rFonts w:hint="eastAsia"/>
                <w:color w:val="000000" w:themeColor="text1"/>
                <w:highlight w:val="none"/>
                <w:lang w:eastAsia="zh-CN"/>
                <w14:textFill>
                  <w14:solidFill>
                    <w14:schemeClr w14:val="tx1"/>
                  </w14:solidFill>
                </w14:textFill>
              </w:rPr>
              <w:t>天</w:t>
            </w:r>
          </w:p>
        </w:tc>
      </w:tr>
      <w:tr w14:paraId="1B2385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1" w:hRule="atLeast"/>
        </w:trPr>
        <w:tc>
          <w:tcPr>
            <w:tcW w:w="774" w:type="dxa"/>
            <w:shd w:val="clear" w:color="auto" w:fill="auto"/>
          </w:tcPr>
          <w:p w14:paraId="0F50861E">
            <w:pPr>
              <w:spacing w:before="186" w:line="360" w:lineRule="auto"/>
              <w:ind w:left="291"/>
              <w:rPr>
                <w:rFonts w:eastAsia="Times New Roman"/>
                <w:color w:val="000000" w:themeColor="text1"/>
                <w:sz w:val="24"/>
                <w:szCs w:val="24"/>
                <w:highlight w:val="none"/>
                <w14:textFill>
                  <w14:solidFill>
                    <w14:schemeClr w14:val="tx1"/>
                  </w14:solidFill>
                </w14:textFill>
              </w:rPr>
            </w:pPr>
            <w:r>
              <w:rPr>
                <w:rFonts w:eastAsia="Times New Roman"/>
                <w:color w:val="000000" w:themeColor="text1"/>
                <w:spacing w:val="-15"/>
                <w:sz w:val="24"/>
                <w:szCs w:val="24"/>
                <w:highlight w:val="none"/>
                <w14:textFill>
                  <w14:solidFill>
                    <w14:schemeClr w14:val="tx1"/>
                  </w14:solidFill>
                </w14:textFill>
              </w:rPr>
              <w:t>10</w:t>
            </w:r>
          </w:p>
        </w:tc>
        <w:tc>
          <w:tcPr>
            <w:tcW w:w="1386" w:type="dxa"/>
            <w:shd w:val="clear" w:color="auto" w:fill="auto"/>
          </w:tcPr>
          <w:p w14:paraId="24E7EA37">
            <w:pPr>
              <w:spacing w:before="186" w:line="360" w:lineRule="auto"/>
              <w:ind w:left="459"/>
              <w:rPr>
                <w:rFonts w:eastAsia="Times New Roman"/>
                <w:color w:val="000000" w:themeColor="text1"/>
                <w:sz w:val="24"/>
                <w:szCs w:val="24"/>
                <w:highlight w:val="none"/>
                <w14:textFill>
                  <w14:solidFill>
                    <w14:schemeClr w14:val="tx1"/>
                  </w14:solidFill>
                </w14:textFill>
              </w:rPr>
            </w:pPr>
            <w:r>
              <w:rPr>
                <w:rFonts w:eastAsia="Times New Roman"/>
                <w:color w:val="000000" w:themeColor="text1"/>
                <w:spacing w:val="-2"/>
                <w:sz w:val="24"/>
                <w:szCs w:val="24"/>
                <w:highlight w:val="none"/>
                <w14:textFill>
                  <w14:solidFill>
                    <w14:schemeClr w14:val="tx1"/>
                  </w14:solidFill>
                </w14:textFill>
              </w:rPr>
              <w:t>9.2.5</w:t>
            </w:r>
          </w:p>
        </w:tc>
        <w:tc>
          <w:tcPr>
            <w:tcW w:w="7301" w:type="dxa"/>
            <w:shd w:val="clear" w:color="auto" w:fill="auto"/>
          </w:tcPr>
          <w:p w14:paraId="22CF9AB0">
            <w:pPr>
              <w:pStyle w:val="471"/>
              <w:spacing w:before="109" w:line="360" w:lineRule="auto"/>
              <w:ind w:left="119"/>
              <w:rPr>
                <w:rFonts w:asciiTheme="minorEastAsia" w:hAnsiTheme="minorEastAsia" w:eastAsiaTheme="minorEastAsia"/>
                <w:color w:val="000000" w:themeColor="text1"/>
                <w:sz w:val="24"/>
                <w:szCs w:val="24"/>
                <w:highlight w:val="none"/>
                <w:lang w:eastAsia="zh-CN"/>
                <w14:textFill>
                  <w14:solidFill>
                    <w14:schemeClr w14:val="tx1"/>
                  </w14:solidFill>
                </w14:textFill>
              </w:rPr>
            </w:pPr>
            <w:r>
              <w:rPr>
                <w:rFonts w:asciiTheme="minorEastAsia" w:hAnsiTheme="minorEastAsia" w:eastAsiaTheme="minorEastAsia"/>
                <w:color w:val="000000" w:themeColor="text1"/>
                <w:spacing w:val="-1"/>
                <w:sz w:val="24"/>
                <w:szCs w:val="24"/>
                <w:highlight w:val="none"/>
                <w:lang w:eastAsia="zh-CN"/>
                <w14:textFill>
                  <w14:solidFill>
                    <w14:schemeClr w14:val="tx1"/>
                  </w14:solidFill>
                </w14:textFill>
              </w:rPr>
              <w:t>安全生产费用按最高投标限价的</w:t>
            </w:r>
            <w:r>
              <w:rPr>
                <w:rFonts w:hint="eastAsia" w:asciiTheme="minorEastAsia" w:hAnsiTheme="minorEastAsia" w:eastAsiaTheme="minorEastAsia"/>
                <w:color w:val="000000" w:themeColor="text1"/>
                <w:spacing w:val="-1"/>
                <w:sz w:val="24"/>
                <w:szCs w:val="24"/>
                <w:highlight w:val="none"/>
                <w:lang w:eastAsia="zh-CN"/>
                <w14:textFill>
                  <w14:solidFill>
                    <w14:schemeClr w14:val="tx1"/>
                  </w14:solidFill>
                </w14:textFill>
              </w:rPr>
              <w:t xml:space="preserve"> </w:t>
            </w:r>
            <w:r>
              <w:rPr>
                <w:rFonts w:asciiTheme="minorEastAsia" w:hAnsiTheme="minorEastAsia" w:eastAsiaTheme="minorEastAsia"/>
                <w:color w:val="000000" w:themeColor="text1"/>
                <w:spacing w:val="-1"/>
                <w:sz w:val="24"/>
                <w:szCs w:val="24"/>
                <w:highlight w:val="none"/>
                <w:u w:val="single"/>
                <w:lang w:eastAsia="zh-CN"/>
                <w14:textFill>
                  <w14:solidFill>
                    <w14:schemeClr w14:val="tx1"/>
                  </w14:solidFill>
                </w14:textFill>
              </w:rPr>
              <w:t xml:space="preserve">  </w:t>
            </w:r>
            <w:r>
              <w:rPr>
                <w:rFonts w:hint="eastAsia" w:asciiTheme="minorEastAsia" w:hAnsiTheme="minorEastAsia" w:eastAsiaTheme="minorEastAsia"/>
                <w:color w:val="000000" w:themeColor="text1"/>
                <w:spacing w:val="-1"/>
                <w:sz w:val="24"/>
                <w:szCs w:val="24"/>
                <w:highlight w:val="none"/>
                <w:u w:val="single"/>
                <w:lang w:eastAsia="zh-CN"/>
                <w14:textFill>
                  <w14:solidFill>
                    <w14:schemeClr w14:val="tx1"/>
                  </w14:solidFill>
                </w14:textFill>
              </w:rPr>
              <w:t>1.5</w:t>
            </w:r>
            <w:r>
              <w:rPr>
                <w:rFonts w:asciiTheme="minorEastAsia" w:hAnsiTheme="minorEastAsia" w:eastAsiaTheme="minorEastAsia"/>
                <w:color w:val="000000" w:themeColor="text1"/>
                <w:spacing w:val="-1"/>
                <w:sz w:val="24"/>
                <w:szCs w:val="24"/>
                <w:highlight w:val="none"/>
                <w:u w:val="single"/>
                <w:lang w:eastAsia="zh-CN"/>
                <w14:textFill>
                  <w14:solidFill>
                    <w14:schemeClr w14:val="tx1"/>
                  </w14:solidFill>
                </w14:textFill>
              </w:rPr>
              <w:t xml:space="preserve">  </w:t>
            </w:r>
            <w:r>
              <w:rPr>
                <w:rFonts w:asciiTheme="minorEastAsia" w:hAnsiTheme="minorEastAsia" w:eastAsiaTheme="minorEastAsia"/>
                <w:color w:val="000000" w:themeColor="text1"/>
                <w:spacing w:val="-111"/>
                <w:sz w:val="24"/>
                <w:szCs w:val="24"/>
                <w:highlight w:val="none"/>
                <w:lang w:eastAsia="zh-CN"/>
                <w14:textFill>
                  <w14:solidFill>
                    <w14:schemeClr w14:val="tx1"/>
                  </w14:solidFill>
                </w14:textFill>
              </w:rPr>
              <w:t xml:space="preserve"> </w:t>
            </w:r>
            <w:r>
              <w:rPr>
                <w:rFonts w:cs="Times New Roman" w:asciiTheme="minorEastAsia" w:hAnsiTheme="minorEastAsia" w:eastAsiaTheme="minorEastAsia"/>
                <w:color w:val="000000" w:themeColor="text1"/>
                <w:spacing w:val="-1"/>
                <w:sz w:val="24"/>
                <w:szCs w:val="24"/>
                <w:highlight w:val="none"/>
                <w:lang w:eastAsia="zh-CN"/>
                <w14:textFill>
                  <w14:solidFill>
                    <w14:schemeClr w14:val="tx1"/>
                  </w14:solidFill>
                </w14:textFill>
              </w:rPr>
              <w:t>%</w:t>
            </w:r>
            <w:r>
              <w:rPr>
                <w:rFonts w:asciiTheme="minorEastAsia" w:hAnsiTheme="minorEastAsia" w:eastAsiaTheme="minorEastAsia"/>
                <w:color w:val="000000" w:themeColor="text1"/>
                <w:spacing w:val="-2"/>
                <w:sz w:val="24"/>
                <w:szCs w:val="24"/>
                <w:highlight w:val="none"/>
                <w:lang w:eastAsia="zh-CN"/>
                <w14:textFill>
                  <w14:solidFill>
                    <w14:schemeClr w14:val="tx1"/>
                  </w14:solidFill>
                </w14:textFill>
              </w:rPr>
              <w:t>计取</w:t>
            </w:r>
          </w:p>
        </w:tc>
      </w:tr>
      <w:tr w14:paraId="2956CA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6" w:hRule="atLeast"/>
        </w:trPr>
        <w:tc>
          <w:tcPr>
            <w:tcW w:w="774" w:type="dxa"/>
            <w:shd w:val="clear" w:color="auto" w:fill="auto"/>
          </w:tcPr>
          <w:p w14:paraId="48B0CC96">
            <w:pPr>
              <w:spacing w:before="186" w:line="360" w:lineRule="auto"/>
              <w:ind w:left="296"/>
              <w:rPr>
                <w:rFonts w:eastAsia="Times New Roman"/>
                <w:color w:val="000000" w:themeColor="text1"/>
                <w:sz w:val="24"/>
                <w:szCs w:val="24"/>
                <w:highlight w:val="none"/>
                <w14:textFill>
                  <w14:solidFill>
                    <w14:schemeClr w14:val="tx1"/>
                  </w14:solidFill>
                </w14:textFill>
              </w:rPr>
            </w:pPr>
            <w:r>
              <w:rPr>
                <w:rFonts w:eastAsia="Times New Roman"/>
                <w:color w:val="000000" w:themeColor="text1"/>
                <w:spacing w:val="-15"/>
                <w:sz w:val="24"/>
                <w:szCs w:val="24"/>
                <w:highlight w:val="none"/>
                <w14:textFill>
                  <w14:solidFill>
                    <w14:schemeClr w14:val="tx1"/>
                  </w14:solidFill>
                </w14:textFill>
              </w:rPr>
              <w:t>11</w:t>
            </w:r>
          </w:p>
        </w:tc>
        <w:tc>
          <w:tcPr>
            <w:tcW w:w="1386" w:type="dxa"/>
            <w:shd w:val="clear" w:color="auto" w:fill="auto"/>
          </w:tcPr>
          <w:p w14:paraId="636EB1B2">
            <w:pPr>
              <w:spacing w:before="186" w:line="360" w:lineRule="auto"/>
              <w:ind w:left="511"/>
              <w:rPr>
                <w:rFonts w:eastAsia="Times New Roman"/>
                <w:color w:val="000000" w:themeColor="text1"/>
                <w:sz w:val="24"/>
                <w:szCs w:val="24"/>
                <w:highlight w:val="none"/>
                <w14:textFill>
                  <w14:solidFill>
                    <w14:schemeClr w14:val="tx1"/>
                  </w14:solidFill>
                </w14:textFill>
              </w:rPr>
            </w:pPr>
            <w:r>
              <w:rPr>
                <w:rFonts w:eastAsia="Times New Roman"/>
                <w:color w:val="000000" w:themeColor="text1"/>
                <w:spacing w:val="-9"/>
                <w:sz w:val="24"/>
                <w:szCs w:val="24"/>
                <w:highlight w:val="none"/>
                <w14:textFill>
                  <w14:solidFill>
                    <w14:schemeClr w14:val="tx1"/>
                  </w14:solidFill>
                </w14:textFill>
              </w:rPr>
              <w:t>11.5</w:t>
            </w:r>
          </w:p>
        </w:tc>
        <w:tc>
          <w:tcPr>
            <w:tcW w:w="7301" w:type="dxa"/>
            <w:shd w:val="clear" w:color="auto" w:fill="auto"/>
          </w:tcPr>
          <w:p w14:paraId="37F9C754">
            <w:pPr>
              <w:pStyle w:val="471"/>
              <w:spacing w:before="128" w:line="360" w:lineRule="auto"/>
              <w:ind w:left="112"/>
              <w:rPr>
                <w:color w:val="000000" w:themeColor="text1"/>
                <w:sz w:val="24"/>
                <w:szCs w:val="24"/>
                <w:highlight w:val="none"/>
                <w:lang w:eastAsia="zh-CN"/>
                <w14:textFill>
                  <w14:solidFill>
                    <w14:schemeClr w14:val="tx1"/>
                  </w14:solidFill>
                </w14:textFill>
              </w:rPr>
            </w:pPr>
            <w:r>
              <w:rPr>
                <w:color w:val="000000" w:themeColor="text1"/>
                <w:spacing w:val="-2"/>
                <w:sz w:val="24"/>
                <w:szCs w:val="24"/>
                <w:highlight w:val="none"/>
                <w:lang w:eastAsia="zh-CN"/>
                <w14:textFill>
                  <w14:solidFill>
                    <w14:schemeClr w14:val="tx1"/>
                  </w14:solidFill>
                </w14:textFill>
              </w:rPr>
              <w:t>逾期交工违约金：</w:t>
            </w:r>
            <w:r>
              <w:rPr>
                <w:rFonts w:hint="eastAsia"/>
                <w:color w:val="000000" w:themeColor="text1"/>
                <w:spacing w:val="-2"/>
                <w:sz w:val="24"/>
                <w:szCs w:val="24"/>
                <w:highlight w:val="none"/>
                <w:u w:val="single"/>
                <w:lang w:eastAsia="zh-CN"/>
                <w14:textFill>
                  <w14:solidFill>
                    <w14:schemeClr w14:val="tx1"/>
                  </w14:solidFill>
                </w14:textFill>
              </w:rPr>
              <w:t>5000</w:t>
            </w:r>
            <w:r>
              <w:rPr>
                <w:color w:val="000000" w:themeColor="text1"/>
                <w:spacing w:val="-98"/>
                <w:sz w:val="24"/>
                <w:szCs w:val="24"/>
                <w:highlight w:val="none"/>
                <w:lang w:eastAsia="zh-CN"/>
                <w14:textFill>
                  <w14:solidFill>
                    <w14:schemeClr w14:val="tx1"/>
                  </w14:solidFill>
                </w14:textFill>
              </w:rPr>
              <w:t xml:space="preserve"> </w:t>
            </w:r>
            <w:r>
              <w:rPr>
                <w:color w:val="000000" w:themeColor="text1"/>
                <w:spacing w:val="-2"/>
                <w:sz w:val="24"/>
                <w:szCs w:val="24"/>
                <w:highlight w:val="none"/>
                <w:lang w:eastAsia="zh-CN"/>
                <w14:textFill>
                  <w14:solidFill>
                    <w14:schemeClr w14:val="tx1"/>
                  </w14:solidFill>
                </w14:textFill>
              </w:rPr>
              <w:t>元</w:t>
            </w:r>
            <w:r>
              <w:rPr>
                <w:rFonts w:ascii="Times New Roman" w:hAnsi="Times New Roman" w:eastAsia="Times New Roman" w:cs="Times New Roman"/>
                <w:color w:val="000000" w:themeColor="text1"/>
                <w:spacing w:val="-2"/>
                <w:sz w:val="24"/>
                <w:szCs w:val="24"/>
                <w:highlight w:val="none"/>
                <w:lang w:eastAsia="zh-CN"/>
                <w14:textFill>
                  <w14:solidFill>
                    <w14:schemeClr w14:val="tx1"/>
                  </w14:solidFill>
                </w14:textFill>
              </w:rPr>
              <w:t>/</w:t>
            </w:r>
            <w:r>
              <w:rPr>
                <w:color w:val="000000" w:themeColor="text1"/>
                <w:spacing w:val="-2"/>
                <w:sz w:val="24"/>
                <w:szCs w:val="24"/>
                <w:highlight w:val="none"/>
                <w:lang w:eastAsia="zh-CN"/>
                <w14:textFill>
                  <w14:solidFill>
                    <w14:schemeClr w14:val="tx1"/>
                  </w14:solidFill>
                </w14:textFill>
              </w:rPr>
              <w:t>天</w:t>
            </w:r>
          </w:p>
        </w:tc>
      </w:tr>
      <w:tr w14:paraId="4C3A62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6" w:hRule="atLeast"/>
        </w:trPr>
        <w:tc>
          <w:tcPr>
            <w:tcW w:w="774" w:type="dxa"/>
            <w:shd w:val="clear" w:color="auto" w:fill="auto"/>
          </w:tcPr>
          <w:p w14:paraId="46115E1B">
            <w:pPr>
              <w:spacing w:before="188" w:line="360" w:lineRule="auto"/>
              <w:ind w:left="291"/>
              <w:rPr>
                <w:rFonts w:eastAsia="Times New Roman"/>
                <w:color w:val="000000" w:themeColor="text1"/>
                <w:sz w:val="24"/>
                <w:szCs w:val="24"/>
                <w:highlight w:val="none"/>
                <w14:textFill>
                  <w14:solidFill>
                    <w14:schemeClr w14:val="tx1"/>
                  </w14:solidFill>
                </w14:textFill>
              </w:rPr>
            </w:pPr>
            <w:r>
              <w:rPr>
                <w:rFonts w:eastAsia="Times New Roman"/>
                <w:color w:val="000000" w:themeColor="text1"/>
                <w:spacing w:val="-15"/>
                <w:sz w:val="24"/>
                <w:szCs w:val="24"/>
                <w:highlight w:val="none"/>
                <w14:textFill>
                  <w14:solidFill>
                    <w14:schemeClr w14:val="tx1"/>
                  </w14:solidFill>
                </w14:textFill>
              </w:rPr>
              <w:t>12</w:t>
            </w:r>
          </w:p>
        </w:tc>
        <w:tc>
          <w:tcPr>
            <w:tcW w:w="1386" w:type="dxa"/>
            <w:shd w:val="clear" w:color="auto" w:fill="auto"/>
          </w:tcPr>
          <w:p w14:paraId="6AC19C98">
            <w:pPr>
              <w:spacing w:before="188" w:line="360" w:lineRule="auto"/>
              <w:ind w:left="511"/>
              <w:rPr>
                <w:rFonts w:eastAsia="Times New Roman"/>
                <w:color w:val="000000" w:themeColor="text1"/>
                <w:sz w:val="24"/>
                <w:szCs w:val="24"/>
                <w:highlight w:val="none"/>
                <w14:textFill>
                  <w14:solidFill>
                    <w14:schemeClr w14:val="tx1"/>
                  </w14:solidFill>
                </w14:textFill>
              </w:rPr>
            </w:pPr>
            <w:r>
              <w:rPr>
                <w:rFonts w:eastAsia="Times New Roman"/>
                <w:color w:val="000000" w:themeColor="text1"/>
                <w:spacing w:val="-9"/>
                <w:sz w:val="24"/>
                <w:szCs w:val="24"/>
                <w:highlight w:val="none"/>
                <w14:textFill>
                  <w14:solidFill>
                    <w14:schemeClr w14:val="tx1"/>
                  </w14:solidFill>
                </w14:textFill>
              </w:rPr>
              <w:t>11.5</w:t>
            </w:r>
          </w:p>
        </w:tc>
        <w:tc>
          <w:tcPr>
            <w:tcW w:w="7301" w:type="dxa"/>
            <w:shd w:val="clear" w:color="auto" w:fill="auto"/>
          </w:tcPr>
          <w:p w14:paraId="0C34C950">
            <w:pPr>
              <w:pStyle w:val="471"/>
              <w:spacing w:before="110" w:line="360" w:lineRule="auto"/>
              <w:ind w:left="112"/>
              <w:rPr>
                <w:color w:val="000000" w:themeColor="text1"/>
                <w:sz w:val="24"/>
                <w:szCs w:val="24"/>
                <w:highlight w:val="none"/>
                <w:lang w:eastAsia="zh-CN"/>
                <w14:textFill>
                  <w14:solidFill>
                    <w14:schemeClr w14:val="tx1"/>
                  </w14:solidFill>
                </w14:textFill>
              </w:rPr>
            </w:pPr>
            <w:r>
              <w:rPr>
                <w:color w:val="000000" w:themeColor="text1"/>
                <w:spacing w:val="-1"/>
                <w:sz w:val="24"/>
                <w:szCs w:val="24"/>
                <w:highlight w:val="none"/>
                <w:lang w:eastAsia="zh-CN"/>
                <w14:textFill>
                  <w14:solidFill>
                    <w14:schemeClr w14:val="tx1"/>
                  </w14:solidFill>
                </w14:textFill>
              </w:rPr>
              <w:t>逾期交工违约金限额：</w:t>
            </w:r>
            <w:r>
              <w:rPr>
                <w:rFonts w:hint="eastAsia"/>
                <w:color w:val="000000" w:themeColor="text1"/>
                <w:spacing w:val="-1"/>
                <w:sz w:val="24"/>
                <w:szCs w:val="24"/>
                <w:highlight w:val="none"/>
                <w:u w:val="single"/>
                <w:lang w:eastAsia="zh-CN"/>
                <w14:textFill>
                  <w14:solidFill>
                    <w14:schemeClr w14:val="tx1"/>
                  </w14:solidFill>
                </w14:textFill>
              </w:rPr>
              <w:t>10</w:t>
            </w:r>
            <w:r>
              <w:rPr>
                <w:color w:val="000000" w:themeColor="text1"/>
                <w:spacing w:val="-1"/>
                <w:sz w:val="24"/>
                <w:szCs w:val="24"/>
                <w:highlight w:val="none"/>
                <w:u w:val="single"/>
                <w:lang w:eastAsia="zh-CN"/>
                <w14:textFill>
                  <w14:solidFill>
                    <w14:schemeClr w14:val="tx1"/>
                  </w14:solidFill>
                </w14:textFill>
              </w:rPr>
              <w:t xml:space="preserve"> </w:t>
            </w:r>
            <w:r>
              <w:rPr>
                <w:rFonts w:ascii="Times New Roman" w:hAnsi="Times New Roman" w:eastAsia="Times New Roman" w:cs="Times New Roman"/>
                <w:color w:val="000000" w:themeColor="text1"/>
                <w:spacing w:val="-1"/>
                <w:sz w:val="24"/>
                <w:szCs w:val="24"/>
                <w:highlight w:val="none"/>
                <w:lang w:eastAsia="zh-CN"/>
                <w14:textFill>
                  <w14:solidFill>
                    <w14:schemeClr w14:val="tx1"/>
                  </w14:solidFill>
                </w14:textFill>
              </w:rPr>
              <w:t>%</w:t>
            </w:r>
            <w:r>
              <w:rPr>
                <w:color w:val="000000" w:themeColor="text1"/>
                <w:spacing w:val="-1"/>
                <w:sz w:val="24"/>
                <w:szCs w:val="24"/>
                <w:highlight w:val="none"/>
                <w:lang w:eastAsia="zh-CN"/>
                <w14:textFill>
                  <w14:solidFill>
                    <w14:schemeClr w14:val="tx1"/>
                  </w14:solidFill>
                </w14:textFill>
              </w:rPr>
              <w:t>签约合同价</w:t>
            </w:r>
          </w:p>
        </w:tc>
      </w:tr>
      <w:tr w14:paraId="535E0E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0" w:hRule="atLeast"/>
        </w:trPr>
        <w:tc>
          <w:tcPr>
            <w:tcW w:w="774" w:type="dxa"/>
            <w:shd w:val="clear" w:color="auto" w:fill="auto"/>
            <w:vAlign w:val="center"/>
          </w:tcPr>
          <w:p w14:paraId="2CAA534C">
            <w:pPr>
              <w:spacing w:before="69" w:line="360" w:lineRule="auto"/>
              <w:ind w:left="291"/>
              <w:jc w:val="both"/>
              <w:rPr>
                <w:rFonts w:eastAsia="Times New Roman"/>
                <w:color w:val="000000" w:themeColor="text1"/>
                <w:sz w:val="24"/>
                <w:szCs w:val="24"/>
                <w:highlight w:val="none"/>
                <w14:textFill>
                  <w14:solidFill>
                    <w14:schemeClr w14:val="tx1"/>
                  </w14:solidFill>
                </w14:textFill>
              </w:rPr>
            </w:pPr>
            <w:r>
              <w:rPr>
                <w:rFonts w:eastAsia="Times New Roman"/>
                <w:color w:val="000000" w:themeColor="text1"/>
                <w:spacing w:val="-15"/>
                <w:sz w:val="24"/>
                <w:szCs w:val="24"/>
                <w:highlight w:val="none"/>
                <w14:textFill>
                  <w14:solidFill>
                    <w14:schemeClr w14:val="tx1"/>
                  </w14:solidFill>
                </w14:textFill>
              </w:rPr>
              <w:t>13</w:t>
            </w:r>
          </w:p>
        </w:tc>
        <w:tc>
          <w:tcPr>
            <w:tcW w:w="1386" w:type="dxa"/>
            <w:shd w:val="clear" w:color="auto" w:fill="auto"/>
            <w:vAlign w:val="center"/>
          </w:tcPr>
          <w:p w14:paraId="09B01D7E">
            <w:pPr>
              <w:spacing w:before="69" w:line="360" w:lineRule="auto"/>
              <w:ind w:left="417"/>
              <w:jc w:val="both"/>
              <w:rPr>
                <w:rFonts w:eastAsia="Times New Roman"/>
                <w:color w:val="000000" w:themeColor="text1"/>
                <w:sz w:val="24"/>
                <w:szCs w:val="24"/>
                <w:highlight w:val="none"/>
                <w14:textFill>
                  <w14:solidFill>
                    <w14:schemeClr w14:val="tx1"/>
                  </w14:solidFill>
                </w14:textFill>
              </w:rPr>
            </w:pPr>
            <w:r>
              <w:rPr>
                <w:rFonts w:eastAsia="Times New Roman"/>
                <w:color w:val="000000" w:themeColor="text1"/>
                <w:spacing w:val="-5"/>
                <w:sz w:val="24"/>
                <w:szCs w:val="24"/>
                <w:highlight w:val="none"/>
                <w14:textFill>
                  <w14:solidFill>
                    <w14:schemeClr w14:val="tx1"/>
                  </w14:solidFill>
                </w14:textFill>
              </w:rPr>
              <w:t>15.5.2</w:t>
            </w:r>
          </w:p>
        </w:tc>
        <w:tc>
          <w:tcPr>
            <w:tcW w:w="7301" w:type="dxa"/>
            <w:shd w:val="clear" w:color="auto" w:fill="auto"/>
          </w:tcPr>
          <w:p w14:paraId="19187A10">
            <w:pPr>
              <w:pStyle w:val="471"/>
              <w:spacing w:before="129" w:line="360" w:lineRule="auto"/>
              <w:ind w:left="115" w:right="105" w:hanging="1"/>
              <w:rPr>
                <w:color w:val="000000" w:themeColor="text1"/>
                <w:sz w:val="24"/>
                <w:szCs w:val="24"/>
                <w:highlight w:val="none"/>
                <w:lang w:eastAsia="zh-CN"/>
                <w14:textFill>
                  <w14:solidFill>
                    <w14:schemeClr w14:val="tx1"/>
                  </w14:solidFill>
                </w14:textFill>
              </w:rPr>
            </w:pPr>
            <w:r>
              <w:rPr>
                <w:color w:val="000000" w:themeColor="text1"/>
                <w:spacing w:val="7"/>
                <w:sz w:val="24"/>
                <w:szCs w:val="24"/>
                <w:highlight w:val="none"/>
                <w:lang w:eastAsia="zh-CN"/>
                <w14:textFill>
                  <w14:solidFill>
                    <w14:schemeClr w14:val="tx1"/>
                  </w14:solidFill>
                </w14:textFill>
              </w:rPr>
              <w:t>承包人提出的合理化建议降低了合同价格或</w:t>
            </w:r>
            <w:r>
              <w:rPr>
                <w:color w:val="000000" w:themeColor="text1"/>
                <w:spacing w:val="6"/>
                <w:sz w:val="24"/>
                <w:szCs w:val="24"/>
                <w:highlight w:val="none"/>
                <w:lang w:eastAsia="zh-CN"/>
                <w14:textFill>
                  <w14:solidFill>
                    <w14:schemeClr w14:val="tx1"/>
                  </w14:solidFill>
                </w14:textFill>
              </w:rPr>
              <w:t>者提高了工程经济</w:t>
            </w:r>
            <w:r>
              <w:rPr>
                <w:color w:val="000000" w:themeColor="text1"/>
                <w:sz w:val="24"/>
                <w:szCs w:val="24"/>
                <w:highlight w:val="none"/>
                <w:lang w:eastAsia="zh-CN"/>
                <w14:textFill>
                  <w14:solidFill>
                    <w14:schemeClr w14:val="tx1"/>
                  </w14:solidFill>
                </w14:textFill>
              </w:rPr>
              <w:t>效益的，发包人按所节约成本的</w:t>
            </w:r>
            <w:r>
              <w:rPr>
                <w:color w:val="000000" w:themeColor="text1"/>
                <w:spacing w:val="-117"/>
                <w:sz w:val="24"/>
                <w:szCs w:val="24"/>
                <w:highlight w:val="none"/>
                <w:lang w:eastAsia="zh-CN"/>
                <w14:textFill>
                  <w14:solidFill>
                    <w14:schemeClr w14:val="tx1"/>
                  </w14:solidFill>
                </w14:textFill>
              </w:rPr>
              <w:t xml:space="preserve"> </w:t>
            </w:r>
            <w:r>
              <w:rPr>
                <w:color w:val="000000" w:themeColor="text1"/>
                <w:sz w:val="24"/>
                <w:szCs w:val="24"/>
                <w:highlight w:val="none"/>
                <w:u w:val="single"/>
                <w:lang w:eastAsia="zh-CN"/>
                <w14:textFill>
                  <w14:solidFill>
                    <w14:schemeClr w14:val="tx1"/>
                  </w14:solidFill>
                </w14:textFill>
              </w:rPr>
              <w:t xml:space="preserve"> </w:t>
            </w:r>
            <w:r>
              <w:rPr>
                <w:rFonts w:hint="eastAsia"/>
                <w:color w:val="000000" w:themeColor="text1"/>
                <w:sz w:val="24"/>
                <w:szCs w:val="24"/>
                <w:highlight w:val="none"/>
                <w:u w:val="single"/>
                <w:lang w:eastAsia="zh-CN"/>
                <w14:textFill>
                  <w14:solidFill>
                    <w14:schemeClr w14:val="tx1"/>
                  </w14:solidFill>
                </w14:textFill>
              </w:rPr>
              <w:t>/</w:t>
            </w:r>
            <w:r>
              <w:rPr>
                <w:color w:val="000000" w:themeColor="text1"/>
                <w:sz w:val="24"/>
                <w:szCs w:val="24"/>
                <w:highlight w:val="none"/>
                <w:u w:val="single"/>
                <w:lang w:eastAsia="zh-CN"/>
                <w14:textFill>
                  <w14:solidFill>
                    <w14:schemeClr w14:val="tx1"/>
                  </w14:solidFill>
                </w14:textFill>
              </w:rPr>
              <w:t xml:space="preserve"> </w:t>
            </w:r>
            <w:r>
              <w:rPr>
                <w:color w:val="000000" w:themeColor="text1"/>
                <w:spacing w:val="-109"/>
                <w:sz w:val="24"/>
                <w:szCs w:val="24"/>
                <w:highlight w:val="none"/>
                <w:lang w:eastAsia="zh-CN"/>
                <w14:textFill>
                  <w14:solidFill>
                    <w14:schemeClr w14:val="tx1"/>
                  </w14:solidFill>
                </w14:textFill>
              </w:rPr>
              <w:t xml:space="preserve"> </w:t>
            </w:r>
            <w:r>
              <w:rPr>
                <w:rFonts w:ascii="Times New Roman" w:hAnsi="Times New Roman" w:eastAsia="Times New Roman" w:cs="Times New Roman"/>
                <w:color w:val="000000" w:themeColor="text1"/>
                <w:sz w:val="24"/>
                <w:szCs w:val="24"/>
                <w:highlight w:val="none"/>
                <w:lang w:eastAsia="zh-CN"/>
                <w14:textFill>
                  <w14:solidFill>
                    <w14:schemeClr w14:val="tx1"/>
                  </w14:solidFill>
                </w14:textFill>
              </w:rPr>
              <w:t>%</w:t>
            </w:r>
            <w:r>
              <w:rPr>
                <w:color w:val="000000" w:themeColor="text1"/>
                <w:sz w:val="24"/>
                <w:szCs w:val="24"/>
                <w:highlight w:val="none"/>
                <w:lang w:eastAsia="zh-CN"/>
                <w14:textFill>
                  <w14:solidFill>
                    <w14:schemeClr w14:val="tx1"/>
                  </w14:solidFill>
                </w14:textFill>
              </w:rPr>
              <w:t>或增加收益</w:t>
            </w:r>
            <w:r>
              <w:rPr>
                <w:color w:val="000000" w:themeColor="text1"/>
                <w:spacing w:val="-1"/>
                <w:sz w:val="24"/>
                <w:szCs w:val="24"/>
                <w:highlight w:val="none"/>
                <w:lang w:eastAsia="zh-CN"/>
                <w14:textFill>
                  <w14:solidFill>
                    <w14:schemeClr w14:val="tx1"/>
                  </w14:solidFill>
                </w14:textFill>
              </w:rPr>
              <w:t>的</w:t>
            </w:r>
            <w:r>
              <w:rPr>
                <w:color w:val="000000" w:themeColor="text1"/>
                <w:spacing w:val="-1"/>
                <w:sz w:val="24"/>
                <w:szCs w:val="24"/>
                <w:highlight w:val="none"/>
                <w:u w:val="single"/>
                <w:lang w:eastAsia="zh-CN"/>
                <w14:textFill>
                  <w14:solidFill>
                    <w14:schemeClr w14:val="tx1"/>
                  </w14:solidFill>
                </w14:textFill>
              </w:rPr>
              <w:t xml:space="preserve"> </w:t>
            </w:r>
            <w:r>
              <w:rPr>
                <w:rFonts w:hint="eastAsia"/>
                <w:color w:val="000000" w:themeColor="text1"/>
                <w:spacing w:val="-1"/>
                <w:sz w:val="24"/>
                <w:szCs w:val="24"/>
                <w:highlight w:val="none"/>
                <w:u w:val="single"/>
                <w:lang w:eastAsia="zh-CN"/>
                <w14:textFill>
                  <w14:solidFill>
                    <w14:schemeClr w14:val="tx1"/>
                  </w14:solidFill>
                </w14:textFill>
              </w:rPr>
              <w:t>/</w:t>
            </w:r>
            <w:r>
              <w:rPr>
                <w:color w:val="000000" w:themeColor="text1"/>
                <w:spacing w:val="-1"/>
                <w:sz w:val="24"/>
                <w:szCs w:val="24"/>
                <w:highlight w:val="none"/>
                <w:u w:val="single"/>
                <w:lang w:eastAsia="zh-CN"/>
                <w14:textFill>
                  <w14:solidFill>
                    <w14:schemeClr w14:val="tx1"/>
                  </w14:solidFill>
                </w14:textFill>
              </w:rPr>
              <w:t xml:space="preserve"> </w:t>
            </w:r>
            <w:r>
              <w:rPr>
                <w:color w:val="000000" w:themeColor="text1"/>
                <w:spacing w:val="-111"/>
                <w:sz w:val="24"/>
                <w:szCs w:val="24"/>
                <w:highlight w:val="none"/>
                <w:lang w:eastAsia="zh-CN"/>
                <w14:textFill>
                  <w14:solidFill>
                    <w14:schemeClr w14:val="tx1"/>
                  </w14:solidFill>
                </w14:textFill>
              </w:rPr>
              <w:t xml:space="preserve"> </w:t>
            </w:r>
            <w:r>
              <w:rPr>
                <w:rFonts w:ascii="Times New Roman" w:hAnsi="Times New Roman" w:eastAsia="Times New Roman" w:cs="Times New Roman"/>
                <w:color w:val="000000" w:themeColor="text1"/>
                <w:spacing w:val="-1"/>
                <w:sz w:val="24"/>
                <w:szCs w:val="24"/>
                <w:highlight w:val="none"/>
                <w:lang w:eastAsia="zh-CN"/>
                <w14:textFill>
                  <w14:solidFill>
                    <w14:schemeClr w14:val="tx1"/>
                  </w14:solidFill>
                </w14:textFill>
              </w:rPr>
              <w:t>%</w:t>
            </w:r>
            <w:r>
              <w:rPr>
                <w:color w:val="000000" w:themeColor="text1"/>
                <w:spacing w:val="-1"/>
                <w:sz w:val="24"/>
                <w:szCs w:val="24"/>
                <w:highlight w:val="none"/>
                <w:lang w:eastAsia="zh-CN"/>
                <w14:textFill>
                  <w14:solidFill>
                    <w14:schemeClr w14:val="tx1"/>
                  </w14:solidFill>
                </w14:textFill>
              </w:rPr>
              <w:t>给予</w:t>
            </w:r>
            <w:r>
              <w:rPr>
                <w:color w:val="000000" w:themeColor="text1"/>
                <w:spacing w:val="-6"/>
                <w:sz w:val="24"/>
                <w:szCs w:val="24"/>
                <w:highlight w:val="none"/>
                <w:lang w:eastAsia="zh-CN"/>
                <w14:textFill>
                  <w14:solidFill>
                    <w14:schemeClr w14:val="tx1"/>
                  </w14:solidFill>
                </w14:textFill>
              </w:rPr>
              <w:t>奖励</w:t>
            </w:r>
            <w:r>
              <w:rPr>
                <w:rFonts w:hint="eastAsia"/>
                <w:color w:val="000000" w:themeColor="text1"/>
                <w:spacing w:val="-6"/>
                <w:sz w:val="24"/>
                <w:szCs w:val="24"/>
                <w:highlight w:val="none"/>
                <w:lang w:eastAsia="zh-CN"/>
                <w14:textFill>
                  <w14:solidFill>
                    <w14:schemeClr w14:val="tx1"/>
                  </w14:solidFill>
                </w14:textFill>
              </w:rPr>
              <w:t>。</w:t>
            </w:r>
          </w:p>
        </w:tc>
      </w:tr>
      <w:tr w14:paraId="277D29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8" w:hRule="atLeast"/>
        </w:trPr>
        <w:tc>
          <w:tcPr>
            <w:tcW w:w="774" w:type="dxa"/>
            <w:shd w:val="clear" w:color="auto" w:fill="auto"/>
            <w:vAlign w:val="center"/>
          </w:tcPr>
          <w:p w14:paraId="03A7C6BB">
            <w:pPr>
              <w:spacing w:before="69" w:line="360" w:lineRule="auto"/>
              <w:jc w:val="center"/>
              <w:rPr>
                <w:rFonts w:eastAsia="Times New Roman"/>
                <w:color w:val="000000" w:themeColor="text1"/>
                <w:sz w:val="24"/>
                <w:szCs w:val="24"/>
                <w:highlight w:val="none"/>
                <w14:textFill>
                  <w14:solidFill>
                    <w14:schemeClr w14:val="tx1"/>
                  </w14:solidFill>
                </w14:textFill>
              </w:rPr>
            </w:pPr>
            <w:r>
              <w:rPr>
                <w:rFonts w:eastAsia="Times New Roman"/>
                <w:color w:val="000000" w:themeColor="text1"/>
                <w:spacing w:val="-15"/>
                <w:sz w:val="24"/>
                <w:szCs w:val="24"/>
                <w:highlight w:val="none"/>
                <w14:textFill>
                  <w14:solidFill>
                    <w14:schemeClr w14:val="tx1"/>
                  </w14:solidFill>
                </w14:textFill>
              </w:rPr>
              <w:t>14</w:t>
            </w:r>
          </w:p>
        </w:tc>
        <w:tc>
          <w:tcPr>
            <w:tcW w:w="1386" w:type="dxa"/>
            <w:shd w:val="clear" w:color="auto" w:fill="auto"/>
            <w:vAlign w:val="center"/>
          </w:tcPr>
          <w:p w14:paraId="7249A620">
            <w:pPr>
              <w:spacing w:before="69" w:line="360" w:lineRule="auto"/>
              <w:ind w:firstLine="448" w:firstLineChars="200"/>
              <w:jc w:val="both"/>
              <w:rPr>
                <w:rFonts w:eastAsia="Times New Roman"/>
                <w:color w:val="000000" w:themeColor="text1"/>
                <w:sz w:val="24"/>
                <w:szCs w:val="24"/>
                <w:highlight w:val="none"/>
                <w14:textFill>
                  <w14:solidFill>
                    <w14:schemeClr w14:val="tx1"/>
                  </w14:solidFill>
                </w14:textFill>
              </w:rPr>
            </w:pPr>
            <w:r>
              <w:rPr>
                <w:rFonts w:eastAsia="Times New Roman"/>
                <w:color w:val="000000" w:themeColor="text1"/>
                <w:spacing w:val="-8"/>
                <w:sz w:val="24"/>
                <w:szCs w:val="24"/>
                <w:highlight w:val="none"/>
                <w14:textFill>
                  <w14:solidFill>
                    <w14:schemeClr w14:val="tx1"/>
                  </w14:solidFill>
                </w14:textFill>
              </w:rPr>
              <w:t>16.1</w:t>
            </w:r>
          </w:p>
        </w:tc>
        <w:tc>
          <w:tcPr>
            <w:tcW w:w="7301" w:type="dxa"/>
            <w:shd w:val="clear" w:color="auto" w:fill="auto"/>
          </w:tcPr>
          <w:p w14:paraId="7D3BB402">
            <w:pPr>
              <w:pStyle w:val="471"/>
              <w:spacing w:before="130" w:line="360" w:lineRule="auto"/>
              <w:ind w:left="133"/>
              <w:rPr>
                <w:color w:val="000000" w:themeColor="text1"/>
                <w:sz w:val="24"/>
                <w:szCs w:val="24"/>
                <w:highlight w:val="none"/>
                <w:lang w:eastAsia="zh-CN"/>
                <w14:textFill>
                  <w14:solidFill>
                    <w14:schemeClr w14:val="tx1"/>
                  </w14:solidFill>
                </w14:textFill>
              </w:rPr>
            </w:pPr>
            <w:r>
              <w:rPr>
                <w:color w:val="000000" w:themeColor="text1"/>
                <w:spacing w:val="-2"/>
                <w:sz w:val="24"/>
                <w:szCs w:val="24"/>
                <w:highlight w:val="none"/>
                <w:lang w:eastAsia="zh-CN"/>
                <w14:textFill>
                  <w14:solidFill>
                    <w14:schemeClr w14:val="tx1"/>
                  </w14:solidFill>
                </w14:textFill>
              </w:rPr>
              <w:t>因物价波动引起的价格调整按照以下原则处理：</w:t>
            </w:r>
          </w:p>
          <w:p w14:paraId="41D2940E">
            <w:pPr>
              <w:pStyle w:val="471"/>
              <w:spacing w:before="114" w:line="360" w:lineRule="auto"/>
              <w:ind w:left="125"/>
              <w:rPr>
                <w:color w:val="000000" w:themeColor="text1"/>
                <w:sz w:val="24"/>
                <w:szCs w:val="24"/>
                <w:highlight w:val="none"/>
                <w:lang w:eastAsia="zh-CN"/>
                <w14:textFill>
                  <w14:solidFill>
                    <w14:schemeClr w14:val="tx1"/>
                  </w14:solidFill>
                </w14:textFill>
              </w:rPr>
            </w:pPr>
            <w:r>
              <w:rPr>
                <w:rFonts w:ascii="微软雅黑" w:hAnsi="微软雅黑" w:eastAsia="微软雅黑" w:cs="微软雅黑"/>
                <w:color w:val="000000" w:themeColor="text1"/>
                <w:sz w:val="24"/>
                <w:szCs w:val="24"/>
                <w:highlight w:val="none"/>
                <w:lang w:eastAsia="zh-CN"/>
                <w14:textFill>
                  <w14:solidFill>
                    <w14:schemeClr w14:val="tx1"/>
                  </w14:solidFill>
                </w14:textFill>
              </w:rPr>
              <w:t>□</w:t>
            </w:r>
            <w:r>
              <w:rPr>
                <w:color w:val="000000" w:themeColor="text1"/>
                <w:sz w:val="24"/>
                <w:szCs w:val="24"/>
                <w:highlight w:val="none"/>
                <w:lang w:eastAsia="zh-CN"/>
                <w14:textFill>
                  <w14:solidFill>
                    <w14:schemeClr w14:val="tx1"/>
                  </w14:solidFill>
                </w14:textFill>
              </w:rPr>
              <w:t>按第</w:t>
            </w:r>
            <w:r>
              <w:rPr>
                <w:color w:val="000000" w:themeColor="text1"/>
                <w:spacing w:val="-27"/>
                <w:sz w:val="24"/>
                <w:szCs w:val="24"/>
                <w:highlight w:val="none"/>
                <w:lang w:eastAsia="zh-CN"/>
                <w14:textFill>
                  <w14:solidFill>
                    <w14:schemeClr w14:val="tx1"/>
                  </w14:solidFill>
                </w14:textFill>
              </w:rPr>
              <w:t xml:space="preserve"> </w:t>
            </w:r>
            <w:r>
              <w:rPr>
                <w:rFonts w:ascii="Times New Roman" w:hAnsi="Times New Roman" w:eastAsia="Times New Roman" w:cs="Times New Roman"/>
                <w:color w:val="000000" w:themeColor="text1"/>
                <w:sz w:val="24"/>
                <w:szCs w:val="24"/>
                <w:highlight w:val="none"/>
                <w:lang w:eastAsia="zh-CN"/>
                <w14:textFill>
                  <w14:solidFill>
                    <w14:schemeClr w14:val="tx1"/>
                  </w14:solidFill>
                </w14:textFill>
              </w:rPr>
              <w:t xml:space="preserve">16.1.1 </w:t>
            </w:r>
            <w:r>
              <w:rPr>
                <w:color w:val="000000" w:themeColor="text1"/>
                <w:sz w:val="24"/>
                <w:szCs w:val="24"/>
                <w:highlight w:val="none"/>
                <w:lang w:eastAsia="zh-CN"/>
                <w14:textFill>
                  <w14:solidFill>
                    <w14:schemeClr w14:val="tx1"/>
                  </w14:solidFill>
                </w14:textFill>
              </w:rPr>
              <w:t>项调价</w:t>
            </w:r>
          </w:p>
          <w:p w14:paraId="38E3CFC2">
            <w:pPr>
              <w:pStyle w:val="471"/>
              <w:spacing w:before="60" w:line="360" w:lineRule="auto"/>
              <w:ind w:left="125"/>
              <w:rPr>
                <w:color w:val="000000" w:themeColor="text1"/>
                <w:sz w:val="24"/>
                <w:szCs w:val="24"/>
                <w:highlight w:val="none"/>
                <w:lang w:eastAsia="zh-CN"/>
                <w14:textFill>
                  <w14:solidFill>
                    <w14:schemeClr w14:val="tx1"/>
                  </w14:solidFill>
                </w14:textFill>
              </w:rPr>
            </w:pPr>
            <w:r>
              <w:rPr>
                <w:rFonts w:ascii="微软雅黑" w:hAnsi="微软雅黑" w:eastAsia="微软雅黑" w:cs="微软雅黑"/>
                <w:color w:val="000000" w:themeColor="text1"/>
                <w:sz w:val="24"/>
                <w:szCs w:val="24"/>
                <w:highlight w:val="none"/>
                <w:lang w:eastAsia="zh-CN"/>
                <w14:textFill>
                  <w14:solidFill>
                    <w14:schemeClr w14:val="tx1"/>
                  </w14:solidFill>
                </w14:textFill>
              </w:rPr>
              <w:t>□</w:t>
            </w:r>
            <w:r>
              <w:rPr>
                <w:color w:val="000000" w:themeColor="text1"/>
                <w:sz w:val="24"/>
                <w:szCs w:val="24"/>
                <w:highlight w:val="none"/>
                <w:lang w:eastAsia="zh-CN"/>
                <w14:textFill>
                  <w14:solidFill>
                    <w14:schemeClr w14:val="tx1"/>
                  </w14:solidFill>
                </w14:textFill>
              </w:rPr>
              <w:t>按第</w:t>
            </w:r>
            <w:r>
              <w:rPr>
                <w:color w:val="000000" w:themeColor="text1"/>
                <w:spacing w:val="-27"/>
                <w:sz w:val="24"/>
                <w:szCs w:val="24"/>
                <w:highlight w:val="none"/>
                <w:lang w:eastAsia="zh-CN"/>
                <w14:textFill>
                  <w14:solidFill>
                    <w14:schemeClr w14:val="tx1"/>
                  </w14:solidFill>
                </w14:textFill>
              </w:rPr>
              <w:t xml:space="preserve"> </w:t>
            </w:r>
            <w:r>
              <w:rPr>
                <w:rFonts w:ascii="Times New Roman" w:hAnsi="Times New Roman" w:eastAsia="Times New Roman" w:cs="Times New Roman"/>
                <w:color w:val="000000" w:themeColor="text1"/>
                <w:sz w:val="24"/>
                <w:szCs w:val="24"/>
                <w:highlight w:val="none"/>
                <w:lang w:eastAsia="zh-CN"/>
                <w14:textFill>
                  <w14:solidFill>
                    <w14:schemeClr w14:val="tx1"/>
                  </w14:solidFill>
                </w14:textFill>
              </w:rPr>
              <w:t xml:space="preserve">16.1.2 </w:t>
            </w:r>
            <w:r>
              <w:rPr>
                <w:color w:val="000000" w:themeColor="text1"/>
                <w:sz w:val="24"/>
                <w:szCs w:val="24"/>
                <w:highlight w:val="none"/>
                <w:lang w:eastAsia="zh-CN"/>
                <w14:textFill>
                  <w14:solidFill>
                    <w14:schemeClr w14:val="tx1"/>
                  </w14:solidFill>
                </w14:textFill>
              </w:rPr>
              <w:t>项调价</w:t>
            </w:r>
          </w:p>
          <w:p w14:paraId="128FFB3B">
            <w:pPr>
              <w:pStyle w:val="471"/>
              <w:spacing w:before="62" w:line="360" w:lineRule="auto"/>
              <w:ind w:left="125"/>
              <w:rPr>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position w:val="-1"/>
                <w:sz w:val="24"/>
                <w:szCs w:val="24"/>
                <w:highlight w:val="none"/>
                <w:lang w:eastAsia="zh-CN"/>
                <w14:textFill>
                  <w14:solidFill>
                    <w14:schemeClr w14:val="tx1"/>
                  </w14:solidFill>
                </w14:textFill>
              </w:rPr>
              <w:t>☑</w:t>
            </w:r>
            <w:r>
              <w:rPr>
                <w:color w:val="000000" w:themeColor="text1"/>
                <w:position w:val="-1"/>
                <w:sz w:val="24"/>
                <w:szCs w:val="24"/>
                <w:highlight w:val="none"/>
                <w14:textFill>
                  <w14:solidFill>
                    <w14:schemeClr w14:val="tx1"/>
                  </w14:solidFill>
                </w14:textFill>
              </w:rPr>
              <w:t>按第</w:t>
            </w:r>
            <w:r>
              <w:rPr>
                <w:color w:val="000000" w:themeColor="text1"/>
                <w:spacing w:val="-27"/>
                <w:position w:val="-1"/>
                <w:sz w:val="24"/>
                <w:szCs w:val="24"/>
                <w:highlight w:val="none"/>
                <w14:textFill>
                  <w14:solidFill>
                    <w14:schemeClr w14:val="tx1"/>
                  </w14:solidFill>
                </w14:textFill>
              </w:rPr>
              <w:t xml:space="preserve"> </w:t>
            </w:r>
            <w:r>
              <w:rPr>
                <w:rFonts w:ascii="Times New Roman" w:hAnsi="Times New Roman" w:eastAsia="Times New Roman" w:cs="Times New Roman"/>
                <w:color w:val="000000" w:themeColor="text1"/>
                <w:position w:val="-1"/>
                <w:sz w:val="24"/>
                <w:szCs w:val="24"/>
                <w:highlight w:val="none"/>
                <w14:textFill>
                  <w14:solidFill>
                    <w14:schemeClr w14:val="tx1"/>
                  </w14:solidFill>
                </w14:textFill>
              </w:rPr>
              <w:t xml:space="preserve">16.1.3 </w:t>
            </w:r>
            <w:r>
              <w:rPr>
                <w:color w:val="000000" w:themeColor="text1"/>
                <w:position w:val="-1"/>
                <w:sz w:val="24"/>
                <w:szCs w:val="24"/>
                <w:highlight w:val="none"/>
                <w14:textFill>
                  <w14:solidFill>
                    <w14:schemeClr w14:val="tx1"/>
                  </w14:solidFill>
                </w14:textFill>
              </w:rPr>
              <w:t>项约定不调价</w:t>
            </w:r>
          </w:p>
        </w:tc>
      </w:tr>
    </w:tbl>
    <w:p w14:paraId="52D28B12">
      <w:pPr>
        <w:spacing w:before="55"/>
        <w:rPr>
          <w:color w:val="000000" w:themeColor="text1"/>
          <w:highlight w:val="none"/>
          <w14:textFill>
            <w14:solidFill>
              <w14:schemeClr w14:val="tx1"/>
            </w14:solidFill>
          </w14:textFill>
        </w:rPr>
      </w:pPr>
    </w:p>
    <w:tbl>
      <w:tblPr>
        <w:tblStyle w:val="473"/>
        <w:tblW w:w="948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24"/>
        <w:gridCol w:w="1536"/>
        <w:gridCol w:w="7324"/>
      </w:tblGrid>
      <w:tr w14:paraId="234F1D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6" w:hRule="atLeast"/>
        </w:trPr>
        <w:tc>
          <w:tcPr>
            <w:tcW w:w="624" w:type="dxa"/>
          </w:tcPr>
          <w:p w14:paraId="27CE839D">
            <w:pPr>
              <w:spacing w:before="69" w:line="360" w:lineRule="auto"/>
              <w:jc w:val="center"/>
              <w:rPr>
                <w:rFonts w:eastAsia="Times New Roman"/>
                <w:color w:val="000000" w:themeColor="text1"/>
                <w:sz w:val="24"/>
                <w:szCs w:val="24"/>
                <w:highlight w:val="none"/>
                <w14:textFill>
                  <w14:solidFill>
                    <w14:schemeClr w14:val="tx1"/>
                  </w14:solidFill>
                </w14:textFill>
              </w:rPr>
            </w:pPr>
            <w:bookmarkStart w:id="194" w:name="bookmark243"/>
            <w:bookmarkEnd w:id="194"/>
            <w:r>
              <w:rPr>
                <w:rFonts w:eastAsia="Times New Roman"/>
                <w:color w:val="000000" w:themeColor="text1"/>
                <w:spacing w:val="-15"/>
                <w:sz w:val="24"/>
                <w:szCs w:val="24"/>
                <w:highlight w:val="none"/>
                <w14:textFill>
                  <w14:solidFill>
                    <w14:schemeClr w14:val="tx1"/>
                  </w14:solidFill>
                </w14:textFill>
              </w:rPr>
              <w:t>15</w:t>
            </w:r>
          </w:p>
        </w:tc>
        <w:tc>
          <w:tcPr>
            <w:tcW w:w="1536" w:type="dxa"/>
          </w:tcPr>
          <w:p w14:paraId="18D9AEBB">
            <w:pPr>
              <w:spacing w:before="190" w:line="360" w:lineRule="auto"/>
              <w:jc w:val="center"/>
              <w:rPr>
                <w:color w:val="000000" w:themeColor="text1"/>
                <w:sz w:val="24"/>
                <w:szCs w:val="24"/>
                <w:highlight w:val="none"/>
                <w14:textFill>
                  <w14:solidFill>
                    <w14:schemeClr w14:val="tx1"/>
                  </w14:solidFill>
                </w14:textFill>
              </w:rPr>
            </w:pPr>
            <w:r>
              <w:rPr>
                <w:rFonts w:eastAsia="Times New Roman"/>
                <w:color w:val="000000" w:themeColor="text1"/>
                <w:spacing w:val="-5"/>
                <w:sz w:val="24"/>
                <w:szCs w:val="24"/>
                <w:highlight w:val="none"/>
                <w14:textFill>
                  <w14:solidFill>
                    <w14:schemeClr w14:val="tx1"/>
                  </w14:solidFill>
                </w14:textFill>
              </w:rPr>
              <w:t>17.2.1</w:t>
            </w:r>
            <w:r>
              <w:rPr>
                <w:color w:val="000000" w:themeColor="text1"/>
                <w:spacing w:val="-7"/>
                <w:sz w:val="24"/>
                <w:szCs w:val="24"/>
                <w:highlight w:val="none"/>
                <w14:textFill>
                  <w14:solidFill>
                    <w14:schemeClr w14:val="tx1"/>
                  </w14:solidFill>
                </w14:textFill>
              </w:rPr>
              <w:t>（</w:t>
            </w:r>
            <w:r>
              <w:rPr>
                <w:rFonts w:eastAsia="Times New Roman"/>
                <w:color w:val="000000" w:themeColor="text1"/>
                <w:spacing w:val="-7"/>
                <w:sz w:val="24"/>
                <w:szCs w:val="24"/>
                <w:highlight w:val="none"/>
                <w14:textFill>
                  <w14:solidFill>
                    <w14:schemeClr w14:val="tx1"/>
                  </w14:solidFill>
                </w14:textFill>
              </w:rPr>
              <w:t>1</w:t>
            </w:r>
            <w:r>
              <w:rPr>
                <w:color w:val="000000" w:themeColor="text1"/>
                <w:spacing w:val="-7"/>
                <w:sz w:val="24"/>
                <w:szCs w:val="24"/>
                <w:highlight w:val="none"/>
                <w14:textFill>
                  <w14:solidFill>
                    <w14:schemeClr w14:val="tx1"/>
                  </w14:solidFill>
                </w14:textFill>
              </w:rPr>
              <w:t>）</w:t>
            </w:r>
          </w:p>
        </w:tc>
        <w:tc>
          <w:tcPr>
            <w:tcW w:w="7324" w:type="dxa"/>
          </w:tcPr>
          <w:p w14:paraId="048779BB">
            <w:pPr>
              <w:pStyle w:val="471"/>
              <w:spacing w:before="311" w:line="360" w:lineRule="auto"/>
              <w:ind w:left="115"/>
              <w:rPr>
                <w:color w:val="000000" w:themeColor="text1"/>
                <w:sz w:val="24"/>
                <w:szCs w:val="24"/>
                <w:highlight w:val="none"/>
                <w:lang w:eastAsia="zh-CN"/>
                <w14:textFill>
                  <w14:solidFill>
                    <w14:schemeClr w14:val="tx1"/>
                  </w14:solidFill>
                </w14:textFill>
              </w:rPr>
            </w:pPr>
            <w:r>
              <w:rPr>
                <w:rFonts w:hint="eastAsia"/>
                <w:color w:val="000000" w:themeColor="text1"/>
                <w:spacing w:val="-2"/>
                <w:sz w:val="24"/>
                <w:szCs w:val="24"/>
                <w:highlight w:val="none"/>
                <w:lang w:eastAsia="zh-CN"/>
                <w14:textFill>
                  <w14:solidFill>
                    <w14:schemeClr w14:val="tx1"/>
                  </w14:solidFill>
                </w14:textFill>
              </w:rPr>
              <w:t>开工预付款金额：</w:t>
            </w:r>
            <w:r>
              <w:rPr>
                <w:rFonts w:hint="eastAsia"/>
                <w:color w:val="000000" w:themeColor="text1"/>
                <w:spacing w:val="-2"/>
                <w:sz w:val="24"/>
                <w:szCs w:val="24"/>
                <w:highlight w:val="none"/>
                <w:u w:val="single"/>
                <w:lang w:eastAsia="zh-CN"/>
                <w14:textFill>
                  <w14:solidFill>
                    <w14:schemeClr w14:val="tx1"/>
                  </w14:solidFill>
                </w14:textFill>
              </w:rPr>
              <w:t xml:space="preserve"> 30 </w:t>
            </w:r>
            <w:r>
              <w:rPr>
                <w:rFonts w:hint="eastAsia"/>
                <w:color w:val="000000" w:themeColor="text1"/>
                <w:spacing w:val="-95"/>
                <w:sz w:val="24"/>
                <w:szCs w:val="24"/>
                <w:highlight w:val="none"/>
                <w:lang w:eastAsia="zh-CN"/>
                <w14:textFill>
                  <w14:solidFill>
                    <w14:schemeClr w14:val="tx1"/>
                  </w14:solidFill>
                </w14:textFill>
              </w:rPr>
              <w:t xml:space="preserve"> </w:t>
            </w:r>
            <w:r>
              <w:rPr>
                <w:rFonts w:hint="eastAsia"/>
                <w:color w:val="000000" w:themeColor="text1"/>
                <w:spacing w:val="-2"/>
                <w:sz w:val="24"/>
                <w:szCs w:val="24"/>
                <w:highlight w:val="none"/>
                <w:lang w:eastAsia="zh-CN"/>
                <w14:textFill>
                  <w14:solidFill>
                    <w14:schemeClr w14:val="tx1"/>
                  </w14:solidFill>
                </w14:textFill>
              </w:rPr>
              <w:t>%签约合同价</w:t>
            </w:r>
          </w:p>
        </w:tc>
      </w:tr>
      <w:tr w14:paraId="11526B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8" w:hRule="atLeast"/>
        </w:trPr>
        <w:tc>
          <w:tcPr>
            <w:tcW w:w="624" w:type="dxa"/>
          </w:tcPr>
          <w:p w14:paraId="178007F6">
            <w:pPr>
              <w:spacing w:before="69" w:line="360" w:lineRule="auto"/>
              <w:jc w:val="center"/>
              <w:rPr>
                <w:rFonts w:eastAsia="Times New Roman"/>
                <w:color w:val="000000" w:themeColor="text1"/>
                <w:sz w:val="24"/>
                <w:szCs w:val="24"/>
                <w:highlight w:val="none"/>
                <w14:textFill>
                  <w14:solidFill>
                    <w14:schemeClr w14:val="tx1"/>
                  </w14:solidFill>
                </w14:textFill>
              </w:rPr>
            </w:pPr>
            <w:r>
              <w:rPr>
                <w:rFonts w:eastAsia="Times New Roman"/>
                <w:color w:val="000000" w:themeColor="text1"/>
                <w:spacing w:val="-15"/>
                <w:sz w:val="24"/>
                <w:szCs w:val="24"/>
                <w:highlight w:val="none"/>
                <w14:textFill>
                  <w14:solidFill>
                    <w14:schemeClr w14:val="tx1"/>
                  </w14:solidFill>
                </w14:textFill>
              </w:rPr>
              <w:t>16</w:t>
            </w:r>
          </w:p>
        </w:tc>
        <w:tc>
          <w:tcPr>
            <w:tcW w:w="1536" w:type="dxa"/>
          </w:tcPr>
          <w:p w14:paraId="0630BA9B">
            <w:pPr>
              <w:spacing w:before="188" w:line="360" w:lineRule="auto"/>
              <w:jc w:val="center"/>
              <w:rPr>
                <w:color w:val="000000" w:themeColor="text1"/>
                <w:sz w:val="24"/>
                <w:szCs w:val="24"/>
                <w:highlight w:val="none"/>
                <w14:textFill>
                  <w14:solidFill>
                    <w14:schemeClr w14:val="tx1"/>
                  </w14:solidFill>
                </w14:textFill>
              </w:rPr>
            </w:pPr>
            <w:r>
              <w:rPr>
                <w:rFonts w:eastAsia="Times New Roman"/>
                <w:color w:val="000000" w:themeColor="text1"/>
                <w:spacing w:val="-5"/>
                <w:sz w:val="24"/>
                <w:szCs w:val="24"/>
                <w:highlight w:val="none"/>
                <w14:textFill>
                  <w14:solidFill>
                    <w14:schemeClr w14:val="tx1"/>
                  </w14:solidFill>
                </w14:textFill>
              </w:rPr>
              <w:t>17.2.1</w:t>
            </w:r>
            <w:r>
              <w:rPr>
                <w:color w:val="000000" w:themeColor="text1"/>
                <w:spacing w:val="-7"/>
                <w:sz w:val="24"/>
                <w:szCs w:val="24"/>
                <w:highlight w:val="none"/>
                <w14:textFill>
                  <w14:solidFill>
                    <w14:schemeClr w14:val="tx1"/>
                  </w14:solidFill>
                </w14:textFill>
              </w:rPr>
              <w:t>（</w:t>
            </w:r>
            <w:r>
              <w:rPr>
                <w:rFonts w:eastAsia="Times New Roman"/>
                <w:color w:val="000000" w:themeColor="text1"/>
                <w:spacing w:val="-7"/>
                <w:sz w:val="24"/>
                <w:szCs w:val="24"/>
                <w:highlight w:val="none"/>
                <w14:textFill>
                  <w14:solidFill>
                    <w14:schemeClr w14:val="tx1"/>
                  </w14:solidFill>
                </w14:textFill>
              </w:rPr>
              <w:t>2</w:t>
            </w:r>
            <w:r>
              <w:rPr>
                <w:color w:val="000000" w:themeColor="text1"/>
                <w:spacing w:val="-7"/>
                <w:sz w:val="24"/>
                <w:szCs w:val="24"/>
                <w:highlight w:val="none"/>
                <w14:textFill>
                  <w14:solidFill>
                    <w14:schemeClr w14:val="tx1"/>
                  </w14:solidFill>
                </w14:textFill>
              </w:rPr>
              <w:t>）</w:t>
            </w:r>
          </w:p>
        </w:tc>
        <w:tc>
          <w:tcPr>
            <w:tcW w:w="7324" w:type="dxa"/>
          </w:tcPr>
          <w:p w14:paraId="3BB655DD">
            <w:pPr>
              <w:pStyle w:val="471"/>
              <w:spacing w:before="129" w:line="360" w:lineRule="auto"/>
              <w:ind w:left="133" w:right="108" w:hanging="19"/>
              <w:rPr>
                <w:color w:val="000000" w:themeColor="text1"/>
                <w:sz w:val="24"/>
                <w:szCs w:val="24"/>
                <w:highlight w:val="none"/>
                <w:lang w:eastAsia="zh-CN"/>
                <w14:textFill>
                  <w14:solidFill>
                    <w14:schemeClr w14:val="tx1"/>
                  </w14:solidFill>
                </w14:textFill>
              </w:rPr>
            </w:pPr>
            <w:r>
              <w:rPr>
                <w:rFonts w:hint="eastAsia"/>
                <w:color w:val="000000" w:themeColor="text1"/>
                <w:spacing w:val="9"/>
                <w:sz w:val="24"/>
                <w:szCs w:val="24"/>
                <w:highlight w:val="none"/>
                <w:lang w:eastAsia="zh-CN"/>
                <w14:textFill>
                  <w14:solidFill>
                    <w14:schemeClr w14:val="tx1"/>
                  </w14:solidFill>
                </w14:textFill>
              </w:rPr>
              <w:t>材料、设备预付款比例：</w:t>
            </w:r>
            <w:r>
              <w:rPr>
                <w:rFonts w:hint="eastAsia"/>
                <w:color w:val="000000" w:themeColor="text1"/>
                <w:spacing w:val="-94"/>
                <w:sz w:val="24"/>
                <w:szCs w:val="24"/>
                <w:highlight w:val="none"/>
                <w:lang w:eastAsia="zh-CN"/>
                <w14:textFill>
                  <w14:solidFill>
                    <w14:schemeClr w14:val="tx1"/>
                  </w14:solidFill>
                </w14:textFill>
              </w:rPr>
              <w:t xml:space="preserve"> </w:t>
            </w:r>
            <w:r>
              <w:rPr>
                <w:rFonts w:hint="eastAsia"/>
                <w:color w:val="000000" w:themeColor="text1"/>
                <w:kern w:val="0"/>
                <w:sz w:val="24"/>
                <w:szCs w:val="24"/>
                <w:highlight w:val="none"/>
                <w:u w:val="single"/>
                <w:lang w:eastAsia="zh-CN"/>
                <w14:textFill>
                  <w14:solidFill>
                    <w14:schemeClr w14:val="tx1"/>
                  </w14:solidFill>
                </w14:textFill>
              </w:rPr>
              <w:t>钢材、水泥、沥青、砂、石</w:t>
            </w:r>
            <w:r>
              <w:rPr>
                <w:rFonts w:hint="eastAsia"/>
                <w:color w:val="000000" w:themeColor="text1"/>
                <w:spacing w:val="9"/>
                <w:sz w:val="24"/>
                <w:szCs w:val="24"/>
                <w:highlight w:val="none"/>
                <w:lang w:eastAsia="zh-CN"/>
                <w14:textFill>
                  <w14:solidFill>
                    <w14:schemeClr w14:val="tx1"/>
                  </w14:solidFill>
                </w14:textFill>
              </w:rPr>
              <w:t>等主要材料、设备单据所列费用</w:t>
            </w:r>
            <w:r>
              <w:rPr>
                <w:rFonts w:hint="eastAsia"/>
                <w:color w:val="000000" w:themeColor="text1"/>
                <w:spacing w:val="-19"/>
                <w:position w:val="-1"/>
                <w:sz w:val="24"/>
                <w:szCs w:val="24"/>
                <w:highlight w:val="none"/>
                <w:lang w:eastAsia="zh-CN"/>
                <w14:textFill>
                  <w14:solidFill>
                    <w14:schemeClr w14:val="tx1"/>
                  </w14:solidFill>
                </w14:textFill>
              </w:rPr>
              <w:t>的</w:t>
            </w:r>
            <w:r>
              <w:rPr>
                <w:rFonts w:hint="eastAsia"/>
                <w:color w:val="000000" w:themeColor="text1"/>
                <w:spacing w:val="39"/>
                <w:position w:val="-1"/>
                <w:sz w:val="24"/>
                <w:szCs w:val="24"/>
                <w:highlight w:val="none"/>
                <w:u w:val="single"/>
                <w:lang w:eastAsia="zh-CN"/>
                <w14:textFill>
                  <w14:solidFill>
                    <w14:schemeClr w14:val="tx1"/>
                  </w14:solidFill>
                </w14:textFill>
              </w:rPr>
              <w:t>75</w:t>
            </w:r>
            <w:r>
              <w:rPr>
                <w:rFonts w:hint="eastAsia"/>
                <w:color w:val="000000" w:themeColor="text1"/>
                <w:spacing w:val="-19"/>
                <w:position w:val="-1"/>
                <w:sz w:val="24"/>
                <w:szCs w:val="24"/>
                <w:highlight w:val="none"/>
                <w:lang w:eastAsia="zh-CN"/>
                <w14:textFill>
                  <w14:solidFill>
                    <w14:schemeClr w14:val="tx1"/>
                  </w14:solidFill>
                </w14:textFill>
              </w:rPr>
              <w:t>%</w:t>
            </w:r>
          </w:p>
        </w:tc>
      </w:tr>
      <w:tr w14:paraId="325FA9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624" w:type="dxa"/>
          </w:tcPr>
          <w:p w14:paraId="59F811AC">
            <w:pPr>
              <w:spacing w:before="189" w:line="360" w:lineRule="auto"/>
              <w:jc w:val="center"/>
              <w:rPr>
                <w:rFonts w:eastAsia="Times New Roman"/>
                <w:color w:val="000000" w:themeColor="text1"/>
                <w:sz w:val="24"/>
                <w:szCs w:val="24"/>
                <w:highlight w:val="none"/>
                <w14:textFill>
                  <w14:solidFill>
                    <w14:schemeClr w14:val="tx1"/>
                  </w14:solidFill>
                </w14:textFill>
              </w:rPr>
            </w:pPr>
            <w:r>
              <w:rPr>
                <w:rFonts w:eastAsia="Times New Roman"/>
                <w:color w:val="000000" w:themeColor="text1"/>
                <w:spacing w:val="-15"/>
                <w:sz w:val="24"/>
                <w:szCs w:val="24"/>
                <w:highlight w:val="none"/>
                <w14:textFill>
                  <w14:solidFill>
                    <w14:schemeClr w14:val="tx1"/>
                  </w14:solidFill>
                </w14:textFill>
              </w:rPr>
              <w:t>17</w:t>
            </w:r>
          </w:p>
        </w:tc>
        <w:tc>
          <w:tcPr>
            <w:tcW w:w="1536" w:type="dxa"/>
          </w:tcPr>
          <w:p w14:paraId="5E3F39C8">
            <w:pPr>
              <w:spacing w:before="189" w:line="360" w:lineRule="auto"/>
              <w:ind w:left="417"/>
              <w:rPr>
                <w:rFonts w:eastAsia="Times New Roman"/>
                <w:color w:val="000000" w:themeColor="text1"/>
                <w:sz w:val="24"/>
                <w:szCs w:val="24"/>
                <w:highlight w:val="none"/>
                <w14:textFill>
                  <w14:solidFill>
                    <w14:schemeClr w14:val="tx1"/>
                  </w14:solidFill>
                </w14:textFill>
              </w:rPr>
            </w:pPr>
            <w:r>
              <w:rPr>
                <w:rFonts w:eastAsia="Times New Roman"/>
                <w:color w:val="000000" w:themeColor="text1"/>
                <w:spacing w:val="-5"/>
                <w:sz w:val="24"/>
                <w:szCs w:val="24"/>
                <w:highlight w:val="none"/>
                <w14:textFill>
                  <w14:solidFill>
                    <w14:schemeClr w14:val="tx1"/>
                  </w14:solidFill>
                </w14:textFill>
              </w:rPr>
              <w:t>17.3.2</w:t>
            </w:r>
          </w:p>
        </w:tc>
        <w:tc>
          <w:tcPr>
            <w:tcW w:w="7324" w:type="dxa"/>
          </w:tcPr>
          <w:p w14:paraId="5EAE3EBF">
            <w:pPr>
              <w:pStyle w:val="471"/>
              <w:spacing w:before="131" w:line="360" w:lineRule="auto"/>
              <w:ind w:left="114"/>
              <w:rPr>
                <w:color w:val="000000" w:themeColor="text1"/>
                <w:sz w:val="24"/>
                <w:szCs w:val="24"/>
                <w:highlight w:val="none"/>
                <w:lang w:eastAsia="zh-CN"/>
                <w14:textFill>
                  <w14:solidFill>
                    <w14:schemeClr w14:val="tx1"/>
                  </w14:solidFill>
                </w14:textFill>
              </w:rPr>
            </w:pPr>
            <w:r>
              <w:rPr>
                <w:rFonts w:hint="eastAsia"/>
                <w:color w:val="000000" w:themeColor="text1"/>
                <w:spacing w:val="16"/>
                <w:sz w:val="24"/>
                <w:szCs w:val="24"/>
                <w:highlight w:val="none"/>
                <w:lang w:eastAsia="zh-CN"/>
                <w14:textFill>
                  <w14:solidFill>
                    <w14:schemeClr w14:val="tx1"/>
                  </w14:solidFill>
                </w14:textFill>
              </w:rPr>
              <w:t>承包人在每个付款周期末向咨询人提交进度付款申请单的份</w:t>
            </w:r>
            <w:r>
              <w:rPr>
                <w:rFonts w:hint="eastAsia"/>
                <w:color w:val="000000" w:themeColor="text1"/>
                <w:spacing w:val="-2"/>
                <w:sz w:val="24"/>
                <w:szCs w:val="24"/>
                <w:highlight w:val="none"/>
                <w:lang w:eastAsia="zh-CN"/>
                <w14:textFill>
                  <w14:solidFill>
                    <w14:schemeClr w14:val="tx1"/>
                  </w14:solidFill>
                </w14:textFill>
              </w:rPr>
              <w:t>数：</w:t>
            </w:r>
            <w:r>
              <w:rPr>
                <w:rFonts w:hint="eastAsia"/>
                <w:color w:val="000000" w:themeColor="text1"/>
                <w:spacing w:val="-2"/>
                <w:sz w:val="24"/>
                <w:szCs w:val="24"/>
                <w:highlight w:val="none"/>
                <w:u w:val="single"/>
                <w:lang w:eastAsia="zh-CN"/>
                <w14:textFill>
                  <w14:solidFill>
                    <w14:schemeClr w14:val="tx1"/>
                  </w14:solidFill>
                </w14:textFill>
              </w:rPr>
              <w:t xml:space="preserve">  4   </w:t>
            </w:r>
            <w:r>
              <w:rPr>
                <w:rFonts w:hint="eastAsia"/>
                <w:color w:val="000000" w:themeColor="text1"/>
                <w:spacing w:val="-107"/>
                <w:sz w:val="24"/>
                <w:szCs w:val="24"/>
                <w:highlight w:val="none"/>
                <w:lang w:eastAsia="zh-CN"/>
                <w14:textFill>
                  <w14:solidFill>
                    <w14:schemeClr w14:val="tx1"/>
                  </w14:solidFill>
                </w14:textFill>
              </w:rPr>
              <w:t xml:space="preserve"> </w:t>
            </w:r>
            <w:r>
              <w:rPr>
                <w:rFonts w:hint="eastAsia"/>
                <w:color w:val="000000" w:themeColor="text1"/>
                <w:spacing w:val="-2"/>
                <w:sz w:val="24"/>
                <w:szCs w:val="24"/>
                <w:highlight w:val="none"/>
                <w:lang w:eastAsia="zh-CN"/>
                <w14:textFill>
                  <w14:solidFill>
                    <w14:schemeClr w14:val="tx1"/>
                  </w14:solidFill>
                </w14:textFill>
              </w:rPr>
              <w:t>份</w:t>
            </w:r>
          </w:p>
        </w:tc>
      </w:tr>
      <w:tr w14:paraId="6D24B6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9" w:hRule="atLeast"/>
        </w:trPr>
        <w:tc>
          <w:tcPr>
            <w:tcW w:w="624" w:type="dxa"/>
          </w:tcPr>
          <w:p w14:paraId="7D9A631D">
            <w:pPr>
              <w:spacing w:line="360" w:lineRule="auto"/>
              <w:jc w:val="center"/>
              <w:rPr>
                <w:rFonts w:ascii="Arial"/>
                <w:color w:val="000000" w:themeColor="text1"/>
                <w:sz w:val="24"/>
                <w:szCs w:val="24"/>
                <w:highlight w:val="none"/>
                <w14:textFill>
                  <w14:solidFill>
                    <w14:schemeClr w14:val="tx1"/>
                  </w14:solidFill>
                </w14:textFill>
              </w:rPr>
            </w:pPr>
          </w:p>
          <w:p w14:paraId="31977E11">
            <w:pPr>
              <w:spacing w:before="69" w:line="360" w:lineRule="auto"/>
              <w:jc w:val="center"/>
              <w:rPr>
                <w:rFonts w:eastAsia="Times New Roman"/>
                <w:color w:val="000000" w:themeColor="text1"/>
                <w:sz w:val="24"/>
                <w:szCs w:val="24"/>
                <w:highlight w:val="none"/>
                <w14:textFill>
                  <w14:solidFill>
                    <w14:schemeClr w14:val="tx1"/>
                  </w14:solidFill>
                </w14:textFill>
              </w:rPr>
            </w:pPr>
            <w:r>
              <w:rPr>
                <w:rFonts w:eastAsia="Times New Roman"/>
                <w:color w:val="000000" w:themeColor="text1"/>
                <w:spacing w:val="-15"/>
                <w:sz w:val="24"/>
                <w:szCs w:val="24"/>
                <w:highlight w:val="none"/>
                <w14:textFill>
                  <w14:solidFill>
                    <w14:schemeClr w14:val="tx1"/>
                  </w14:solidFill>
                </w14:textFill>
              </w:rPr>
              <w:t>18</w:t>
            </w:r>
          </w:p>
        </w:tc>
        <w:tc>
          <w:tcPr>
            <w:tcW w:w="1536" w:type="dxa"/>
          </w:tcPr>
          <w:p w14:paraId="51F3D2A0">
            <w:pPr>
              <w:spacing w:before="184" w:line="360" w:lineRule="auto"/>
              <w:ind w:left="417"/>
              <w:rPr>
                <w:rFonts w:eastAsia="Times New Roman"/>
                <w:color w:val="000000" w:themeColor="text1"/>
                <w:sz w:val="24"/>
                <w:szCs w:val="24"/>
                <w:highlight w:val="none"/>
                <w14:textFill>
                  <w14:solidFill>
                    <w14:schemeClr w14:val="tx1"/>
                  </w14:solidFill>
                </w14:textFill>
              </w:rPr>
            </w:pPr>
            <w:r>
              <w:rPr>
                <w:rFonts w:eastAsia="Times New Roman"/>
                <w:color w:val="000000" w:themeColor="text1"/>
                <w:spacing w:val="-5"/>
                <w:sz w:val="24"/>
                <w:szCs w:val="24"/>
                <w:highlight w:val="none"/>
                <w14:textFill>
                  <w14:solidFill>
                    <w14:schemeClr w14:val="tx1"/>
                  </w14:solidFill>
                </w14:textFill>
              </w:rPr>
              <w:t>17.3.3</w:t>
            </w:r>
          </w:p>
          <w:p w14:paraId="04ACA175">
            <w:pPr>
              <w:pStyle w:val="471"/>
              <w:spacing w:before="125" w:line="360" w:lineRule="auto"/>
              <w:ind w:left="410"/>
              <w:rPr>
                <w:color w:val="000000" w:themeColor="text1"/>
                <w:sz w:val="24"/>
                <w:szCs w:val="24"/>
                <w:highlight w:val="none"/>
                <w14:textFill>
                  <w14:solidFill>
                    <w14:schemeClr w14:val="tx1"/>
                  </w14:solidFill>
                </w14:textFill>
              </w:rPr>
            </w:pPr>
            <w:r>
              <w:rPr>
                <w:color w:val="000000" w:themeColor="text1"/>
                <w:spacing w:val="-7"/>
                <w:sz w:val="24"/>
                <w:szCs w:val="24"/>
                <w:highlight w:val="none"/>
                <w14:textFill>
                  <w14:solidFill>
                    <w14:schemeClr w14:val="tx1"/>
                  </w14:solidFill>
                </w14:textFill>
              </w:rPr>
              <w:t>（</w:t>
            </w:r>
            <w:r>
              <w:rPr>
                <w:rFonts w:ascii="Times New Roman" w:hAnsi="Times New Roman" w:eastAsia="Times New Roman" w:cs="Times New Roman"/>
                <w:color w:val="000000" w:themeColor="text1"/>
                <w:spacing w:val="-7"/>
                <w:sz w:val="24"/>
                <w:szCs w:val="24"/>
                <w:highlight w:val="none"/>
                <w14:textFill>
                  <w14:solidFill>
                    <w14:schemeClr w14:val="tx1"/>
                  </w14:solidFill>
                </w14:textFill>
              </w:rPr>
              <w:t>2</w:t>
            </w:r>
            <w:r>
              <w:rPr>
                <w:color w:val="000000" w:themeColor="text1"/>
                <w:spacing w:val="-7"/>
                <w:sz w:val="24"/>
                <w:szCs w:val="24"/>
                <w:highlight w:val="none"/>
                <w14:textFill>
                  <w14:solidFill>
                    <w14:schemeClr w14:val="tx1"/>
                  </w14:solidFill>
                </w14:textFill>
              </w:rPr>
              <w:t>）</w:t>
            </w:r>
          </w:p>
        </w:tc>
        <w:tc>
          <w:tcPr>
            <w:tcW w:w="7324" w:type="dxa"/>
          </w:tcPr>
          <w:p w14:paraId="31DED1B8">
            <w:pPr>
              <w:pStyle w:val="471"/>
              <w:spacing w:before="305" w:line="360" w:lineRule="auto"/>
              <w:rPr>
                <w:color w:val="000000" w:themeColor="text1"/>
                <w:sz w:val="24"/>
                <w:szCs w:val="24"/>
                <w:highlight w:val="none"/>
                <w:lang w:eastAsia="zh-CN"/>
                <w14:textFill>
                  <w14:solidFill>
                    <w14:schemeClr w14:val="tx1"/>
                  </w14:solidFill>
                </w14:textFill>
              </w:rPr>
            </w:pPr>
            <w:r>
              <w:rPr>
                <w:rFonts w:hint="eastAsia"/>
                <w:color w:val="000000" w:themeColor="text1"/>
                <w:spacing w:val="-2"/>
                <w:sz w:val="24"/>
                <w:szCs w:val="24"/>
                <w:highlight w:val="none"/>
                <w:lang w:eastAsia="zh-CN"/>
                <w14:textFill>
                  <w14:solidFill>
                    <w14:schemeClr w14:val="tx1"/>
                  </w14:solidFill>
                </w14:textFill>
              </w:rPr>
              <w:t>逾期付款违约金的利率：</w:t>
            </w:r>
            <w:r>
              <w:rPr>
                <w:rFonts w:hint="eastAsia"/>
                <w:color w:val="000000" w:themeColor="text1"/>
                <w:kern w:val="0"/>
                <w:sz w:val="24"/>
                <w:szCs w:val="24"/>
                <w:highlight w:val="none"/>
                <w:u w:val="single"/>
                <w:lang w:eastAsia="zh-CN"/>
                <w14:textFill>
                  <w14:solidFill>
                    <w14:schemeClr w14:val="tx1"/>
                  </w14:solidFill>
                </w14:textFill>
              </w:rPr>
              <w:t>0.15</w:t>
            </w:r>
            <w:r>
              <w:rPr>
                <w:rFonts w:hint="eastAsia"/>
                <w:color w:val="000000" w:themeColor="text1"/>
                <w:spacing w:val="-91"/>
                <w:sz w:val="24"/>
                <w:szCs w:val="24"/>
                <w:highlight w:val="none"/>
                <w:lang w:eastAsia="zh-CN"/>
                <w14:textFill>
                  <w14:solidFill>
                    <w14:schemeClr w14:val="tx1"/>
                  </w14:solidFill>
                </w14:textFill>
              </w:rPr>
              <w:t xml:space="preserve"> </w:t>
            </w:r>
            <w:r>
              <w:rPr>
                <w:rFonts w:hint="eastAsia"/>
                <w:color w:val="000000" w:themeColor="text1"/>
                <w:spacing w:val="-2"/>
                <w:sz w:val="24"/>
                <w:szCs w:val="24"/>
                <w:highlight w:val="none"/>
                <w:lang w:eastAsia="zh-CN"/>
                <w14:textFill>
                  <w14:solidFill>
                    <w14:schemeClr w14:val="tx1"/>
                  </w14:solidFill>
                </w14:textFill>
              </w:rPr>
              <w:t>‰/天</w:t>
            </w:r>
          </w:p>
        </w:tc>
      </w:tr>
      <w:tr w14:paraId="3FCE59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60" w:hRule="atLeast"/>
        </w:trPr>
        <w:tc>
          <w:tcPr>
            <w:tcW w:w="624" w:type="dxa"/>
          </w:tcPr>
          <w:p w14:paraId="708C9A11">
            <w:pPr>
              <w:spacing w:line="360" w:lineRule="auto"/>
              <w:jc w:val="center"/>
              <w:rPr>
                <w:rFonts w:ascii="Arial"/>
                <w:color w:val="000000" w:themeColor="text1"/>
                <w:sz w:val="24"/>
                <w:szCs w:val="24"/>
                <w:highlight w:val="none"/>
                <w14:textFill>
                  <w14:solidFill>
                    <w14:schemeClr w14:val="tx1"/>
                  </w14:solidFill>
                </w14:textFill>
              </w:rPr>
            </w:pPr>
          </w:p>
          <w:p w14:paraId="000CCD02">
            <w:pPr>
              <w:spacing w:line="360" w:lineRule="auto"/>
              <w:jc w:val="center"/>
              <w:rPr>
                <w:rFonts w:ascii="Arial"/>
                <w:color w:val="000000" w:themeColor="text1"/>
                <w:sz w:val="24"/>
                <w:szCs w:val="24"/>
                <w:highlight w:val="none"/>
                <w14:textFill>
                  <w14:solidFill>
                    <w14:schemeClr w14:val="tx1"/>
                  </w14:solidFill>
                </w14:textFill>
              </w:rPr>
            </w:pPr>
          </w:p>
          <w:p w14:paraId="33326D4F">
            <w:pPr>
              <w:spacing w:line="360" w:lineRule="auto"/>
              <w:jc w:val="center"/>
              <w:rPr>
                <w:rFonts w:ascii="Arial"/>
                <w:color w:val="000000" w:themeColor="text1"/>
                <w:sz w:val="24"/>
                <w:szCs w:val="24"/>
                <w:highlight w:val="none"/>
                <w14:textFill>
                  <w14:solidFill>
                    <w14:schemeClr w14:val="tx1"/>
                  </w14:solidFill>
                </w14:textFill>
              </w:rPr>
            </w:pPr>
          </w:p>
          <w:p w14:paraId="2EA4E762">
            <w:pPr>
              <w:spacing w:before="69" w:line="360" w:lineRule="auto"/>
              <w:jc w:val="center"/>
              <w:rPr>
                <w:rFonts w:eastAsia="Times New Roman"/>
                <w:color w:val="000000" w:themeColor="text1"/>
                <w:sz w:val="24"/>
                <w:szCs w:val="24"/>
                <w:highlight w:val="none"/>
                <w14:textFill>
                  <w14:solidFill>
                    <w14:schemeClr w14:val="tx1"/>
                  </w14:solidFill>
                </w14:textFill>
              </w:rPr>
            </w:pPr>
            <w:r>
              <w:rPr>
                <w:rFonts w:eastAsia="Times New Roman"/>
                <w:color w:val="000000" w:themeColor="text1"/>
                <w:spacing w:val="-15"/>
                <w:sz w:val="24"/>
                <w:szCs w:val="24"/>
                <w:highlight w:val="none"/>
                <w14:textFill>
                  <w14:solidFill>
                    <w14:schemeClr w14:val="tx1"/>
                  </w14:solidFill>
                </w14:textFill>
              </w:rPr>
              <w:t>19</w:t>
            </w:r>
          </w:p>
        </w:tc>
        <w:tc>
          <w:tcPr>
            <w:tcW w:w="1536" w:type="dxa"/>
          </w:tcPr>
          <w:p w14:paraId="2720F52D">
            <w:pPr>
              <w:spacing w:line="360" w:lineRule="auto"/>
              <w:rPr>
                <w:rFonts w:ascii="Arial"/>
                <w:color w:val="000000" w:themeColor="text1"/>
                <w:sz w:val="24"/>
                <w:szCs w:val="24"/>
                <w:highlight w:val="none"/>
                <w14:textFill>
                  <w14:solidFill>
                    <w14:schemeClr w14:val="tx1"/>
                  </w14:solidFill>
                </w14:textFill>
              </w:rPr>
            </w:pPr>
          </w:p>
          <w:p w14:paraId="2D08C00D">
            <w:pPr>
              <w:spacing w:line="360" w:lineRule="auto"/>
              <w:rPr>
                <w:rFonts w:ascii="Arial"/>
                <w:color w:val="000000" w:themeColor="text1"/>
                <w:sz w:val="24"/>
                <w:szCs w:val="24"/>
                <w:highlight w:val="none"/>
                <w14:textFill>
                  <w14:solidFill>
                    <w14:schemeClr w14:val="tx1"/>
                  </w14:solidFill>
                </w14:textFill>
              </w:rPr>
            </w:pPr>
          </w:p>
          <w:p w14:paraId="514E8E3B">
            <w:pPr>
              <w:spacing w:line="360" w:lineRule="auto"/>
              <w:rPr>
                <w:rFonts w:ascii="Arial"/>
                <w:color w:val="000000" w:themeColor="text1"/>
                <w:sz w:val="24"/>
                <w:szCs w:val="24"/>
                <w:highlight w:val="none"/>
                <w14:textFill>
                  <w14:solidFill>
                    <w14:schemeClr w14:val="tx1"/>
                  </w14:solidFill>
                </w14:textFill>
              </w:rPr>
            </w:pPr>
          </w:p>
          <w:p w14:paraId="0CCDA301">
            <w:pPr>
              <w:spacing w:before="69" w:line="360" w:lineRule="auto"/>
              <w:ind w:left="417"/>
              <w:rPr>
                <w:rFonts w:eastAsia="Times New Roman"/>
                <w:color w:val="000000" w:themeColor="text1"/>
                <w:sz w:val="24"/>
                <w:szCs w:val="24"/>
                <w:highlight w:val="none"/>
                <w14:textFill>
                  <w14:solidFill>
                    <w14:schemeClr w14:val="tx1"/>
                  </w14:solidFill>
                </w14:textFill>
              </w:rPr>
            </w:pPr>
            <w:r>
              <w:rPr>
                <w:rFonts w:eastAsia="Times New Roman"/>
                <w:color w:val="000000" w:themeColor="text1"/>
                <w:spacing w:val="-5"/>
                <w:sz w:val="24"/>
                <w:szCs w:val="24"/>
                <w:highlight w:val="none"/>
                <w14:textFill>
                  <w14:solidFill>
                    <w14:schemeClr w14:val="tx1"/>
                  </w14:solidFill>
                </w14:textFill>
              </w:rPr>
              <w:t>17.4.1</w:t>
            </w:r>
          </w:p>
        </w:tc>
        <w:tc>
          <w:tcPr>
            <w:tcW w:w="7324" w:type="dxa"/>
          </w:tcPr>
          <w:p w14:paraId="1EE30E6F">
            <w:pPr>
              <w:pStyle w:val="471"/>
              <w:spacing w:line="360" w:lineRule="auto"/>
              <w:ind w:left="116" w:right="105" w:hanging="1"/>
              <w:rPr>
                <w:color w:val="000000" w:themeColor="text1"/>
                <w:sz w:val="24"/>
                <w:szCs w:val="24"/>
                <w:highlight w:val="none"/>
                <w:lang w:eastAsia="zh-CN"/>
                <w14:textFill>
                  <w14:solidFill>
                    <w14:schemeClr w14:val="tx1"/>
                  </w14:solidFill>
                </w14:textFill>
              </w:rPr>
            </w:pPr>
            <w:r>
              <w:rPr>
                <w:rFonts w:hint="eastAsia"/>
                <w:color w:val="000000" w:themeColor="text1"/>
                <w:spacing w:val="3"/>
                <w:sz w:val="24"/>
                <w:szCs w:val="24"/>
                <w:highlight w:val="none"/>
                <w:lang w:eastAsia="zh-CN"/>
                <w14:textFill>
                  <w14:solidFill>
                    <w14:schemeClr w14:val="tx1"/>
                  </w14:solidFill>
                </w14:textFill>
              </w:rPr>
              <w:t>质量保证金金额：</w:t>
            </w:r>
            <w:r>
              <w:rPr>
                <w:rFonts w:hint="eastAsia"/>
                <w:color w:val="000000" w:themeColor="text1"/>
                <w:spacing w:val="3"/>
                <w:sz w:val="24"/>
                <w:szCs w:val="24"/>
                <w:highlight w:val="none"/>
                <w:u w:val="single"/>
                <w:lang w:eastAsia="zh-CN"/>
                <w14:textFill>
                  <w14:solidFill>
                    <w14:schemeClr w14:val="tx1"/>
                  </w14:solidFill>
                </w14:textFill>
              </w:rPr>
              <w:t xml:space="preserve"> 3 </w:t>
            </w:r>
            <w:r>
              <w:rPr>
                <w:rFonts w:hint="eastAsia"/>
                <w:color w:val="000000" w:themeColor="text1"/>
                <w:spacing w:val="3"/>
                <w:sz w:val="24"/>
                <w:szCs w:val="24"/>
                <w:highlight w:val="none"/>
                <w:lang w:eastAsia="zh-CN"/>
                <w14:textFill>
                  <w14:solidFill>
                    <w14:schemeClr w14:val="tx1"/>
                  </w14:solidFill>
                </w14:textFill>
              </w:rPr>
              <w:t>%合同价格</w:t>
            </w:r>
            <w:r>
              <w:rPr>
                <w:rFonts w:hint="eastAsia"/>
                <w:color w:val="000000" w:themeColor="text1"/>
                <w:spacing w:val="-23"/>
                <w:position w:val="11"/>
                <w:sz w:val="24"/>
                <w:szCs w:val="24"/>
                <w:highlight w:val="none"/>
                <w:lang w:eastAsia="zh-CN"/>
                <w14:textFill>
                  <w14:solidFill>
                    <w14:schemeClr w14:val="tx1"/>
                  </w14:solidFill>
                </w14:textFill>
              </w:rPr>
              <w:t xml:space="preserve"> </w:t>
            </w:r>
            <w:r>
              <w:rPr>
                <w:rFonts w:hint="eastAsia"/>
                <w:color w:val="000000" w:themeColor="text1"/>
                <w:spacing w:val="3"/>
                <w:sz w:val="24"/>
                <w:szCs w:val="24"/>
                <w:highlight w:val="none"/>
                <w:lang w:eastAsia="zh-CN"/>
                <w14:textFill>
                  <w14:solidFill>
                    <w14:schemeClr w14:val="tx1"/>
                  </w14:solidFill>
                </w14:textFill>
              </w:rPr>
              <w:t>,若交工验收时承包人具</w:t>
            </w:r>
            <w:r>
              <w:rPr>
                <w:rFonts w:hint="eastAsia"/>
                <w:color w:val="000000" w:themeColor="text1"/>
                <w:spacing w:val="6"/>
                <w:sz w:val="24"/>
                <w:szCs w:val="24"/>
                <w:highlight w:val="none"/>
                <w:lang w:eastAsia="zh-CN"/>
                <w14:textFill>
                  <w14:solidFill>
                    <w14:schemeClr w14:val="tx1"/>
                  </w14:solidFill>
                </w14:textFill>
              </w:rPr>
              <w:t>备被养护项目所在地省级交通运输主管部门评定的最高信用等</w:t>
            </w:r>
            <w:r>
              <w:rPr>
                <w:rFonts w:hint="eastAsia"/>
                <w:color w:val="000000" w:themeColor="text1"/>
                <w:spacing w:val="-1"/>
                <w:sz w:val="24"/>
                <w:szCs w:val="24"/>
                <w:highlight w:val="none"/>
                <w:lang w:eastAsia="zh-CN"/>
                <w14:textFill>
                  <w14:solidFill>
                    <w14:schemeClr w14:val="tx1"/>
                  </w14:solidFill>
                </w14:textFill>
              </w:rPr>
              <w:t>级，发包人给予</w:t>
            </w:r>
            <w:r>
              <w:rPr>
                <w:rFonts w:hint="eastAsia"/>
                <w:color w:val="000000" w:themeColor="text1"/>
                <w:spacing w:val="-1"/>
                <w:sz w:val="24"/>
                <w:szCs w:val="24"/>
                <w:highlight w:val="none"/>
                <w:u w:val="single"/>
                <w:lang w:eastAsia="zh-CN"/>
                <w14:textFill>
                  <w14:solidFill>
                    <w14:schemeClr w14:val="tx1"/>
                  </w14:solidFill>
                </w14:textFill>
              </w:rPr>
              <w:t xml:space="preserve"> / </w:t>
            </w:r>
            <w:r>
              <w:rPr>
                <w:rFonts w:hint="eastAsia"/>
                <w:color w:val="000000" w:themeColor="text1"/>
                <w:spacing w:val="-107"/>
                <w:sz w:val="24"/>
                <w:szCs w:val="24"/>
                <w:highlight w:val="none"/>
                <w:lang w:eastAsia="zh-CN"/>
                <w14:textFill>
                  <w14:solidFill>
                    <w14:schemeClr w14:val="tx1"/>
                  </w14:solidFill>
                </w14:textFill>
              </w:rPr>
              <w:t xml:space="preserve"> </w:t>
            </w:r>
            <w:r>
              <w:rPr>
                <w:rFonts w:hint="eastAsia"/>
                <w:color w:val="000000" w:themeColor="text1"/>
                <w:spacing w:val="-1"/>
                <w:sz w:val="24"/>
                <w:szCs w:val="24"/>
                <w:highlight w:val="none"/>
                <w:lang w:eastAsia="zh-CN"/>
                <w14:textFill>
                  <w14:solidFill>
                    <w14:schemeClr w14:val="tx1"/>
                  </w14:solidFill>
                </w14:textFill>
              </w:rPr>
              <w:t>%合同价格质量保证金的优惠。</w:t>
            </w:r>
          </w:p>
          <w:p w14:paraId="2C0EB341">
            <w:pPr>
              <w:pStyle w:val="471"/>
              <w:spacing w:line="360" w:lineRule="auto"/>
              <w:ind w:left="115"/>
              <w:rPr>
                <w:color w:val="000000" w:themeColor="text1"/>
                <w:sz w:val="24"/>
                <w:szCs w:val="24"/>
                <w:highlight w:val="none"/>
                <w:u w:val="single"/>
                <w:lang w:eastAsia="zh-CN"/>
                <w14:textFill>
                  <w14:solidFill>
                    <w14:schemeClr w14:val="tx1"/>
                  </w14:solidFill>
                </w14:textFill>
              </w:rPr>
            </w:pPr>
            <w:r>
              <w:rPr>
                <w:rFonts w:hint="eastAsia"/>
                <w:color w:val="000000" w:themeColor="text1"/>
                <w:spacing w:val="-1"/>
                <w:sz w:val="24"/>
                <w:szCs w:val="24"/>
                <w:highlight w:val="none"/>
                <w:lang w:eastAsia="zh-CN"/>
                <w14:textFill>
                  <w14:solidFill>
                    <w14:schemeClr w14:val="tx1"/>
                  </w14:solidFill>
                </w14:textFill>
              </w:rPr>
              <w:t>质量保证金可采用的其他形式：</w:t>
            </w:r>
            <w:r>
              <w:rPr>
                <w:rFonts w:hint="eastAsia"/>
                <w:color w:val="000000" w:themeColor="text1"/>
                <w:sz w:val="24"/>
                <w:szCs w:val="24"/>
                <w:highlight w:val="none"/>
                <w:u w:val="single"/>
                <w:lang w:eastAsia="zh-CN"/>
                <w14:textFill>
                  <w14:solidFill>
                    <w14:schemeClr w14:val="tx1"/>
                  </w14:solidFill>
                </w14:textFill>
              </w:rPr>
              <w:t>银行转账、支票、银行汇票、银行本票或者金融、担保机构出具的保函等非现金</w:t>
            </w:r>
          </w:p>
          <w:p w14:paraId="4FFE339A">
            <w:pPr>
              <w:pStyle w:val="471"/>
              <w:spacing w:line="360" w:lineRule="auto"/>
              <w:ind w:left="115"/>
              <w:rPr>
                <w:color w:val="000000" w:themeColor="text1"/>
                <w:sz w:val="24"/>
                <w:szCs w:val="24"/>
                <w:highlight w:val="none"/>
                <w:lang w:eastAsia="zh-CN"/>
                <w14:textFill>
                  <w14:solidFill>
                    <w14:schemeClr w14:val="tx1"/>
                  </w14:solidFill>
                </w14:textFill>
              </w:rPr>
            </w:pPr>
            <w:r>
              <w:rPr>
                <w:rFonts w:hint="eastAsia"/>
                <w:color w:val="000000" w:themeColor="text1"/>
                <w:spacing w:val="-1"/>
                <w:sz w:val="24"/>
                <w:szCs w:val="24"/>
                <w:highlight w:val="none"/>
                <w:lang w:eastAsia="zh-CN"/>
                <w14:textFill>
                  <w14:solidFill>
                    <w14:schemeClr w14:val="tx1"/>
                  </w14:solidFill>
                </w14:textFill>
              </w:rPr>
              <w:t>质量保证金利息的计算方式：</w:t>
            </w:r>
            <w:r>
              <w:rPr>
                <w:rFonts w:hint="eastAsia"/>
                <w:color w:val="000000" w:themeColor="text1"/>
                <w:sz w:val="24"/>
                <w:szCs w:val="24"/>
                <w:highlight w:val="none"/>
                <w:u w:val="single"/>
                <w:lang w:eastAsia="zh-CN"/>
                <w14:textFill>
                  <w14:solidFill>
                    <w14:schemeClr w14:val="tx1"/>
                  </w14:solidFill>
                </w14:textFill>
              </w:rPr>
              <w:t>不计利息</w:t>
            </w:r>
          </w:p>
        </w:tc>
      </w:tr>
      <w:tr w14:paraId="055D1E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5" w:hRule="atLeast"/>
        </w:trPr>
        <w:tc>
          <w:tcPr>
            <w:tcW w:w="624" w:type="dxa"/>
          </w:tcPr>
          <w:p w14:paraId="3B2E94B3">
            <w:pPr>
              <w:spacing w:line="360" w:lineRule="auto"/>
              <w:rPr>
                <w:rFonts w:ascii="Arial"/>
                <w:color w:val="000000" w:themeColor="text1"/>
                <w:sz w:val="24"/>
                <w:szCs w:val="24"/>
                <w:highlight w:val="none"/>
                <w14:textFill>
                  <w14:solidFill>
                    <w14:schemeClr w14:val="tx1"/>
                  </w14:solidFill>
                </w14:textFill>
              </w:rPr>
            </w:pPr>
          </w:p>
          <w:p w14:paraId="0EDF4974">
            <w:pPr>
              <w:spacing w:before="69" w:line="360" w:lineRule="auto"/>
              <w:ind w:left="268"/>
              <w:rPr>
                <w:rFonts w:eastAsia="Times New Roman"/>
                <w:color w:val="000000" w:themeColor="text1"/>
                <w:sz w:val="24"/>
                <w:szCs w:val="24"/>
                <w:highlight w:val="none"/>
                <w14:textFill>
                  <w14:solidFill>
                    <w14:schemeClr w14:val="tx1"/>
                  </w14:solidFill>
                </w14:textFill>
              </w:rPr>
            </w:pPr>
            <w:r>
              <w:rPr>
                <w:rFonts w:eastAsia="Times New Roman"/>
                <w:color w:val="000000" w:themeColor="text1"/>
                <w:spacing w:val="-3"/>
                <w:sz w:val="24"/>
                <w:szCs w:val="24"/>
                <w:highlight w:val="none"/>
                <w14:textFill>
                  <w14:solidFill>
                    <w14:schemeClr w14:val="tx1"/>
                  </w14:solidFill>
                </w14:textFill>
              </w:rPr>
              <w:t>20</w:t>
            </w:r>
          </w:p>
        </w:tc>
        <w:tc>
          <w:tcPr>
            <w:tcW w:w="1536" w:type="dxa"/>
          </w:tcPr>
          <w:p w14:paraId="26202027">
            <w:pPr>
              <w:spacing w:before="186" w:line="360" w:lineRule="auto"/>
              <w:ind w:left="417"/>
              <w:rPr>
                <w:rFonts w:eastAsia="Times New Roman"/>
                <w:color w:val="000000" w:themeColor="text1"/>
                <w:sz w:val="24"/>
                <w:szCs w:val="24"/>
                <w:highlight w:val="none"/>
                <w14:textFill>
                  <w14:solidFill>
                    <w14:schemeClr w14:val="tx1"/>
                  </w14:solidFill>
                </w14:textFill>
              </w:rPr>
            </w:pPr>
            <w:r>
              <w:rPr>
                <w:rFonts w:eastAsia="Times New Roman"/>
                <w:color w:val="000000" w:themeColor="text1"/>
                <w:spacing w:val="-5"/>
                <w:sz w:val="24"/>
                <w:szCs w:val="24"/>
                <w:highlight w:val="none"/>
                <w14:textFill>
                  <w14:solidFill>
                    <w14:schemeClr w14:val="tx1"/>
                  </w14:solidFill>
                </w14:textFill>
              </w:rPr>
              <w:t>17.5.1</w:t>
            </w:r>
          </w:p>
          <w:p w14:paraId="3325DFB9">
            <w:pPr>
              <w:pStyle w:val="471"/>
              <w:spacing w:before="125" w:line="360" w:lineRule="auto"/>
              <w:ind w:left="410"/>
              <w:rPr>
                <w:color w:val="000000" w:themeColor="text1"/>
                <w:sz w:val="24"/>
                <w:szCs w:val="24"/>
                <w:highlight w:val="none"/>
                <w14:textFill>
                  <w14:solidFill>
                    <w14:schemeClr w14:val="tx1"/>
                  </w14:solidFill>
                </w14:textFill>
              </w:rPr>
            </w:pPr>
            <w:r>
              <w:rPr>
                <w:color w:val="000000" w:themeColor="text1"/>
                <w:spacing w:val="-7"/>
                <w:sz w:val="24"/>
                <w:szCs w:val="24"/>
                <w:highlight w:val="none"/>
                <w14:textFill>
                  <w14:solidFill>
                    <w14:schemeClr w14:val="tx1"/>
                  </w14:solidFill>
                </w14:textFill>
              </w:rPr>
              <w:t>（</w:t>
            </w:r>
            <w:r>
              <w:rPr>
                <w:rFonts w:ascii="Times New Roman" w:hAnsi="Times New Roman" w:eastAsia="Times New Roman" w:cs="Times New Roman"/>
                <w:color w:val="000000" w:themeColor="text1"/>
                <w:spacing w:val="-7"/>
                <w:sz w:val="24"/>
                <w:szCs w:val="24"/>
                <w:highlight w:val="none"/>
                <w14:textFill>
                  <w14:solidFill>
                    <w14:schemeClr w14:val="tx1"/>
                  </w14:solidFill>
                </w14:textFill>
              </w:rPr>
              <w:t>1</w:t>
            </w:r>
            <w:r>
              <w:rPr>
                <w:color w:val="000000" w:themeColor="text1"/>
                <w:spacing w:val="-7"/>
                <w:sz w:val="24"/>
                <w:szCs w:val="24"/>
                <w:highlight w:val="none"/>
                <w14:textFill>
                  <w14:solidFill>
                    <w14:schemeClr w14:val="tx1"/>
                  </w14:solidFill>
                </w14:textFill>
              </w:rPr>
              <w:t>）</w:t>
            </w:r>
          </w:p>
        </w:tc>
        <w:tc>
          <w:tcPr>
            <w:tcW w:w="7324" w:type="dxa"/>
          </w:tcPr>
          <w:p w14:paraId="0BE2F109">
            <w:pPr>
              <w:pStyle w:val="471"/>
              <w:spacing w:before="126" w:line="360" w:lineRule="auto"/>
              <w:ind w:left="114" w:right="105"/>
              <w:rPr>
                <w:color w:val="000000" w:themeColor="text1"/>
                <w:sz w:val="24"/>
                <w:szCs w:val="24"/>
                <w:highlight w:val="none"/>
                <w:lang w:eastAsia="zh-CN"/>
                <w14:textFill>
                  <w14:solidFill>
                    <w14:schemeClr w14:val="tx1"/>
                  </w14:solidFill>
                </w14:textFill>
              </w:rPr>
            </w:pPr>
            <w:r>
              <w:rPr>
                <w:rFonts w:hint="eastAsia"/>
                <w:color w:val="000000" w:themeColor="text1"/>
                <w:spacing w:val="7"/>
                <w:sz w:val="24"/>
                <w:szCs w:val="24"/>
                <w:highlight w:val="none"/>
                <w:lang w:eastAsia="zh-CN"/>
                <w14:textFill>
                  <w14:solidFill>
                    <w14:schemeClr w14:val="tx1"/>
                  </w14:solidFill>
                </w14:textFill>
              </w:rPr>
              <w:t>承包人向咨询人提交交工付款申请单（包括</w:t>
            </w:r>
            <w:r>
              <w:rPr>
                <w:rFonts w:hint="eastAsia"/>
                <w:color w:val="000000" w:themeColor="text1"/>
                <w:spacing w:val="6"/>
                <w:sz w:val="24"/>
                <w:szCs w:val="24"/>
                <w:highlight w:val="none"/>
                <w:lang w:eastAsia="zh-CN"/>
                <w14:textFill>
                  <w14:solidFill>
                    <w14:schemeClr w14:val="tx1"/>
                  </w14:solidFill>
                </w14:textFill>
              </w:rPr>
              <w:t>相关证明材料）的</w:t>
            </w:r>
            <w:r>
              <w:rPr>
                <w:rFonts w:hint="eastAsia"/>
                <w:color w:val="000000" w:themeColor="text1"/>
                <w:spacing w:val="-1"/>
                <w:sz w:val="24"/>
                <w:szCs w:val="24"/>
                <w:highlight w:val="none"/>
                <w:lang w:eastAsia="zh-CN"/>
                <w14:textFill>
                  <w14:solidFill>
                    <w14:schemeClr w14:val="tx1"/>
                  </w14:solidFill>
                </w14:textFill>
              </w:rPr>
              <w:t>份数：</w:t>
            </w:r>
            <w:r>
              <w:rPr>
                <w:rFonts w:hint="eastAsia"/>
                <w:color w:val="000000" w:themeColor="text1"/>
                <w:spacing w:val="-1"/>
                <w:sz w:val="24"/>
                <w:szCs w:val="24"/>
                <w:highlight w:val="none"/>
                <w:u w:val="single"/>
                <w:lang w:eastAsia="zh-CN"/>
                <w14:textFill>
                  <w14:solidFill>
                    <w14:schemeClr w14:val="tx1"/>
                  </w14:solidFill>
                </w14:textFill>
              </w:rPr>
              <w:t xml:space="preserve"> 5  </w:t>
            </w:r>
            <w:r>
              <w:rPr>
                <w:rFonts w:hint="eastAsia"/>
                <w:color w:val="000000" w:themeColor="text1"/>
                <w:spacing w:val="-1"/>
                <w:sz w:val="24"/>
                <w:szCs w:val="24"/>
                <w:highlight w:val="none"/>
                <w:lang w:eastAsia="zh-CN"/>
                <w14:textFill>
                  <w14:solidFill>
                    <w14:schemeClr w14:val="tx1"/>
                  </w14:solidFill>
                </w14:textFill>
              </w:rPr>
              <w:t>份</w:t>
            </w:r>
          </w:p>
        </w:tc>
      </w:tr>
      <w:tr w14:paraId="498240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5" w:hRule="atLeast"/>
        </w:trPr>
        <w:tc>
          <w:tcPr>
            <w:tcW w:w="624" w:type="dxa"/>
          </w:tcPr>
          <w:p w14:paraId="2E5A75FC">
            <w:pPr>
              <w:spacing w:line="360" w:lineRule="auto"/>
              <w:rPr>
                <w:rFonts w:ascii="Arial"/>
                <w:color w:val="000000" w:themeColor="text1"/>
                <w:sz w:val="24"/>
                <w:szCs w:val="24"/>
                <w:highlight w:val="none"/>
                <w14:textFill>
                  <w14:solidFill>
                    <w14:schemeClr w14:val="tx1"/>
                  </w14:solidFill>
                </w14:textFill>
              </w:rPr>
            </w:pPr>
          </w:p>
          <w:p w14:paraId="4EA4A32E">
            <w:pPr>
              <w:spacing w:before="69" w:line="360" w:lineRule="auto"/>
              <w:ind w:left="268"/>
              <w:rPr>
                <w:rFonts w:eastAsia="Times New Roman"/>
                <w:color w:val="000000" w:themeColor="text1"/>
                <w:sz w:val="24"/>
                <w:szCs w:val="24"/>
                <w:highlight w:val="none"/>
                <w14:textFill>
                  <w14:solidFill>
                    <w14:schemeClr w14:val="tx1"/>
                  </w14:solidFill>
                </w14:textFill>
              </w:rPr>
            </w:pPr>
            <w:r>
              <w:rPr>
                <w:rFonts w:eastAsia="Times New Roman"/>
                <w:color w:val="000000" w:themeColor="text1"/>
                <w:spacing w:val="-3"/>
                <w:sz w:val="24"/>
                <w:szCs w:val="24"/>
                <w:highlight w:val="none"/>
                <w14:textFill>
                  <w14:solidFill>
                    <w14:schemeClr w14:val="tx1"/>
                  </w14:solidFill>
                </w14:textFill>
              </w:rPr>
              <w:t>21</w:t>
            </w:r>
          </w:p>
        </w:tc>
        <w:tc>
          <w:tcPr>
            <w:tcW w:w="1536" w:type="dxa"/>
          </w:tcPr>
          <w:p w14:paraId="7AB33DC8">
            <w:pPr>
              <w:spacing w:before="187" w:line="360" w:lineRule="auto"/>
              <w:ind w:left="417"/>
              <w:rPr>
                <w:rFonts w:eastAsia="Times New Roman"/>
                <w:color w:val="000000" w:themeColor="text1"/>
                <w:sz w:val="24"/>
                <w:szCs w:val="24"/>
                <w:highlight w:val="none"/>
                <w14:textFill>
                  <w14:solidFill>
                    <w14:schemeClr w14:val="tx1"/>
                  </w14:solidFill>
                </w14:textFill>
              </w:rPr>
            </w:pPr>
            <w:r>
              <w:rPr>
                <w:rFonts w:eastAsia="Times New Roman"/>
                <w:color w:val="000000" w:themeColor="text1"/>
                <w:spacing w:val="-5"/>
                <w:sz w:val="24"/>
                <w:szCs w:val="24"/>
                <w:highlight w:val="none"/>
                <w14:textFill>
                  <w14:solidFill>
                    <w14:schemeClr w14:val="tx1"/>
                  </w14:solidFill>
                </w14:textFill>
              </w:rPr>
              <w:t>17.6.1</w:t>
            </w:r>
          </w:p>
          <w:p w14:paraId="4DA41078">
            <w:pPr>
              <w:pStyle w:val="471"/>
              <w:spacing w:before="123" w:line="360" w:lineRule="auto"/>
              <w:ind w:left="410"/>
              <w:rPr>
                <w:color w:val="000000" w:themeColor="text1"/>
                <w:sz w:val="24"/>
                <w:szCs w:val="24"/>
                <w:highlight w:val="none"/>
                <w14:textFill>
                  <w14:solidFill>
                    <w14:schemeClr w14:val="tx1"/>
                  </w14:solidFill>
                </w14:textFill>
              </w:rPr>
            </w:pPr>
            <w:r>
              <w:rPr>
                <w:color w:val="000000" w:themeColor="text1"/>
                <w:spacing w:val="-7"/>
                <w:sz w:val="24"/>
                <w:szCs w:val="24"/>
                <w:highlight w:val="none"/>
                <w14:textFill>
                  <w14:solidFill>
                    <w14:schemeClr w14:val="tx1"/>
                  </w14:solidFill>
                </w14:textFill>
              </w:rPr>
              <w:t>（</w:t>
            </w:r>
            <w:r>
              <w:rPr>
                <w:rFonts w:ascii="Times New Roman" w:hAnsi="Times New Roman" w:eastAsia="Times New Roman" w:cs="Times New Roman"/>
                <w:color w:val="000000" w:themeColor="text1"/>
                <w:spacing w:val="-7"/>
                <w:sz w:val="24"/>
                <w:szCs w:val="24"/>
                <w:highlight w:val="none"/>
                <w14:textFill>
                  <w14:solidFill>
                    <w14:schemeClr w14:val="tx1"/>
                  </w14:solidFill>
                </w14:textFill>
              </w:rPr>
              <w:t>1</w:t>
            </w:r>
            <w:r>
              <w:rPr>
                <w:color w:val="000000" w:themeColor="text1"/>
                <w:spacing w:val="-7"/>
                <w:sz w:val="24"/>
                <w:szCs w:val="24"/>
                <w:highlight w:val="none"/>
                <w14:textFill>
                  <w14:solidFill>
                    <w14:schemeClr w14:val="tx1"/>
                  </w14:solidFill>
                </w14:textFill>
              </w:rPr>
              <w:t>）</w:t>
            </w:r>
          </w:p>
        </w:tc>
        <w:tc>
          <w:tcPr>
            <w:tcW w:w="7324" w:type="dxa"/>
          </w:tcPr>
          <w:p w14:paraId="77F3EAD8">
            <w:pPr>
              <w:pStyle w:val="471"/>
              <w:spacing w:before="126" w:line="360" w:lineRule="auto"/>
              <w:ind w:left="114" w:right="105"/>
              <w:rPr>
                <w:color w:val="000000" w:themeColor="text1"/>
                <w:sz w:val="24"/>
                <w:szCs w:val="24"/>
                <w:highlight w:val="none"/>
                <w:lang w:eastAsia="zh-CN"/>
                <w14:textFill>
                  <w14:solidFill>
                    <w14:schemeClr w14:val="tx1"/>
                  </w14:solidFill>
                </w14:textFill>
              </w:rPr>
            </w:pPr>
            <w:r>
              <w:rPr>
                <w:rFonts w:hint="eastAsia"/>
                <w:color w:val="000000" w:themeColor="text1"/>
                <w:spacing w:val="7"/>
                <w:sz w:val="24"/>
                <w:szCs w:val="24"/>
                <w:highlight w:val="none"/>
                <w:lang w:eastAsia="zh-CN"/>
                <w14:textFill>
                  <w14:solidFill>
                    <w14:schemeClr w14:val="tx1"/>
                  </w14:solidFill>
                </w14:textFill>
              </w:rPr>
              <w:t>承包人向咨询人提交最终结清申请单（包括</w:t>
            </w:r>
            <w:r>
              <w:rPr>
                <w:rFonts w:hint="eastAsia"/>
                <w:color w:val="000000" w:themeColor="text1"/>
                <w:spacing w:val="6"/>
                <w:sz w:val="24"/>
                <w:szCs w:val="24"/>
                <w:highlight w:val="none"/>
                <w:lang w:eastAsia="zh-CN"/>
                <w14:textFill>
                  <w14:solidFill>
                    <w14:schemeClr w14:val="tx1"/>
                  </w14:solidFill>
                </w14:textFill>
              </w:rPr>
              <w:t>相关证明材料）的</w:t>
            </w:r>
            <w:r>
              <w:rPr>
                <w:rFonts w:hint="eastAsia"/>
                <w:color w:val="000000" w:themeColor="text1"/>
                <w:spacing w:val="-1"/>
                <w:sz w:val="24"/>
                <w:szCs w:val="24"/>
                <w:highlight w:val="none"/>
                <w:lang w:eastAsia="zh-CN"/>
                <w14:textFill>
                  <w14:solidFill>
                    <w14:schemeClr w14:val="tx1"/>
                  </w14:solidFill>
                </w14:textFill>
              </w:rPr>
              <w:t>份数：</w:t>
            </w:r>
            <w:r>
              <w:rPr>
                <w:rFonts w:hint="eastAsia"/>
                <w:color w:val="000000" w:themeColor="text1"/>
                <w:spacing w:val="-1"/>
                <w:sz w:val="24"/>
                <w:szCs w:val="24"/>
                <w:highlight w:val="none"/>
                <w:u w:val="single"/>
                <w:lang w:eastAsia="zh-CN"/>
                <w14:textFill>
                  <w14:solidFill>
                    <w14:schemeClr w14:val="tx1"/>
                  </w14:solidFill>
                </w14:textFill>
              </w:rPr>
              <w:t xml:space="preserve"> 5  </w:t>
            </w:r>
            <w:r>
              <w:rPr>
                <w:rFonts w:hint="eastAsia"/>
                <w:color w:val="000000" w:themeColor="text1"/>
                <w:spacing w:val="-1"/>
                <w:sz w:val="24"/>
                <w:szCs w:val="24"/>
                <w:highlight w:val="none"/>
                <w:lang w:eastAsia="zh-CN"/>
                <w14:textFill>
                  <w14:solidFill>
                    <w14:schemeClr w14:val="tx1"/>
                  </w14:solidFill>
                </w14:textFill>
              </w:rPr>
              <w:t>份</w:t>
            </w:r>
          </w:p>
        </w:tc>
      </w:tr>
      <w:tr w14:paraId="05E434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5" w:hRule="atLeast"/>
        </w:trPr>
        <w:tc>
          <w:tcPr>
            <w:tcW w:w="624" w:type="dxa"/>
          </w:tcPr>
          <w:p w14:paraId="14F4964A">
            <w:pPr>
              <w:spacing w:line="360" w:lineRule="auto"/>
              <w:rPr>
                <w:rFonts w:ascii="Arial"/>
                <w:color w:val="000000" w:themeColor="text1"/>
                <w:sz w:val="24"/>
                <w:szCs w:val="24"/>
                <w:highlight w:val="none"/>
                <w14:textFill>
                  <w14:solidFill>
                    <w14:schemeClr w14:val="tx1"/>
                  </w14:solidFill>
                </w14:textFill>
              </w:rPr>
            </w:pPr>
          </w:p>
          <w:p w14:paraId="50686B5C">
            <w:pPr>
              <w:spacing w:before="69" w:line="360" w:lineRule="auto"/>
              <w:ind w:left="268"/>
              <w:rPr>
                <w:rFonts w:eastAsia="Times New Roman"/>
                <w:color w:val="000000" w:themeColor="text1"/>
                <w:sz w:val="24"/>
                <w:szCs w:val="24"/>
                <w:highlight w:val="none"/>
                <w14:textFill>
                  <w14:solidFill>
                    <w14:schemeClr w14:val="tx1"/>
                  </w14:solidFill>
                </w14:textFill>
              </w:rPr>
            </w:pPr>
            <w:r>
              <w:rPr>
                <w:rFonts w:eastAsia="Times New Roman"/>
                <w:color w:val="000000" w:themeColor="text1"/>
                <w:spacing w:val="-3"/>
                <w:sz w:val="24"/>
                <w:szCs w:val="24"/>
                <w:highlight w:val="none"/>
                <w14:textFill>
                  <w14:solidFill>
                    <w14:schemeClr w14:val="tx1"/>
                  </w14:solidFill>
                </w14:textFill>
              </w:rPr>
              <w:t>22</w:t>
            </w:r>
          </w:p>
        </w:tc>
        <w:tc>
          <w:tcPr>
            <w:tcW w:w="1536" w:type="dxa"/>
          </w:tcPr>
          <w:p w14:paraId="0CFB2FD1">
            <w:pPr>
              <w:spacing w:line="360" w:lineRule="auto"/>
              <w:rPr>
                <w:rFonts w:ascii="Arial"/>
                <w:color w:val="000000" w:themeColor="text1"/>
                <w:sz w:val="24"/>
                <w:szCs w:val="24"/>
                <w:highlight w:val="none"/>
                <w14:textFill>
                  <w14:solidFill>
                    <w14:schemeClr w14:val="tx1"/>
                  </w14:solidFill>
                </w14:textFill>
              </w:rPr>
            </w:pPr>
          </w:p>
          <w:p w14:paraId="02D17A75">
            <w:pPr>
              <w:spacing w:before="69" w:line="360" w:lineRule="auto"/>
              <w:ind w:left="417"/>
              <w:rPr>
                <w:rFonts w:eastAsia="Times New Roman"/>
                <w:color w:val="000000" w:themeColor="text1"/>
                <w:sz w:val="24"/>
                <w:szCs w:val="24"/>
                <w:highlight w:val="none"/>
                <w14:textFill>
                  <w14:solidFill>
                    <w14:schemeClr w14:val="tx1"/>
                  </w14:solidFill>
                </w14:textFill>
              </w:rPr>
            </w:pPr>
            <w:r>
              <w:rPr>
                <w:rFonts w:eastAsia="Times New Roman"/>
                <w:color w:val="000000" w:themeColor="text1"/>
                <w:spacing w:val="-5"/>
                <w:sz w:val="24"/>
                <w:szCs w:val="24"/>
                <w:highlight w:val="none"/>
                <w14:textFill>
                  <w14:solidFill>
                    <w14:schemeClr w14:val="tx1"/>
                  </w14:solidFill>
                </w14:textFill>
              </w:rPr>
              <w:t>18.3.1</w:t>
            </w:r>
          </w:p>
        </w:tc>
        <w:tc>
          <w:tcPr>
            <w:tcW w:w="7324" w:type="dxa"/>
          </w:tcPr>
          <w:p w14:paraId="40E56A36">
            <w:pPr>
              <w:pStyle w:val="471"/>
              <w:spacing w:before="127" w:line="360" w:lineRule="auto"/>
              <w:ind w:left="114"/>
              <w:rPr>
                <w:color w:val="000000" w:themeColor="text1"/>
                <w:sz w:val="24"/>
                <w:szCs w:val="24"/>
                <w:highlight w:val="none"/>
                <w:lang w:eastAsia="zh-CN"/>
                <w14:textFill>
                  <w14:solidFill>
                    <w14:schemeClr w14:val="tx1"/>
                  </w14:solidFill>
                </w14:textFill>
              </w:rPr>
            </w:pPr>
            <w:r>
              <w:rPr>
                <w:rFonts w:hint="eastAsia"/>
                <w:color w:val="000000" w:themeColor="text1"/>
                <w:spacing w:val="-1"/>
                <w:sz w:val="24"/>
                <w:szCs w:val="24"/>
                <w:highlight w:val="none"/>
                <w:lang w:eastAsia="zh-CN"/>
                <w14:textFill>
                  <w14:solidFill>
                    <w14:schemeClr w14:val="tx1"/>
                  </w14:solidFill>
                </w14:textFill>
              </w:rPr>
              <w:t>承包人提供工程验收资料和验收申请报告的期限：</w:t>
            </w:r>
            <w:r>
              <w:rPr>
                <w:rFonts w:hint="eastAsia"/>
                <w:color w:val="000000" w:themeColor="text1"/>
                <w:spacing w:val="1"/>
                <w:sz w:val="24"/>
                <w:szCs w:val="24"/>
                <w:highlight w:val="none"/>
                <w:u w:val="single"/>
                <w:lang w:eastAsia="zh-CN"/>
                <w14:textFill>
                  <w14:solidFill>
                    <w14:schemeClr w14:val="tx1"/>
                  </w14:solidFill>
                </w14:textFill>
              </w:rPr>
              <w:t xml:space="preserve">   30天   </w:t>
            </w:r>
          </w:p>
          <w:p w14:paraId="0322848C">
            <w:pPr>
              <w:pStyle w:val="471"/>
              <w:spacing w:before="117" w:line="360" w:lineRule="auto"/>
              <w:ind w:left="114"/>
              <w:rPr>
                <w:color w:val="000000" w:themeColor="text1"/>
                <w:sz w:val="24"/>
                <w:szCs w:val="24"/>
                <w:highlight w:val="none"/>
                <w:lang w:eastAsia="zh-CN"/>
                <w14:textFill>
                  <w14:solidFill>
                    <w14:schemeClr w14:val="tx1"/>
                  </w14:solidFill>
                </w14:textFill>
              </w:rPr>
            </w:pPr>
            <w:r>
              <w:rPr>
                <w:rFonts w:hint="eastAsia"/>
                <w:color w:val="000000" w:themeColor="text1"/>
                <w:spacing w:val="-1"/>
                <w:sz w:val="24"/>
                <w:szCs w:val="24"/>
                <w:highlight w:val="none"/>
                <w:lang w:eastAsia="zh-CN"/>
                <w14:textFill>
                  <w14:solidFill>
                    <w14:schemeClr w14:val="tx1"/>
                  </w14:solidFill>
                </w14:textFill>
              </w:rPr>
              <w:t>承包人提供工程验收资料和验收申请报告的份数：</w:t>
            </w:r>
            <w:r>
              <w:rPr>
                <w:rFonts w:hint="eastAsia"/>
                <w:color w:val="000000" w:themeColor="text1"/>
                <w:spacing w:val="-1"/>
                <w:sz w:val="24"/>
                <w:szCs w:val="24"/>
                <w:highlight w:val="none"/>
                <w:u w:val="single"/>
                <w:lang w:eastAsia="zh-CN"/>
                <w14:textFill>
                  <w14:solidFill>
                    <w14:schemeClr w14:val="tx1"/>
                  </w14:solidFill>
                </w14:textFill>
              </w:rPr>
              <w:t xml:space="preserve">   4   </w:t>
            </w:r>
            <w:r>
              <w:rPr>
                <w:rFonts w:hint="eastAsia"/>
                <w:color w:val="000000" w:themeColor="text1"/>
                <w:spacing w:val="-93"/>
                <w:sz w:val="24"/>
                <w:szCs w:val="24"/>
                <w:highlight w:val="none"/>
                <w:lang w:eastAsia="zh-CN"/>
                <w14:textFill>
                  <w14:solidFill>
                    <w14:schemeClr w14:val="tx1"/>
                  </w14:solidFill>
                </w14:textFill>
              </w:rPr>
              <w:t xml:space="preserve"> </w:t>
            </w:r>
            <w:r>
              <w:rPr>
                <w:rFonts w:hint="eastAsia"/>
                <w:color w:val="000000" w:themeColor="text1"/>
                <w:spacing w:val="-1"/>
                <w:sz w:val="24"/>
                <w:szCs w:val="24"/>
                <w:highlight w:val="none"/>
                <w:lang w:eastAsia="zh-CN"/>
                <w14:textFill>
                  <w14:solidFill>
                    <w14:schemeClr w14:val="tx1"/>
                  </w14:solidFill>
                </w14:textFill>
              </w:rPr>
              <w:t>份</w:t>
            </w:r>
          </w:p>
        </w:tc>
      </w:tr>
      <w:tr w14:paraId="488B1F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25" w:hRule="atLeast"/>
        </w:trPr>
        <w:tc>
          <w:tcPr>
            <w:tcW w:w="624" w:type="dxa"/>
            <w:vAlign w:val="center"/>
          </w:tcPr>
          <w:p w14:paraId="67EED391">
            <w:pPr>
              <w:spacing w:before="69" w:line="360" w:lineRule="auto"/>
              <w:ind w:left="268"/>
              <w:jc w:val="both"/>
              <w:rPr>
                <w:rFonts w:eastAsia="Times New Roman"/>
                <w:color w:val="000000" w:themeColor="text1"/>
                <w:sz w:val="24"/>
                <w:szCs w:val="24"/>
                <w:highlight w:val="none"/>
                <w14:textFill>
                  <w14:solidFill>
                    <w14:schemeClr w14:val="tx1"/>
                  </w14:solidFill>
                </w14:textFill>
              </w:rPr>
            </w:pPr>
            <w:r>
              <w:rPr>
                <w:rFonts w:eastAsia="Times New Roman"/>
                <w:color w:val="000000" w:themeColor="text1"/>
                <w:spacing w:val="-3"/>
                <w:sz w:val="24"/>
                <w:szCs w:val="24"/>
                <w:highlight w:val="none"/>
                <w14:textFill>
                  <w14:solidFill>
                    <w14:schemeClr w14:val="tx1"/>
                  </w14:solidFill>
                </w14:textFill>
              </w:rPr>
              <w:t>23</w:t>
            </w:r>
          </w:p>
        </w:tc>
        <w:tc>
          <w:tcPr>
            <w:tcW w:w="1536" w:type="dxa"/>
            <w:vAlign w:val="center"/>
          </w:tcPr>
          <w:p w14:paraId="4AEF59A9">
            <w:pPr>
              <w:spacing w:before="69" w:line="360" w:lineRule="auto"/>
              <w:ind w:left="483"/>
              <w:jc w:val="both"/>
              <w:rPr>
                <w:rFonts w:eastAsia="Times New Roman"/>
                <w:color w:val="000000" w:themeColor="text1"/>
                <w:sz w:val="24"/>
                <w:szCs w:val="24"/>
                <w:highlight w:val="none"/>
                <w14:textFill>
                  <w14:solidFill>
                    <w14:schemeClr w14:val="tx1"/>
                  </w14:solidFill>
                </w14:textFill>
              </w:rPr>
            </w:pPr>
            <w:r>
              <w:rPr>
                <w:rFonts w:eastAsia="Times New Roman"/>
                <w:color w:val="000000" w:themeColor="text1"/>
                <w:spacing w:val="-2"/>
                <w:sz w:val="24"/>
                <w:szCs w:val="24"/>
                <w:highlight w:val="none"/>
                <w14:textFill>
                  <w14:solidFill>
                    <w14:schemeClr w14:val="tx1"/>
                  </w14:solidFill>
                </w14:textFill>
              </w:rPr>
              <w:t>20.1</w:t>
            </w:r>
          </w:p>
        </w:tc>
        <w:tc>
          <w:tcPr>
            <w:tcW w:w="7324" w:type="dxa"/>
          </w:tcPr>
          <w:p w14:paraId="7FFBC17B">
            <w:pPr>
              <w:pStyle w:val="471"/>
              <w:spacing w:before="127" w:line="360" w:lineRule="auto"/>
              <w:ind w:left="114"/>
              <w:rPr>
                <w:color w:val="000000" w:themeColor="text1"/>
                <w:sz w:val="24"/>
                <w:szCs w:val="24"/>
                <w:highlight w:val="none"/>
                <w:lang w:eastAsia="zh-CN"/>
                <w14:textFill>
                  <w14:solidFill>
                    <w14:schemeClr w14:val="tx1"/>
                  </w14:solidFill>
                </w14:textFill>
              </w:rPr>
            </w:pPr>
            <w:r>
              <w:rPr>
                <w:rFonts w:hint="eastAsia"/>
                <w:color w:val="000000" w:themeColor="text1"/>
                <w:spacing w:val="1"/>
                <w:sz w:val="24"/>
                <w:szCs w:val="24"/>
                <w:highlight w:val="none"/>
                <w:lang w:eastAsia="zh-CN"/>
                <w14:textFill>
                  <w14:solidFill>
                    <w14:schemeClr w14:val="tx1"/>
                  </w14:solidFill>
                </w14:textFill>
              </w:rPr>
              <w:t>承包人投保安全生产责任保险</w:t>
            </w:r>
            <w:r>
              <w:rPr>
                <w:rFonts w:hint="eastAsia"/>
                <w:color w:val="000000" w:themeColor="text1"/>
                <w:spacing w:val="-14"/>
                <w:sz w:val="24"/>
                <w:szCs w:val="24"/>
                <w:highlight w:val="none"/>
                <w:lang w:eastAsia="zh-CN"/>
                <w14:textFill>
                  <w14:solidFill>
                    <w14:schemeClr w14:val="tx1"/>
                  </w14:solidFill>
                </w14:textFill>
              </w:rPr>
              <w:t>：</w:t>
            </w:r>
            <w:r>
              <w:rPr>
                <w:rFonts w:hint="eastAsia"/>
                <w:color w:val="000000" w:themeColor="text1"/>
                <w:sz w:val="24"/>
                <w:szCs w:val="24"/>
                <w:highlight w:val="none"/>
                <w:u w:val="single"/>
                <w:lang w:eastAsia="zh-CN"/>
                <w14:textFill>
                  <w14:solidFill>
                    <w14:schemeClr w14:val="tx1"/>
                  </w14:solidFill>
                </w14:textFill>
              </w:rPr>
              <w:t xml:space="preserve"> </w:t>
            </w:r>
            <w:r>
              <w:rPr>
                <w:rFonts w:hint="eastAsia"/>
                <w:color w:val="000000" w:themeColor="text1"/>
                <w:spacing w:val="1"/>
                <w:sz w:val="24"/>
                <w:szCs w:val="24"/>
                <w:highlight w:val="none"/>
                <w:u w:val="single"/>
                <w:lang w:eastAsia="zh-CN"/>
                <w14:textFill>
                  <w14:solidFill>
                    <w14:schemeClr w14:val="tx1"/>
                  </w14:solidFill>
                </w14:textFill>
              </w:rPr>
              <w:t xml:space="preserve">是 </w:t>
            </w:r>
          </w:p>
          <w:p w14:paraId="09662D90">
            <w:pPr>
              <w:pStyle w:val="471"/>
              <w:spacing w:before="116" w:line="360" w:lineRule="auto"/>
              <w:ind w:left="119"/>
              <w:rPr>
                <w:color w:val="000000" w:themeColor="text1"/>
                <w:sz w:val="24"/>
                <w:szCs w:val="24"/>
                <w:highlight w:val="none"/>
                <w:lang w:eastAsia="zh-CN"/>
                <w14:textFill>
                  <w14:solidFill>
                    <w14:schemeClr w14:val="tx1"/>
                  </w14:solidFill>
                </w14:textFill>
              </w:rPr>
            </w:pPr>
            <w:r>
              <w:rPr>
                <w:rFonts w:hint="eastAsia"/>
                <w:color w:val="000000" w:themeColor="text1"/>
                <w:spacing w:val="-2"/>
                <w:sz w:val="24"/>
                <w:szCs w:val="24"/>
                <w:highlight w:val="none"/>
                <w:lang w:eastAsia="zh-CN"/>
                <w14:textFill>
                  <w14:solidFill>
                    <w14:schemeClr w14:val="tx1"/>
                  </w14:solidFill>
                </w14:textFill>
              </w:rPr>
              <w:t>安全生产责任保险保险金额：</w:t>
            </w:r>
            <w:r>
              <w:rPr>
                <w:rFonts w:hint="eastAsia"/>
                <w:color w:val="000000" w:themeColor="text1"/>
                <w:kern w:val="0"/>
                <w:sz w:val="24"/>
                <w:szCs w:val="24"/>
                <w:highlight w:val="none"/>
                <w:u w:val="single"/>
                <w:lang w:val="zh-CN" w:eastAsia="zh-CN"/>
                <w14:textFill>
                  <w14:solidFill>
                    <w14:schemeClr w14:val="tx1"/>
                  </w14:solidFill>
                </w14:textFill>
              </w:rPr>
              <w:t>承包人须购买安全生产责任险，要求累计责任限额不低于500万元，每次事故限额不低于500万元，每人伤亡责任限额不低于100万元，每人医疗费用责任限额不低于30万元，三者财产损失赔偿限额不低于150万元。</w:t>
            </w:r>
            <w:r>
              <w:rPr>
                <w:rFonts w:hint="eastAsia"/>
                <w:color w:val="000000" w:themeColor="text1"/>
                <w:spacing w:val="1"/>
                <w:sz w:val="24"/>
                <w:szCs w:val="24"/>
                <w:highlight w:val="none"/>
                <w:lang w:eastAsia="zh-CN"/>
                <w14:textFill>
                  <w14:solidFill>
                    <w14:schemeClr w14:val="tx1"/>
                  </w14:solidFill>
                </w14:textFill>
              </w:rPr>
              <w:t xml:space="preserve">  </w:t>
            </w:r>
          </w:p>
          <w:p w14:paraId="75E40276">
            <w:pPr>
              <w:pStyle w:val="471"/>
              <w:spacing w:before="27" w:line="360" w:lineRule="auto"/>
              <w:ind w:left="115"/>
              <w:rPr>
                <w:color w:val="000000" w:themeColor="text1"/>
                <w:sz w:val="24"/>
                <w:szCs w:val="24"/>
                <w:highlight w:val="none"/>
                <w:lang w:eastAsia="zh-CN"/>
                <w14:textFill>
                  <w14:solidFill>
                    <w14:schemeClr w14:val="tx1"/>
                  </w14:solidFill>
                </w14:textFill>
              </w:rPr>
            </w:pPr>
            <w:r>
              <w:rPr>
                <w:rFonts w:hint="eastAsia"/>
                <w:color w:val="000000" w:themeColor="text1"/>
                <w:spacing w:val="-3"/>
                <w:sz w:val="24"/>
                <w:szCs w:val="24"/>
                <w:highlight w:val="none"/>
                <w:lang w:eastAsia="zh-CN"/>
                <w14:textFill>
                  <w14:solidFill>
                    <w14:schemeClr w14:val="tx1"/>
                  </w14:solidFill>
                </w14:textFill>
              </w:rPr>
              <w:t>保险期限：</w:t>
            </w:r>
            <w:r>
              <w:rPr>
                <w:rFonts w:hint="eastAsia"/>
                <w:color w:val="000000" w:themeColor="text1"/>
                <w:kern w:val="0"/>
                <w:sz w:val="24"/>
                <w:szCs w:val="24"/>
                <w:highlight w:val="none"/>
                <w:u w:val="single"/>
                <w:lang w:val="zh-CN" w:eastAsia="zh-CN"/>
                <w14:textFill>
                  <w14:solidFill>
                    <w14:schemeClr w14:val="tx1"/>
                  </w14:solidFill>
                </w14:textFill>
              </w:rPr>
              <w:t>自开工之日起至缺陷责任期终止证书颁发前止。</w:t>
            </w:r>
          </w:p>
        </w:tc>
      </w:tr>
      <w:tr w14:paraId="2D477F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9" w:hRule="atLeast"/>
        </w:trPr>
        <w:tc>
          <w:tcPr>
            <w:tcW w:w="624" w:type="dxa"/>
            <w:vAlign w:val="center"/>
          </w:tcPr>
          <w:p w14:paraId="4DE7283F">
            <w:pPr>
              <w:spacing w:before="69" w:line="360" w:lineRule="auto"/>
              <w:jc w:val="center"/>
              <w:rPr>
                <w:rFonts w:eastAsia="Times New Roman"/>
                <w:color w:val="000000" w:themeColor="text1"/>
                <w:sz w:val="24"/>
                <w:szCs w:val="24"/>
                <w:highlight w:val="none"/>
                <w14:textFill>
                  <w14:solidFill>
                    <w14:schemeClr w14:val="tx1"/>
                  </w14:solidFill>
                </w14:textFill>
              </w:rPr>
            </w:pPr>
            <w:r>
              <w:rPr>
                <w:rFonts w:eastAsia="Times New Roman"/>
                <w:color w:val="000000" w:themeColor="text1"/>
                <w:spacing w:val="-3"/>
                <w:sz w:val="24"/>
                <w:szCs w:val="24"/>
                <w:highlight w:val="none"/>
                <w14:textFill>
                  <w14:solidFill>
                    <w14:schemeClr w14:val="tx1"/>
                  </w14:solidFill>
                </w14:textFill>
              </w:rPr>
              <w:t>24</w:t>
            </w:r>
          </w:p>
        </w:tc>
        <w:tc>
          <w:tcPr>
            <w:tcW w:w="1536" w:type="dxa"/>
            <w:vAlign w:val="center"/>
          </w:tcPr>
          <w:p w14:paraId="4EFDB09C">
            <w:pPr>
              <w:spacing w:before="69" w:line="360" w:lineRule="auto"/>
              <w:jc w:val="center"/>
              <w:rPr>
                <w:rFonts w:eastAsia="Times New Roman"/>
                <w:color w:val="000000" w:themeColor="text1"/>
                <w:sz w:val="24"/>
                <w:szCs w:val="24"/>
                <w:highlight w:val="none"/>
                <w14:textFill>
                  <w14:solidFill>
                    <w14:schemeClr w14:val="tx1"/>
                  </w14:solidFill>
                </w14:textFill>
              </w:rPr>
            </w:pPr>
            <w:r>
              <w:rPr>
                <w:rFonts w:eastAsia="Times New Roman"/>
                <w:color w:val="000000" w:themeColor="text1"/>
                <w:spacing w:val="-1"/>
                <w:sz w:val="24"/>
                <w:szCs w:val="24"/>
                <w:highlight w:val="none"/>
                <w14:textFill>
                  <w14:solidFill>
                    <w14:schemeClr w14:val="tx1"/>
                  </w14:solidFill>
                </w14:textFill>
              </w:rPr>
              <w:t>20.2.1</w:t>
            </w:r>
          </w:p>
        </w:tc>
        <w:tc>
          <w:tcPr>
            <w:tcW w:w="7324" w:type="dxa"/>
          </w:tcPr>
          <w:p w14:paraId="59A624AD">
            <w:pPr>
              <w:pStyle w:val="471"/>
              <w:spacing w:before="129" w:line="360" w:lineRule="auto"/>
              <w:ind w:left="115"/>
              <w:rPr>
                <w:color w:val="000000" w:themeColor="text1"/>
                <w:sz w:val="24"/>
                <w:szCs w:val="24"/>
                <w:highlight w:val="none"/>
                <w:lang w:eastAsia="zh-CN"/>
                <w14:textFill>
                  <w14:solidFill>
                    <w14:schemeClr w14:val="tx1"/>
                  </w14:solidFill>
                </w14:textFill>
              </w:rPr>
            </w:pPr>
            <w:r>
              <w:rPr>
                <w:color w:val="000000" w:themeColor="text1"/>
                <w:spacing w:val="-3"/>
                <w:sz w:val="24"/>
                <w:szCs w:val="24"/>
                <w:highlight w:val="none"/>
                <w:lang w:eastAsia="zh-CN"/>
                <w14:textFill>
                  <w14:solidFill>
                    <w14:schemeClr w14:val="tx1"/>
                  </w14:solidFill>
                </w14:textFill>
              </w:rPr>
              <w:t>保险险种</w:t>
            </w:r>
            <w:r>
              <w:rPr>
                <w:color w:val="000000" w:themeColor="text1"/>
                <w:spacing w:val="-5"/>
                <w:sz w:val="24"/>
                <w:szCs w:val="24"/>
                <w:highlight w:val="none"/>
                <w:lang w:eastAsia="zh-CN"/>
                <w14:textFill>
                  <w14:solidFill>
                    <w14:schemeClr w14:val="tx1"/>
                  </w14:solidFill>
                </w14:textFill>
              </w:rPr>
              <w:t>：</w:t>
            </w:r>
            <w:r>
              <w:rPr>
                <w:color w:val="000000" w:themeColor="text1"/>
                <w:spacing w:val="20"/>
                <w:sz w:val="24"/>
                <w:szCs w:val="24"/>
                <w:highlight w:val="none"/>
                <w:u w:val="single"/>
                <w:lang w:eastAsia="zh-CN"/>
                <w14:textFill>
                  <w14:solidFill>
                    <w14:schemeClr w14:val="tx1"/>
                  </w14:solidFill>
                </w14:textFill>
              </w:rPr>
              <w:t xml:space="preserve"> </w:t>
            </w:r>
            <w:r>
              <w:rPr>
                <w:rFonts w:hint="eastAsia"/>
                <w:color w:val="000000" w:themeColor="text1"/>
                <w:spacing w:val="20"/>
                <w:sz w:val="24"/>
                <w:szCs w:val="24"/>
                <w:highlight w:val="none"/>
                <w:u w:val="single"/>
                <w:lang w:eastAsia="zh-CN"/>
                <w14:textFill>
                  <w14:solidFill>
                    <w14:schemeClr w14:val="tx1"/>
                  </w14:solidFill>
                </w14:textFill>
              </w:rPr>
              <w:t xml:space="preserve">/ </w:t>
            </w:r>
            <w:r>
              <w:rPr>
                <w:color w:val="000000" w:themeColor="text1"/>
                <w:spacing w:val="-88"/>
                <w:sz w:val="24"/>
                <w:szCs w:val="24"/>
                <w:highlight w:val="none"/>
                <w:lang w:eastAsia="zh-CN"/>
                <w14:textFill>
                  <w14:solidFill>
                    <w14:schemeClr w14:val="tx1"/>
                  </w14:solidFill>
                </w14:textFill>
              </w:rPr>
              <w:t xml:space="preserve"> </w:t>
            </w:r>
            <w:r>
              <w:rPr>
                <w:color w:val="000000" w:themeColor="text1"/>
                <w:spacing w:val="-5"/>
                <w:sz w:val="24"/>
                <w:szCs w:val="24"/>
                <w:highlight w:val="none"/>
                <w:lang w:eastAsia="zh-CN"/>
                <w14:textFill>
                  <w14:solidFill>
                    <w14:schemeClr w14:val="tx1"/>
                  </w14:solidFill>
                </w14:textFill>
              </w:rPr>
              <w:t>；</w:t>
            </w:r>
            <w:r>
              <w:rPr>
                <w:color w:val="000000" w:themeColor="text1"/>
                <w:spacing w:val="-3"/>
                <w:sz w:val="24"/>
                <w:szCs w:val="24"/>
                <w:highlight w:val="none"/>
                <w:lang w:eastAsia="zh-CN"/>
                <w14:textFill>
                  <w14:solidFill>
                    <w14:schemeClr w14:val="tx1"/>
                  </w14:solidFill>
                </w14:textFill>
              </w:rPr>
              <w:t>保险范围</w:t>
            </w:r>
            <w:r>
              <w:rPr>
                <w:color w:val="000000" w:themeColor="text1"/>
                <w:spacing w:val="-5"/>
                <w:sz w:val="24"/>
                <w:szCs w:val="24"/>
                <w:highlight w:val="none"/>
                <w:lang w:eastAsia="zh-CN"/>
                <w14:textFill>
                  <w14:solidFill>
                    <w14:schemeClr w14:val="tx1"/>
                  </w14:solidFill>
                </w14:textFill>
              </w:rPr>
              <w:t>：</w:t>
            </w:r>
            <w:r>
              <w:rPr>
                <w:color w:val="000000" w:themeColor="text1"/>
                <w:sz w:val="24"/>
                <w:szCs w:val="24"/>
                <w:highlight w:val="none"/>
                <w:u w:val="single"/>
                <w:lang w:eastAsia="zh-CN"/>
                <w14:textFill>
                  <w14:solidFill>
                    <w14:schemeClr w14:val="tx1"/>
                  </w14:solidFill>
                </w14:textFill>
              </w:rPr>
              <w:t xml:space="preserve"> </w:t>
            </w:r>
            <w:r>
              <w:rPr>
                <w:rFonts w:hint="eastAsia"/>
                <w:color w:val="000000" w:themeColor="text1"/>
                <w:spacing w:val="20"/>
                <w:sz w:val="24"/>
                <w:szCs w:val="24"/>
                <w:highlight w:val="none"/>
                <w:u w:val="single"/>
                <w:lang w:eastAsia="zh-CN"/>
                <w14:textFill>
                  <w14:solidFill>
                    <w14:schemeClr w14:val="tx1"/>
                  </w14:solidFill>
                </w14:textFill>
              </w:rPr>
              <w:t>/</w:t>
            </w:r>
            <w:r>
              <w:rPr>
                <w:color w:val="000000" w:themeColor="text1"/>
                <w:sz w:val="24"/>
                <w:szCs w:val="24"/>
                <w:highlight w:val="none"/>
                <w:u w:val="single"/>
                <w:lang w:eastAsia="zh-CN"/>
                <w14:textFill>
                  <w14:solidFill>
                    <w14:schemeClr w14:val="tx1"/>
                  </w14:solidFill>
                </w14:textFill>
              </w:rPr>
              <w:t xml:space="preserve"> </w:t>
            </w:r>
            <w:r>
              <w:rPr>
                <w:color w:val="000000" w:themeColor="text1"/>
                <w:spacing w:val="-5"/>
                <w:sz w:val="24"/>
                <w:szCs w:val="24"/>
                <w:highlight w:val="none"/>
                <w:lang w:eastAsia="zh-CN"/>
                <w14:textFill>
                  <w14:solidFill>
                    <w14:schemeClr w14:val="tx1"/>
                  </w14:solidFill>
                </w14:textFill>
              </w:rPr>
              <w:t>；</w:t>
            </w:r>
          </w:p>
          <w:p w14:paraId="52A3FA1D">
            <w:pPr>
              <w:pStyle w:val="471"/>
              <w:spacing w:before="112" w:line="360" w:lineRule="auto"/>
              <w:ind w:left="115"/>
              <w:rPr>
                <w:color w:val="000000" w:themeColor="text1"/>
                <w:sz w:val="24"/>
                <w:szCs w:val="24"/>
                <w:highlight w:val="none"/>
                <w:lang w:eastAsia="zh-CN"/>
                <w14:textFill>
                  <w14:solidFill>
                    <w14:schemeClr w14:val="tx1"/>
                  </w14:solidFill>
                </w14:textFill>
              </w:rPr>
            </w:pPr>
            <w:r>
              <w:rPr>
                <w:color w:val="000000" w:themeColor="text1"/>
                <w:spacing w:val="-2"/>
                <w:sz w:val="24"/>
                <w:szCs w:val="24"/>
                <w:highlight w:val="none"/>
                <w:lang w:eastAsia="zh-CN"/>
                <w14:textFill>
                  <w14:solidFill>
                    <w14:schemeClr w14:val="tx1"/>
                  </w14:solidFill>
                </w14:textFill>
              </w:rPr>
              <w:t>保险金额</w:t>
            </w:r>
            <w:r>
              <w:rPr>
                <w:color w:val="000000" w:themeColor="text1"/>
                <w:spacing w:val="-6"/>
                <w:sz w:val="24"/>
                <w:szCs w:val="24"/>
                <w:highlight w:val="none"/>
                <w:lang w:eastAsia="zh-CN"/>
                <w14:textFill>
                  <w14:solidFill>
                    <w14:schemeClr w14:val="tx1"/>
                  </w14:solidFill>
                </w14:textFill>
              </w:rPr>
              <w:t>：</w:t>
            </w:r>
            <w:r>
              <w:rPr>
                <w:color w:val="000000" w:themeColor="text1"/>
                <w:spacing w:val="20"/>
                <w:sz w:val="24"/>
                <w:szCs w:val="24"/>
                <w:highlight w:val="none"/>
                <w:u w:val="single"/>
                <w:lang w:eastAsia="zh-CN"/>
                <w14:textFill>
                  <w14:solidFill>
                    <w14:schemeClr w14:val="tx1"/>
                  </w14:solidFill>
                </w14:textFill>
              </w:rPr>
              <w:t xml:space="preserve">   </w:t>
            </w:r>
            <w:r>
              <w:rPr>
                <w:rFonts w:hint="eastAsia"/>
                <w:color w:val="000000" w:themeColor="text1"/>
                <w:spacing w:val="20"/>
                <w:sz w:val="24"/>
                <w:szCs w:val="24"/>
                <w:highlight w:val="none"/>
                <w:u w:val="single"/>
                <w:lang w:eastAsia="zh-CN"/>
                <w14:textFill>
                  <w14:solidFill>
                    <w14:schemeClr w14:val="tx1"/>
                  </w14:solidFill>
                </w14:textFill>
              </w:rPr>
              <w:t>/</w:t>
            </w:r>
            <w:r>
              <w:rPr>
                <w:color w:val="000000" w:themeColor="text1"/>
                <w:spacing w:val="20"/>
                <w:sz w:val="24"/>
                <w:szCs w:val="24"/>
                <w:highlight w:val="none"/>
                <w:u w:val="single"/>
                <w:lang w:eastAsia="zh-CN"/>
                <w14:textFill>
                  <w14:solidFill>
                    <w14:schemeClr w14:val="tx1"/>
                  </w14:solidFill>
                </w14:textFill>
              </w:rPr>
              <w:t xml:space="preserve">   </w:t>
            </w:r>
            <w:r>
              <w:rPr>
                <w:color w:val="000000" w:themeColor="text1"/>
                <w:spacing w:val="-89"/>
                <w:sz w:val="24"/>
                <w:szCs w:val="24"/>
                <w:highlight w:val="none"/>
                <w:lang w:eastAsia="zh-CN"/>
                <w14:textFill>
                  <w14:solidFill>
                    <w14:schemeClr w14:val="tx1"/>
                  </w14:solidFill>
                </w14:textFill>
              </w:rPr>
              <w:t xml:space="preserve"> </w:t>
            </w:r>
            <w:r>
              <w:rPr>
                <w:color w:val="000000" w:themeColor="text1"/>
                <w:spacing w:val="-6"/>
                <w:sz w:val="24"/>
                <w:szCs w:val="24"/>
                <w:highlight w:val="none"/>
                <w:lang w:eastAsia="zh-CN"/>
                <w14:textFill>
                  <w14:solidFill>
                    <w14:schemeClr w14:val="tx1"/>
                  </w14:solidFill>
                </w14:textFill>
              </w:rPr>
              <w:t>；</w:t>
            </w:r>
            <w:r>
              <w:rPr>
                <w:color w:val="000000" w:themeColor="text1"/>
                <w:spacing w:val="-2"/>
                <w:sz w:val="24"/>
                <w:szCs w:val="24"/>
                <w:highlight w:val="none"/>
                <w:lang w:eastAsia="zh-CN"/>
                <w14:textFill>
                  <w14:solidFill>
                    <w14:schemeClr w14:val="tx1"/>
                  </w14:solidFill>
                </w14:textFill>
              </w:rPr>
              <w:t>保险费率：</w:t>
            </w:r>
            <w:r>
              <w:rPr>
                <w:color w:val="000000" w:themeColor="text1"/>
                <w:spacing w:val="-2"/>
                <w:sz w:val="24"/>
                <w:szCs w:val="24"/>
                <w:highlight w:val="none"/>
                <w:u w:val="single"/>
                <w:lang w:eastAsia="zh-CN"/>
                <w14:textFill>
                  <w14:solidFill>
                    <w14:schemeClr w14:val="tx1"/>
                  </w14:solidFill>
                </w14:textFill>
              </w:rPr>
              <w:t xml:space="preserve">  </w:t>
            </w:r>
            <w:r>
              <w:rPr>
                <w:rFonts w:hint="eastAsia"/>
                <w:color w:val="000000" w:themeColor="text1"/>
                <w:spacing w:val="-2"/>
                <w:sz w:val="24"/>
                <w:szCs w:val="24"/>
                <w:highlight w:val="none"/>
                <w:u w:val="single"/>
                <w:lang w:eastAsia="zh-CN"/>
                <w14:textFill>
                  <w14:solidFill>
                    <w14:schemeClr w14:val="tx1"/>
                  </w14:solidFill>
                </w14:textFill>
              </w:rPr>
              <w:t>/</w:t>
            </w:r>
            <w:r>
              <w:rPr>
                <w:color w:val="000000" w:themeColor="text1"/>
                <w:spacing w:val="-2"/>
                <w:sz w:val="24"/>
                <w:szCs w:val="24"/>
                <w:highlight w:val="none"/>
                <w:u w:val="single"/>
                <w:lang w:eastAsia="zh-CN"/>
                <w14:textFill>
                  <w14:solidFill>
                    <w14:schemeClr w14:val="tx1"/>
                  </w14:solidFill>
                </w14:textFill>
              </w:rPr>
              <w:t xml:space="preserve">  </w:t>
            </w:r>
            <w:r>
              <w:rPr>
                <w:color w:val="000000" w:themeColor="text1"/>
                <w:spacing w:val="-111"/>
                <w:sz w:val="24"/>
                <w:szCs w:val="24"/>
                <w:highlight w:val="none"/>
                <w:lang w:eastAsia="zh-CN"/>
                <w14:textFill>
                  <w14:solidFill>
                    <w14:schemeClr w14:val="tx1"/>
                  </w14:solidFill>
                </w14:textFill>
              </w:rPr>
              <w:t xml:space="preserve"> </w:t>
            </w:r>
            <w:r>
              <w:rPr>
                <w:rFonts w:ascii="Times New Roman" w:hAnsi="Times New Roman" w:eastAsia="Times New Roman" w:cs="Times New Roman"/>
                <w:color w:val="000000" w:themeColor="text1"/>
                <w:spacing w:val="-2"/>
                <w:sz w:val="24"/>
                <w:szCs w:val="24"/>
                <w:highlight w:val="none"/>
                <w:lang w:eastAsia="zh-CN"/>
                <w14:textFill>
                  <w14:solidFill>
                    <w14:schemeClr w14:val="tx1"/>
                  </w14:solidFill>
                </w14:textFill>
              </w:rPr>
              <w:t>‰</w:t>
            </w:r>
            <w:r>
              <w:rPr>
                <w:color w:val="000000" w:themeColor="text1"/>
                <w:spacing w:val="-2"/>
                <w:sz w:val="24"/>
                <w:szCs w:val="24"/>
                <w:highlight w:val="none"/>
                <w:lang w:eastAsia="zh-CN"/>
                <w14:textFill>
                  <w14:solidFill>
                    <w14:schemeClr w14:val="tx1"/>
                  </w14:solidFill>
                </w14:textFill>
              </w:rPr>
              <w:t>；保险期限：</w:t>
            </w:r>
            <w:r>
              <w:rPr>
                <w:color w:val="000000" w:themeColor="text1"/>
                <w:sz w:val="24"/>
                <w:szCs w:val="24"/>
                <w:highlight w:val="none"/>
                <w:u w:val="single"/>
                <w:lang w:eastAsia="zh-CN"/>
                <w14:textFill>
                  <w14:solidFill>
                    <w14:schemeClr w14:val="tx1"/>
                  </w14:solidFill>
                </w14:textFill>
              </w:rPr>
              <w:t xml:space="preserve">    </w:t>
            </w:r>
            <w:r>
              <w:rPr>
                <w:rFonts w:hint="eastAsia"/>
                <w:color w:val="000000" w:themeColor="text1"/>
                <w:sz w:val="24"/>
                <w:szCs w:val="24"/>
                <w:highlight w:val="none"/>
                <w:u w:val="single"/>
                <w:lang w:eastAsia="zh-CN"/>
                <w14:textFill>
                  <w14:solidFill>
                    <w14:schemeClr w14:val="tx1"/>
                  </w14:solidFill>
                </w14:textFill>
              </w:rPr>
              <w:t>/</w:t>
            </w:r>
            <w:r>
              <w:rPr>
                <w:color w:val="000000" w:themeColor="text1"/>
                <w:sz w:val="24"/>
                <w:szCs w:val="24"/>
                <w:highlight w:val="none"/>
                <w:u w:val="single"/>
                <w:lang w:eastAsia="zh-CN"/>
                <w14:textFill>
                  <w14:solidFill>
                    <w14:schemeClr w14:val="tx1"/>
                  </w14:solidFill>
                </w14:textFill>
              </w:rPr>
              <w:t xml:space="preserve">   </w:t>
            </w:r>
          </w:p>
        </w:tc>
      </w:tr>
      <w:tr w14:paraId="5C63A7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10" w:hRule="atLeast"/>
        </w:trPr>
        <w:tc>
          <w:tcPr>
            <w:tcW w:w="624" w:type="dxa"/>
            <w:vAlign w:val="top"/>
          </w:tcPr>
          <w:p w14:paraId="2A07038A">
            <w:pPr>
              <w:spacing w:line="360" w:lineRule="auto"/>
              <w:rPr>
                <w:rFonts w:ascii="Arial"/>
                <w:color w:val="000000" w:themeColor="text1"/>
                <w:sz w:val="24"/>
                <w:szCs w:val="24"/>
                <w:highlight w:val="none"/>
                <w14:textFill>
                  <w14:solidFill>
                    <w14:schemeClr w14:val="tx1"/>
                  </w14:solidFill>
                </w14:textFill>
              </w:rPr>
            </w:pPr>
          </w:p>
          <w:p w14:paraId="2CDF736F">
            <w:pPr>
              <w:spacing w:before="69" w:line="360" w:lineRule="auto"/>
              <w:ind w:firstLine="234" w:firstLineChars="100"/>
              <w:rPr>
                <w:rFonts w:eastAsia="Times New Roman"/>
                <w:color w:val="000000" w:themeColor="text1"/>
                <w:spacing w:val="-3"/>
                <w:sz w:val="24"/>
                <w:szCs w:val="24"/>
                <w:highlight w:val="none"/>
                <w14:textFill>
                  <w14:solidFill>
                    <w14:schemeClr w14:val="tx1"/>
                  </w14:solidFill>
                </w14:textFill>
              </w:rPr>
            </w:pPr>
            <w:r>
              <w:rPr>
                <w:rFonts w:eastAsia="Times New Roman"/>
                <w:color w:val="000000" w:themeColor="text1"/>
                <w:spacing w:val="-3"/>
                <w:sz w:val="24"/>
                <w:szCs w:val="24"/>
                <w:highlight w:val="none"/>
                <w14:textFill>
                  <w14:solidFill>
                    <w14:schemeClr w14:val="tx1"/>
                  </w14:solidFill>
                </w14:textFill>
              </w:rPr>
              <w:t>25</w:t>
            </w:r>
          </w:p>
        </w:tc>
        <w:tc>
          <w:tcPr>
            <w:tcW w:w="1536" w:type="dxa"/>
            <w:vAlign w:val="top"/>
          </w:tcPr>
          <w:p w14:paraId="60A21426">
            <w:pPr>
              <w:spacing w:line="360" w:lineRule="auto"/>
              <w:rPr>
                <w:rFonts w:ascii="Arial"/>
                <w:color w:val="000000" w:themeColor="text1"/>
                <w:sz w:val="24"/>
                <w:szCs w:val="24"/>
                <w:highlight w:val="none"/>
                <w14:textFill>
                  <w14:solidFill>
                    <w14:schemeClr w14:val="tx1"/>
                  </w14:solidFill>
                </w14:textFill>
              </w:rPr>
            </w:pPr>
          </w:p>
          <w:p w14:paraId="4CDF847A">
            <w:pPr>
              <w:spacing w:before="69" w:line="360" w:lineRule="auto"/>
              <w:jc w:val="center"/>
              <w:rPr>
                <w:rFonts w:eastAsia="Times New Roman"/>
                <w:color w:val="000000" w:themeColor="text1"/>
                <w:spacing w:val="-1"/>
                <w:sz w:val="24"/>
                <w:szCs w:val="24"/>
                <w:highlight w:val="none"/>
                <w14:textFill>
                  <w14:solidFill>
                    <w14:schemeClr w14:val="tx1"/>
                  </w14:solidFill>
                </w14:textFill>
              </w:rPr>
            </w:pPr>
            <w:r>
              <w:rPr>
                <w:rFonts w:eastAsia="Times New Roman"/>
                <w:color w:val="000000" w:themeColor="text1"/>
                <w:spacing w:val="-1"/>
                <w:sz w:val="24"/>
                <w:szCs w:val="24"/>
                <w:highlight w:val="none"/>
                <w14:textFill>
                  <w14:solidFill>
                    <w14:schemeClr w14:val="tx1"/>
                  </w14:solidFill>
                </w14:textFill>
              </w:rPr>
              <w:t>20.2.2</w:t>
            </w:r>
            <w:r>
              <w:rPr>
                <w:b/>
                <w:bCs/>
                <w:color w:val="000000" w:themeColor="text1"/>
                <w:spacing w:val="-7"/>
                <w:sz w:val="24"/>
                <w:szCs w:val="24"/>
                <w:highlight w:val="none"/>
                <w14:textFill>
                  <w14:solidFill>
                    <w14:schemeClr w14:val="tx1"/>
                  </w14:solidFill>
                </w14:textFill>
              </w:rPr>
              <w:t>（</w:t>
            </w:r>
            <w:r>
              <w:rPr>
                <w:rFonts w:eastAsia="Times New Roman"/>
                <w:b/>
                <w:bCs/>
                <w:color w:val="000000" w:themeColor="text1"/>
                <w:spacing w:val="-7"/>
                <w:sz w:val="24"/>
                <w:szCs w:val="24"/>
                <w:highlight w:val="none"/>
                <w14:textFill>
                  <w14:solidFill>
                    <w14:schemeClr w14:val="tx1"/>
                  </w14:solidFill>
                </w14:textFill>
              </w:rPr>
              <w:t>2</w:t>
            </w:r>
            <w:r>
              <w:rPr>
                <w:b/>
                <w:bCs/>
                <w:color w:val="000000" w:themeColor="text1"/>
                <w:spacing w:val="-7"/>
                <w:sz w:val="24"/>
                <w:szCs w:val="24"/>
                <w:highlight w:val="none"/>
                <w14:textFill>
                  <w14:solidFill>
                    <w14:schemeClr w14:val="tx1"/>
                  </w14:solidFill>
                </w14:textFill>
              </w:rPr>
              <w:t>）</w:t>
            </w:r>
          </w:p>
        </w:tc>
        <w:tc>
          <w:tcPr>
            <w:tcW w:w="7324" w:type="dxa"/>
          </w:tcPr>
          <w:p w14:paraId="0445AB85">
            <w:pPr>
              <w:pStyle w:val="471"/>
              <w:spacing w:before="129" w:line="360" w:lineRule="auto"/>
              <w:ind w:left="114"/>
              <w:rPr>
                <w:color w:val="000000" w:themeColor="text1"/>
                <w:sz w:val="24"/>
                <w:szCs w:val="24"/>
                <w:highlight w:val="none"/>
                <w:lang w:eastAsia="zh-CN"/>
                <w14:textFill>
                  <w14:solidFill>
                    <w14:schemeClr w14:val="tx1"/>
                  </w14:solidFill>
                </w14:textFill>
              </w:rPr>
            </w:pPr>
            <w:r>
              <w:rPr>
                <w:color w:val="000000" w:themeColor="text1"/>
                <w:spacing w:val="1"/>
                <w:sz w:val="24"/>
                <w:szCs w:val="24"/>
                <w:highlight w:val="none"/>
                <w:lang w:eastAsia="zh-CN"/>
                <w14:textFill>
                  <w14:solidFill>
                    <w14:schemeClr w14:val="tx1"/>
                  </w14:solidFill>
                </w14:textFill>
              </w:rPr>
              <w:t>第三者责任险的最低投保金额：</w:t>
            </w:r>
            <w:r>
              <w:rPr>
                <w:rFonts w:hint="eastAsia"/>
                <w:color w:val="000000" w:themeColor="text1"/>
                <w:spacing w:val="1"/>
                <w:sz w:val="24"/>
                <w:szCs w:val="24"/>
                <w:highlight w:val="none"/>
                <w:u w:val="single"/>
                <w:lang w:val="en-US" w:eastAsia="zh-CN"/>
                <w14:textFill>
                  <w14:solidFill>
                    <w14:schemeClr w14:val="tx1"/>
                  </w14:solidFill>
                </w14:textFill>
              </w:rPr>
              <w:t xml:space="preserve">  /   </w:t>
            </w:r>
            <w:r>
              <w:rPr>
                <w:rFonts w:hint="eastAsia"/>
                <w:color w:val="000000" w:themeColor="text1"/>
                <w:spacing w:val="1"/>
                <w:sz w:val="24"/>
                <w:szCs w:val="24"/>
                <w:highlight w:val="none"/>
                <w:lang w:val="en-US" w:eastAsia="zh-CN"/>
                <w14:textFill>
                  <w14:solidFill>
                    <w14:schemeClr w14:val="tx1"/>
                  </w14:solidFill>
                </w14:textFill>
              </w:rPr>
              <w:t>万元</w:t>
            </w:r>
            <w:r>
              <w:rPr>
                <w:color w:val="000000" w:themeColor="text1"/>
                <w:spacing w:val="1"/>
                <w:sz w:val="24"/>
                <w:szCs w:val="24"/>
                <w:highlight w:val="none"/>
                <w:lang w:eastAsia="zh-CN"/>
                <w14:textFill>
                  <w14:solidFill>
                    <w14:schemeClr w14:val="tx1"/>
                  </w14:solidFill>
                </w14:textFill>
              </w:rPr>
              <w:t>，事故次数不限（不</w:t>
            </w:r>
            <w:r>
              <w:rPr>
                <w:color w:val="000000" w:themeColor="text1"/>
                <w:spacing w:val="-2"/>
                <w:sz w:val="24"/>
                <w:szCs w:val="24"/>
                <w:highlight w:val="none"/>
                <w:lang w:eastAsia="zh-CN"/>
                <w14:textFill>
                  <w14:solidFill>
                    <w14:schemeClr w14:val="tx1"/>
                  </w14:solidFill>
                </w14:textFill>
              </w:rPr>
              <w:t>计免赔额）</w:t>
            </w:r>
          </w:p>
          <w:p w14:paraId="0403AF56">
            <w:pPr>
              <w:pStyle w:val="471"/>
              <w:spacing w:before="112" w:line="360" w:lineRule="auto"/>
              <w:ind w:left="115"/>
              <w:rPr>
                <w:rFonts w:hint="default"/>
                <w:color w:val="000000" w:themeColor="text1"/>
                <w:spacing w:val="-2"/>
                <w:sz w:val="24"/>
                <w:szCs w:val="24"/>
                <w:highlight w:val="none"/>
                <w:lang w:val="en-US"/>
                <w14:textFill>
                  <w14:solidFill>
                    <w14:schemeClr w14:val="tx1"/>
                  </w14:solidFill>
                </w14:textFill>
              </w:rPr>
            </w:pPr>
            <w:r>
              <w:rPr>
                <w:color w:val="000000" w:themeColor="text1"/>
                <w:spacing w:val="-2"/>
                <w:sz w:val="24"/>
                <w:szCs w:val="24"/>
                <w:highlight w:val="none"/>
                <w14:textFill>
                  <w14:solidFill>
                    <w14:schemeClr w14:val="tx1"/>
                  </w14:solidFill>
                </w14:textFill>
              </w:rPr>
              <w:t>保险费率：</w:t>
            </w:r>
            <w:r>
              <w:rPr>
                <w:color w:val="000000" w:themeColor="text1"/>
                <w:spacing w:val="-2"/>
                <w:sz w:val="24"/>
                <w:szCs w:val="24"/>
                <w:highlight w:val="none"/>
                <w:u w:val="single"/>
                <w14:textFill>
                  <w14:solidFill>
                    <w14:schemeClr w14:val="tx1"/>
                  </w14:solidFill>
                </w14:textFill>
              </w:rPr>
              <w:t xml:space="preserve">  </w:t>
            </w:r>
            <w:r>
              <w:rPr>
                <w:rFonts w:hint="eastAsia"/>
                <w:color w:val="000000" w:themeColor="text1"/>
                <w:spacing w:val="-2"/>
                <w:sz w:val="24"/>
                <w:szCs w:val="24"/>
                <w:highlight w:val="none"/>
                <w:u w:val="single"/>
                <w:lang w:eastAsia="zh-CN"/>
                <w14:textFill>
                  <w14:solidFill>
                    <w14:schemeClr w14:val="tx1"/>
                  </w14:solidFill>
                </w14:textFill>
              </w:rPr>
              <w:t>/</w:t>
            </w:r>
            <w:r>
              <w:rPr>
                <w:color w:val="000000" w:themeColor="text1"/>
                <w:spacing w:val="-2"/>
                <w:sz w:val="24"/>
                <w:szCs w:val="24"/>
                <w:highlight w:val="none"/>
                <w:u w:val="single"/>
                <w14:textFill>
                  <w14:solidFill>
                    <w14:schemeClr w14:val="tx1"/>
                  </w14:solidFill>
                </w14:textFill>
              </w:rPr>
              <w:t xml:space="preserve">  </w:t>
            </w:r>
            <w:r>
              <w:rPr>
                <w:color w:val="000000" w:themeColor="text1"/>
                <w:spacing w:val="-104"/>
                <w:sz w:val="24"/>
                <w:szCs w:val="24"/>
                <w:highlight w:val="none"/>
                <w14:textFill>
                  <w14:solidFill>
                    <w14:schemeClr w14:val="tx1"/>
                  </w14:solidFill>
                </w14:textFill>
              </w:rPr>
              <w:t xml:space="preserve"> </w:t>
            </w:r>
            <w:r>
              <w:rPr>
                <w:rFonts w:ascii="Times New Roman" w:hAnsi="Times New Roman" w:eastAsia="Times New Roman" w:cs="Times New Roman"/>
                <w:color w:val="000000" w:themeColor="text1"/>
                <w:spacing w:val="-2"/>
                <w:sz w:val="24"/>
                <w:szCs w:val="24"/>
                <w:highlight w:val="none"/>
                <w14:textFill>
                  <w14:solidFill>
                    <w14:schemeClr w14:val="tx1"/>
                  </w14:solidFill>
                </w14:textFill>
              </w:rPr>
              <w:t>‰</w:t>
            </w:r>
          </w:p>
        </w:tc>
      </w:tr>
      <w:tr w14:paraId="5BA22F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3" w:hRule="atLeast"/>
        </w:trPr>
        <w:tc>
          <w:tcPr>
            <w:tcW w:w="624" w:type="dxa"/>
          </w:tcPr>
          <w:p w14:paraId="6C781FE1">
            <w:pPr>
              <w:spacing w:line="360" w:lineRule="auto"/>
              <w:rPr>
                <w:rFonts w:ascii="Arial"/>
                <w:color w:val="000000" w:themeColor="text1"/>
                <w:sz w:val="24"/>
                <w:szCs w:val="24"/>
                <w:highlight w:val="none"/>
                <w14:textFill>
                  <w14:solidFill>
                    <w14:schemeClr w14:val="tx1"/>
                  </w14:solidFill>
                </w14:textFill>
              </w:rPr>
            </w:pPr>
          </w:p>
          <w:p w14:paraId="164EDF1B">
            <w:pPr>
              <w:spacing w:before="69" w:line="360" w:lineRule="auto"/>
              <w:ind w:left="268"/>
              <w:rPr>
                <w:rFonts w:eastAsia="Times New Roman"/>
                <w:color w:val="000000" w:themeColor="text1"/>
                <w:sz w:val="24"/>
                <w:szCs w:val="24"/>
                <w:highlight w:val="none"/>
                <w14:textFill>
                  <w14:solidFill>
                    <w14:schemeClr w14:val="tx1"/>
                  </w14:solidFill>
                </w14:textFill>
              </w:rPr>
            </w:pPr>
            <w:r>
              <w:rPr>
                <w:rFonts w:eastAsia="Times New Roman"/>
                <w:color w:val="000000" w:themeColor="text1"/>
                <w:spacing w:val="-3"/>
                <w:sz w:val="24"/>
                <w:szCs w:val="24"/>
                <w:highlight w:val="none"/>
                <w14:textFill>
                  <w14:solidFill>
                    <w14:schemeClr w14:val="tx1"/>
                  </w14:solidFill>
                </w14:textFill>
              </w:rPr>
              <w:t>26</w:t>
            </w:r>
          </w:p>
        </w:tc>
        <w:tc>
          <w:tcPr>
            <w:tcW w:w="1536" w:type="dxa"/>
          </w:tcPr>
          <w:p w14:paraId="32392B7F">
            <w:pPr>
              <w:spacing w:line="360" w:lineRule="auto"/>
              <w:rPr>
                <w:rFonts w:ascii="Arial"/>
                <w:color w:val="000000" w:themeColor="text1"/>
                <w:sz w:val="24"/>
                <w:szCs w:val="24"/>
                <w:highlight w:val="none"/>
                <w14:textFill>
                  <w14:solidFill>
                    <w14:schemeClr w14:val="tx1"/>
                  </w14:solidFill>
                </w14:textFill>
              </w:rPr>
            </w:pPr>
          </w:p>
          <w:p w14:paraId="7185746D">
            <w:pPr>
              <w:spacing w:before="69" w:line="360" w:lineRule="auto"/>
              <w:ind w:left="483"/>
              <w:rPr>
                <w:rFonts w:eastAsia="Times New Roman"/>
                <w:color w:val="000000" w:themeColor="text1"/>
                <w:sz w:val="24"/>
                <w:szCs w:val="24"/>
                <w:highlight w:val="none"/>
                <w14:textFill>
                  <w14:solidFill>
                    <w14:schemeClr w14:val="tx1"/>
                  </w14:solidFill>
                </w14:textFill>
              </w:rPr>
            </w:pPr>
            <w:r>
              <w:rPr>
                <w:rFonts w:eastAsia="Times New Roman"/>
                <w:color w:val="000000" w:themeColor="text1"/>
                <w:spacing w:val="-2"/>
                <w:sz w:val="24"/>
                <w:szCs w:val="24"/>
                <w:highlight w:val="none"/>
                <w14:textFill>
                  <w14:solidFill>
                    <w14:schemeClr w14:val="tx1"/>
                  </w14:solidFill>
                </w14:textFill>
              </w:rPr>
              <w:t>24.1</w:t>
            </w:r>
          </w:p>
        </w:tc>
        <w:tc>
          <w:tcPr>
            <w:tcW w:w="7324" w:type="dxa"/>
          </w:tcPr>
          <w:p w14:paraId="79A76150">
            <w:pPr>
              <w:pStyle w:val="471"/>
              <w:spacing w:before="129" w:line="360" w:lineRule="auto"/>
              <w:ind w:left="119"/>
              <w:rPr>
                <w:color w:val="000000" w:themeColor="text1"/>
                <w:sz w:val="24"/>
                <w:szCs w:val="24"/>
                <w:highlight w:val="none"/>
                <w:lang w:eastAsia="zh-CN"/>
                <w14:textFill>
                  <w14:solidFill>
                    <w14:schemeClr w14:val="tx1"/>
                  </w14:solidFill>
                </w14:textFill>
              </w:rPr>
            </w:pPr>
            <w:r>
              <w:rPr>
                <w:rFonts w:hint="eastAsia"/>
                <w:color w:val="000000" w:themeColor="text1"/>
                <w:spacing w:val="-2"/>
                <w:sz w:val="24"/>
                <w:szCs w:val="24"/>
                <w:highlight w:val="none"/>
                <w:lang w:eastAsia="zh-CN"/>
                <w14:textFill>
                  <w14:solidFill>
                    <w14:schemeClr w14:val="tx1"/>
                  </w14:solidFill>
                </w14:textFill>
              </w:rPr>
              <w:t>争议的最终解决方式：</w:t>
            </w:r>
            <w:r>
              <w:rPr>
                <w:rFonts w:hint="eastAsia"/>
                <w:color w:val="000000" w:themeColor="text1"/>
                <w:sz w:val="24"/>
                <w:szCs w:val="24"/>
                <w:highlight w:val="none"/>
                <w:u w:val="single"/>
                <w:lang w:eastAsia="zh-CN"/>
                <w14:textFill>
                  <w14:solidFill>
                    <w14:schemeClr w14:val="tx1"/>
                  </w14:solidFill>
                </w14:textFill>
              </w:rPr>
              <w:t xml:space="preserve"> 诉讼 </w:t>
            </w:r>
          </w:p>
          <w:p w14:paraId="61368969">
            <w:pPr>
              <w:pStyle w:val="471"/>
              <w:spacing w:before="115" w:line="360" w:lineRule="auto"/>
              <w:ind w:left="118"/>
              <w:rPr>
                <w:rFonts w:hint="default"/>
                <w:color w:val="000000" w:themeColor="text1"/>
                <w:sz w:val="24"/>
                <w:szCs w:val="24"/>
                <w:highlight w:val="none"/>
                <w:lang w:val="en-US" w:eastAsia="zh-CN"/>
                <w14:textFill>
                  <w14:solidFill>
                    <w14:schemeClr w14:val="tx1"/>
                  </w14:solidFill>
                </w14:textFill>
              </w:rPr>
            </w:pPr>
            <w:r>
              <w:rPr>
                <w:rFonts w:hint="eastAsia"/>
                <w:color w:val="000000" w:themeColor="text1"/>
                <w:spacing w:val="-1"/>
                <w:sz w:val="24"/>
                <w:szCs w:val="24"/>
                <w:highlight w:val="none"/>
                <w:lang w:eastAsia="zh-CN"/>
                <w14:textFill>
                  <w14:solidFill>
                    <w14:schemeClr w14:val="tx1"/>
                  </w14:solidFill>
                </w14:textFill>
              </w:rPr>
              <w:t>如采用仲裁，仲裁委员会名称：</w:t>
            </w:r>
            <w:r>
              <w:rPr>
                <w:rFonts w:hint="eastAsia"/>
                <w:color w:val="000000" w:themeColor="text1"/>
                <w:spacing w:val="-1"/>
                <w:sz w:val="24"/>
                <w:szCs w:val="24"/>
                <w:highlight w:val="none"/>
                <w:u w:val="single"/>
                <w:lang w:val="en-US" w:eastAsia="zh-CN"/>
                <w14:textFill>
                  <w14:solidFill>
                    <w14:schemeClr w14:val="tx1"/>
                  </w14:solidFill>
                </w14:textFill>
              </w:rPr>
              <w:t xml:space="preserve">  </w:t>
            </w:r>
            <w:r>
              <w:rPr>
                <w:rFonts w:hint="eastAsia"/>
                <w:color w:val="000000" w:themeColor="text1"/>
                <w:sz w:val="24"/>
                <w:szCs w:val="24"/>
                <w:highlight w:val="none"/>
                <w:u w:val="single"/>
                <w:lang w:eastAsia="zh-CN"/>
                <w14:textFill>
                  <w14:solidFill>
                    <w14:schemeClr w14:val="tx1"/>
                  </w14:solidFill>
                </w14:textFill>
              </w:rPr>
              <w:t>/</w:t>
            </w:r>
            <w:r>
              <w:rPr>
                <w:rFonts w:hint="eastAsia"/>
                <w:color w:val="000000" w:themeColor="text1"/>
                <w:sz w:val="24"/>
                <w:szCs w:val="24"/>
                <w:highlight w:val="none"/>
                <w:u w:val="single"/>
                <w:lang w:val="en-US" w:eastAsia="zh-CN"/>
                <w14:textFill>
                  <w14:solidFill>
                    <w14:schemeClr w14:val="tx1"/>
                  </w14:solidFill>
                </w14:textFill>
              </w:rPr>
              <w:t xml:space="preserve"> </w:t>
            </w:r>
          </w:p>
        </w:tc>
      </w:tr>
    </w:tbl>
    <w:p w14:paraId="16F6AEB2">
      <w:pPr>
        <w:spacing w:before="78" w:line="219" w:lineRule="auto"/>
        <w:ind w:firstLine="3534" w:firstLineChars="1000"/>
        <w:outlineLvl w:val="2"/>
        <w:rPr>
          <w:rFonts w:ascii="宋体" w:hAnsi="宋体" w:cs="宋体"/>
          <w:b/>
          <w:bCs/>
          <w:color w:val="000000" w:themeColor="text1"/>
          <w:spacing w:val="-4"/>
          <w:sz w:val="36"/>
          <w:szCs w:val="36"/>
          <w:highlight w:val="none"/>
          <w14:textFill>
            <w14:solidFill>
              <w14:schemeClr w14:val="tx1"/>
            </w14:solidFill>
          </w14:textFill>
        </w:rPr>
      </w:pPr>
    </w:p>
    <w:p w14:paraId="4D99E951">
      <w:pPr>
        <w:spacing w:before="78" w:line="219" w:lineRule="auto"/>
        <w:ind w:firstLine="3534" w:firstLineChars="1000"/>
        <w:outlineLvl w:val="2"/>
        <w:rPr>
          <w:rFonts w:ascii="宋体" w:hAnsi="宋体" w:cs="宋体"/>
          <w:b/>
          <w:bCs/>
          <w:color w:val="000000" w:themeColor="text1"/>
          <w:spacing w:val="-4"/>
          <w:sz w:val="36"/>
          <w:szCs w:val="36"/>
          <w:highlight w:val="none"/>
          <w14:textFill>
            <w14:solidFill>
              <w14:schemeClr w14:val="tx1"/>
            </w14:solidFill>
          </w14:textFill>
        </w:rPr>
      </w:pPr>
    </w:p>
    <w:p w14:paraId="12545722">
      <w:pPr>
        <w:spacing w:before="78" w:line="219" w:lineRule="auto"/>
        <w:ind w:firstLine="3534" w:firstLineChars="1000"/>
        <w:outlineLvl w:val="2"/>
        <w:rPr>
          <w:rFonts w:ascii="宋体" w:hAnsi="宋体" w:cs="宋体"/>
          <w:b/>
          <w:bCs/>
          <w:color w:val="000000" w:themeColor="text1"/>
          <w:spacing w:val="-4"/>
          <w:sz w:val="36"/>
          <w:szCs w:val="36"/>
          <w:highlight w:val="none"/>
          <w14:textFill>
            <w14:solidFill>
              <w14:schemeClr w14:val="tx1"/>
            </w14:solidFill>
          </w14:textFill>
        </w:rPr>
      </w:pPr>
    </w:p>
    <w:p w14:paraId="59A47A52">
      <w:pPr>
        <w:spacing w:before="78" w:line="219" w:lineRule="auto"/>
        <w:ind w:firstLine="3534" w:firstLineChars="1000"/>
        <w:outlineLvl w:val="2"/>
        <w:rPr>
          <w:rFonts w:ascii="宋体" w:hAnsi="宋体" w:cs="宋体"/>
          <w:b/>
          <w:bCs/>
          <w:color w:val="000000" w:themeColor="text1"/>
          <w:spacing w:val="-4"/>
          <w:sz w:val="36"/>
          <w:szCs w:val="36"/>
          <w:highlight w:val="none"/>
          <w14:textFill>
            <w14:solidFill>
              <w14:schemeClr w14:val="tx1"/>
            </w14:solidFill>
          </w14:textFill>
        </w:rPr>
      </w:pPr>
    </w:p>
    <w:p w14:paraId="7B580BF6">
      <w:pPr>
        <w:spacing w:before="78" w:line="219" w:lineRule="auto"/>
        <w:ind w:firstLine="3534" w:firstLineChars="1000"/>
        <w:outlineLvl w:val="2"/>
        <w:rPr>
          <w:rFonts w:ascii="宋体" w:hAnsi="宋体" w:cs="宋体"/>
          <w:b/>
          <w:bCs/>
          <w:color w:val="000000" w:themeColor="text1"/>
          <w:spacing w:val="-4"/>
          <w:sz w:val="36"/>
          <w:szCs w:val="36"/>
          <w:highlight w:val="none"/>
          <w14:textFill>
            <w14:solidFill>
              <w14:schemeClr w14:val="tx1"/>
            </w14:solidFill>
          </w14:textFill>
        </w:rPr>
      </w:pPr>
    </w:p>
    <w:p w14:paraId="410D53EF">
      <w:pPr>
        <w:spacing w:before="78" w:line="219" w:lineRule="auto"/>
        <w:ind w:firstLine="3534" w:firstLineChars="1000"/>
        <w:outlineLvl w:val="2"/>
        <w:rPr>
          <w:rFonts w:ascii="宋体" w:hAnsi="宋体" w:cs="宋体"/>
          <w:b/>
          <w:bCs/>
          <w:color w:val="000000" w:themeColor="text1"/>
          <w:spacing w:val="-4"/>
          <w:sz w:val="36"/>
          <w:szCs w:val="36"/>
          <w:highlight w:val="none"/>
          <w14:textFill>
            <w14:solidFill>
              <w14:schemeClr w14:val="tx1"/>
            </w14:solidFill>
          </w14:textFill>
        </w:rPr>
      </w:pPr>
    </w:p>
    <w:p w14:paraId="4EBC6FF3">
      <w:pPr>
        <w:spacing w:before="78" w:line="219" w:lineRule="auto"/>
        <w:ind w:firstLine="3534" w:firstLineChars="1000"/>
        <w:outlineLvl w:val="2"/>
        <w:rPr>
          <w:rFonts w:ascii="宋体" w:hAnsi="宋体" w:cs="宋体"/>
          <w:b/>
          <w:bCs/>
          <w:color w:val="000000" w:themeColor="text1"/>
          <w:spacing w:val="-4"/>
          <w:sz w:val="36"/>
          <w:szCs w:val="36"/>
          <w:highlight w:val="none"/>
          <w14:textFill>
            <w14:solidFill>
              <w14:schemeClr w14:val="tx1"/>
            </w14:solidFill>
          </w14:textFill>
        </w:rPr>
      </w:pPr>
    </w:p>
    <w:p w14:paraId="1C537AD0">
      <w:pPr>
        <w:spacing w:before="78" w:line="219" w:lineRule="auto"/>
        <w:ind w:firstLine="3534" w:firstLineChars="1000"/>
        <w:outlineLvl w:val="2"/>
        <w:rPr>
          <w:rFonts w:ascii="宋体" w:hAnsi="宋体" w:cs="宋体"/>
          <w:b/>
          <w:bCs/>
          <w:color w:val="000000" w:themeColor="text1"/>
          <w:spacing w:val="-4"/>
          <w:sz w:val="36"/>
          <w:szCs w:val="36"/>
          <w:highlight w:val="none"/>
          <w14:textFill>
            <w14:solidFill>
              <w14:schemeClr w14:val="tx1"/>
            </w14:solidFill>
          </w14:textFill>
        </w:rPr>
      </w:pPr>
    </w:p>
    <w:p w14:paraId="324CE84E">
      <w:pPr>
        <w:spacing w:before="78" w:line="219" w:lineRule="auto"/>
        <w:ind w:firstLine="3534" w:firstLineChars="1000"/>
        <w:outlineLvl w:val="2"/>
        <w:rPr>
          <w:rFonts w:ascii="宋体" w:hAnsi="宋体" w:cs="宋体"/>
          <w:b/>
          <w:bCs/>
          <w:color w:val="000000" w:themeColor="text1"/>
          <w:spacing w:val="-4"/>
          <w:sz w:val="36"/>
          <w:szCs w:val="36"/>
          <w:highlight w:val="none"/>
          <w14:textFill>
            <w14:solidFill>
              <w14:schemeClr w14:val="tx1"/>
            </w14:solidFill>
          </w14:textFill>
        </w:rPr>
      </w:pPr>
    </w:p>
    <w:p w14:paraId="65183374">
      <w:pPr>
        <w:spacing w:before="78" w:line="219" w:lineRule="auto"/>
        <w:ind w:firstLine="3534" w:firstLineChars="1000"/>
        <w:outlineLvl w:val="2"/>
        <w:rPr>
          <w:rFonts w:ascii="宋体" w:hAnsi="宋体" w:cs="宋体"/>
          <w:b/>
          <w:bCs/>
          <w:color w:val="000000" w:themeColor="text1"/>
          <w:spacing w:val="-4"/>
          <w:sz w:val="36"/>
          <w:szCs w:val="36"/>
          <w:highlight w:val="none"/>
          <w14:textFill>
            <w14:solidFill>
              <w14:schemeClr w14:val="tx1"/>
            </w14:solidFill>
          </w14:textFill>
        </w:rPr>
      </w:pPr>
    </w:p>
    <w:p w14:paraId="36A71B0F">
      <w:pPr>
        <w:spacing w:before="78" w:line="219" w:lineRule="auto"/>
        <w:ind w:firstLine="3534" w:firstLineChars="1000"/>
        <w:outlineLvl w:val="2"/>
        <w:rPr>
          <w:rFonts w:ascii="宋体" w:hAnsi="宋体" w:cs="宋体"/>
          <w:b/>
          <w:bCs/>
          <w:color w:val="000000" w:themeColor="text1"/>
          <w:spacing w:val="-4"/>
          <w:sz w:val="36"/>
          <w:szCs w:val="36"/>
          <w:highlight w:val="none"/>
          <w14:textFill>
            <w14:solidFill>
              <w14:schemeClr w14:val="tx1"/>
            </w14:solidFill>
          </w14:textFill>
        </w:rPr>
      </w:pPr>
      <w:bookmarkStart w:id="195" w:name="_Toc9598"/>
      <w:r>
        <w:rPr>
          <w:rFonts w:ascii="宋体" w:hAnsi="宋体" w:cs="宋体"/>
          <w:b/>
          <w:bCs/>
          <w:color w:val="000000" w:themeColor="text1"/>
          <w:spacing w:val="-4"/>
          <w:sz w:val="36"/>
          <w:szCs w:val="36"/>
          <w:highlight w:val="none"/>
          <w14:textFill>
            <w14:solidFill>
              <w14:schemeClr w14:val="tx1"/>
            </w14:solidFill>
          </w14:textFill>
        </w:rPr>
        <w:t>专用合同条款</w:t>
      </w:r>
      <w:bookmarkEnd w:id="195"/>
    </w:p>
    <w:p w14:paraId="772C5967">
      <w:pPr>
        <w:spacing w:before="270" w:line="305" w:lineRule="auto"/>
        <w:ind w:left="12" w:firstLine="480"/>
        <w:rPr>
          <w:rFonts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说明：本部分所列的专用合同条款是对“通用合同条款</w:t>
      </w:r>
      <w:r>
        <w:rPr>
          <w:rFonts w:ascii="宋体" w:hAnsi="宋体" w:cs="宋体"/>
          <w:color w:val="000000" w:themeColor="text1"/>
          <w:spacing w:val="-88"/>
          <w:sz w:val="24"/>
          <w:szCs w:val="24"/>
          <w:highlight w:val="none"/>
          <w14:textFill>
            <w14:solidFill>
              <w14:schemeClr w14:val="tx1"/>
            </w14:solidFill>
          </w14:textFill>
        </w:rPr>
        <w:t xml:space="preserve"> </w:t>
      </w:r>
      <w:r>
        <w:rPr>
          <w:rFonts w:ascii="宋体" w:hAnsi="宋体" w:cs="宋体"/>
          <w:color w:val="000000" w:themeColor="text1"/>
          <w:spacing w:val="-1"/>
          <w:sz w:val="24"/>
          <w:szCs w:val="24"/>
          <w:highlight w:val="none"/>
          <w14:textFill>
            <w14:solidFill>
              <w14:schemeClr w14:val="tx1"/>
            </w14:solidFill>
          </w14:textFill>
        </w:rPr>
        <w:t>”中约定必须在专用合</w:t>
      </w:r>
      <w:r>
        <w:rPr>
          <w:rFonts w:ascii="宋体" w:hAnsi="宋体" w:cs="宋体"/>
          <w:color w:val="000000" w:themeColor="text1"/>
          <w:sz w:val="24"/>
          <w:szCs w:val="24"/>
          <w:highlight w:val="none"/>
          <w14:textFill>
            <w14:solidFill>
              <w14:schemeClr w14:val="tx1"/>
            </w14:solidFill>
          </w14:textFill>
        </w:rPr>
        <w:t>同条款中明确的内容的集中，发包人编制的“专</w:t>
      </w:r>
      <w:r>
        <w:rPr>
          <w:rFonts w:ascii="宋体" w:hAnsi="宋体" w:cs="宋体"/>
          <w:color w:val="000000" w:themeColor="text1"/>
          <w:spacing w:val="-1"/>
          <w:sz w:val="24"/>
          <w:szCs w:val="24"/>
          <w:highlight w:val="none"/>
          <w14:textFill>
            <w14:solidFill>
              <w14:schemeClr w14:val="tx1"/>
            </w14:solidFill>
          </w14:textFill>
        </w:rPr>
        <w:t>用合同条款</w:t>
      </w:r>
      <w:r>
        <w:rPr>
          <w:rFonts w:ascii="宋体" w:hAnsi="宋体" w:cs="宋体"/>
          <w:color w:val="000000" w:themeColor="text1"/>
          <w:spacing w:val="-85"/>
          <w:sz w:val="24"/>
          <w:szCs w:val="24"/>
          <w:highlight w:val="none"/>
          <w14:textFill>
            <w14:solidFill>
              <w14:schemeClr w14:val="tx1"/>
            </w14:solidFill>
          </w14:textFill>
        </w:rPr>
        <w:t xml:space="preserve"> </w:t>
      </w:r>
      <w:r>
        <w:rPr>
          <w:rFonts w:ascii="宋体" w:hAnsi="宋体" w:cs="宋体"/>
          <w:color w:val="000000" w:themeColor="text1"/>
          <w:spacing w:val="-1"/>
          <w:sz w:val="24"/>
          <w:szCs w:val="24"/>
          <w:highlight w:val="none"/>
          <w14:textFill>
            <w14:solidFill>
              <w14:schemeClr w14:val="tx1"/>
            </w14:solidFill>
          </w14:textFill>
        </w:rPr>
        <w:t>”不限于本部分所列内</w:t>
      </w:r>
      <w:r>
        <w:rPr>
          <w:rFonts w:ascii="宋体" w:hAnsi="宋体" w:cs="宋体"/>
          <w:color w:val="000000" w:themeColor="text1"/>
          <w:spacing w:val="-7"/>
          <w:sz w:val="24"/>
          <w:szCs w:val="24"/>
          <w:highlight w:val="none"/>
          <w14:textFill>
            <w14:solidFill>
              <w14:schemeClr w14:val="tx1"/>
            </w14:solidFill>
          </w14:textFill>
        </w:rPr>
        <w:t>容。</w:t>
      </w:r>
    </w:p>
    <w:p w14:paraId="12E6B086">
      <w:pPr>
        <w:spacing w:line="360" w:lineRule="auto"/>
        <w:ind w:left="495"/>
        <w:outlineLvl w:val="3"/>
        <w:rPr>
          <w:rFonts w:ascii="宋体" w:hAnsi="宋体" w:cs="宋体"/>
          <w:color w:val="000000" w:themeColor="text1"/>
          <w:sz w:val="24"/>
          <w:szCs w:val="24"/>
          <w:highlight w:val="none"/>
          <w14:textFill>
            <w14:solidFill>
              <w14:schemeClr w14:val="tx1"/>
            </w14:solidFill>
          </w14:textFill>
        </w:rPr>
      </w:pPr>
      <w:bookmarkStart w:id="196" w:name="bookmark79"/>
      <w:bookmarkEnd w:id="196"/>
      <w:bookmarkStart w:id="197" w:name="bookmark80"/>
      <w:bookmarkEnd w:id="197"/>
      <w:r>
        <w:rPr>
          <w:rFonts w:eastAsia="Times New Roman"/>
          <w:b/>
          <w:bCs/>
          <w:color w:val="000000" w:themeColor="text1"/>
          <w:spacing w:val="-4"/>
          <w:sz w:val="24"/>
          <w:szCs w:val="24"/>
          <w:highlight w:val="none"/>
          <w14:textFill>
            <w14:solidFill>
              <w14:schemeClr w14:val="tx1"/>
            </w14:solidFill>
          </w14:textFill>
        </w:rPr>
        <w:t>1.</w:t>
      </w:r>
      <w:r>
        <w:rPr>
          <w:rFonts w:ascii="宋体" w:hAnsi="宋体" w:cs="宋体"/>
          <w:b/>
          <w:bCs/>
          <w:color w:val="000000" w:themeColor="text1"/>
          <w:spacing w:val="-4"/>
          <w:sz w:val="24"/>
          <w:szCs w:val="24"/>
          <w:highlight w:val="none"/>
          <w14:textFill>
            <w14:solidFill>
              <w14:schemeClr w14:val="tx1"/>
            </w14:solidFill>
          </w14:textFill>
        </w:rPr>
        <w:t>一般约定</w:t>
      </w:r>
    </w:p>
    <w:p w14:paraId="6257A141">
      <w:pPr>
        <w:spacing w:before="114" w:line="360" w:lineRule="auto"/>
        <w:ind w:left="495"/>
        <w:outlineLvl w:val="4"/>
        <w:rPr>
          <w:rFonts w:ascii="宋体" w:hAnsi="宋体" w:cs="宋体"/>
          <w:color w:val="000000" w:themeColor="text1"/>
          <w:sz w:val="24"/>
          <w:szCs w:val="24"/>
          <w:highlight w:val="none"/>
          <w14:textFill>
            <w14:solidFill>
              <w14:schemeClr w14:val="tx1"/>
            </w14:solidFill>
          </w14:textFill>
        </w:rPr>
      </w:pPr>
      <w:r>
        <w:rPr>
          <w:rFonts w:eastAsia="Times New Roman"/>
          <w:b/>
          <w:bCs/>
          <w:color w:val="000000" w:themeColor="text1"/>
          <w:spacing w:val="-5"/>
          <w:sz w:val="24"/>
          <w:szCs w:val="24"/>
          <w:highlight w:val="none"/>
          <w14:textFill>
            <w14:solidFill>
              <w14:schemeClr w14:val="tx1"/>
            </w14:solidFill>
          </w14:textFill>
        </w:rPr>
        <w:t>1.1</w:t>
      </w:r>
      <w:r>
        <w:rPr>
          <w:rFonts w:eastAsia="Times New Roman"/>
          <w:b/>
          <w:bCs/>
          <w:color w:val="000000" w:themeColor="text1"/>
          <w:spacing w:val="5"/>
          <w:sz w:val="24"/>
          <w:szCs w:val="24"/>
          <w:highlight w:val="none"/>
          <w14:textFill>
            <w14:solidFill>
              <w14:schemeClr w14:val="tx1"/>
            </w14:solidFill>
          </w14:textFill>
        </w:rPr>
        <w:t xml:space="preserve">  </w:t>
      </w:r>
      <w:r>
        <w:rPr>
          <w:rFonts w:ascii="宋体" w:hAnsi="宋体" w:cs="宋体"/>
          <w:b/>
          <w:bCs/>
          <w:color w:val="000000" w:themeColor="text1"/>
          <w:spacing w:val="-5"/>
          <w:sz w:val="24"/>
          <w:szCs w:val="24"/>
          <w:highlight w:val="none"/>
          <w14:textFill>
            <w14:solidFill>
              <w14:schemeClr w14:val="tx1"/>
            </w14:solidFill>
          </w14:textFill>
        </w:rPr>
        <w:t>词语定义</w:t>
      </w:r>
    </w:p>
    <w:p w14:paraId="778E0521">
      <w:pPr>
        <w:spacing w:before="124" w:line="360" w:lineRule="auto"/>
        <w:ind w:left="508"/>
        <w:rPr>
          <w:rFonts w:ascii="宋体" w:hAnsi="宋体" w:cs="宋体"/>
          <w:color w:val="000000" w:themeColor="text1"/>
          <w:sz w:val="24"/>
          <w:szCs w:val="24"/>
          <w:highlight w:val="none"/>
          <w14:textFill>
            <w14:solidFill>
              <w14:schemeClr w14:val="tx1"/>
            </w14:solidFill>
          </w14:textFill>
        </w:rPr>
      </w:pPr>
      <w:r>
        <w:rPr>
          <w:rFonts w:eastAsia="Times New Roman"/>
          <w:color w:val="000000" w:themeColor="text1"/>
          <w:spacing w:val="-2"/>
          <w:sz w:val="24"/>
          <w:szCs w:val="24"/>
          <w:highlight w:val="none"/>
          <w14:textFill>
            <w14:solidFill>
              <w14:schemeClr w14:val="tx1"/>
            </w14:solidFill>
          </w14:textFill>
        </w:rPr>
        <w:t xml:space="preserve">1.1.3  </w:t>
      </w:r>
      <w:r>
        <w:rPr>
          <w:rFonts w:ascii="宋体" w:hAnsi="宋体" w:cs="宋体"/>
          <w:color w:val="000000" w:themeColor="text1"/>
          <w:spacing w:val="-2"/>
          <w:sz w:val="24"/>
          <w:szCs w:val="24"/>
          <w:highlight w:val="none"/>
          <w14:textFill>
            <w14:solidFill>
              <w14:schemeClr w14:val="tx1"/>
            </w14:solidFill>
          </w14:textFill>
        </w:rPr>
        <w:t>养护项目、养护工程和设备</w:t>
      </w:r>
    </w:p>
    <w:p w14:paraId="4D101C2F">
      <w:pPr>
        <w:spacing w:before="113" w:line="360" w:lineRule="auto"/>
        <w:ind w:firstLine="472" w:firstLineChars="200"/>
        <w:rPr>
          <w:rFonts w:ascii="宋体" w:hAnsi="宋体" w:cs="宋体"/>
          <w:color w:val="000000" w:themeColor="text1"/>
          <w:sz w:val="24"/>
          <w:szCs w:val="24"/>
          <w:highlight w:val="none"/>
          <w14:textFill>
            <w14:solidFill>
              <w14:schemeClr w14:val="tx1"/>
            </w14:solidFill>
          </w14:textFill>
        </w:rPr>
      </w:pPr>
      <w:r>
        <w:rPr>
          <w:rFonts w:eastAsia="Times New Roman"/>
          <w:color w:val="000000" w:themeColor="text1"/>
          <w:spacing w:val="-2"/>
          <w:sz w:val="24"/>
          <w:szCs w:val="24"/>
          <w:highlight w:val="none"/>
          <w14:textFill>
            <w14:solidFill>
              <w14:schemeClr w14:val="tx1"/>
            </w14:solidFill>
          </w14:textFill>
        </w:rPr>
        <w:t xml:space="preserve">1.1.3.1  </w:t>
      </w:r>
      <w:r>
        <w:rPr>
          <w:rFonts w:ascii="宋体" w:hAnsi="宋体" w:cs="宋体"/>
          <w:color w:val="000000" w:themeColor="text1"/>
          <w:spacing w:val="-2"/>
          <w:sz w:val="24"/>
          <w:szCs w:val="24"/>
          <w:highlight w:val="none"/>
          <w14:textFill>
            <w14:solidFill>
              <w14:schemeClr w14:val="tx1"/>
            </w14:solidFill>
          </w14:textFill>
        </w:rPr>
        <w:t>养护项目：</w:t>
      </w:r>
      <w:r>
        <w:rPr>
          <w:rFonts w:hint="eastAsia" w:ascii="宋体" w:hAnsi="宋体" w:cs="宋体"/>
          <w:color w:val="000000" w:themeColor="text1"/>
          <w:spacing w:val="-2"/>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ascii="宋体" w:hAnsi="宋体" w:cs="宋体"/>
          <w:color w:val="000000" w:themeColor="text1"/>
          <w:spacing w:val="-2"/>
          <w:sz w:val="24"/>
          <w:szCs w:val="24"/>
          <w:highlight w:val="none"/>
          <w14:textFill>
            <w14:solidFill>
              <w14:schemeClr w14:val="tx1"/>
            </w14:solidFill>
          </w14:textFill>
        </w:rPr>
        <w:t>。</w:t>
      </w:r>
    </w:p>
    <w:p w14:paraId="072DF5E8">
      <w:pPr>
        <w:spacing w:before="116" w:line="360" w:lineRule="auto"/>
        <w:ind w:firstLine="472" w:firstLineChars="200"/>
        <w:rPr>
          <w:rFonts w:ascii="宋体" w:hAnsi="宋体" w:cs="宋体"/>
          <w:color w:val="000000" w:themeColor="text1"/>
          <w:sz w:val="24"/>
          <w:szCs w:val="24"/>
          <w:highlight w:val="none"/>
          <w14:textFill>
            <w14:solidFill>
              <w14:schemeClr w14:val="tx1"/>
            </w14:solidFill>
          </w14:textFill>
        </w:rPr>
      </w:pPr>
      <w:r>
        <w:rPr>
          <w:rFonts w:eastAsia="Times New Roman"/>
          <w:color w:val="000000" w:themeColor="text1"/>
          <w:spacing w:val="-2"/>
          <w:sz w:val="24"/>
          <w:szCs w:val="24"/>
          <w:highlight w:val="none"/>
          <w14:textFill>
            <w14:solidFill>
              <w14:schemeClr w14:val="tx1"/>
            </w14:solidFill>
          </w14:textFill>
        </w:rPr>
        <w:t xml:space="preserve">1.1.3.2  </w:t>
      </w:r>
      <w:r>
        <w:rPr>
          <w:rFonts w:ascii="宋体" w:hAnsi="宋体" w:cs="宋体"/>
          <w:color w:val="000000" w:themeColor="text1"/>
          <w:spacing w:val="-2"/>
          <w:sz w:val="24"/>
          <w:szCs w:val="24"/>
          <w:highlight w:val="none"/>
          <w14:textFill>
            <w14:solidFill>
              <w14:schemeClr w14:val="tx1"/>
            </w14:solidFill>
          </w14:textFill>
        </w:rPr>
        <w:t>养护工程：</w:t>
      </w:r>
      <w:r>
        <w:rPr>
          <w:rFonts w:hint="eastAsia" w:ascii="宋体" w:hAnsi="宋体" w:cs="宋体"/>
          <w:color w:val="000000" w:themeColor="text1"/>
          <w:sz w:val="24"/>
          <w:szCs w:val="24"/>
          <w:highlight w:val="none"/>
          <w:u w:val="single"/>
          <w14:textFill>
            <w14:solidFill>
              <w14:schemeClr w14:val="tx1"/>
            </w14:solidFill>
          </w14:textFill>
        </w:rPr>
        <w:t>S206线K25+642～K53+000段安全设施精细化提升工程</w:t>
      </w:r>
      <w:r>
        <w:rPr>
          <w:rFonts w:hint="eastAsia" w:ascii="宋体" w:hAnsi="宋体" w:cs="宋体"/>
          <w:color w:val="000000" w:themeColor="text1"/>
          <w:spacing w:val="-2"/>
          <w:sz w:val="24"/>
          <w:szCs w:val="24"/>
          <w:highlight w:val="none"/>
          <w14:textFill>
            <w14:solidFill>
              <w14:schemeClr w14:val="tx1"/>
            </w14:solidFill>
          </w14:textFill>
        </w:rPr>
        <w:t>。</w:t>
      </w:r>
    </w:p>
    <w:p w14:paraId="34D59362">
      <w:pPr>
        <w:spacing w:before="116" w:line="360" w:lineRule="auto"/>
        <w:ind w:left="508"/>
        <w:rPr>
          <w:rFonts w:ascii="宋体" w:hAnsi="宋体" w:cs="宋体"/>
          <w:color w:val="000000" w:themeColor="text1"/>
          <w:sz w:val="24"/>
          <w:szCs w:val="24"/>
          <w:highlight w:val="none"/>
          <w14:textFill>
            <w14:solidFill>
              <w14:schemeClr w14:val="tx1"/>
            </w14:solidFill>
          </w14:textFill>
        </w:rPr>
      </w:pPr>
      <w:r>
        <w:rPr>
          <w:rFonts w:eastAsia="Times New Roman"/>
          <w:color w:val="000000" w:themeColor="text1"/>
          <w:spacing w:val="-9"/>
          <w:sz w:val="24"/>
          <w:szCs w:val="24"/>
          <w:highlight w:val="none"/>
          <w14:textFill>
            <w14:solidFill>
              <w14:schemeClr w14:val="tx1"/>
            </w14:solidFill>
          </w14:textFill>
        </w:rPr>
        <w:t xml:space="preserve">1.1.4   </w:t>
      </w:r>
      <w:r>
        <w:rPr>
          <w:rFonts w:ascii="宋体" w:hAnsi="宋体" w:cs="宋体"/>
          <w:color w:val="000000" w:themeColor="text1"/>
          <w:spacing w:val="-9"/>
          <w:sz w:val="24"/>
          <w:szCs w:val="24"/>
          <w:highlight w:val="none"/>
          <w14:textFill>
            <w14:solidFill>
              <w14:schemeClr w14:val="tx1"/>
            </w14:solidFill>
          </w14:textFill>
        </w:rPr>
        <w:t>日期</w:t>
      </w:r>
    </w:p>
    <w:p w14:paraId="3F3BF116">
      <w:pPr>
        <w:spacing w:before="112" w:line="360" w:lineRule="auto"/>
        <w:ind w:left="508"/>
        <w:rPr>
          <w:rFonts w:ascii="宋体" w:hAnsi="宋体" w:cs="宋体"/>
          <w:color w:val="000000" w:themeColor="text1"/>
          <w:sz w:val="24"/>
          <w:szCs w:val="24"/>
          <w:highlight w:val="none"/>
          <w14:textFill>
            <w14:solidFill>
              <w14:schemeClr w14:val="tx1"/>
            </w14:solidFill>
          </w14:textFill>
        </w:rPr>
      </w:pPr>
      <w:r>
        <w:rPr>
          <w:rFonts w:eastAsia="Times New Roman"/>
          <w:color w:val="000000" w:themeColor="text1"/>
          <w:spacing w:val="-3"/>
          <w:sz w:val="24"/>
          <w:szCs w:val="24"/>
          <w:highlight w:val="none"/>
          <w14:textFill>
            <w14:solidFill>
              <w14:schemeClr w14:val="tx1"/>
            </w14:solidFill>
          </w14:textFill>
        </w:rPr>
        <w:t xml:space="preserve">1.1.4.3  </w:t>
      </w:r>
      <w:r>
        <w:rPr>
          <w:rFonts w:ascii="宋体" w:hAnsi="宋体" w:cs="宋体"/>
          <w:color w:val="000000" w:themeColor="text1"/>
          <w:spacing w:val="-3"/>
          <w:sz w:val="24"/>
          <w:szCs w:val="24"/>
          <w:highlight w:val="none"/>
          <w14:textFill>
            <w14:solidFill>
              <w14:schemeClr w14:val="tx1"/>
            </w14:solidFill>
          </w14:textFill>
        </w:rPr>
        <w:t>工期：</w:t>
      </w:r>
      <w:r>
        <w:rPr>
          <w:rFonts w:hint="eastAsia" w:ascii="宋体" w:hAnsi="宋体" w:cs="宋体"/>
          <w:color w:val="000000" w:themeColor="text1"/>
          <w:sz w:val="24"/>
          <w:szCs w:val="24"/>
          <w:highlight w:val="none"/>
          <w:u w:val="single"/>
          <w14:textFill>
            <w14:solidFill>
              <w14:schemeClr w14:val="tx1"/>
            </w14:solidFill>
          </w14:textFill>
        </w:rPr>
        <w:t>120日历天</w:t>
      </w:r>
      <w:r>
        <w:rPr>
          <w:rFonts w:ascii="宋体" w:hAnsi="宋体" w:cs="宋体"/>
          <w:color w:val="000000" w:themeColor="text1"/>
          <w:spacing w:val="-3"/>
          <w:sz w:val="24"/>
          <w:szCs w:val="24"/>
          <w:highlight w:val="none"/>
          <w14:textFill>
            <w14:solidFill>
              <w14:schemeClr w14:val="tx1"/>
            </w14:solidFill>
          </w14:textFill>
        </w:rPr>
        <w:t>。</w:t>
      </w:r>
    </w:p>
    <w:p w14:paraId="566193E1">
      <w:pPr>
        <w:spacing w:before="106" w:line="360" w:lineRule="auto"/>
        <w:ind w:left="507"/>
        <w:outlineLvl w:val="4"/>
        <w:rPr>
          <w:rFonts w:ascii="宋体" w:hAnsi="宋体" w:cs="宋体"/>
          <w:color w:val="000000" w:themeColor="text1"/>
          <w:sz w:val="24"/>
          <w:szCs w:val="24"/>
          <w:highlight w:val="none"/>
          <w14:textFill>
            <w14:solidFill>
              <w14:schemeClr w14:val="tx1"/>
            </w14:solidFill>
          </w14:textFill>
        </w:rPr>
      </w:pPr>
      <w:r>
        <w:rPr>
          <w:rFonts w:ascii="宋体" w:hAnsi="宋体" w:cs="宋体"/>
          <w:b/>
          <w:bCs/>
          <w:color w:val="000000" w:themeColor="text1"/>
          <w:spacing w:val="-4"/>
          <w:sz w:val="24"/>
          <w:szCs w:val="24"/>
          <w:highlight w:val="none"/>
          <w14:textFill>
            <w14:solidFill>
              <w14:schemeClr w14:val="tx1"/>
            </w14:solidFill>
          </w14:textFill>
        </w:rPr>
        <w:t>1.11</w:t>
      </w:r>
      <w:r>
        <w:rPr>
          <w:rFonts w:ascii="宋体" w:hAnsi="宋体" w:cs="宋体"/>
          <w:color w:val="000000" w:themeColor="text1"/>
          <w:spacing w:val="-4"/>
          <w:sz w:val="24"/>
          <w:szCs w:val="24"/>
          <w:highlight w:val="none"/>
          <w14:textFill>
            <w14:solidFill>
              <w14:schemeClr w14:val="tx1"/>
            </w14:solidFill>
          </w14:textFill>
        </w:rPr>
        <w:t xml:space="preserve"> </w:t>
      </w:r>
      <w:r>
        <w:rPr>
          <w:rFonts w:ascii="宋体" w:hAnsi="宋体" w:cs="宋体"/>
          <w:b/>
          <w:bCs/>
          <w:color w:val="000000" w:themeColor="text1"/>
          <w:spacing w:val="-4"/>
          <w:sz w:val="24"/>
          <w:szCs w:val="24"/>
          <w:highlight w:val="none"/>
          <w14:textFill>
            <w14:solidFill>
              <w14:schemeClr w14:val="tx1"/>
            </w14:solidFill>
          </w14:textFill>
        </w:rPr>
        <w:t>养护管理信息系统</w:t>
      </w:r>
    </w:p>
    <w:p w14:paraId="56273014">
      <w:pPr>
        <w:spacing w:before="124" w:line="360" w:lineRule="auto"/>
        <w:ind w:left="10" w:firstLine="480"/>
        <w:rPr>
          <w:rFonts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pacing w:val="1"/>
          <w:sz w:val="24"/>
          <w:szCs w:val="24"/>
          <w:highlight w:val="none"/>
          <w14:textFill>
            <w14:solidFill>
              <w14:schemeClr w14:val="tx1"/>
            </w14:solidFill>
          </w14:textFill>
        </w:rPr>
        <w:t>养护相关技术文件和养护数据的收集、加工、录入、存</w:t>
      </w:r>
      <w:r>
        <w:rPr>
          <w:rFonts w:ascii="宋体" w:hAnsi="宋体" w:cs="宋体"/>
          <w:color w:val="000000" w:themeColor="text1"/>
          <w:sz w:val="24"/>
          <w:szCs w:val="24"/>
          <w:highlight w:val="none"/>
          <w14:textFill>
            <w14:solidFill>
              <w14:schemeClr w14:val="tx1"/>
            </w14:solidFill>
          </w14:textFill>
        </w:rPr>
        <w:t>储、归档、费用列支等</w:t>
      </w:r>
      <w:r>
        <w:rPr>
          <w:rFonts w:ascii="宋体" w:hAnsi="宋体" w:cs="宋体"/>
          <w:color w:val="000000" w:themeColor="text1"/>
          <w:spacing w:val="-1"/>
          <w:sz w:val="24"/>
          <w:szCs w:val="24"/>
          <w:highlight w:val="none"/>
          <w14:textFill>
            <w14:solidFill>
              <w14:schemeClr w14:val="tx1"/>
            </w14:solidFill>
          </w14:textFill>
        </w:rPr>
        <w:t>要求：</w:t>
      </w:r>
      <w:r>
        <w:rPr>
          <w:rFonts w:ascii="宋体" w:hAnsi="宋体" w:cs="宋体"/>
          <w:color w:val="000000" w:themeColor="text1"/>
          <w:spacing w:val="-1"/>
          <w:sz w:val="24"/>
          <w:szCs w:val="24"/>
          <w:highlight w:val="none"/>
          <w:u w:val="single"/>
          <w14:textFill>
            <w14:solidFill>
              <w14:schemeClr w14:val="tx1"/>
            </w14:solidFill>
          </w14:textFill>
        </w:rPr>
        <w:t xml:space="preserve"> </w:t>
      </w:r>
      <w:r>
        <w:rPr>
          <w:rFonts w:hint="eastAsia" w:ascii="宋体" w:hAnsi="宋体" w:cs="宋体"/>
          <w:color w:val="000000" w:themeColor="text1"/>
          <w:spacing w:val="-1"/>
          <w:sz w:val="24"/>
          <w:szCs w:val="24"/>
          <w:highlight w:val="none"/>
          <w:u w:val="single"/>
          <w14:textFill>
            <w14:solidFill>
              <w14:schemeClr w14:val="tx1"/>
            </w14:solidFill>
          </w14:textFill>
        </w:rPr>
        <w:t>/</w:t>
      </w:r>
      <w:r>
        <w:rPr>
          <w:rFonts w:ascii="宋体" w:hAnsi="宋体" w:cs="宋体"/>
          <w:color w:val="000000" w:themeColor="text1"/>
          <w:spacing w:val="-1"/>
          <w:sz w:val="24"/>
          <w:szCs w:val="24"/>
          <w:highlight w:val="none"/>
          <w:u w:val="single"/>
          <w14:textFill>
            <w14:solidFill>
              <w14:schemeClr w14:val="tx1"/>
            </w14:solidFill>
          </w14:textFill>
        </w:rPr>
        <w:t xml:space="preserve"> </w:t>
      </w:r>
      <w:r>
        <w:rPr>
          <w:rFonts w:ascii="宋体" w:hAnsi="宋体" w:cs="宋体"/>
          <w:color w:val="000000" w:themeColor="text1"/>
          <w:spacing w:val="-1"/>
          <w:sz w:val="24"/>
          <w:szCs w:val="24"/>
          <w:highlight w:val="none"/>
          <w14:textFill>
            <w14:solidFill>
              <w14:schemeClr w14:val="tx1"/>
            </w14:solidFill>
          </w14:textFill>
        </w:rPr>
        <w:t>。</w:t>
      </w:r>
    </w:p>
    <w:p w14:paraId="3412A9C7">
      <w:pPr>
        <w:spacing w:before="106" w:line="219" w:lineRule="auto"/>
        <w:ind w:left="495"/>
        <w:outlineLvl w:val="4"/>
        <w:rPr>
          <w:rFonts w:ascii="宋体" w:hAnsi="宋体" w:cs="宋体"/>
          <w:color w:val="000000" w:themeColor="text1"/>
          <w:sz w:val="24"/>
          <w:highlight w:val="none"/>
          <w14:textFill>
            <w14:solidFill>
              <w14:schemeClr w14:val="tx1"/>
            </w14:solidFill>
          </w14:textFill>
        </w:rPr>
      </w:pPr>
      <w:r>
        <w:rPr>
          <w:rFonts w:eastAsia="Times New Roman"/>
          <w:b/>
          <w:bCs/>
          <w:color w:val="000000" w:themeColor="text1"/>
          <w:spacing w:val="-3"/>
          <w:sz w:val="24"/>
          <w:highlight w:val="none"/>
          <w14:textFill>
            <w14:solidFill>
              <w14:schemeClr w14:val="tx1"/>
            </w14:solidFill>
          </w14:textFill>
        </w:rPr>
        <w:t xml:space="preserve">1.12  </w:t>
      </w:r>
      <w:r>
        <w:rPr>
          <w:rFonts w:ascii="宋体" w:hAnsi="宋体" w:cs="宋体"/>
          <w:b/>
          <w:bCs/>
          <w:color w:val="000000" w:themeColor="text1"/>
          <w:spacing w:val="-3"/>
          <w:sz w:val="24"/>
          <w:highlight w:val="none"/>
          <w14:textFill>
            <w14:solidFill>
              <w14:schemeClr w14:val="tx1"/>
            </w14:solidFill>
          </w14:textFill>
        </w:rPr>
        <w:t>施工产生资源的归属</w:t>
      </w:r>
    </w:p>
    <w:p w14:paraId="7E27787C">
      <w:pPr>
        <w:spacing w:before="125" w:line="360" w:lineRule="auto"/>
        <w:ind w:left="49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pacing w:val="-1"/>
          <w:sz w:val="24"/>
          <w:highlight w:val="none"/>
          <w14:textFill>
            <w14:solidFill>
              <w14:schemeClr w14:val="tx1"/>
            </w14:solidFill>
          </w14:textFill>
        </w:rPr>
        <w:t>本项目施工产生的可循环再生利用资源包括</w:t>
      </w:r>
      <w:r>
        <w:rPr>
          <w:rFonts w:hint="eastAsia" w:ascii="宋体" w:hAnsi="宋体" w:cs="宋体"/>
          <w:color w:val="000000" w:themeColor="text1"/>
          <w:spacing w:val="3"/>
          <w:sz w:val="24"/>
          <w:highlight w:val="none"/>
          <w14:textFill>
            <w14:solidFill>
              <w14:schemeClr w14:val="tx1"/>
            </w14:solidFill>
          </w14:textFill>
        </w:rPr>
        <w:t>：</w:t>
      </w:r>
      <w:r>
        <w:rPr>
          <w:rFonts w:hint="eastAsia" w:ascii="宋体" w:hAnsi="宋体" w:cs="宋体"/>
          <w:color w:val="000000" w:themeColor="text1"/>
          <w:kern w:val="0"/>
          <w:sz w:val="24"/>
          <w:highlight w:val="none"/>
          <w:u w:val="single"/>
          <w14:textFill>
            <w14:solidFill>
              <w14:schemeClr w14:val="tx1"/>
            </w14:solidFill>
          </w14:textFill>
        </w:rPr>
        <w:t>拆除的金属构件</w:t>
      </w:r>
      <w:r>
        <w:rPr>
          <w:rFonts w:hint="eastAsia" w:ascii="宋体" w:hAnsi="宋体" w:cs="宋体"/>
          <w:color w:val="000000" w:themeColor="text1"/>
          <w:spacing w:val="3"/>
          <w:sz w:val="24"/>
          <w:highlight w:val="none"/>
          <w14:textFill>
            <w14:solidFill>
              <w14:schemeClr w14:val="tx1"/>
            </w14:solidFill>
          </w14:textFill>
        </w:rPr>
        <w:t>；</w:t>
      </w:r>
    </w:p>
    <w:p w14:paraId="5C827DEA">
      <w:pPr>
        <w:spacing w:before="113" w:line="360" w:lineRule="auto"/>
        <w:ind w:firstLine="464"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pacing w:val="-4"/>
          <w:sz w:val="24"/>
          <w:highlight w:val="none"/>
          <w14:textFill>
            <w14:solidFill>
              <w14:schemeClr w14:val="tx1"/>
            </w14:solidFill>
          </w14:textFill>
        </w:rPr>
        <w:t>处置方式</w:t>
      </w:r>
      <w:r>
        <w:rPr>
          <w:rFonts w:hint="eastAsia" w:ascii="宋体" w:hAnsi="宋体" w:cs="宋体"/>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u w:val="single"/>
          <w14:textFill>
            <w14:solidFill>
              <w14:schemeClr w14:val="tx1"/>
            </w14:solidFill>
          </w14:textFill>
        </w:rPr>
        <w:t>设计为利用的部分由承包人妥善保管并用于本项目中，其余由承包人把拆除的</w:t>
      </w:r>
      <w:r>
        <w:rPr>
          <w:rFonts w:hint="eastAsia" w:ascii="宋体" w:hAnsi="宋体" w:cs="宋体"/>
          <w:color w:val="000000" w:themeColor="text1"/>
          <w:kern w:val="0"/>
          <w:sz w:val="24"/>
          <w:highlight w:val="none"/>
          <w:u w:val="single"/>
          <w14:textFill>
            <w14:solidFill>
              <w14:schemeClr w14:val="tx1"/>
            </w14:solidFill>
          </w14:textFill>
        </w:rPr>
        <w:t>构件装、运、卸至发包人指定地点交由发包人回收</w:t>
      </w:r>
      <w:r>
        <w:rPr>
          <w:rFonts w:hint="eastAsia" w:ascii="宋体" w:hAnsi="宋体" w:cs="宋体"/>
          <w:color w:val="000000" w:themeColor="text1"/>
          <w:sz w:val="24"/>
          <w:highlight w:val="none"/>
          <w14:textFill>
            <w14:solidFill>
              <w14:schemeClr w14:val="tx1"/>
            </w14:solidFill>
          </w14:textFill>
        </w:rPr>
        <w:t>；</w:t>
      </w:r>
    </w:p>
    <w:p w14:paraId="74A9DC28">
      <w:pPr>
        <w:spacing w:before="115" w:line="360" w:lineRule="auto"/>
        <w:ind w:left="502"/>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pacing w:val="-6"/>
          <w:sz w:val="24"/>
          <w:highlight w:val="none"/>
          <w14:textFill>
            <w14:solidFill>
              <w14:schemeClr w14:val="tx1"/>
            </w14:solidFill>
          </w14:textFill>
        </w:rPr>
        <w:t>费用承担</w:t>
      </w:r>
      <w:r>
        <w:rPr>
          <w:rFonts w:hint="eastAsia" w:ascii="宋体" w:hAnsi="宋体" w:cs="宋体"/>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u w:val="single"/>
          <w14:textFill>
            <w14:solidFill>
              <w14:schemeClr w14:val="tx1"/>
            </w14:solidFill>
          </w14:textFill>
        </w:rPr>
        <w:t>承包人</w:t>
      </w:r>
      <w:r>
        <w:rPr>
          <w:rFonts w:hint="eastAsia" w:ascii="宋体" w:hAnsi="宋体" w:cs="宋体"/>
          <w:color w:val="000000" w:themeColor="text1"/>
          <w:sz w:val="24"/>
          <w:highlight w:val="none"/>
          <w14:textFill>
            <w14:solidFill>
              <w14:schemeClr w14:val="tx1"/>
            </w14:solidFill>
          </w14:textFill>
        </w:rPr>
        <w:t>；</w:t>
      </w:r>
    </w:p>
    <w:p w14:paraId="400AE096">
      <w:pPr>
        <w:spacing w:before="116" w:line="360" w:lineRule="auto"/>
        <w:ind w:left="490"/>
        <w:rPr>
          <w:color w:val="000000" w:themeColor="text1"/>
          <w:highlight w:val="none"/>
          <w14:textFill>
            <w14:solidFill>
              <w14:schemeClr w14:val="tx1"/>
            </w14:solidFill>
          </w14:textFill>
        </w:rPr>
      </w:pPr>
      <w:r>
        <w:rPr>
          <w:rFonts w:hint="eastAsia" w:ascii="宋体" w:hAnsi="宋体" w:cs="宋体"/>
          <w:color w:val="000000" w:themeColor="text1"/>
          <w:spacing w:val="-1"/>
          <w:sz w:val="24"/>
          <w:highlight w:val="none"/>
          <w14:textFill>
            <w14:solidFill>
              <w14:schemeClr w14:val="tx1"/>
            </w14:solidFill>
          </w14:textFill>
        </w:rPr>
        <w:t>利益分享：</w:t>
      </w:r>
      <w:r>
        <w:rPr>
          <w:rFonts w:hint="eastAsia" w:ascii="宋体" w:hAnsi="宋体" w:cs="宋体"/>
          <w:color w:val="000000" w:themeColor="text1"/>
          <w:spacing w:val="-1"/>
          <w:sz w:val="24"/>
          <w:highlight w:val="none"/>
          <w:u w:val="single"/>
          <w14:textFill>
            <w14:solidFill>
              <w14:schemeClr w14:val="tx1"/>
            </w14:solidFill>
          </w14:textFill>
        </w:rPr>
        <w:t>/</w:t>
      </w:r>
      <w:r>
        <w:rPr>
          <w:rFonts w:hint="eastAsia" w:ascii="宋体" w:hAnsi="宋体" w:cs="宋体"/>
          <w:color w:val="000000" w:themeColor="text1"/>
          <w:spacing w:val="-1"/>
          <w:sz w:val="24"/>
          <w:highlight w:val="none"/>
          <w14:textFill>
            <w14:solidFill>
              <w14:schemeClr w14:val="tx1"/>
            </w14:solidFill>
          </w14:textFill>
        </w:rPr>
        <w:t>。</w:t>
      </w:r>
    </w:p>
    <w:p w14:paraId="07D4EB24">
      <w:pPr>
        <w:spacing w:before="78" w:line="219" w:lineRule="auto"/>
        <w:ind w:left="486"/>
        <w:outlineLvl w:val="3"/>
        <w:rPr>
          <w:rFonts w:ascii="宋体" w:hAnsi="宋体" w:cs="宋体"/>
          <w:color w:val="000000" w:themeColor="text1"/>
          <w:sz w:val="24"/>
          <w:highlight w:val="none"/>
          <w14:textFill>
            <w14:solidFill>
              <w14:schemeClr w14:val="tx1"/>
            </w14:solidFill>
          </w14:textFill>
        </w:rPr>
      </w:pPr>
      <w:bookmarkStart w:id="198" w:name="bookmark82"/>
      <w:bookmarkEnd w:id="198"/>
      <w:bookmarkStart w:id="199" w:name="bookmark81"/>
      <w:bookmarkEnd w:id="199"/>
      <w:r>
        <w:rPr>
          <w:rFonts w:eastAsia="Times New Roman"/>
          <w:b/>
          <w:bCs/>
          <w:color w:val="000000" w:themeColor="text1"/>
          <w:spacing w:val="-3"/>
          <w:sz w:val="24"/>
          <w:highlight w:val="none"/>
          <w14:textFill>
            <w14:solidFill>
              <w14:schemeClr w14:val="tx1"/>
            </w14:solidFill>
          </w14:textFill>
        </w:rPr>
        <w:t>4.</w:t>
      </w:r>
      <w:r>
        <w:rPr>
          <w:rFonts w:ascii="宋体" w:hAnsi="宋体" w:cs="宋体"/>
          <w:b/>
          <w:bCs/>
          <w:color w:val="000000" w:themeColor="text1"/>
          <w:spacing w:val="-3"/>
          <w:sz w:val="24"/>
          <w:highlight w:val="none"/>
          <w14:textFill>
            <w14:solidFill>
              <w14:schemeClr w14:val="tx1"/>
            </w14:solidFill>
          </w14:textFill>
        </w:rPr>
        <w:t>承包人</w:t>
      </w:r>
    </w:p>
    <w:p w14:paraId="72B87EB9">
      <w:pPr>
        <w:spacing w:before="114" w:line="219" w:lineRule="auto"/>
        <w:ind w:left="486"/>
        <w:outlineLvl w:val="4"/>
        <w:rPr>
          <w:rFonts w:ascii="宋体" w:hAnsi="宋体" w:cs="宋体"/>
          <w:color w:val="000000" w:themeColor="text1"/>
          <w:sz w:val="24"/>
          <w:highlight w:val="none"/>
          <w14:textFill>
            <w14:solidFill>
              <w14:schemeClr w14:val="tx1"/>
            </w14:solidFill>
          </w14:textFill>
        </w:rPr>
      </w:pPr>
      <w:r>
        <w:rPr>
          <w:rFonts w:eastAsia="Times New Roman"/>
          <w:b/>
          <w:bCs/>
          <w:color w:val="000000" w:themeColor="text1"/>
          <w:spacing w:val="-2"/>
          <w:sz w:val="24"/>
          <w:highlight w:val="none"/>
          <w14:textFill>
            <w14:solidFill>
              <w14:schemeClr w14:val="tx1"/>
            </w14:solidFill>
          </w14:textFill>
        </w:rPr>
        <w:t xml:space="preserve">4.1  </w:t>
      </w:r>
      <w:r>
        <w:rPr>
          <w:rFonts w:ascii="宋体" w:hAnsi="宋体" w:cs="宋体"/>
          <w:b/>
          <w:bCs/>
          <w:color w:val="000000" w:themeColor="text1"/>
          <w:spacing w:val="-2"/>
          <w:sz w:val="24"/>
          <w:highlight w:val="none"/>
          <w14:textFill>
            <w14:solidFill>
              <w14:schemeClr w14:val="tx1"/>
            </w14:solidFill>
          </w14:textFill>
        </w:rPr>
        <w:t>承包人的一般义务</w:t>
      </w:r>
    </w:p>
    <w:p w14:paraId="4DB0D2ED">
      <w:pPr>
        <w:spacing w:before="126" w:line="219" w:lineRule="auto"/>
        <w:ind w:left="483"/>
        <w:rPr>
          <w:rFonts w:ascii="宋体" w:hAnsi="宋体" w:cs="宋体"/>
          <w:color w:val="000000" w:themeColor="text1"/>
          <w:sz w:val="24"/>
          <w:highlight w:val="none"/>
          <w14:textFill>
            <w14:solidFill>
              <w14:schemeClr w14:val="tx1"/>
            </w14:solidFill>
          </w14:textFill>
        </w:rPr>
      </w:pPr>
      <w:r>
        <w:rPr>
          <w:rFonts w:eastAsia="Times New Roman"/>
          <w:color w:val="000000" w:themeColor="text1"/>
          <w:spacing w:val="-2"/>
          <w:sz w:val="24"/>
          <w:highlight w:val="none"/>
          <w14:textFill>
            <w14:solidFill>
              <w14:schemeClr w14:val="tx1"/>
            </w14:solidFill>
          </w14:textFill>
        </w:rPr>
        <w:t xml:space="preserve">4.1.11 </w:t>
      </w:r>
      <w:r>
        <w:rPr>
          <w:rFonts w:ascii="宋体" w:hAnsi="宋体" w:cs="宋体"/>
          <w:color w:val="000000" w:themeColor="text1"/>
          <w:spacing w:val="-2"/>
          <w:sz w:val="24"/>
          <w:highlight w:val="none"/>
          <w14:textFill>
            <w14:solidFill>
              <w14:schemeClr w14:val="tx1"/>
            </w14:solidFill>
          </w14:textFill>
        </w:rPr>
        <w:t>其他义务</w:t>
      </w:r>
    </w:p>
    <w:p w14:paraId="4CF71AF7">
      <w:pPr>
        <w:spacing w:before="125" w:line="360" w:lineRule="auto"/>
        <w:ind w:left="483"/>
        <w:rPr>
          <w:rFonts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1"/>
          <w:sz w:val="24"/>
          <w:highlight w:val="none"/>
          <w14:textFill>
            <w14:solidFill>
              <w14:schemeClr w14:val="tx1"/>
            </w14:solidFill>
          </w14:textFill>
        </w:rPr>
        <w:t>本项补充：</w:t>
      </w:r>
      <w:r>
        <w:rPr>
          <w:rFonts w:eastAsia="Times New Roman"/>
          <w:color w:val="000000" w:themeColor="text1"/>
          <w:spacing w:val="-2"/>
          <w:sz w:val="24"/>
          <w:highlight w:val="none"/>
          <w14:textFill>
            <w14:solidFill>
              <w14:schemeClr w14:val="tx1"/>
            </w14:solidFill>
          </w14:textFill>
        </w:rPr>
        <w:t>4.1.11</w:t>
      </w:r>
      <w:r>
        <w:rPr>
          <w:rFonts w:hint="eastAsia" w:ascii="宋体" w:hAnsi="宋体" w:cs="宋体"/>
          <w:color w:val="000000" w:themeColor="text1"/>
          <w:spacing w:val="-2"/>
          <w:sz w:val="24"/>
          <w:highlight w:val="none"/>
          <w14:textFill>
            <w14:solidFill>
              <w14:schemeClr w14:val="tx1"/>
            </w14:solidFill>
          </w14:textFill>
        </w:rPr>
        <w:t>其他义务</w:t>
      </w:r>
    </w:p>
    <w:p w14:paraId="473A4076">
      <w:pPr>
        <w:tabs>
          <w:tab w:val="left" w:pos="1080"/>
        </w:tabs>
        <w:spacing w:line="360" w:lineRule="auto"/>
        <w:ind w:firstLine="472" w:firstLineChars="200"/>
        <w:rPr>
          <w:rFonts w:eastAsia="Times New Roman"/>
          <w:color w:val="000000" w:themeColor="text1"/>
          <w:spacing w:val="-2"/>
          <w:sz w:val="24"/>
          <w:highlight w:val="none"/>
          <w14:textFill>
            <w14:solidFill>
              <w14:schemeClr w14:val="tx1"/>
            </w14:solidFill>
          </w14:textFill>
        </w:rPr>
      </w:pPr>
      <w:r>
        <w:rPr>
          <w:rFonts w:hint="eastAsia" w:eastAsia="Times New Roman"/>
          <w:color w:val="000000" w:themeColor="text1"/>
          <w:spacing w:val="-2"/>
          <w:sz w:val="24"/>
          <w:highlight w:val="none"/>
          <w14:textFill>
            <w14:solidFill>
              <w14:schemeClr w14:val="tx1"/>
            </w14:solidFill>
          </w14:textFill>
        </w:rPr>
        <w:t>1.承包人应严格遵守国家有关解决拖欠工程款和民工工资的法律、法规，及时支付工程中的材料、设备货款及民工工资等费用。承包人不得以任何借口拖欠材料、设备货款及民工工资等费用，如果出现此种现象，发包人有权代为支付其拖欠的材料、设备货款及民工工资，并从应付给承包人的工程款中扣除相应款项。对恶意拖欠和拒不按计划支付的，作为不良记录纳入公路养护工程市场信用信息管理系统。</w:t>
      </w:r>
    </w:p>
    <w:p w14:paraId="3FEE3CC4">
      <w:pPr>
        <w:tabs>
          <w:tab w:val="left" w:pos="1080"/>
        </w:tabs>
        <w:spacing w:line="360" w:lineRule="auto"/>
        <w:ind w:firstLine="472" w:firstLineChars="200"/>
        <w:rPr>
          <w:rFonts w:eastAsia="Times New Roman"/>
          <w:color w:val="000000" w:themeColor="text1"/>
          <w:spacing w:val="-2"/>
          <w:sz w:val="24"/>
          <w:highlight w:val="none"/>
          <w14:textFill>
            <w14:solidFill>
              <w14:schemeClr w14:val="tx1"/>
            </w14:solidFill>
          </w14:textFill>
        </w:rPr>
      </w:pPr>
      <w:r>
        <w:rPr>
          <w:rFonts w:hint="eastAsia" w:eastAsia="Times New Roman"/>
          <w:color w:val="000000" w:themeColor="text1"/>
          <w:spacing w:val="-2"/>
          <w:sz w:val="24"/>
          <w:highlight w:val="none"/>
          <w14:textFill>
            <w14:solidFill>
              <w14:schemeClr w14:val="tx1"/>
            </w14:solidFill>
          </w14:textFill>
        </w:rPr>
        <w:t>承包人的项目经理部是民工工资支付行为的主体，承包人的项目经理是民工工资支付的责任人。项目经理部要建立全体民工花名册和工资支付表，确保将工资直接发放给民工本人，或委托银行发放民工工资，严禁发放给“包工头”或其他不具备用工主体资格的组织和个人。</w:t>
      </w:r>
    </w:p>
    <w:p w14:paraId="0796D3AB">
      <w:pPr>
        <w:tabs>
          <w:tab w:val="left" w:pos="1080"/>
        </w:tabs>
        <w:spacing w:line="360" w:lineRule="auto"/>
        <w:ind w:firstLine="472" w:firstLineChars="200"/>
        <w:rPr>
          <w:rFonts w:eastAsia="Times New Roman"/>
          <w:color w:val="000000" w:themeColor="text1"/>
          <w:spacing w:val="-2"/>
          <w:sz w:val="24"/>
          <w:highlight w:val="none"/>
          <w14:textFill>
            <w14:solidFill>
              <w14:schemeClr w14:val="tx1"/>
            </w14:solidFill>
          </w14:textFill>
        </w:rPr>
      </w:pPr>
      <w:r>
        <w:rPr>
          <w:rFonts w:hint="eastAsia" w:eastAsia="Times New Roman"/>
          <w:color w:val="000000" w:themeColor="text1"/>
          <w:spacing w:val="-2"/>
          <w:sz w:val="24"/>
          <w:highlight w:val="none"/>
          <w14:textFill>
            <w14:solidFill>
              <w14:schemeClr w14:val="tx1"/>
            </w14:solidFill>
          </w14:textFill>
        </w:rPr>
        <w:t>工资支付表应如实记录支付单位、支付时间、支付对象、支付数额、支付对象的身份证号和签字等信息。民工花名册和工资支付表应报咨询人备查。</w:t>
      </w:r>
    </w:p>
    <w:p w14:paraId="23CEFF0E">
      <w:pPr>
        <w:tabs>
          <w:tab w:val="left" w:pos="1080"/>
        </w:tabs>
        <w:spacing w:line="360" w:lineRule="auto"/>
        <w:ind w:firstLine="472" w:firstLineChars="200"/>
        <w:rPr>
          <w:rFonts w:eastAsia="Times New Roman"/>
          <w:color w:val="000000" w:themeColor="text1"/>
          <w:spacing w:val="-2"/>
          <w:sz w:val="24"/>
          <w:highlight w:val="none"/>
          <w14:textFill>
            <w14:solidFill>
              <w14:schemeClr w14:val="tx1"/>
            </w14:solidFill>
          </w14:textFill>
        </w:rPr>
      </w:pPr>
      <w:r>
        <w:rPr>
          <w:rFonts w:hint="eastAsia" w:eastAsia="Times New Roman"/>
          <w:color w:val="000000" w:themeColor="text1"/>
          <w:spacing w:val="-2"/>
          <w:sz w:val="24"/>
          <w:highlight w:val="none"/>
          <w14:textFill>
            <w14:solidFill>
              <w14:schemeClr w14:val="tx1"/>
            </w14:solidFill>
          </w14:textFill>
        </w:rPr>
        <w:t>供应商应严格落实《保障农民工工资支付条例》（中华人民共和国国务院令第724号）、《广西壮族自治区人力资源和社会保障厅广西壮族自治区住房和城乡建设厅广西壮族自治区交通运输厅广西壮族自治区水利厅中国银行保险监督管理委员会广西监管局关于印发广西壮族自治区工程建设领域农民工工资保证金规定实施办法的通知》（桂人社规〔2021〕16号）以及《广西壮族自治区人力资源和社会保障厅等8部门关于印发广西壮族自治区工程建设领域农民工工资专用账户管理暂行办法实施细则的通知》（桂人社规〔2022〕5号）的相关要求，规范农民工工资支付等行为。各供应商必须对农民工工资保障金的问题作出以下承诺，格式见响应文件格式“农民工工资保证金承诺书”。</w:t>
      </w:r>
    </w:p>
    <w:p w14:paraId="35906620">
      <w:pPr>
        <w:tabs>
          <w:tab w:val="left" w:pos="1080"/>
        </w:tabs>
        <w:spacing w:line="360" w:lineRule="auto"/>
        <w:ind w:firstLine="472" w:firstLineChars="200"/>
        <w:rPr>
          <w:rFonts w:eastAsia="Times New Roman"/>
          <w:color w:val="000000" w:themeColor="text1"/>
          <w:spacing w:val="-2"/>
          <w:sz w:val="24"/>
          <w:highlight w:val="none"/>
          <w14:textFill>
            <w14:solidFill>
              <w14:schemeClr w14:val="tx1"/>
            </w14:solidFill>
          </w14:textFill>
        </w:rPr>
      </w:pPr>
      <w:r>
        <w:rPr>
          <w:rFonts w:hint="eastAsia" w:eastAsia="Times New Roman"/>
          <w:color w:val="000000" w:themeColor="text1"/>
          <w:spacing w:val="-2"/>
          <w:sz w:val="24"/>
          <w:highlight w:val="none"/>
          <w14:textFill>
            <w14:solidFill>
              <w14:schemeClr w14:val="tx1"/>
            </w14:solidFill>
          </w14:textFill>
        </w:rPr>
        <w:t>2.与本工程项目相关的审计和稽查、检查、视察等活动，承包人应高度重视并有义务委派专人积极予以配合。</w:t>
      </w:r>
    </w:p>
    <w:p w14:paraId="2CF3D63F">
      <w:pPr>
        <w:tabs>
          <w:tab w:val="left" w:pos="1080"/>
        </w:tabs>
        <w:spacing w:line="360" w:lineRule="auto"/>
        <w:ind w:firstLine="472" w:firstLineChars="200"/>
        <w:rPr>
          <w:rFonts w:eastAsia="Times New Roman"/>
          <w:color w:val="000000" w:themeColor="text1"/>
          <w:spacing w:val="-2"/>
          <w:sz w:val="24"/>
          <w:highlight w:val="none"/>
          <w14:textFill>
            <w14:solidFill>
              <w14:schemeClr w14:val="tx1"/>
            </w14:solidFill>
          </w14:textFill>
        </w:rPr>
      </w:pPr>
      <w:r>
        <w:rPr>
          <w:rFonts w:hint="eastAsia" w:eastAsia="Times New Roman"/>
          <w:color w:val="000000" w:themeColor="text1"/>
          <w:spacing w:val="-2"/>
          <w:sz w:val="24"/>
          <w:highlight w:val="none"/>
          <w14:textFill>
            <w14:solidFill>
              <w14:schemeClr w14:val="tx1"/>
            </w14:solidFill>
          </w14:textFill>
        </w:rPr>
        <w:t>3.承包人的供货合同给发包人和咨询人监督检查。</w:t>
      </w:r>
    </w:p>
    <w:p w14:paraId="57CE1027">
      <w:pPr>
        <w:tabs>
          <w:tab w:val="left" w:pos="1080"/>
        </w:tabs>
        <w:spacing w:line="360" w:lineRule="auto"/>
        <w:ind w:firstLine="472" w:firstLineChars="200"/>
        <w:rPr>
          <w:rFonts w:eastAsia="Times New Roman"/>
          <w:color w:val="000000" w:themeColor="text1"/>
          <w:spacing w:val="-2"/>
          <w:sz w:val="24"/>
          <w:highlight w:val="none"/>
          <w14:textFill>
            <w14:solidFill>
              <w14:schemeClr w14:val="tx1"/>
            </w14:solidFill>
          </w14:textFill>
        </w:rPr>
      </w:pPr>
      <w:r>
        <w:rPr>
          <w:rFonts w:hint="eastAsia" w:eastAsia="Times New Roman"/>
          <w:color w:val="000000" w:themeColor="text1"/>
          <w:spacing w:val="-2"/>
          <w:sz w:val="24"/>
          <w:highlight w:val="none"/>
          <w14:textFill>
            <w14:solidFill>
              <w14:schemeClr w14:val="tx1"/>
            </w14:solidFill>
          </w14:textFill>
        </w:rPr>
        <w:t>4.对项目使用的原有道路的维护和管理，以确保正常通行。</w:t>
      </w:r>
    </w:p>
    <w:p w14:paraId="51ABAF99">
      <w:pPr>
        <w:tabs>
          <w:tab w:val="left" w:pos="1080"/>
        </w:tabs>
        <w:spacing w:line="360" w:lineRule="auto"/>
        <w:ind w:firstLine="472" w:firstLineChars="200"/>
        <w:rPr>
          <w:rFonts w:eastAsia="Times New Roman"/>
          <w:color w:val="000000" w:themeColor="text1"/>
          <w:spacing w:val="-2"/>
          <w:sz w:val="24"/>
          <w:highlight w:val="none"/>
          <w14:textFill>
            <w14:solidFill>
              <w14:schemeClr w14:val="tx1"/>
            </w14:solidFill>
          </w14:textFill>
        </w:rPr>
      </w:pPr>
      <w:r>
        <w:rPr>
          <w:rFonts w:hint="eastAsia" w:eastAsia="Times New Roman"/>
          <w:color w:val="000000" w:themeColor="text1"/>
          <w:spacing w:val="-2"/>
          <w:sz w:val="24"/>
          <w:highlight w:val="none"/>
          <w14:textFill>
            <w14:solidFill>
              <w14:schemeClr w14:val="tx1"/>
            </w14:solidFill>
          </w14:textFill>
        </w:rPr>
        <w:t>5.维护社会稳定，避免发生因承包人原因引起施工队伍或施工引起周边群众等群体性上访事件</w:t>
      </w:r>
    </w:p>
    <w:p w14:paraId="67C4B79A">
      <w:pPr>
        <w:tabs>
          <w:tab w:val="left" w:pos="1080"/>
        </w:tabs>
        <w:spacing w:line="360" w:lineRule="auto"/>
        <w:ind w:firstLine="472" w:firstLineChars="200"/>
        <w:rPr>
          <w:rFonts w:eastAsia="Times New Roman"/>
          <w:color w:val="000000" w:themeColor="text1"/>
          <w:spacing w:val="-2"/>
          <w:sz w:val="24"/>
          <w:highlight w:val="none"/>
          <w14:textFill>
            <w14:solidFill>
              <w14:schemeClr w14:val="tx1"/>
            </w14:solidFill>
          </w14:textFill>
        </w:rPr>
      </w:pPr>
      <w:r>
        <w:rPr>
          <w:rFonts w:hint="eastAsia" w:eastAsia="Times New Roman"/>
          <w:color w:val="000000" w:themeColor="text1"/>
          <w:spacing w:val="-2"/>
          <w:sz w:val="24"/>
          <w:highlight w:val="none"/>
          <w14:textFill>
            <w14:solidFill>
              <w14:schemeClr w14:val="tx1"/>
            </w14:solidFill>
          </w14:textFill>
        </w:rPr>
        <w:t>6.承包人应自觉接受交通主管部门、质量监督单位、公路管理机构的监督，对指出的问题进行认真的整改，及时报告处理结果。</w:t>
      </w:r>
    </w:p>
    <w:p w14:paraId="6191619B">
      <w:pPr>
        <w:tabs>
          <w:tab w:val="left" w:pos="1080"/>
        </w:tabs>
        <w:spacing w:line="360" w:lineRule="auto"/>
        <w:ind w:firstLine="472" w:firstLineChars="200"/>
        <w:rPr>
          <w:rFonts w:eastAsia="Times New Roman"/>
          <w:color w:val="000000" w:themeColor="text1"/>
          <w:spacing w:val="-2"/>
          <w:sz w:val="24"/>
          <w:highlight w:val="none"/>
          <w14:textFill>
            <w14:solidFill>
              <w14:schemeClr w14:val="tx1"/>
            </w14:solidFill>
          </w14:textFill>
        </w:rPr>
      </w:pPr>
      <w:r>
        <w:rPr>
          <w:rFonts w:hint="eastAsia" w:eastAsia="Times New Roman"/>
          <w:color w:val="000000" w:themeColor="text1"/>
          <w:spacing w:val="-2"/>
          <w:sz w:val="24"/>
          <w:highlight w:val="none"/>
          <w14:textFill>
            <w14:solidFill>
              <w14:schemeClr w14:val="tx1"/>
            </w14:solidFill>
          </w14:textFill>
        </w:rPr>
        <w:t>7.合同实施时承包人应投入足够的技术和管理人员以满足工程施工需要，发包人要求承包人应投入本合同的最低人员要求见合同附件（若有），在不少于合同附件（若有）要求前提下，为确保工程进度，咨询总负责人有权要求承包人增加相应技术和管理人员以满足施工需要。</w:t>
      </w:r>
    </w:p>
    <w:p w14:paraId="398985A6">
      <w:pPr>
        <w:tabs>
          <w:tab w:val="left" w:pos="1080"/>
        </w:tabs>
        <w:spacing w:line="360" w:lineRule="auto"/>
        <w:ind w:firstLine="472" w:firstLineChars="200"/>
        <w:rPr>
          <w:rFonts w:eastAsia="Times New Roman"/>
          <w:color w:val="000000" w:themeColor="text1"/>
          <w:spacing w:val="-2"/>
          <w:sz w:val="24"/>
          <w:highlight w:val="none"/>
          <w14:textFill>
            <w14:solidFill>
              <w14:schemeClr w14:val="tx1"/>
            </w14:solidFill>
          </w14:textFill>
        </w:rPr>
      </w:pPr>
      <w:r>
        <w:rPr>
          <w:rFonts w:hint="eastAsia" w:eastAsia="Times New Roman"/>
          <w:color w:val="000000" w:themeColor="text1"/>
          <w:spacing w:val="-2"/>
          <w:sz w:val="24"/>
          <w:highlight w:val="none"/>
          <w14:textFill>
            <w14:solidFill>
              <w14:schemeClr w14:val="tx1"/>
            </w14:solidFill>
          </w14:textFill>
        </w:rPr>
        <w:t>8.承包人响应“美丽广西·清洁乡村”行动</w:t>
      </w:r>
    </w:p>
    <w:p w14:paraId="15156026">
      <w:pPr>
        <w:tabs>
          <w:tab w:val="left" w:pos="1080"/>
        </w:tabs>
        <w:spacing w:line="360" w:lineRule="auto"/>
        <w:ind w:firstLine="472" w:firstLineChars="200"/>
        <w:rPr>
          <w:rFonts w:eastAsia="Times New Roman"/>
          <w:color w:val="000000" w:themeColor="text1"/>
          <w:spacing w:val="-2"/>
          <w:sz w:val="24"/>
          <w:highlight w:val="none"/>
          <w14:textFill>
            <w14:solidFill>
              <w14:schemeClr w14:val="tx1"/>
            </w14:solidFill>
          </w14:textFill>
        </w:rPr>
      </w:pPr>
      <w:r>
        <w:rPr>
          <w:rFonts w:hint="eastAsia" w:eastAsia="Times New Roman"/>
          <w:color w:val="000000" w:themeColor="text1"/>
          <w:spacing w:val="-2"/>
          <w:sz w:val="24"/>
          <w:highlight w:val="none"/>
          <w14:textFill>
            <w14:solidFill>
              <w14:schemeClr w14:val="tx1"/>
            </w14:solidFill>
          </w14:textFill>
        </w:rPr>
        <w:t>（1）承包人应根据《中共广西壮族自治区交通厅党组关于印发自治区交通运输系统“美丽广西·清洁乡村”交通行动实施方案的通知》（桂交党宣[2013]15号）精神，响应号召，以清洁公路、清洁水路、清洁运输为目标，大力实施交通运输尤其是农村交通运输环境的净化、绿化、美化，为群众创造畅通、高效、平安、绿色的交通运输环境及服务，以实现“生态环境美、文明风尚美、平安和谐美”的“三美交通”。</w:t>
      </w:r>
    </w:p>
    <w:p w14:paraId="7DF29EE5">
      <w:pPr>
        <w:tabs>
          <w:tab w:val="left" w:pos="1080"/>
        </w:tabs>
        <w:spacing w:line="360" w:lineRule="auto"/>
        <w:ind w:firstLine="472" w:firstLineChars="200"/>
        <w:rPr>
          <w:rFonts w:eastAsia="Times New Roman"/>
          <w:color w:val="000000" w:themeColor="text1"/>
          <w:spacing w:val="-2"/>
          <w:sz w:val="24"/>
          <w:highlight w:val="none"/>
          <w14:textFill>
            <w14:solidFill>
              <w14:schemeClr w14:val="tx1"/>
            </w14:solidFill>
          </w14:textFill>
        </w:rPr>
      </w:pPr>
      <w:r>
        <w:rPr>
          <w:rFonts w:hint="eastAsia" w:eastAsia="Times New Roman"/>
          <w:color w:val="000000" w:themeColor="text1"/>
          <w:spacing w:val="-2"/>
          <w:sz w:val="24"/>
          <w:highlight w:val="none"/>
          <w14:textFill>
            <w14:solidFill>
              <w14:schemeClr w14:val="tx1"/>
            </w14:solidFill>
          </w14:textFill>
        </w:rPr>
        <w:t>（2）具体要求：在建公路项目要文明施工，强化施工路段的环境整治，施工车辆要避免扬尘洒漏，避免对原有公路的破坏，做好水土保持、环境保护工作；旧路改建项目要保证施工期间维持良好通车秩序；承包人应高度重视，有义务积极配合并委派专人参加“美丽广西·清洁乡村”的相关活动。</w:t>
      </w:r>
    </w:p>
    <w:p w14:paraId="739ADA76">
      <w:pPr>
        <w:tabs>
          <w:tab w:val="left" w:pos="1080"/>
        </w:tabs>
        <w:spacing w:line="360" w:lineRule="auto"/>
        <w:ind w:firstLine="472" w:firstLineChars="200"/>
        <w:rPr>
          <w:rFonts w:eastAsia="Times New Roman"/>
          <w:color w:val="000000" w:themeColor="text1"/>
          <w:spacing w:val="-2"/>
          <w:sz w:val="24"/>
          <w:highlight w:val="none"/>
          <w14:textFill>
            <w14:solidFill>
              <w14:schemeClr w14:val="tx1"/>
            </w14:solidFill>
          </w14:textFill>
        </w:rPr>
      </w:pPr>
      <w:r>
        <w:rPr>
          <w:rFonts w:hint="eastAsia" w:eastAsia="Times New Roman"/>
          <w:color w:val="000000" w:themeColor="text1"/>
          <w:spacing w:val="-2"/>
          <w:sz w:val="24"/>
          <w:highlight w:val="none"/>
          <w14:textFill>
            <w14:solidFill>
              <w14:schemeClr w14:val="tx1"/>
            </w14:solidFill>
          </w14:textFill>
        </w:rPr>
        <w:t>9.对于路面大中修施工路段路容路貌要求</w:t>
      </w:r>
    </w:p>
    <w:p w14:paraId="3A7EF3C1">
      <w:pPr>
        <w:tabs>
          <w:tab w:val="left" w:pos="1080"/>
        </w:tabs>
        <w:spacing w:line="360" w:lineRule="auto"/>
        <w:ind w:firstLine="472" w:firstLineChars="200"/>
        <w:rPr>
          <w:rFonts w:eastAsia="Times New Roman"/>
          <w:color w:val="000000" w:themeColor="text1"/>
          <w:spacing w:val="-2"/>
          <w:sz w:val="24"/>
          <w:highlight w:val="none"/>
          <w14:textFill>
            <w14:solidFill>
              <w14:schemeClr w14:val="tx1"/>
            </w14:solidFill>
          </w14:textFill>
        </w:rPr>
      </w:pPr>
      <w:r>
        <w:rPr>
          <w:rFonts w:hint="eastAsia" w:eastAsia="Times New Roman"/>
          <w:color w:val="000000" w:themeColor="text1"/>
          <w:spacing w:val="-2"/>
          <w:sz w:val="24"/>
          <w:highlight w:val="none"/>
          <w14:textFill>
            <w14:solidFill>
              <w14:schemeClr w14:val="tx1"/>
            </w14:solidFill>
          </w14:textFill>
        </w:rPr>
        <w:t>在开工至交工验收期间，承包人须常态化保持施工路段的清洁，负责做好道路路容路貌的整理清理工作，确保施工路段范围内路容路貌干净整洁，具体要求：</w:t>
      </w:r>
    </w:p>
    <w:p w14:paraId="61875E5B">
      <w:pPr>
        <w:tabs>
          <w:tab w:val="left" w:pos="1080"/>
        </w:tabs>
        <w:spacing w:line="360" w:lineRule="auto"/>
        <w:ind w:firstLine="472" w:firstLineChars="200"/>
        <w:rPr>
          <w:rFonts w:eastAsia="Times New Roman"/>
          <w:color w:val="000000" w:themeColor="text1"/>
          <w:spacing w:val="-2"/>
          <w:sz w:val="24"/>
          <w:highlight w:val="none"/>
          <w14:textFill>
            <w14:solidFill>
              <w14:schemeClr w14:val="tx1"/>
            </w14:solidFill>
          </w14:textFill>
        </w:rPr>
      </w:pPr>
      <w:r>
        <w:rPr>
          <w:rFonts w:hint="eastAsia" w:eastAsia="Times New Roman"/>
          <w:color w:val="000000" w:themeColor="text1"/>
          <w:spacing w:val="-2"/>
          <w:sz w:val="24"/>
          <w:highlight w:val="none"/>
          <w14:textFill>
            <w14:solidFill>
              <w14:schemeClr w14:val="tx1"/>
            </w14:solidFill>
          </w14:textFill>
        </w:rPr>
        <w:t>清除施工路段范围内的杂物</w:t>
      </w:r>
    </w:p>
    <w:p w14:paraId="2A71F62C">
      <w:pPr>
        <w:tabs>
          <w:tab w:val="left" w:pos="1080"/>
        </w:tabs>
        <w:spacing w:line="360" w:lineRule="auto"/>
        <w:ind w:firstLine="472" w:firstLineChars="200"/>
        <w:rPr>
          <w:rFonts w:eastAsia="Times New Roman"/>
          <w:color w:val="000000" w:themeColor="text1"/>
          <w:spacing w:val="-2"/>
          <w:sz w:val="24"/>
          <w:highlight w:val="none"/>
          <w14:textFill>
            <w14:solidFill>
              <w14:schemeClr w14:val="tx1"/>
            </w14:solidFill>
          </w14:textFill>
        </w:rPr>
      </w:pPr>
      <w:r>
        <w:rPr>
          <w:rFonts w:hint="eastAsia" w:eastAsia="Times New Roman"/>
          <w:color w:val="000000" w:themeColor="text1"/>
          <w:spacing w:val="-2"/>
          <w:sz w:val="24"/>
          <w:highlight w:val="none"/>
          <w14:textFill>
            <w14:solidFill>
              <w14:schemeClr w14:val="tx1"/>
            </w14:solidFill>
          </w14:textFill>
        </w:rPr>
        <w:t>a.路基、桥梁：清除边坡、边沟、支挡结构、桥头、桥梁边坡、桥下空间区域的杂草、垃圾、堆积物等,边坡无10cm以上杂草,路肩或边沟外边缘1.5m(或至第1排路树）范围内无10cm以上长草，沟顶或墙顶泥土杂草应清除干净，无堆积物，清理路堑边沟外边缘线痕迹应整齐，清理水沟的泥土不能反抛到边沟外缘，废弃到弃土场；</w:t>
      </w:r>
    </w:p>
    <w:p w14:paraId="3F13D6BC">
      <w:pPr>
        <w:tabs>
          <w:tab w:val="left" w:pos="1080"/>
        </w:tabs>
        <w:spacing w:line="360" w:lineRule="auto"/>
        <w:ind w:firstLine="472" w:firstLineChars="200"/>
        <w:rPr>
          <w:rFonts w:eastAsia="Times New Roman"/>
          <w:color w:val="000000" w:themeColor="text1"/>
          <w:spacing w:val="-2"/>
          <w:sz w:val="24"/>
          <w:highlight w:val="none"/>
          <w14:textFill>
            <w14:solidFill>
              <w14:schemeClr w14:val="tx1"/>
            </w14:solidFill>
          </w14:textFill>
        </w:rPr>
      </w:pPr>
      <w:r>
        <w:rPr>
          <w:rFonts w:hint="eastAsia" w:eastAsia="Times New Roman"/>
          <w:color w:val="000000" w:themeColor="text1"/>
          <w:spacing w:val="-2"/>
          <w:sz w:val="24"/>
          <w:highlight w:val="none"/>
          <w14:textFill>
            <w14:solidFill>
              <w14:schemeClr w14:val="tx1"/>
            </w14:solidFill>
          </w14:textFill>
        </w:rPr>
        <w:t>b.路面路肩：及时清除路面路肩区域的泥土、杂草、垃圾、堆积物及撒落物等，保持公路路面路肩干净整洁；</w:t>
      </w:r>
    </w:p>
    <w:p w14:paraId="20249B52">
      <w:pPr>
        <w:tabs>
          <w:tab w:val="left" w:pos="1080"/>
        </w:tabs>
        <w:spacing w:line="360" w:lineRule="auto"/>
        <w:ind w:firstLine="472" w:firstLineChars="200"/>
        <w:rPr>
          <w:rFonts w:eastAsia="Times New Roman"/>
          <w:color w:val="000000" w:themeColor="text1"/>
          <w:spacing w:val="-2"/>
          <w:sz w:val="24"/>
          <w:highlight w:val="none"/>
          <w14:textFill>
            <w14:solidFill>
              <w14:schemeClr w14:val="tx1"/>
            </w14:solidFill>
          </w14:textFill>
        </w:rPr>
      </w:pPr>
      <w:r>
        <w:rPr>
          <w:rFonts w:hint="eastAsia" w:eastAsia="Times New Roman"/>
          <w:color w:val="000000" w:themeColor="text1"/>
          <w:spacing w:val="-2"/>
          <w:sz w:val="24"/>
          <w:highlight w:val="none"/>
          <w14:textFill>
            <w14:solidFill>
              <w14:schemeClr w14:val="tx1"/>
            </w14:solidFill>
          </w14:textFill>
        </w:rPr>
        <w:t>（2）排水系统：疏通清理边沟、截水沟、集水沟、集水井、泄水槽、护坡、支挡结构上的排（泄）水孔、涵洞及进出水口、急流槽、边坡碎落台等排水设施内的垃圾等杂物，确保施工路段范围内排水系统设施功能的完好、排水畅通。</w:t>
      </w:r>
    </w:p>
    <w:p w14:paraId="5FF04188">
      <w:pPr>
        <w:tabs>
          <w:tab w:val="left" w:pos="1080"/>
        </w:tabs>
        <w:spacing w:line="360" w:lineRule="auto"/>
        <w:ind w:firstLine="472" w:firstLineChars="200"/>
        <w:rPr>
          <w:rFonts w:eastAsia="Times New Roman"/>
          <w:color w:val="000000" w:themeColor="text1"/>
          <w:spacing w:val="-2"/>
          <w:sz w:val="24"/>
          <w:highlight w:val="none"/>
          <w14:textFill>
            <w14:solidFill>
              <w14:schemeClr w14:val="tx1"/>
            </w14:solidFill>
          </w14:textFill>
        </w:rPr>
      </w:pPr>
      <w:r>
        <w:rPr>
          <w:rFonts w:hint="eastAsia" w:eastAsia="Times New Roman"/>
          <w:color w:val="000000" w:themeColor="text1"/>
          <w:spacing w:val="-2"/>
          <w:sz w:val="24"/>
          <w:highlight w:val="none"/>
          <w14:textFill>
            <w14:solidFill>
              <w14:schemeClr w14:val="tx1"/>
            </w14:solidFill>
          </w14:textFill>
        </w:rPr>
        <w:t>（3）公路设施保洁：清理桥梁伸缩缝、支挡结构物（沉降缝），清洗轮廓标、里程碑、百米桩、警示桩、标志牌等沿路安全设施，确保各类设施整洁、醒目。</w:t>
      </w:r>
    </w:p>
    <w:p w14:paraId="65A4BAD3">
      <w:pPr>
        <w:tabs>
          <w:tab w:val="left" w:pos="1080"/>
        </w:tabs>
        <w:spacing w:line="360" w:lineRule="auto"/>
        <w:ind w:firstLine="472" w:firstLineChars="200"/>
        <w:rPr>
          <w:rFonts w:eastAsia="Times New Roman"/>
          <w:color w:val="000000" w:themeColor="text1"/>
          <w:spacing w:val="-2"/>
          <w:sz w:val="24"/>
          <w:highlight w:val="none"/>
          <w14:textFill>
            <w14:solidFill>
              <w14:schemeClr w14:val="tx1"/>
            </w14:solidFill>
          </w14:textFill>
        </w:rPr>
      </w:pPr>
      <w:r>
        <w:rPr>
          <w:rFonts w:hint="eastAsia" w:eastAsia="Times New Roman"/>
          <w:color w:val="000000" w:themeColor="text1"/>
          <w:spacing w:val="-2"/>
          <w:sz w:val="24"/>
          <w:highlight w:val="none"/>
          <w14:textFill>
            <w14:solidFill>
              <w14:schemeClr w14:val="tx1"/>
            </w14:solidFill>
          </w14:textFill>
        </w:rPr>
        <w:t>承包人报价时须充分考虑上述工作内容所需费用，并将其分摊至本项目工程量清单子目的单价及总额价中，发包人不再另行支付。交工验收时同时对路容路貌进行验收。</w:t>
      </w:r>
    </w:p>
    <w:p w14:paraId="75DA2C37">
      <w:pPr>
        <w:tabs>
          <w:tab w:val="left" w:pos="1080"/>
        </w:tabs>
        <w:spacing w:line="360" w:lineRule="auto"/>
        <w:ind w:firstLine="472" w:firstLineChars="200"/>
        <w:rPr>
          <w:rFonts w:eastAsia="Times New Roman"/>
          <w:color w:val="000000" w:themeColor="text1"/>
          <w:spacing w:val="-2"/>
          <w:sz w:val="24"/>
          <w:highlight w:val="none"/>
          <w14:textFill>
            <w14:solidFill>
              <w14:schemeClr w14:val="tx1"/>
            </w14:solidFill>
          </w14:textFill>
        </w:rPr>
      </w:pPr>
      <w:r>
        <w:rPr>
          <w:rFonts w:hint="eastAsia" w:eastAsia="Times New Roman"/>
          <w:color w:val="000000" w:themeColor="text1"/>
          <w:spacing w:val="-2"/>
          <w:sz w:val="24"/>
          <w:highlight w:val="none"/>
          <w14:textFill>
            <w14:solidFill>
              <w14:schemeClr w14:val="tx1"/>
            </w14:solidFill>
          </w14:textFill>
        </w:rPr>
        <w:t>10.云监工</w:t>
      </w:r>
    </w:p>
    <w:p w14:paraId="429101F1">
      <w:pPr>
        <w:tabs>
          <w:tab w:val="left" w:pos="1080"/>
        </w:tabs>
        <w:spacing w:line="360" w:lineRule="auto"/>
        <w:ind w:firstLine="472" w:firstLineChars="200"/>
        <w:rPr>
          <w:rFonts w:eastAsia="Times New Roman"/>
          <w:color w:val="000000" w:themeColor="text1"/>
          <w:spacing w:val="-2"/>
          <w:sz w:val="24"/>
          <w:highlight w:val="none"/>
          <w14:textFill>
            <w14:solidFill>
              <w14:schemeClr w14:val="tx1"/>
            </w14:solidFill>
          </w14:textFill>
        </w:rPr>
      </w:pPr>
      <w:r>
        <w:rPr>
          <w:rFonts w:hint="eastAsia" w:eastAsia="Times New Roman"/>
          <w:color w:val="000000" w:themeColor="text1"/>
          <w:spacing w:val="-2"/>
          <w:sz w:val="24"/>
          <w:highlight w:val="none"/>
          <w14:textFill>
            <w14:solidFill>
              <w14:schemeClr w14:val="tx1"/>
            </w14:solidFill>
          </w14:textFill>
        </w:rPr>
        <w:t>对于沥青路面施工承包人须在沥青拌和站操控室和沥青摊铺机上安装监控，并且在手机终端上能查看实时监控画面，所产生的费用由承包人承担。</w:t>
      </w:r>
    </w:p>
    <w:p w14:paraId="63E70F11">
      <w:pPr>
        <w:spacing w:before="104" w:line="220" w:lineRule="auto"/>
        <w:ind w:left="486"/>
        <w:outlineLvl w:val="4"/>
        <w:rPr>
          <w:rFonts w:ascii="宋体" w:hAnsi="宋体" w:cs="宋体"/>
          <w:color w:val="000000" w:themeColor="text1"/>
          <w:sz w:val="24"/>
          <w:highlight w:val="none"/>
          <w14:textFill>
            <w14:solidFill>
              <w14:schemeClr w14:val="tx1"/>
            </w14:solidFill>
          </w14:textFill>
        </w:rPr>
      </w:pPr>
      <w:r>
        <w:rPr>
          <w:rFonts w:eastAsia="Times New Roman"/>
          <w:b/>
          <w:bCs/>
          <w:color w:val="000000" w:themeColor="text1"/>
          <w:spacing w:val="-2"/>
          <w:sz w:val="24"/>
          <w:highlight w:val="none"/>
          <w14:textFill>
            <w14:solidFill>
              <w14:schemeClr w14:val="tx1"/>
            </w14:solidFill>
          </w14:textFill>
        </w:rPr>
        <w:t xml:space="preserve">4.2  </w:t>
      </w:r>
      <w:r>
        <w:rPr>
          <w:rFonts w:ascii="宋体" w:hAnsi="宋体" w:cs="宋体"/>
          <w:b/>
          <w:bCs/>
          <w:color w:val="000000" w:themeColor="text1"/>
          <w:spacing w:val="-2"/>
          <w:sz w:val="24"/>
          <w:highlight w:val="none"/>
          <w14:textFill>
            <w14:solidFill>
              <w14:schemeClr w14:val="tx1"/>
            </w14:solidFill>
          </w14:textFill>
        </w:rPr>
        <w:t>履约保证金</w:t>
      </w:r>
    </w:p>
    <w:p w14:paraId="37B99657">
      <w:pPr>
        <w:spacing w:before="125" w:line="360" w:lineRule="auto"/>
        <w:ind w:firstLine="472" w:firstLineChars="200"/>
        <w:rPr>
          <w:rFonts w:ascii="宋体" w:hAnsi="宋体" w:cs="宋体"/>
          <w:color w:val="000000" w:themeColor="text1"/>
          <w:sz w:val="24"/>
          <w:highlight w:val="none"/>
          <w14:textFill>
            <w14:solidFill>
              <w14:schemeClr w14:val="tx1"/>
            </w14:solidFill>
          </w14:textFill>
        </w:rPr>
      </w:pPr>
      <w:r>
        <w:rPr>
          <w:rFonts w:eastAsia="Times New Roman"/>
          <w:color w:val="000000" w:themeColor="text1"/>
          <w:spacing w:val="-2"/>
          <w:sz w:val="24"/>
          <w:highlight w:val="none"/>
          <w14:textFill>
            <w14:solidFill>
              <w14:schemeClr w14:val="tx1"/>
            </w14:solidFill>
          </w14:textFill>
        </w:rPr>
        <w:t xml:space="preserve">4.2.1 </w:t>
      </w:r>
      <w:r>
        <w:rPr>
          <w:rFonts w:ascii="宋体" w:hAnsi="宋体" w:cs="宋体"/>
          <w:color w:val="000000" w:themeColor="text1"/>
          <w:spacing w:val="-2"/>
          <w:sz w:val="24"/>
          <w:highlight w:val="none"/>
          <w14:textFill>
            <w14:solidFill>
              <w14:schemeClr w14:val="tx1"/>
            </w14:solidFill>
          </w14:textFill>
        </w:rPr>
        <w:t>承包人提交履约保证金的形式为</w:t>
      </w:r>
      <w:r>
        <w:rPr>
          <w:rFonts w:ascii="宋体" w:hAnsi="宋体" w:cs="宋体"/>
          <w:color w:val="000000" w:themeColor="text1"/>
          <w:spacing w:val="-107"/>
          <w:sz w:val="24"/>
          <w:highlight w:val="none"/>
          <w14:textFill>
            <w14:solidFill>
              <w14:schemeClr w14:val="tx1"/>
            </w14:solidFill>
          </w14:textFill>
        </w:rPr>
        <w:t xml:space="preserve"> </w:t>
      </w:r>
      <w:r>
        <w:rPr>
          <w:rFonts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u w:val="single"/>
          <w14:textFill>
            <w14:solidFill>
              <w14:schemeClr w14:val="tx1"/>
            </w14:solidFill>
          </w14:textFill>
        </w:rPr>
        <w:t>银行转账、支票、汇票、本票或者金融机构、担保机构出具的保函等非现金形式</w:t>
      </w:r>
      <w:r>
        <w:rPr>
          <w:rFonts w:ascii="宋体" w:hAnsi="宋体" w:cs="宋体"/>
          <w:color w:val="000000" w:themeColor="text1"/>
          <w:sz w:val="24"/>
          <w:highlight w:val="none"/>
          <w:u w:val="single"/>
          <w14:textFill>
            <w14:solidFill>
              <w14:schemeClr w14:val="tx1"/>
            </w14:solidFill>
          </w14:textFill>
        </w:rPr>
        <w:t xml:space="preserve"> </w:t>
      </w:r>
      <w:r>
        <w:rPr>
          <w:rFonts w:ascii="宋体" w:hAnsi="宋体" w:cs="宋体"/>
          <w:color w:val="000000" w:themeColor="text1"/>
          <w:spacing w:val="-91"/>
          <w:sz w:val="24"/>
          <w:highlight w:val="none"/>
          <w14:textFill>
            <w14:solidFill>
              <w14:schemeClr w14:val="tx1"/>
            </w14:solidFill>
          </w14:textFill>
        </w:rPr>
        <w:t xml:space="preserve"> </w:t>
      </w:r>
      <w:r>
        <w:rPr>
          <w:rFonts w:ascii="宋体" w:hAnsi="宋体" w:cs="宋体"/>
          <w:color w:val="000000" w:themeColor="text1"/>
          <w:spacing w:val="-2"/>
          <w:sz w:val="24"/>
          <w:highlight w:val="none"/>
          <w14:textFill>
            <w14:solidFill>
              <w14:schemeClr w14:val="tx1"/>
            </w14:solidFill>
          </w14:textFill>
        </w:rPr>
        <w:t>，金额为</w:t>
      </w:r>
      <w:r>
        <w:rPr>
          <w:rFonts w:ascii="宋体" w:hAnsi="宋体" w:cs="宋体"/>
          <w:color w:val="000000" w:themeColor="text1"/>
          <w:spacing w:val="-2"/>
          <w:sz w:val="24"/>
          <w:highlight w:val="none"/>
          <w:u w:val="single"/>
          <w14:textFill>
            <w14:solidFill>
              <w14:schemeClr w14:val="tx1"/>
            </w14:solidFill>
          </w14:textFill>
        </w:rPr>
        <w:t xml:space="preserve"> </w:t>
      </w:r>
      <w:bookmarkStart w:id="200" w:name="OLE_LINK50"/>
      <w:bookmarkStart w:id="201" w:name="OLE_LINK49"/>
      <w:r>
        <w:rPr>
          <w:rFonts w:hint="eastAsia" w:ascii="宋体" w:hAnsi="宋体" w:cs="宋体"/>
          <w:color w:val="000000" w:themeColor="text1"/>
          <w:spacing w:val="-2"/>
          <w:sz w:val="24"/>
          <w:highlight w:val="none"/>
          <w:u w:val="single"/>
          <w14:textFill>
            <w14:solidFill>
              <w14:schemeClr w14:val="tx1"/>
            </w14:solidFill>
          </w14:textFill>
        </w:rPr>
        <w:t>签约合同价</w:t>
      </w:r>
      <w:bookmarkEnd w:id="200"/>
      <w:bookmarkEnd w:id="201"/>
      <w:r>
        <w:rPr>
          <w:rFonts w:hint="eastAsia" w:ascii="宋体" w:hAnsi="宋体" w:cs="宋体"/>
          <w:color w:val="000000" w:themeColor="text1"/>
          <w:spacing w:val="-2"/>
          <w:sz w:val="24"/>
          <w:highlight w:val="none"/>
          <w:u w:val="single"/>
          <w14:textFill>
            <w14:solidFill>
              <w14:schemeClr w14:val="tx1"/>
            </w14:solidFill>
          </w14:textFill>
        </w:rPr>
        <w:t>的2%</w:t>
      </w:r>
      <w:r>
        <w:rPr>
          <w:rFonts w:ascii="宋体" w:hAnsi="宋体" w:cs="宋体"/>
          <w:color w:val="000000" w:themeColor="text1"/>
          <w:spacing w:val="-2"/>
          <w:sz w:val="24"/>
          <w:highlight w:val="none"/>
          <w:u w:val="single"/>
          <w14:textFill>
            <w14:solidFill>
              <w14:schemeClr w14:val="tx1"/>
            </w14:solidFill>
          </w14:textFill>
        </w:rPr>
        <w:t xml:space="preserve">  </w:t>
      </w:r>
      <w:r>
        <w:rPr>
          <w:rFonts w:ascii="宋体" w:hAnsi="宋体" w:cs="宋体"/>
          <w:color w:val="000000" w:themeColor="text1"/>
          <w:spacing w:val="-91"/>
          <w:sz w:val="24"/>
          <w:highlight w:val="none"/>
          <w14:textFill>
            <w14:solidFill>
              <w14:schemeClr w14:val="tx1"/>
            </w14:solidFill>
          </w14:textFill>
        </w:rPr>
        <w:t xml:space="preserve"> </w:t>
      </w:r>
      <w:r>
        <w:rPr>
          <w:rFonts w:ascii="宋体" w:hAnsi="宋体" w:cs="宋体"/>
          <w:color w:val="000000" w:themeColor="text1"/>
          <w:spacing w:val="-2"/>
          <w:sz w:val="24"/>
          <w:highlight w:val="none"/>
          <w14:textFill>
            <w14:solidFill>
              <w14:schemeClr w14:val="tx1"/>
            </w14:solidFill>
          </w14:textFill>
        </w:rPr>
        <w:t>，期限为</w:t>
      </w:r>
      <w:r>
        <w:rPr>
          <w:rFonts w:ascii="宋体" w:hAnsi="宋体" w:cs="宋体"/>
          <w:color w:val="000000" w:themeColor="text1"/>
          <w:spacing w:val="-2"/>
          <w:sz w:val="24"/>
          <w:highlight w:val="none"/>
          <w:u w:val="single"/>
          <w14:textFill>
            <w14:solidFill>
              <w14:schemeClr w14:val="tx1"/>
            </w14:solidFill>
          </w14:textFill>
        </w:rPr>
        <w:t xml:space="preserve"> </w:t>
      </w:r>
      <w:r>
        <w:rPr>
          <w:rFonts w:hint="eastAsia" w:ascii="宋体" w:hAnsi="宋体" w:cs="宋体"/>
          <w:color w:val="000000" w:themeColor="text1"/>
          <w:spacing w:val="-2"/>
          <w:sz w:val="24"/>
          <w:highlight w:val="none"/>
          <w:u w:val="single"/>
          <w14:textFill>
            <w14:solidFill>
              <w14:schemeClr w14:val="tx1"/>
            </w14:solidFill>
          </w14:textFill>
        </w:rPr>
        <w:t>开工至竣工验收止</w:t>
      </w:r>
      <w:r>
        <w:rPr>
          <w:rFonts w:ascii="宋体" w:hAnsi="宋体" w:cs="宋体"/>
          <w:color w:val="000000" w:themeColor="text1"/>
          <w:spacing w:val="-2"/>
          <w:sz w:val="24"/>
          <w:highlight w:val="none"/>
          <w14:textFill>
            <w14:solidFill>
              <w14:schemeClr w14:val="tx1"/>
            </w14:solidFill>
          </w14:textFill>
        </w:rPr>
        <w:t>。</w:t>
      </w:r>
    </w:p>
    <w:p w14:paraId="305D3F74">
      <w:pPr>
        <w:spacing w:before="106" w:line="220" w:lineRule="auto"/>
        <w:ind w:left="486"/>
        <w:outlineLvl w:val="4"/>
        <w:rPr>
          <w:rFonts w:ascii="宋体" w:hAnsi="宋体" w:cs="宋体"/>
          <w:color w:val="000000" w:themeColor="text1"/>
          <w:sz w:val="24"/>
          <w:highlight w:val="none"/>
          <w14:textFill>
            <w14:solidFill>
              <w14:schemeClr w14:val="tx1"/>
            </w14:solidFill>
          </w14:textFill>
        </w:rPr>
      </w:pPr>
      <w:r>
        <w:rPr>
          <w:rFonts w:eastAsia="Times New Roman"/>
          <w:b/>
          <w:bCs/>
          <w:color w:val="000000" w:themeColor="text1"/>
          <w:spacing w:val="-2"/>
          <w:sz w:val="24"/>
          <w:highlight w:val="none"/>
          <w14:textFill>
            <w14:solidFill>
              <w14:schemeClr w14:val="tx1"/>
            </w14:solidFill>
          </w14:textFill>
        </w:rPr>
        <w:t xml:space="preserve">4.3 </w:t>
      </w:r>
      <w:r>
        <w:rPr>
          <w:rFonts w:ascii="宋体" w:hAnsi="宋体" w:cs="宋体"/>
          <w:b/>
          <w:bCs/>
          <w:color w:val="000000" w:themeColor="text1"/>
          <w:spacing w:val="-2"/>
          <w:sz w:val="24"/>
          <w:highlight w:val="none"/>
          <w14:textFill>
            <w14:solidFill>
              <w14:schemeClr w14:val="tx1"/>
            </w14:solidFill>
          </w14:textFill>
        </w:rPr>
        <w:t>转包、分包</w:t>
      </w:r>
    </w:p>
    <w:p w14:paraId="14BCAE60">
      <w:pPr>
        <w:spacing w:before="124" w:line="219" w:lineRule="auto"/>
        <w:ind w:left="483"/>
        <w:rPr>
          <w:rFonts w:ascii="宋体" w:hAnsi="宋体" w:cs="宋体"/>
          <w:color w:val="000000" w:themeColor="text1"/>
          <w:sz w:val="24"/>
          <w:highlight w:val="none"/>
          <w14:textFill>
            <w14:solidFill>
              <w14:schemeClr w14:val="tx1"/>
            </w14:solidFill>
          </w14:textFill>
        </w:rPr>
      </w:pPr>
      <w:r>
        <w:rPr>
          <w:rFonts w:eastAsia="Times New Roman"/>
          <w:color w:val="000000" w:themeColor="text1"/>
          <w:sz w:val="24"/>
          <w:highlight w:val="none"/>
          <w14:textFill>
            <w14:solidFill>
              <w14:schemeClr w14:val="tx1"/>
            </w14:solidFill>
          </w14:textFill>
        </w:rPr>
        <w:t xml:space="preserve">4.3.2 </w:t>
      </w:r>
      <w:r>
        <w:rPr>
          <w:rFonts w:ascii="宋体" w:hAnsi="宋体" w:cs="宋体"/>
          <w:color w:val="000000" w:themeColor="text1"/>
          <w:sz w:val="24"/>
          <w:highlight w:val="none"/>
          <w14:textFill>
            <w14:solidFill>
              <w14:schemeClr w14:val="tx1"/>
            </w14:solidFill>
          </w14:textFill>
        </w:rPr>
        <w:t>本项目允许分包的范围：</w:t>
      </w:r>
      <w:r>
        <w:rPr>
          <w:rFonts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u w:val="single"/>
          <w14:textFill>
            <w14:solidFill>
              <w14:schemeClr w14:val="tx1"/>
            </w14:solidFill>
          </w14:textFill>
        </w:rPr>
        <w:t>不允许</w:t>
      </w:r>
      <w:r>
        <w:rPr>
          <w:rFonts w:ascii="宋体" w:hAnsi="宋体" w:cs="宋体"/>
          <w:color w:val="000000" w:themeColor="text1"/>
          <w:sz w:val="24"/>
          <w:highlight w:val="none"/>
          <w:u w:val="single"/>
          <w14:textFill>
            <w14:solidFill>
              <w14:schemeClr w14:val="tx1"/>
            </w14:solidFill>
          </w14:textFill>
        </w:rPr>
        <w:t xml:space="preserve">    </w:t>
      </w:r>
      <w:r>
        <w:rPr>
          <w:rFonts w:ascii="宋体" w:hAnsi="宋体" w:cs="宋体"/>
          <w:color w:val="000000" w:themeColor="text1"/>
          <w:spacing w:val="-1"/>
          <w:sz w:val="24"/>
          <w:highlight w:val="none"/>
          <w:u w:val="single"/>
          <w14:textFill>
            <w14:solidFill>
              <w14:schemeClr w14:val="tx1"/>
            </w14:solidFill>
          </w14:textFill>
        </w:rPr>
        <w:t xml:space="preserve">    </w:t>
      </w:r>
      <w:r>
        <w:rPr>
          <w:rFonts w:ascii="宋体" w:hAnsi="宋体" w:cs="宋体"/>
          <w:color w:val="000000" w:themeColor="text1"/>
          <w:spacing w:val="-1"/>
          <w:sz w:val="24"/>
          <w:highlight w:val="none"/>
          <w14:textFill>
            <w14:solidFill>
              <w14:schemeClr w14:val="tx1"/>
            </w14:solidFill>
          </w14:textFill>
        </w:rPr>
        <w:t>。</w:t>
      </w:r>
    </w:p>
    <w:p w14:paraId="09B385AE">
      <w:pPr>
        <w:spacing w:before="115" w:line="219" w:lineRule="auto"/>
        <w:ind w:left="483"/>
        <w:rPr>
          <w:rFonts w:ascii="宋体" w:hAnsi="宋体" w:cs="宋体"/>
          <w:color w:val="000000" w:themeColor="text1"/>
          <w:sz w:val="24"/>
          <w:highlight w:val="none"/>
          <w14:textFill>
            <w14:solidFill>
              <w14:schemeClr w14:val="tx1"/>
            </w14:solidFill>
          </w14:textFill>
        </w:rPr>
      </w:pPr>
      <w:r>
        <w:rPr>
          <w:rFonts w:eastAsia="Times New Roman"/>
          <w:color w:val="000000" w:themeColor="text1"/>
          <w:sz w:val="24"/>
          <w:highlight w:val="none"/>
          <w14:textFill>
            <w14:solidFill>
              <w14:schemeClr w14:val="tx1"/>
            </w14:solidFill>
          </w14:textFill>
        </w:rPr>
        <w:t xml:space="preserve">4.3.3  </w:t>
      </w:r>
      <w:r>
        <w:rPr>
          <w:rFonts w:ascii="宋体" w:hAnsi="宋体" w:cs="宋体"/>
          <w:color w:val="000000" w:themeColor="text1"/>
          <w:sz w:val="24"/>
          <w:highlight w:val="none"/>
          <w14:textFill>
            <w14:solidFill>
              <w14:schemeClr w14:val="tx1"/>
            </w14:solidFill>
          </w14:textFill>
        </w:rPr>
        <w:t>分包人应满足的资格能力条件：</w:t>
      </w:r>
      <w:r>
        <w:rPr>
          <w:rFonts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u w:val="single"/>
          <w14:textFill>
            <w14:solidFill>
              <w14:schemeClr w14:val="tx1"/>
            </w14:solidFill>
          </w14:textFill>
        </w:rPr>
        <w:t>/</w:t>
      </w:r>
      <w:r>
        <w:rPr>
          <w:rFonts w:ascii="宋体" w:hAnsi="宋体" w:cs="宋体"/>
          <w:color w:val="000000" w:themeColor="text1"/>
          <w:sz w:val="24"/>
          <w:highlight w:val="none"/>
          <w:u w:val="single"/>
          <w14:textFill>
            <w14:solidFill>
              <w14:schemeClr w14:val="tx1"/>
            </w14:solidFill>
          </w14:textFill>
        </w:rPr>
        <w:t xml:space="preserve">   </w:t>
      </w:r>
      <w:r>
        <w:rPr>
          <w:rFonts w:ascii="宋体" w:hAnsi="宋体" w:cs="宋体"/>
          <w:color w:val="000000" w:themeColor="text1"/>
          <w:spacing w:val="-1"/>
          <w:sz w:val="24"/>
          <w:highlight w:val="none"/>
          <w:u w:val="single"/>
          <w14:textFill>
            <w14:solidFill>
              <w14:schemeClr w14:val="tx1"/>
            </w14:solidFill>
          </w14:textFill>
        </w:rPr>
        <w:t xml:space="preserve">    </w:t>
      </w:r>
      <w:r>
        <w:rPr>
          <w:rFonts w:ascii="宋体" w:hAnsi="宋体" w:cs="宋体"/>
          <w:color w:val="000000" w:themeColor="text1"/>
          <w:spacing w:val="-1"/>
          <w:sz w:val="24"/>
          <w:highlight w:val="none"/>
          <w14:textFill>
            <w14:solidFill>
              <w14:schemeClr w14:val="tx1"/>
            </w14:solidFill>
          </w14:textFill>
        </w:rPr>
        <w:t>。</w:t>
      </w:r>
    </w:p>
    <w:p w14:paraId="34457277">
      <w:pPr>
        <w:spacing w:before="106" w:line="360" w:lineRule="auto"/>
        <w:ind w:left="486"/>
        <w:outlineLvl w:val="4"/>
        <w:rPr>
          <w:rFonts w:ascii="宋体" w:hAnsi="宋体" w:cs="宋体"/>
          <w:color w:val="000000" w:themeColor="text1"/>
          <w:sz w:val="24"/>
          <w:highlight w:val="none"/>
          <w14:textFill>
            <w14:solidFill>
              <w14:schemeClr w14:val="tx1"/>
            </w14:solidFill>
          </w14:textFill>
        </w:rPr>
      </w:pPr>
      <w:bookmarkStart w:id="202" w:name="bookmark250"/>
      <w:bookmarkEnd w:id="202"/>
      <w:r>
        <w:rPr>
          <w:rFonts w:eastAsia="Times New Roman"/>
          <w:b/>
          <w:bCs/>
          <w:color w:val="000000" w:themeColor="text1"/>
          <w:spacing w:val="-2"/>
          <w:sz w:val="24"/>
          <w:highlight w:val="none"/>
          <w14:textFill>
            <w14:solidFill>
              <w14:schemeClr w14:val="tx1"/>
            </w14:solidFill>
          </w14:textFill>
        </w:rPr>
        <w:t xml:space="preserve">4.5  </w:t>
      </w:r>
      <w:r>
        <w:rPr>
          <w:rFonts w:ascii="宋体" w:hAnsi="宋体" w:cs="宋体"/>
          <w:b/>
          <w:bCs/>
          <w:color w:val="000000" w:themeColor="text1"/>
          <w:spacing w:val="-2"/>
          <w:sz w:val="24"/>
          <w:highlight w:val="none"/>
          <w14:textFill>
            <w14:solidFill>
              <w14:schemeClr w14:val="tx1"/>
            </w14:solidFill>
          </w14:textFill>
        </w:rPr>
        <w:t>承包人项目经理和项目总工</w:t>
      </w:r>
    </w:p>
    <w:p w14:paraId="2FEA1282">
      <w:pPr>
        <w:spacing w:before="1" w:line="360" w:lineRule="auto"/>
        <w:ind w:firstLine="476" w:firstLineChars="200"/>
        <w:rPr>
          <w:rFonts w:ascii="宋体" w:hAnsi="宋体" w:cs="宋体"/>
          <w:color w:val="000000" w:themeColor="text1"/>
          <w:sz w:val="12"/>
          <w:szCs w:val="12"/>
          <w:highlight w:val="none"/>
          <w14:textFill>
            <w14:solidFill>
              <w14:schemeClr w14:val="tx1"/>
            </w14:solidFill>
          </w14:textFill>
        </w:rPr>
      </w:pPr>
      <w:r>
        <w:rPr>
          <w:rFonts w:eastAsia="Times New Roman"/>
          <w:color w:val="000000" w:themeColor="text1"/>
          <w:spacing w:val="-1"/>
          <w:sz w:val="24"/>
          <w:highlight w:val="none"/>
          <w14:textFill>
            <w14:solidFill>
              <w14:schemeClr w14:val="tx1"/>
            </w14:solidFill>
          </w14:textFill>
        </w:rPr>
        <w:t xml:space="preserve">4.5.1  </w:t>
      </w:r>
      <w:r>
        <w:rPr>
          <w:rFonts w:ascii="宋体" w:hAnsi="宋体" w:cs="宋体"/>
          <w:color w:val="000000" w:themeColor="text1"/>
          <w:spacing w:val="-1"/>
          <w:sz w:val="24"/>
          <w:highlight w:val="none"/>
          <w14:textFill>
            <w14:solidFill>
              <w14:schemeClr w14:val="tx1"/>
            </w14:solidFill>
          </w14:textFill>
        </w:rPr>
        <w:t>承包人项目经理和项目总工的驻场要求：</w:t>
      </w:r>
      <w:r>
        <w:rPr>
          <w:rFonts w:ascii="宋体" w:hAnsi="宋体" w:cs="宋体"/>
          <w:color w:val="000000" w:themeColor="text1"/>
          <w:spacing w:val="-1"/>
          <w:sz w:val="24"/>
          <w:highlight w:val="none"/>
          <w:u w:val="single"/>
          <w14:textFill>
            <w14:solidFill>
              <w14:schemeClr w14:val="tx1"/>
            </w14:solidFill>
          </w14:textFill>
        </w:rPr>
        <w:t>每月驻工地现场时间不应少于 22 天</w:t>
      </w:r>
      <w:r>
        <w:rPr>
          <w:rFonts w:ascii="宋体" w:hAnsi="宋体" w:cs="宋体"/>
          <w:color w:val="000000" w:themeColor="text1"/>
          <w:spacing w:val="-1"/>
          <w:sz w:val="24"/>
          <w:highlight w:val="none"/>
          <w14:textFill>
            <w14:solidFill>
              <w14:schemeClr w14:val="tx1"/>
            </w14:solidFill>
          </w14:textFill>
        </w:rPr>
        <w:t>。</w:t>
      </w:r>
    </w:p>
    <w:p w14:paraId="4B51BAE3">
      <w:pPr>
        <w:spacing w:before="78" w:line="219" w:lineRule="auto"/>
        <w:ind w:left="486"/>
        <w:outlineLvl w:val="4"/>
        <w:rPr>
          <w:rFonts w:ascii="宋体" w:hAnsi="宋体" w:cs="宋体"/>
          <w:color w:val="000000" w:themeColor="text1"/>
          <w:sz w:val="24"/>
          <w:highlight w:val="none"/>
          <w14:textFill>
            <w14:solidFill>
              <w14:schemeClr w14:val="tx1"/>
            </w14:solidFill>
          </w14:textFill>
        </w:rPr>
      </w:pPr>
      <w:r>
        <w:rPr>
          <w:rFonts w:eastAsia="Times New Roman"/>
          <w:b/>
          <w:bCs/>
          <w:color w:val="000000" w:themeColor="text1"/>
          <w:spacing w:val="-2"/>
          <w:sz w:val="24"/>
          <w:highlight w:val="none"/>
          <w14:textFill>
            <w14:solidFill>
              <w14:schemeClr w14:val="tx1"/>
            </w14:solidFill>
          </w14:textFill>
        </w:rPr>
        <w:t xml:space="preserve">4.6  </w:t>
      </w:r>
      <w:r>
        <w:rPr>
          <w:rFonts w:ascii="宋体" w:hAnsi="宋体" w:cs="宋体"/>
          <w:b/>
          <w:bCs/>
          <w:color w:val="000000" w:themeColor="text1"/>
          <w:spacing w:val="-2"/>
          <w:sz w:val="24"/>
          <w:highlight w:val="none"/>
          <w14:textFill>
            <w14:solidFill>
              <w14:schemeClr w14:val="tx1"/>
            </w14:solidFill>
          </w14:textFill>
        </w:rPr>
        <w:t>承包人人员的管理</w:t>
      </w:r>
    </w:p>
    <w:p w14:paraId="25CAE7AB">
      <w:pPr>
        <w:spacing w:before="124" w:line="304" w:lineRule="auto"/>
        <w:ind w:left="11" w:firstLine="472"/>
        <w:rPr>
          <w:rFonts w:ascii="宋体" w:hAnsi="宋体" w:cs="宋体"/>
          <w:color w:val="000000" w:themeColor="text1"/>
          <w:spacing w:val="-4"/>
          <w:sz w:val="24"/>
          <w:highlight w:val="none"/>
          <w14:textFill>
            <w14:solidFill>
              <w14:schemeClr w14:val="tx1"/>
            </w14:solidFill>
          </w14:textFill>
        </w:rPr>
      </w:pPr>
      <w:bookmarkStart w:id="203" w:name="OLE_LINK52"/>
      <w:bookmarkStart w:id="204" w:name="OLE_LINK51"/>
      <w:r>
        <w:rPr>
          <w:rFonts w:eastAsia="Times New Roman"/>
          <w:color w:val="000000" w:themeColor="text1"/>
          <w:spacing w:val="4"/>
          <w:sz w:val="24"/>
          <w:highlight w:val="none"/>
          <w14:textFill>
            <w14:solidFill>
              <w14:schemeClr w14:val="tx1"/>
            </w14:solidFill>
          </w14:textFill>
        </w:rPr>
        <w:t>4.6.3</w:t>
      </w:r>
      <w:bookmarkEnd w:id="203"/>
      <w:bookmarkEnd w:id="204"/>
      <w:r>
        <w:rPr>
          <w:rFonts w:eastAsia="Times New Roman"/>
          <w:color w:val="000000" w:themeColor="text1"/>
          <w:spacing w:val="4"/>
          <w:sz w:val="24"/>
          <w:highlight w:val="none"/>
          <w14:textFill>
            <w14:solidFill>
              <w14:schemeClr w14:val="tx1"/>
            </w14:solidFill>
          </w14:textFill>
        </w:rPr>
        <w:t xml:space="preserve">  </w:t>
      </w:r>
      <w:r>
        <w:rPr>
          <w:rFonts w:ascii="宋体" w:hAnsi="宋体" w:cs="宋体"/>
          <w:color w:val="000000" w:themeColor="text1"/>
          <w:spacing w:val="4"/>
          <w:sz w:val="24"/>
          <w:highlight w:val="none"/>
          <w14:textFill>
            <w14:solidFill>
              <w14:schemeClr w14:val="tx1"/>
            </w14:solidFill>
          </w14:textFill>
        </w:rPr>
        <w:t>承包人安排在养护作业场地的主要管理人员和技术骨干等人员</w:t>
      </w:r>
      <w:r>
        <w:rPr>
          <w:rFonts w:ascii="宋体" w:hAnsi="宋体" w:cs="宋体"/>
          <w:color w:val="000000" w:themeColor="text1"/>
          <w:spacing w:val="3"/>
          <w:sz w:val="24"/>
          <w:highlight w:val="none"/>
          <w14:textFill>
            <w14:solidFill>
              <w14:schemeClr w14:val="tx1"/>
            </w14:solidFill>
          </w14:textFill>
        </w:rPr>
        <w:t>的管理要</w:t>
      </w:r>
      <w:r>
        <w:rPr>
          <w:rFonts w:ascii="宋体" w:hAnsi="宋体" w:cs="宋体"/>
          <w:color w:val="000000" w:themeColor="text1"/>
          <w:spacing w:val="-4"/>
          <w:sz w:val="24"/>
          <w:highlight w:val="none"/>
          <w14:textFill>
            <w14:solidFill>
              <w14:schemeClr w14:val="tx1"/>
            </w14:solidFill>
          </w14:textFill>
        </w:rPr>
        <w:t>求：</w:t>
      </w:r>
      <w:r>
        <w:rPr>
          <w:rFonts w:ascii="宋体" w:hAnsi="宋体" w:cs="宋体"/>
          <w:color w:val="000000" w:themeColor="text1"/>
          <w:spacing w:val="-1"/>
          <w:sz w:val="24"/>
          <w:highlight w:val="none"/>
          <w:u w:val="single"/>
          <w14:textFill>
            <w14:solidFill>
              <w14:schemeClr w14:val="tx1"/>
            </w14:solidFill>
          </w14:textFill>
        </w:rPr>
        <w:t>主要管理人员，技术骨干离开工地必须向监理书面请假，并经项目建设管理机构相关负责人、监理工程师书面同意方能离开，否则视为违约</w:t>
      </w:r>
      <w:r>
        <w:rPr>
          <w:rFonts w:ascii="宋体" w:hAnsi="宋体" w:cs="宋体"/>
          <w:color w:val="000000" w:themeColor="text1"/>
          <w:sz w:val="24"/>
          <w:highlight w:val="none"/>
          <w:u w:val="single"/>
          <w14:textFill>
            <w14:solidFill>
              <w14:schemeClr w14:val="tx1"/>
            </w14:solidFill>
          </w14:textFill>
        </w:rPr>
        <w:t xml:space="preserve"> </w:t>
      </w:r>
      <w:r>
        <w:rPr>
          <w:rFonts w:ascii="宋体" w:hAnsi="宋体" w:cs="宋体"/>
          <w:color w:val="000000" w:themeColor="text1"/>
          <w:spacing w:val="-4"/>
          <w:sz w:val="24"/>
          <w:highlight w:val="none"/>
          <w14:textFill>
            <w14:solidFill>
              <w14:schemeClr w14:val="tx1"/>
            </w14:solidFill>
          </w14:textFill>
        </w:rPr>
        <w:t>。</w:t>
      </w:r>
    </w:p>
    <w:p w14:paraId="6DFDA11C">
      <w:pPr>
        <w:spacing w:before="78" w:line="219" w:lineRule="auto"/>
        <w:ind w:left="486"/>
        <w:outlineLvl w:val="4"/>
        <w:rPr>
          <w:rFonts w:eastAsia="Times New Roman"/>
          <w:b/>
          <w:bCs/>
          <w:color w:val="000000" w:themeColor="text1"/>
          <w:spacing w:val="-2"/>
          <w:sz w:val="24"/>
          <w:highlight w:val="none"/>
          <w14:textFill>
            <w14:solidFill>
              <w14:schemeClr w14:val="tx1"/>
            </w14:solidFill>
          </w14:textFill>
        </w:rPr>
      </w:pPr>
      <w:r>
        <w:rPr>
          <w:rFonts w:hint="eastAsia" w:eastAsia="Times New Roman"/>
          <w:b/>
          <w:bCs/>
          <w:color w:val="000000" w:themeColor="text1"/>
          <w:spacing w:val="-2"/>
          <w:sz w:val="24"/>
          <w:highlight w:val="none"/>
          <w14:textFill>
            <w14:solidFill>
              <w14:schemeClr w14:val="tx1"/>
            </w14:solidFill>
          </w14:textFill>
        </w:rPr>
        <w:t>4.11合同价款应专款专用</w:t>
      </w:r>
    </w:p>
    <w:p w14:paraId="4E28C035">
      <w:pPr>
        <w:pStyle w:val="21"/>
        <w:ind w:left="904"/>
        <w:jc w:val="left"/>
        <w:rPr>
          <w:rFonts w:ascii="宋体" w:hAnsi="宋体" w:cs="宋体"/>
          <w:color w:val="000000" w:themeColor="text1"/>
          <w:spacing w:val="4"/>
          <w:sz w:val="24"/>
          <w:highlight w:val="none"/>
          <w14:textFill>
            <w14:solidFill>
              <w14:schemeClr w14:val="tx1"/>
            </w14:solidFill>
          </w14:textFill>
        </w:rPr>
      </w:pPr>
      <w:r>
        <w:rPr>
          <w:rFonts w:hint="eastAsia" w:ascii="宋体" w:hAnsi="宋体" w:cs="宋体"/>
          <w:color w:val="000000" w:themeColor="text1"/>
          <w:spacing w:val="4"/>
          <w:sz w:val="24"/>
          <w:highlight w:val="none"/>
          <w14:textFill>
            <w14:solidFill>
              <w14:schemeClr w14:val="tx1"/>
            </w14:solidFill>
          </w14:textFill>
        </w:rPr>
        <w:t>本款细化为：</w:t>
      </w:r>
    </w:p>
    <w:p w14:paraId="415D412A">
      <w:pPr>
        <w:pStyle w:val="21"/>
        <w:spacing w:before="93" w:line="312" w:lineRule="auto"/>
        <w:ind w:right="305" w:firstLine="496" w:firstLineChars="200"/>
        <w:jc w:val="left"/>
        <w:rPr>
          <w:rFonts w:ascii="宋体" w:hAnsi="宋体" w:cs="宋体"/>
          <w:color w:val="000000" w:themeColor="text1"/>
          <w:spacing w:val="4"/>
          <w:sz w:val="24"/>
          <w:highlight w:val="none"/>
          <w14:textFill>
            <w14:solidFill>
              <w14:schemeClr w14:val="tx1"/>
            </w14:solidFill>
          </w14:textFill>
        </w:rPr>
      </w:pPr>
      <w:r>
        <w:rPr>
          <w:rFonts w:hint="eastAsia" w:ascii="宋体" w:hAnsi="宋体" w:cs="宋体"/>
          <w:color w:val="000000" w:themeColor="text1"/>
          <w:spacing w:val="4"/>
          <w:sz w:val="24"/>
          <w:highlight w:val="none"/>
          <w14:textFill>
            <w14:solidFill>
              <w14:schemeClr w14:val="tx1"/>
            </w14:solidFill>
          </w14:textFill>
        </w:rPr>
        <w:t>发包人按合同约定支付给承包人的各项价款应专用于合同工程。承包人必须在发包人指定的银行开户，同时开通网上银行，并办理制单锁和审核锁，承包人保管制单锁，审核锁交由发包人保管，审核锁在项目通过竣工验收后归还承包人。承包人向发包人授权进行本合同工程开户银行工程资金使用的审核。</w:t>
      </w:r>
      <w:bookmarkStart w:id="205" w:name="bookmark251"/>
      <w:bookmarkEnd w:id="205"/>
      <w:r>
        <w:rPr>
          <w:rFonts w:hint="eastAsia" w:ascii="宋体" w:hAnsi="宋体" w:cs="宋体"/>
          <w:color w:val="000000" w:themeColor="text1"/>
          <w:spacing w:val="4"/>
          <w:sz w:val="24"/>
          <w:highlight w:val="none"/>
          <w14:textFill>
            <w14:solidFill>
              <w14:schemeClr w14:val="tx1"/>
            </w14:solidFill>
          </w14:textFill>
        </w:rPr>
        <w:t>发包人支付的工程进度款应为本工程的专款专用资金，不得转移或用于其他工程。发包人的期中支付款将转入该银行所设的专门账户，发包人及其派出机构有权不定期对承包人工程资金使用情况进行检查，发现问题及时责令承包人限期改正，否则，将终止月支付，直至承包人改正为止。</w:t>
      </w:r>
    </w:p>
    <w:p w14:paraId="069E81BB">
      <w:pPr>
        <w:tabs>
          <w:tab w:val="left" w:pos="1080"/>
        </w:tabs>
        <w:autoSpaceDE w:val="0"/>
        <w:autoSpaceDN w:val="0"/>
        <w:spacing w:line="360" w:lineRule="auto"/>
        <w:ind w:firstLine="480"/>
        <w:jc w:val="left"/>
        <w:rPr>
          <w:rFonts w:ascii="宋体" w:hAnsi="宋体" w:cs="宋体"/>
          <w:color w:val="000000" w:themeColor="text1"/>
          <w:spacing w:val="4"/>
          <w:sz w:val="24"/>
          <w:highlight w:val="none"/>
          <w14:textFill>
            <w14:solidFill>
              <w14:schemeClr w14:val="tx1"/>
            </w14:solidFill>
          </w14:textFill>
        </w:rPr>
      </w:pPr>
      <w:r>
        <w:rPr>
          <w:rFonts w:hint="eastAsia" w:ascii="宋体" w:hAnsi="宋体" w:cs="宋体"/>
          <w:color w:val="000000" w:themeColor="text1"/>
          <w:spacing w:val="4"/>
          <w:sz w:val="24"/>
          <w:highlight w:val="none"/>
          <w14:textFill>
            <w14:solidFill>
              <w14:schemeClr w14:val="tx1"/>
            </w14:solidFill>
          </w14:textFill>
        </w:rPr>
        <w:t>项目法人向承包人支付的预付款、工程进度款等为本工程的专款专用资金，承包人违反下述规定的，项目法人将中止其任何款项的支付。</w:t>
      </w:r>
    </w:p>
    <w:p w14:paraId="53D4D122">
      <w:pPr>
        <w:tabs>
          <w:tab w:val="left" w:pos="1080"/>
        </w:tabs>
        <w:autoSpaceDE w:val="0"/>
        <w:autoSpaceDN w:val="0"/>
        <w:spacing w:line="360" w:lineRule="auto"/>
        <w:ind w:firstLine="480"/>
        <w:jc w:val="left"/>
        <w:rPr>
          <w:rFonts w:ascii="宋体" w:hAnsi="宋体" w:cs="宋体"/>
          <w:color w:val="000000" w:themeColor="text1"/>
          <w:spacing w:val="4"/>
          <w:sz w:val="24"/>
          <w:highlight w:val="none"/>
          <w14:textFill>
            <w14:solidFill>
              <w14:schemeClr w14:val="tx1"/>
            </w14:solidFill>
          </w14:textFill>
        </w:rPr>
      </w:pPr>
      <w:r>
        <w:rPr>
          <w:rFonts w:hint="eastAsia" w:ascii="宋体" w:hAnsi="宋体" w:cs="宋体"/>
          <w:color w:val="000000" w:themeColor="text1"/>
          <w:spacing w:val="4"/>
          <w:sz w:val="24"/>
          <w:highlight w:val="none"/>
          <w14:textFill>
            <w14:solidFill>
              <w14:schemeClr w14:val="tx1"/>
            </w14:solidFill>
          </w14:textFill>
        </w:rPr>
        <w:t>（1）凡不在项目法人指定银行开户的承包人，项目法人将不对其支付任何款项。</w:t>
      </w:r>
    </w:p>
    <w:p w14:paraId="13FFC2FF">
      <w:pPr>
        <w:tabs>
          <w:tab w:val="left" w:pos="1080"/>
        </w:tabs>
        <w:spacing w:line="360" w:lineRule="auto"/>
        <w:ind w:firstLine="480"/>
        <w:rPr>
          <w:rFonts w:ascii="宋体" w:hAnsi="宋体" w:cs="宋体"/>
          <w:color w:val="000000" w:themeColor="text1"/>
          <w:spacing w:val="4"/>
          <w:sz w:val="24"/>
          <w:highlight w:val="none"/>
          <w14:textFill>
            <w14:solidFill>
              <w14:schemeClr w14:val="tx1"/>
            </w14:solidFill>
          </w14:textFill>
        </w:rPr>
      </w:pPr>
      <w:r>
        <w:rPr>
          <w:rFonts w:hint="eastAsia" w:ascii="宋体" w:hAnsi="宋体" w:cs="宋体"/>
          <w:color w:val="000000" w:themeColor="text1"/>
          <w:spacing w:val="4"/>
          <w:sz w:val="24"/>
          <w:highlight w:val="none"/>
          <w14:textFill>
            <w14:solidFill>
              <w14:schemeClr w14:val="tx1"/>
            </w14:solidFill>
          </w14:textFill>
        </w:rPr>
        <w:t>（2）根据中国人民银行有关规定，每个承包人只能在一个银行开立一个结算帐户，不允许多头开户。项目法人按合同条款规定对承包人支付的款项，只对合同规定的法人或者法人代表的授权代理人支付，不对其内部独立核算单位或经批准的分包人直接支付（合同另有规定和退还的保证金有承包人书面申请除外）。</w:t>
      </w:r>
    </w:p>
    <w:p w14:paraId="633E54F7">
      <w:pPr>
        <w:tabs>
          <w:tab w:val="left" w:pos="1080"/>
        </w:tabs>
        <w:autoSpaceDE w:val="0"/>
        <w:autoSpaceDN w:val="0"/>
        <w:spacing w:line="360" w:lineRule="auto"/>
        <w:ind w:firstLine="480"/>
        <w:jc w:val="left"/>
        <w:rPr>
          <w:rFonts w:ascii="宋体" w:hAnsi="宋体" w:cs="宋体"/>
          <w:color w:val="000000" w:themeColor="text1"/>
          <w:spacing w:val="4"/>
          <w:sz w:val="24"/>
          <w:highlight w:val="none"/>
          <w14:textFill>
            <w14:solidFill>
              <w14:schemeClr w14:val="tx1"/>
            </w14:solidFill>
          </w14:textFill>
        </w:rPr>
      </w:pPr>
      <w:r>
        <w:rPr>
          <w:rFonts w:hint="eastAsia" w:ascii="宋体" w:hAnsi="宋体" w:cs="宋体"/>
          <w:color w:val="000000" w:themeColor="text1"/>
          <w:spacing w:val="4"/>
          <w:sz w:val="24"/>
          <w:highlight w:val="none"/>
          <w14:textFill>
            <w14:solidFill>
              <w14:schemeClr w14:val="tx1"/>
            </w14:solidFill>
          </w14:textFill>
        </w:rPr>
        <w:t>（3）在合同执行期间，发包人或发包人委托的公路审计部门有权不定期检查或审计承包人项目经理部的财务收支情况，承包人必须严格财经纪律，确保项目经理部的财务收支能客观、真实的反映工程实际成本，承包人及项目经理部必须接受项目发包人或发包人委托部门的监督和检查。</w:t>
      </w:r>
    </w:p>
    <w:p w14:paraId="63314EC9">
      <w:pPr>
        <w:tabs>
          <w:tab w:val="left" w:pos="1080"/>
        </w:tabs>
        <w:autoSpaceDE w:val="0"/>
        <w:autoSpaceDN w:val="0"/>
        <w:spacing w:line="360" w:lineRule="auto"/>
        <w:ind w:firstLine="48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pacing w:val="4"/>
          <w:sz w:val="24"/>
          <w:highlight w:val="none"/>
          <w14:textFill>
            <w14:solidFill>
              <w14:schemeClr w14:val="tx1"/>
            </w14:solidFill>
          </w14:textFill>
        </w:rPr>
        <w:t>（4）在合同执行期间，为确保工程建设资金专款专用，承包人在收到项目法人支付的款项后，须向项目法人提供资金使用计划，详细说明资金使用流向，经项目法人批准并在项目法人的监督下使用，必须优先支付工人特别是农民工的工资，其次是材料价款以及工程建设直接的成本。</w:t>
      </w:r>
    </w:p>
    <w:p w14:paraId="54B18AFA">
      <w:pPr>
        <w:spacing w:line="219" w:lineRule="auto"/>
        <w:ind w:left="486"/>
        <w:outlineLvl w:val="4"/>
        <w:rPr>
          <w:rFonts w:ascii="宋体" w:hAnsi="宋体" w:cs="宋体"/>
          <w:color w:val="000000" w:themeColor="text1"/>
          <w:sz w:val="24"/>
          <w:highlight w:val="none"/>
          <w14:textFill>
            <w14:solidFill>
              <w14:schemeClr w14:val="tx1"/>
            </w14:solidFill>
          </w14:textFill>
        </w:rPr>
      </w:pPr>
      <w:r>
        <w:rPr>
          <w:rFonts w:eastAsia="Times New Roman"/>
          <w:b/>
          <w:bCs/>
          <w:color w:val="000000" w:themeColor="text1"/>
          <w:spacing w:val="-2"/>
          <w:sz w:val="24"/>
          <w:highlight w:val="none"/>
          <w14:textFill>
            <w14:solidFill>
              <w14:schemeClr w14:val="tx1"/>
            </w14:solidFill>
          </w14:textFill>
        </w:rPr>
        <w:t xml:space="preserve">4.12  </w:t>
      </w:r>
      <w:r>
        <w:rPr>
          <w:rFonts w:ascii="宋体" w:hAnsi="宋体" w:cs="宋体"/>
          <w:b/>
          <w:bCs/>
          <w:color w:val="000000" w:themeColor="text1"/>
          <w:spacing w:val="-2"/>
          <w:sz w:val="24"/>
          <w:highlight w:val="none"/>
          <w14:textFill>
            <w14:solidFill>
              <w14:schemeClr w14:val="tx1"/>
            </w14:solidFill>
          </w14:textFill>
        </w:rPr>
        <w:t>承包人现场查勘</w:t>
      </w:r>
    </w:p>
    <w:p w14:paraId="55079CCE">
      <w:pPr>
        <w:spacing w:before="106" w:line="233" w:lineRule="auto"/>
        <w:ind w:firstLine="480" w:firstLineChars="200"/>
        <w:rPr>
          <w:rFonts w:ascii="宋体" w:hAnsi="宋体" w:cs="宋体"/>
          <w:color w:val="000000" w:themeColor="text1"/>
          <w:sz w:val="24"/>
          <w:highlight w:val="none"/>
          <w14:textFill>
            <w14:solidFill>
              <w14:schemeClr w14:val="tx1"/>
            </w14:solidFill>
          </w14:textFill>
        </w:rPr>
      </w:pPr>
      <w:r>
        <w:rPr>
          <w:rFonts w:eastAsia="Times New Roman"/>
          <w:color w:val="000000" w:themeColor="text1"/>
          <w:sz w:val="24"/>
          <w:highlight w:val="none"/>
          <w14:textFill>
            <w14:solidFill>
              <w14:schemeClr w14:val="tx1"/>
            </w14:solidFill>
          </w14:textFill>
        </w:rPr>
        <w:t xml:space="preserve">4.12.2  </w:t>
      </w:r>
      <w:r>
        <w:rPr>
          <w:rFonts w:ascii="宋体" w:hAnsi="宋体" w:cs="宋体"/>
          <w:color w:val="000000" w:themeColor="text1"/>
          <w:sz w:val="24"/>
          <w:highlight w:val="none"/>
          <w14:textFill>
            <w14:solidFill>
              <w14:schemeClr w14:val="tx1"/>
            </w14:solidFill>
          </w14:textFill>
        </w:rPr>
        <w:t>发包人向承包人提供养护项目的相关图纸和资料包括</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"bookmark252" </w:instrText>
      </w:r>
      <w:r>
        <w:rPr>
          <w:color w:val="000000" w:themeColor="text1"/>
          <w:highlight w:val="none"/>
          <w14:textFill>
            <w14:solidFill>
              <w14:schemeClr w14:val="tx1"/>
            </w14:solidFill>
          </w14:textFill>
        </w:rPr>
        <w:fldChar w:fldCharType="separate"/>
      </w:r>
      <w:r>
        <w:rPr>
          <w:rFonts w:ascii="宋体" w:hAnsi="宋体" w:cs="宋体"/>
          <w:color w:val="000000" w:themeColor="text1"/>
          <w:position w:val="12"/>
          <w:sz w:val="12"/>
          <w:szCs w:val="12"/>
          <w:highlight w:val="none"/>
          <w14:textFill>
            <w14:solidFill>
              <w14:schemeClr w14:val="tx1"/>
            </w14:solidFill>
          </w14:textFill>
        </w:rPr>
        <w:t>①</w:t>
      </w:r>
      <w:r>
        <w:rPr>
          <w:rFonts w:ascii="宋体" w:hAnsi="宋体" w:cs="宋体"/>
          <w:color w:val="000000" w:themeColor="text1"/>
          <w:position w:val="12"/>
          <w:sz w:val="12"/>
          <w:szCs w:val="12"/>
          <w:highlight w:val="none"/>
          <w14:textFill>
            <w14:solidFill>
              <w14:schemeClr w14:val="tx1"/>
            </w14:solidFill>
          </w14:textFill>
        </w:rPr>
        <w:fldChar w:fldCharType="end"/>
      </w:r>
      <w:r>
        <w:rPr>
          <w:rFonts w:ascii="宋体" w:hAnsi="宋体" w:cs="宋体"/>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u w:val="single"/>
          <w14:textFill>
            <w14:solidFill>
              <w14:schemeClr w14:val="tx1"/>
            </w14:solidFill>
          </w14:textFill>
        </w:rPr>
        <w:t>一阶段施工图设计</w:t>
      </w:r>
      <w:r>
        <w:rPr>
          <w:rFonts w:ascii="宋体" w:hAnsi="宋体" w:cs="宋体"/>
          <w:color w:val="000000" w:themeColor="text1"/>
          <w:spacing w:val="-1"/>
          <w:sz w:val="24"/>
          <w:highlight w:val="none"/>
          <w14:textFill>
            <w14:solidFill>
              <w14:schemeClr w14:val="tx1"/>
            </w14:solidFill>
          </w14:textFill>
        </w:rPr>
        <w:t>。</w:t>
      </w:r>
    </w:p>
    <w:p w14:paraId="7CE6236A">
      <w:pPr>
        <w:spacing w:before="105" w:line="219" w:lineRule="auto"/>
        <w:ind w:left="486"/>
        <w:outlineLvl w:val="4"/>
        <w:rPr>
          <w:rFonts w:ascii="宋体" w:hAnsi="宋体" w:cs="宋体"/>
          <w:color w:val="000000" w:themeColor="text1"/>
          <w:sz w:val="24"/>
          <w:highlight w:val="none"/>
          <w14:textFill>
            <w14:solidFill>
              <w14:schemeClr w14:val="tx1"/>
            </w14:solidFill>
          </w14:textFill>
        </w:rPr>
      </w:pPr>
      <w:r>
        <w:rPr>
          <w:rFonts w:eastAsia="Times New Roman"/>
          <w:b/>
          <w:bCs/>
          <w:color w:val="000000" w:themeColor="text1"/>
          <w:spacing w:val="-2"/>
          <w:sz w:val="24"/>
          <w:highlight w:val="none"/>
          <w14:textFill>
            <w14:solidFill>
              <w14:schemeClr w14:val="tx1"/>
            </w14:solidFill>
          </w14:textFill>
        </w:rPr>
        <w:t xml:space="preserve">4.13  </w:t>
      </w:r>
      <w:r>
        <w:rPr>
          <w:rFonts w:ascii="宋体" w:hAnsi="宋体" w:cs="宋体"/>
          <w:b/>
          <w:bCs/>
          <w:color w:val="000000" w:themeColor="text1"/>
          <w:spacing w:val="-2"/>
          <w:sz w:val="24"/>
          <w:highlight w:val="none"/>
          <w14:textFill>
            <w14:solidFill>
              <w14:schemeClr w14:val="tx1"/>
            </w14:solidFill>
          </w14:textFill>
        </w:rPr>
        <w:t>不利物质条件</w:t>
      </w:r>
    </w:p>
    <w:p w14:paraId="60E20992">
      <w:pPr>
        <w:spacing w:before="125" w:line="219" w:lineRule="auto"/>
        <w:ind w:left="483"/>
        <w:rPr>
          <w:rFonts w:ascii="宋体" w:hAnsi="宋体" w:cs="宋体"/>
          <w:color w:val="000000" w:themeColor="text1"/>
          <w:spacing w:val="-1"/>
          <w:sz w:val="24"/>
          <w:highlight w:val="none"/>
          <w14:textFill>
            <w14:solidFill>
              <w14:schemeClr w14:val="tx1"/>
            </w14:solidFill>
          </w14:textFill>
        </w:rPr>
      </w:pPr>
      <w:r>
        <w:rPr>
          <w:rFonts w:eastAsia="Times New Roman"/>
          <w:color w:val="000000" w:themeColor="text1"/>
          <w:sz w:val="24"/>
          <w:highlight w:val="none"/>
          <w14:textFill>
            <w14:solidFill>
              <w14:schemeClr w14:val="tx1"/>
            </w14:solidFill>
          </w14:textFill>
        </w:rPr>
        <w:t xml:space="preserve">4.13.1 </w:t>
      </w:r>
      <w:r>
        <w:rPr>
          <w:rFonts w:ascii="宋体" w:hAnsi="宋体" w:cs="宋体"/>
          <w:color w:val="000000" w:themeColor="text1"/>
          <w:sz w:val="24"/>
          <w:highlight w:val="none"/>
          <w14:textFill>
            <w14:solidFill>
              <w14:schemeClr w14:val="tx1"/>
            </w14:solidFill>
          </w14:textFill>
        </w:rPr>
        <w:t>不利物质条件特殊约定：</w:t>
      </w:r>
      <w:r>
        <w:rPr>
          <w:rFonts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u w:val="single"/>
          <w14:textFill>
            <w14:solidFill>
              <w14:schemeClr w14:val="tx1"/>
            </w14:solidFill>
          </w14:textFill>
        </w:rPr>
        <w:t>/</w:t>
      </w:r>
      <w:r>
        <w:rPr>
          <w:rFonts w:ascii="宋体" w:hAnsi="宋体" w:cs="宋体"/>
          <w:color w:val="000000" w:themeColor="text1"/>
          <w:spacing w:val="-1"/>
          <w:sz w:val="24"/>
          <w:highlight w:val="none"/>
          <w:u w:val="single"/>
          <w14:textFill>
            <w14:solidFill>
              <w14:schemeClr w14:val="tx1"/>
            </w14:solidFill>
          </w14:textFill>
        </w:rPr>
        <w:t xml:space="preserve">    </w:t>
      </w:r>
      <w:r>
        <w:rPr>
          <w:rFonts w:ascii="宋体" w:hAnsi="宋体" w:cs="宋体"/>
          <w:color w:val="000000" w:themeColor="text1"/>
          <w:spacing w:val="-1"/>
          <w:sz w:val="24"/>
          <w:highlight w:val="none"/>
          <w14:textFill>
            <w14:solidFill>
              <w14:schemeClr w14:val="tx1"/>
            </w14:solidFill>
          </w14:textFill>
        </w:rPr>
        <w:t>。</w:t>
      </w:r>
    </w:p>
    <w:p w14:paraId="2E0609FA">
      <w:pPr>
        <w:spacing w:before="125" w:line="360" w:lineRule="auto"/>
        <w:ind w:left="483"/>
        <w:rPr>
          <w:rFonts w:ascii="宋体" w:hAnsi="宋体" w:cs="宋体"/>
          <w:color w:val="000000" w:themeColor="text1"/>
          <w:spacing w:val="-1"/>
          <w:sz w:val="24"/>
          <w:highlight w:val="none"/>
          <w14:textFill>
            <w14:solidFill>
              <w14:schemeClr w14:val="tx1"/>
            </w14:solidFill>
          </w14:textFill>
        </w:rPr>
      </w:pPr>
      <w:r>
        <w:rPr>
          <w:rFonts w:hint="eastAsia" w:ascii="宋体" w:hAnsi="宋体" w:cs="宋体"/>
          <w:color w:val="000000" w:themeColor="text1"/>
          <w:spacing w:val="-1"/>
          <w:sz w:val="24"/>
          <w:highlight w:val="none"/>
          <w14:textFill>
            <w14:solidFill>
              <w14:schemeClr w14:val="tx1"/>
            </w14:solidFill>
          </w14:textFill>
        </w:rPr>
        <w:t>第4.13.2项细化为：</w:t>
      </w:r>
    </w:p>
    <w:p w14:paraId="63604334">
      <w:pPr>
        <w:spacing w:before="125" w:line="360" w:lineRule="auto"/>
        <w:ind w:firstLine="476" w:firstLineChars="200"/>
        <w:rPr>
          <w:rFonts w:ascii="宋体" w:hAnsi="宋体" w:cs="宋体"/>
          <w:color w:val="000000" w:themeColor="text1"/>
          <w:spacing w:val="-1"/>
          <w:sz w:val="24"/>
          <w:highlight w:val="none"/>
          <w14:textFill>
            <w14:solidFill>
              <w14:schemeClr w14:val="tx1"/>
            </w14:solidFill>
          </w14:textFill>
        </w:rPr>
      </w:pPr>
      <w:r>
        <w:rPr>
          <w:rFonts w:hint="eastAsia" w:ascii="宋体" w:hAnsi="宋体" w:cs="宋体"/>
          <w:color w:val="000000" w:themeColor="text1"/>
          <w:spacing w:val="-1"/>
          <w:sz w:val="24"/>
          <w:highlight w:val="none"/>
          <w14:textFill>
            <w14:solidFill>
              <w14:schemeClr w14:val="tx1"/>
            </w14:solidFill>
          </w14:textFill>
        </w:rPr>
        <w:t>承包人遇到不可预见的不利物质条件时，应采取适应不利物质条件的合理措施继续施工，并及时通知咨询人。咨询人应当及时发出指示，指示构成变更的，按第15条约定办理。咨询人没有发出指示的，承包人因采取合理措施而增加的费用和（或）工期延误，由发包人承担。</w:t>
      </w:r>
    </w:p>
    <w:p w14:paraId="5D54AF42">
      <w:pPr>
        <w:pStyle w:val="21"/>
        <w:spacing w:before="2"/>
        <w:ind w:firstLine="476" w:firstLineChars="200"/>
        <w:jc w:val="left"/>
        <w:rPr>
          <w:rFonts w:ascii="宋体" w:hAnsi="宋体" w:cs="宋体"/>
          <w:color w:val="000000" w:themeColor="text1"/>
          <w:spacing w:val="-1"/>
          <w:sz w:val="24"/>
          <w:highlight w:val="none"/>
          <w14:textFill>
            <w14:solidFill>
              <w14:schemeClr w14:val="tx1"/>
            </w14:solidFill>
          </w14:textFill>
        </w:rPr>
      </w:pPr>
      <w:r>
        <w:rPr>
          <w:rFonts w:hint="eastAsia" w:ascii="宋体" w:hAnsi="宋体" w:cs="宋体"/>
          <w:color w:val="000000" w:themeColor="text1"/>
          <w:spacing w:val="-1"/>
          <w:sz w:val="24"/>
          <w:highlight w:val="none"/>
          <w14:textFill>
            <w14:solidFill>
              <w14:schemeClr w14:val="tx1"/>
            </w14:solidFill>
          </w14:textFill>
        </w:rPr>
        <w:t>本款补充第4.13.3项：</w:t>
      </w:r>
    </w:p>
    <w:p w14:paraId="6B930A1E">
      <w:pPr>
        <w:pStyle w:val="21"/>
        <w:spacing w:before="91" w:line="312" w:lineRule="auto"/>
        <w:ind w:right="383" w:firstLine="476" w:firstLineChars="200"/>
        <w:jc w:val="left"/>
        <w:rPr>
          <w:rFonts w:ascii="宋体" w:hAnsi="宋体" w:cs="宋体"/>
          <w:color w:val="000000" w:themeColor="text1"/>
          <w:spacing w:val="-1"/>
          <w:sz w:val="24"/>
          <w:highlight w:val="none"/>
          <w14:textFill>
            <w14:solidFill>
              <w14:schemeClr w14:val="tx1"/>
            </w14:solidFill>
          </w14:textFill>
        </w:rPr>
      </w:pPr>
      <w:r>
        <w:rPr>
          <w:rFonts w:hint="eastAsia" w:ascii="宋体" w:hAnsi="宋体" w:cs="宋体"/>
          <w:color w:val="000000" w:themeColor="text1"/>
          <w:spacing w:val="-1"/>
          <w:sz w:val="24"/>
          <w:highlight w:val="none"/>
          <w14:textFill>
            <w14:solidFill>
              <w14:schemeClr w14:val="tx1"/>
            </w14:solidFill>
          </w14:textFill>
        </w:rPr>
        <w:t>（1）对于专用合同条款中已经明确指出的不利物质条件无论承包人是否有其经历和经验均视为承包人在接受合同时已预见其影响，并已在签约合同价中计入因其影响而可能发生的一切费用。</w:t>
      </w:r>
    </w:p>
    <w:p w14:paraId="5666EF8C">
      <w:pPr>
        <w:pStyle w:val="21"/>
        <w:spacing w:before="74" w:line="360" w:lineRule="auto"/>
        <w:ind w:right="382" w:firstLine="476" w:firstLineChars="200"/>
        <w:jc w:val="left"/>
        <w:rPr>
          <w:rFonts w:ascii="宋体" w:hAnsi="宋体" w:cs="宋体"/>
          <w:color w:val="000000" w:themeColor="text1"/>
          <w:spacing w:val="-1"/>
          <w:sz w:val="24"/>
          <w:highlight w:val="none"/>
          <w14:textFill>
            <w14:solidFill>
              <w14:schemeClr w14:val="tx1"/>
            </w14:solidFill>
          </w14:textFill>
        </w:rPr>
      </w:pPr>
      <w:r>
        <w:rPr>
          <w:rFonts w:hint="eastAsia" w:ascii="宋体" w:hAnsi="宋体" w:cs="宋体"/>
          <w:color w:val="000000" w:themeColor="text1"/>
          <w:spacing w:val="-1"/>
          <w:sz w:val="24"/>
          <w:highlight w:val="none"/>
          <w14:textFill>
            <w14:solidFill>
              <w14:schemeClr w14:val="tx1"/>
            </w14:solidFill>
          </w14:textFill>
        </w:rPr>
        <w:t>（2）对于专用合同条款未明确指出，但是在不利物质条件发生之前，咨询人已经指示承包人有可能发生，但承包人未能及时采取有效措施，而导致的损失和后果均由承包人承担。</w:t>
      </w:r>
    </w:p>
    <w:p w14:paraId="2C342369">
      <w:pPr>
        <w:pStyle w:val="21"/>
        <w:spacing w:before="74" w:line="360" w:lineRule="auto"/>
        <w:ind w:right="382" w:firstLine="476" w:firstLineChars="200"/>
        <w:jc w:val="left"/>
        <w:rPr>
          <w:rFonts w:ascii="宋体" w:hAnsi="宋体" w:cs="宋体"/>
          <w:color w:val="000000" w:themeColor="text1"/>
          <w:spacing w:val="-1"/>
          <w:sz w:val="24"/>
          <w:highlight w:val="none"/>
          <w14:textFill>
            <w14:solidFill>
              <w14:schemeClr w14:val="tx1"/>
            </w14:solidFill>
          </w14:textFill>
        </w:rPr>
      </w:pPr>
      <w:r>
        <w:rPr>
          <w:rFonts w:hint="eastAsia" w:ascii="宋体" w:hAnsi="宋体" w:cs="宋体"/>
          <w:color w:val="000000" w:themeColor="text1"/>
          <w:spacing w:val="-1"/>
          <w:sz w:val="24"/>
          <w:highlight w:val="none"/>
          <w14:textFill>
            <w14:solidFill>
              <w14:schemeClr w14:val="tx1"/>
            </w14:solidFill>
          </w14:textFill>
        </w:rPr>
        <w:t>本条补充第4.14款</w:t>
      </w:r>
    </w:p>
    <w:p w14:paraId="28C3AA81">
      <w:pPr>
        <w:pStyle w:val="21"/>
        <w:spacing w:line="360" w:lineRule="auto"/>
        <w:ind w:right="388" w:firstLine="476" w:firstLineChars="200"/>
        <w:jc w:val="left"/>
        <w:rPr>
          <w:color w:val="000000" w:themeColor="text1"/>
          <w:highlight w:val="none"/>
          <w14:textFill>
            <w14:solidFill>
              <w14:schemeClr w14:val="tx1"/>
            </w14:solidFill>
          </w14:textFill>
        </w:rPr>
      </w:pPr>
      <w:r>
        <w:rPr>
          <w:rFonts w:hint="eastAsia" w:ascii="宋体" w:hAnsi="宋体" w:cs="宋体"/>
          <w:color w:val="000000" w:themeColor="text1"/>
          <w:spacing w:val="-1"/>
          <w:sz w:val="24"/>
          <w:highlight w:val="none"/>
          <w14:textFill>
            <w14:solidFill>
              <w14:schemeClr w14:val="tx1"/>
            </w14:solidFill>
          </w14:textFill>
        </w:rPr>
        <w:t>合同双方一致认为，承包人在递交投标文件前，对本合同工程的投标文件和已标价工程量清单中开列的单价和总额价已查明是正确的和完备的。投标的单价和总额价应已包括了合同中规定的承包人的全部义务（包括提供货物、材料、设备、服务的义务，并包括了暂列金额和暂估价范围内的额外工作的义务）以及为实施和完成本合同工程及其缺陷修复所必需的一切工作和条件。</w:t>
      </w:r>
    </w:p>
    <w:p w14:paraId="553ABEA0">
      <w:pPr>
        <w:spacing w:before="79" w:line="219" w:lineRule="auto"/>
        <w:ind w:left="488"/>
        <w:outlineLvl w:val="3"/>
        <w:rPr>
          <w:rFonts w:ascii="宋体" w:hAnsi="宋体" w:cs="宋体"/>
          <w:color w:val="000000" w:themeColor="text1"/>
          <w:sz w:val="24"/>
          <w:highlight w:val="none"/>
          <w14:textFill>
            <w14:solidFill>
              <w14:schemeClr w14:val="tx1"/>
            </w14:solidFill>
          </w14:textFill>
        </w:rPr>
      </w:pPr>
      <w:bookmarkStart w:id="206" w:name="bookmark83"/>
      <w:bookmarkEnd w:id="206"/>
      <w:bookmarkStart w:id="207" w:name="bookmark84"/>
      <w:bookmarkEnd w:id="207"/>
      <w:r>
        <w:rPr>
          <w:rFonts w:eastAsia="Times New Roman"/>
          <w:b/>
          <w:bCs/>
          <w:color w:val="000000" w:themeColor="text1"/>
          <w:spacing w:val="-2"/>
          <w:sz w:val="24"/>
          <w:highlight w:val="none"/>
          <w14:textFill>
            <w14:solidFill>
              <w14:schemeClr w14:val="tx1"/>
            </w14:solidFill>
          </w14:textFill>
        </w:rPr>
        <w:t xml:space="preserve">5.  </w:t>
      </w:r>
      <w:r>
        <w:rPr>
          <w:rFonts w:ascii="宋体" w:hAnsi="宋体" w:cs="宋体"/>
          <w:b/>
          <w:bCs/>
          <w:color w:val="000000" w:themeColor="text1"/>
          <w:spacing w:val="-2"/>
          <w:sz w:val="24"/>
          <w:highlight w:val="none"/>
          <w14:textFill>
            <w14:solidFill>
              <w14:schemeClr w14:val="tx1"/>
            </w14:solidFill>
          </w14:textFill>
        </w:rPr>
        <w:t>材料和工程设备</w:t>
      </w:r>
    </w:p>
    <w:p w14:paraId="7135588F">
      <w:pPr>
        <w:spacing w:before="116" w:line="219" w:lineRule="auto"/>
        <w:ind w:left="488"/>
        <w:outlineLvl w:val="4"/>
        <w:rPr>
          <w:rFonts w:ascii="宋体" w:hAnsi="宋体" w:cs="宋体"/>
          <w:color w:val="000000" w:themeColor="text1"/>
          <w:sz w:val="24"/>
          <w:highlight w:val="none"/>
          <w14:textFill>
            <w14:solidFill>
              <w14:schemeClr w14:val="tx1"/>
            </w14:solidFill>
          </w14:textFill>
        </w:rPr>
      </w:pPr>
      <w:r>
        <w:rPr>
          <w:rFonts w:eastAsia="Times New Roman"/>
          <w:b/>
          <w:bCs/>
          <w:color w:val="000000" w:themeColor="text1"/>
          <w:spacing w:val="-2"/>
          <w:sz w:val="24"/>
          <w:highlight w:val="none"/>
          <w14:textFill>
            <w14:solidFill>
              <w14:schemeClr w14:val="tx1"/>
            </w14:solidFill>
          </w14:textFill>
        </w:rPr>
        <w:t xml:space="preserve">5.1  </w:t>
      </w:r>
      <w:r>
        <w:rPr>
          <w:rFonts w:ascii="宋体" w:hAnsi="宋体" w:cs="宋体"/>
          <w:b/>
          <w:bCs/>
          <w:color w:val="000000" w:themeColor="text1"/>
          <w:spacing w:val="-2"/>
          <w:sz w:val="24"/>
          <w:highlight w:val="none"/>
          <w14:textFill>
            <w14:solidFill>
              <w14:schemeClr w14:val="tx1"/>
            </w14:solidFill>
          </w14:textFill>
        </w:rPr>
        <w:t>承包人提供的材料和工程设备</w:t>
      </w:r>
    </w:p>
    <w:p w14:paraId="36920308">
      <w:pPr>
        <w:spacing w:before="126" w:line="360" w:lineRule="auto"/>
        <w:ind w:firstLine="476" w:firstLineChars="200"/>
        <w:jc w:val="left"/>
        <w:rPr>
          <w:color w:val="000000" w:themeColor="text1"/>
          <w:highlight w:val="none"/>
          <w14:textFill>
            <w14:solidFill>
              <w14:schemeClr w14:val="tx1"/>
            </w14:solidFill>
          </w14:textFill>
        </w:rPr>
      </w:pPr>
      <w:r>
        <w:rPr>
          <w:rFonts w:eastAsia="Times New Roman"/>
          <w:color w:val="000000" w:themeColor="text1"/>
          <w:spacing w:val="-1"/>
          <w:sz w:val="24"/>
          <w:highlight w:val="none"/>
          <w14:textFill>
            <w14:solidFill>
              <w14:schemeClr w14:val="tx1"/>
            </w14:solidFill>
          </w14:textFill>
        </w:rPr>
        <w:t xml:space="preserve">5.1.2 </w:t>
      </w:r>
      <w:r>
        <w:rPr>
          <w:rFonts w:ascii="宋体" w:hAnsi="宋体" w:cs="宋体"/>
          <w:color w:val="000000" w:themeColor="text1"/>
          <w:spacing w:val="-1"/>
          <w:sz w:val="24"/>
          <w:highlight w:val="none"/>
          <w14:textFill>
            <w14:solidFill>
              <w14:schemeClr w14:val="tx1"/>
            </w14:solidFill>
          </w14:textFill>
        </w:rPr>
        <w:t>本项约定为：</w:t>
      </w:r>
      <w:r>
        <w:rPr>
          <w:rFonts w:hint="eastAsia" w:ascii="宋体" w:hAnsi="宋体" w:cs="宋体"/>
          <w:color w:val="000000" w:themeColor="text1"/>
          <w:spacing w:val="-1"/>
          <w:sz w:val="24"/>
          <w:highlight w:val="none"/>
          <w:u w:val="single"/>
          <w14:textFill>
            <w14:solidFill>
              <w14:schemeClr w14:val="tx1"/>
            </w14:solidFill>
          </w14:textFill>
        </w:rPr>
        <w:t>承包人</w:t>
      </w:r>
      <w:r>
        <w:rPr>
          <w:rFonts w:hint="eastAsia" w:ascii="宋体" w:hAnsi="宋体" w:cs="宋体"/>
          <w:color w:val="000000" w:themeColor="text1"/>
          <w:spacing w:val="4"/>
          <w:sz w:val="24"/>
          <w:highlight w:val="none"/>
          <w:u w:val="single"/>
          <w14:textFill>
            <w14:solidFill>
              <w14:schemeClr w14:val="tx1"/>
            </w14:solidFill>
          </w14:textFill>
        </w:rPr>
        <w:t>将各项材</w:t>
      </w:r>
      <w:r>
        <w:rPr>
          <w:rFonts w:hint="eastAsia" w:ascii="宋体" w:hAnsi="宋体" w:cs="宋体"/>
          <w:color w:val="000000" w:themeColor="text1"/>
          <w:spacing w:val="3"/>
          <w:sz w:val="24"/>
          <w:highlight w:val="none"/>
          <w:u w:val="single"/>
          <w14:textFill>
            <w14:solidFill>
              <w14:schemeClr w14:val="tx1"/>
            </w14:solidFill>
          </w14:textFill>
        </w:rPr>
        <w:t>料和工程设备的供货人及品</w:t>
      </w:r>
      <w:r>
        <w:rPr>
          <w:rFonts w:hint="eastAsia" w:ascii="宋体" w:hAnsi="宋体" w:cs="宋体"/>
          <w:color w:val="000000" w:themeColor="text1"/>
          <w:spacing w:val="1"/>
          <w:sz w:val="24"/>
          <w:highlight w:val="none"/>
          <w:u w:val="single"/>
          <w14:textFill>
            <w14:solidFill>
              <w14:schemeClr w14:val="tx1"/>
            </w14:solidFill>
          </w14:textFill>
        </w:rPr>
        <w:t>种、规格、数量和供货时间等报送</w:t>
      </w:r>
      <w:r>
        <w:rPr>
          <w:rFonts w:hint="eastAsia" w:ascii="宋体" w:hAnsi="宋体" w:cs="宋体"/>
          <w:color w:val="000000" w:themeColor="text1"/>
          <w:spacing w:val="-1"/>
          <w:sz w:val="24"/>
          <w:highlight w:val="none"/>
          <w:u w:val="single"/>
          <w14:textFill>
            <w14:solidFill>
              <w14:schemeClr w14:val="tx1"/>
            </w14:solidFill>
          </w14:textFill>
        </w:rPr>
        <w:t>咨询人</w:t>
      </w:r>
      <w:r>
        <w:rPr>
          <w:rFonts w:hint="eastAsia" w:ascii="宋体" w:hAnsi="宋体" w:cs="宋体"/>
          <w:color w:val="000000" w:themeColor="text1"/>
          <w:spacing w:val="1"/>
          <w:sz w:val="24"/>
          <w:highlight w:val="none"/>
          <w:u w:val="single"/>
          <w14:textFill>
            <w14:solidFill>
              <w14:schemeClr w14:val="tx1"/>
            </w14:solidFill>
          </w14:textFill>
        </w:rPr>
        <w:t>审批。承包人应</w:t>
      </w:r>
      <w:r>
        <w:rPr>
          <w:rFonts w:hint="eastAsia" w:ascii="宋体" w:hAnsi="宋体" w:cs="宋体"/>
          <w:color w:val="000000" w:themeColor="text1"/>
          <w:sz w:val="24"/>
          <w:highlight w:val="none"/>
          <w:u w:val="single"/>
          <w14:textFill>
            <w14:solidFill>
              <w14:schemeClr w14:val="tx1"/>
            </w14:solidFill>
          </w14:textFill>
        </w:rPr>
        <w:t>向</w:t>
      </w:r>
      <w:r>
        <w:rPr>
          <w:rFonts w:hint="eastAsia" w:ascii="宋体" w:hAnsi="宋体" w:cs="宋体"/>
          <w:color w:val="000000" w:themeColor="text1"/>
          <w:spacing w:val="-1"/>
          <w:sz w:val="24"/>
          <w:highlight w:val="none"/>
          <w:u w:val="single"/>
          <w14:textFill>
            <w14:solidFill>
              <w14:schemeClr w14:val="tx1"/>
            </w14:solidFill>
          </w14:textFill>
        </w:rPr>
        <w:t>咨询人</w:t>
      </w:r>
      <w:r>
        <w:rPr>
          <w:rFonts w:hint="eastAsia" w:ascii="宋体" w:hAnsi="宋体" w:cs="宋体"/>
          <w:color w:val="000000" w:themeColor="text1"/>
          <w:sz w:val="24"/>
          <w:highlight w:val="none"/>
          <w:u w:val="single"/>
          <w14:textFill>
            <w14:solidFill>
              <w14:schemeClr w14:val="tx1"/>
            </w14:solidFill>
          </w14:textFill>
        </w:rPr>
        <w:t>提交其负责提供</w:t>
      </w:r>
      <w:r>
        <w:rPr>
          <w:rFonts w:hint="eastAsia" w:ascii="宋体" w:hAnsi="宋体" w:cs="宋体"/>
          <w:color w:val="000000" w:themeColor="text1"/>
          <w:spacing w:val="-1"/>
          <w:sz w:val="24"/>
          <w:highlight w:val="none"/>
          <w:u w:val="single"/>
          <w14:textFill>
            <w14:solidFill>
              <w14:schemeClr w14:val="tx1"/>
            </w14:solidFill>
          </w14:textFill>
        </w:rPr>
        <w:t>的材料和工程设备的质量证明文件，并满足合同约定的质量标准</w:t>
      </w:r>
      <w:r>
        <w:rPr>
          <w:rFonts w:hint="eastAsia" w:ascii="宋体" w:hAnsi="宋体" w:cs="宋体"/>
          <w:color w:val="000000" w:themeColor="text1"/>
          <w:spacing w:val="-1"/>
          <w:sz w:val="24"/>
          <w:highlight w:val="none"/>
          <w14:textFill>
            <w14:solidFill>
              <w14:schemeClr w14:val="tx1"/>
            </w14:solidFill>
          </w14:textFill>
        </w:rPr>
        <w:t>。</w:t>
      </w:r>
    </w:p>
    <w:p w14:paraId="2BD169FE">
      <w:pPr>
        <w:spacing w:before="78" w:line="219" w:lineRule="auto"/>
        <w:ind w:left="488"/>
        <w:outlineLvl w:val="3"/>
        <w:rPr>
          <w:rFonts w:ascii="宋体" w:hAnsi="宋体" w:cs="宋体"/>
          <w:color w:val="000000" w:themeColor="text1"/>
          <w:sz w:val="24"/>
          <w:highlight w:val="none"/>
          <w14:textFill>
            <w14:solidFill>
              <w14:schemeClr w14:val="tx1"/>
            </w14:solidFill>
          </w14:textFill>
        </w:rPr>
      </w:pPr>
      <w:bookmarkStart w:id="208" w:name="bookmark85"/>
      <w:bookmarkEnd w:id="208"/>
      <w:bookmarkStart w:id="209" w:name="bookmark86"/>
      <w:bookmarkEnd w:id="209"/>
      <w:r>
        <w:rPr>
          <w:rFonts w:eastAsia="Times New Roman"/>
          <w:b/>
          <w:bCs/>
          <w:color w:val="000000" w:themeColor="text1"/>
          <w:spacing w:val="-3"/>
          <w:sz w:val="24"/>
          <w:highlight w:val="none"/>
          <w14:textFill>
            <w14:solidFill>
              <w14:schemeClr w14:val="tx1"/>
            </w14:solidFill>
          </w14:textFill>
        </w:rPr>
        <w:t>7.</w:t>
      </w:r>
      <w:r>
        <w:rPr>
          <w:rFonts w:ascii="宋体" w:hAnsi="宋体" w:cs="宋体"/>
          <w:b/>
          <w:bCs/>
          <w:color w:val="000000" w:themeColor="text1"/>
          <w:spacing w:val="-3"/>
          <w:sz w:val="24"/>
          <w:highlight w:val="none"/>
          <w14:textFill>
            <w14:solidFill>
              <w14:schemeClr w14:val="tx1"/>
            </w14:solidFill>
          </w14:textFill>
        </w:rPr>
        <w:t>交通运输</w:t>
      </w:r>
    </w:p>
    <w:p w14:paraId="44BA9947">
      <w:pPr>
        <w:spacing w:before="116" w:line="219" w:lineRule="auto"/>
        <w:ind w:left="488"/>
        <w:outlineLvl w:val="4"/>
        <w:rPr>
          <w:rFonts w:ascii="宋体" w:hAnsi="宋体" w:cs="宋体"/>
          <w:color w:val="000000" w:themeColor="text1"/>
          <w:sz w:val="24"/>
          <w:highlight w:val="none"/>
          <w14:textFill>
            <w14:solidFill>
              <w14:schemeClr w14:val="tx1"/>
            </w14:solidFill>
          </w14:textFill>
        </w:rPr>
      </w:pPr>
      <w:r>
        <w:rPr>
          <w:rFonts w:eastAsia="Times New Roman"/>
          <w:b/>
          <w:bCs/>
          <w:color w:val="000000" w:themeColor="text1"/>
          <w:spacing w:val="-2"/>
          <w:sz w:val="24"/>
          <w:highlight w:val="none"/>
          <w14:textFill>
            <w14:solidFill>
              <w14:schemeClr w14:val="tx1"/>
            </w14:solidFill>
          </w14:textFill>
        </w:rPr>
        <w:t xml:space="preserve">7.2  </w:t>
      </w:r>
      <w:r>
        <w:rPr>
          <w:rFonts w:ascii="宋体" w:hAnsi="宋体" w:cs="宋体"/>
          <w:b/>
          <w:bCs/>
          <w:color w:val="000000" w:themeColor="text1"/>
          <w:spacing w:val="-2"/>
          <w:sz w:val="24"/>
          <w:highlight w:val="none"/>
          <w14:textFill>
            <w14:solidFill>
              <w14:schemeClr w14:val="tx1"/>
            </w14:solidFill>
          </w14:textFill>
        </w:rPr>
        <w:t>养护路段内交通</w:t>
      </w:r>
    </w:p>
    <w:p w14:paraId="0D58BD6B">
      <w:pPr>
        <w:spacing w:before="123" w:line="219" w:lineRule="auto"/>
        <w:ind w:left="489"/>
        <w:rPr>
          <w:rFonts w:ascii="宋体" w:hAnsi="宋体" w:cs="宋体"/>
          <w:color w:val="000000" w:themeColor="text1"/>
          <w:spacing w:val="-1"/>
          <w:sz w:val="24"/>
          <w:highlight w:val="none"/>
          <w14:textFill>
            <w14:solidFill>
              <w14:schemeClr w14:val="tx1"/>
            </w14:solidFill>
          </w14:textFill>
        </w:rPr>
      </w:pPr>
      <w:r>
        <w:rPr>
          <w:rFonts w:ascii="宋体" w:hAnsi="宋体" w:cs="宋体"/>
          <w:color w:val="000000" w:themeColor="text1"/>
          <w:spacing w:val="-1"/>
          <w:sz w:val="24"/>
          <w:highlight w:val="none"/>
          <w14:textFill>
            <w14:solidFill>
              <w14:schemeClr w14:val="tx1"/>
            </w14:solidFill>
          </w14:textFill>
        </w:rPr>
        <w:t>承包人使用养护路段产生的通行费的特殊约定：</w:t>
      </w:r>
      <w:r>
        <w:rPr>
          <w:rFonts w:ascii="宋体" w:hAnsi="宋体" w:cs="宋体"/>
          <w:color w:val="000000" w:themeColor="text1"/>
          <w:spacing w:val="-1"/>
          <w:sz w:val="24"/>
          <w:highlight w:val="none"/>
          <w:u w:val="single"/>
          <w14:textFill>
            <w14:solidFill>
              <w14:schemeClr w14:val="tx1"/>
            </w14:solidFill>
          </w14:textFill>
        </w:rPr>
        <w:t xml:space="preserve">   </w:t>
      </w:r>
      <w:r>
        <w:rPr>
          <w:rFonts w:hint="eastAsia" w:ascii="宋体" w:hAnsi="宋体" w:cs="宋体"/>
          <w:color w:val="000000" w:themeColor="text1"/>
          <w:spacing w:val="-1"/>
          <w:sz w:val="24"/>
          <w:highlight w:val="none"/>
          <w:u w:val="single"/>
          <w14:textFill>
            <w14:solidFill>
              <w14:schemeClr w14:val="tx1"/>
            </w14:solidFill>
          </w14:textFill>
        </w:rPr>
        <w:t>/</w:t>
      </w:r>
      <w:r>
        <w:rPr>
          <w:rFonts w:ascii="宋体" w:hAnsi="宋体" w:cs="宋体"/>
          <w:color w:val="000000" w:themeColor="text1"/>
          <w:spacing w:val="-1"/>
          <w:sz w:val="24"/>
          <w:highlight w:val="none"/>
          <w:u w:val="single"/>
          <w14:textFill>
            <w14:solidFill>
              <w14:schemeClr w14:val="tx1"/>
            </w14:solidFill>
          </w14:textFill>
        </w:rPr>
        <w:t xml:space="preserve">    </w:t>
      </w:r>
      <w:r>
        <w:rPr>
          <w:rFonts w:ascii="宋体" w:hAnsi="宋体" w:cs="宋体"/>
          <w:color w:val="000000" w:themeColor="text1"/>
          <w:spacing w:val="-1"/>
          <w:sz w:val="24"/>
          <w:highlight w:val="none"/>
          <w14:textFill>
            <w14:solidFill>
              <w14:schemeClr w14:val="tx1"/>
            </w14:solidFill>
          </w14:textFill>
        </w:rPr>
        <w:t>。</w:t>
      </w:r>
    </w:p>
    <w:p w14:paraId="382588B1">
      <w:pPr>
        <w:spacing w:before="78" w:line="360" w:lineRule="auto"/>
        <w:ind w:left="478"/>
        <w:outlineLvl w:val="3"/>
        <w:rPr>
          <w:rFonts w:ascii="宋体" w:hAnsi="宋体" w:cs="宋体"/>
          <w:b/>
          <w:bCs/>
          <w:color w:val="000000" w:themeColor="text1"/>
          <w:spacing w:val="-2"/>
          <w:sz w:val="24"/>
          <w:highlight w:val="none"/>
          <w14:textFill>
            <w14:solidFill>
              <w14:schemeClr w14:val="tx1"/>
            </w14:solidFill>
          </w14:textFill>
        </w:rPr>
      </w:pPr>
      <w:r>
        <w:rPr>
          <w:rFonts w:hint="eastAsia" w:ascii="宋体" w:hAnsi="宋体" w:cs="宋体"/>
          <w:b/>
          <w:bCs/>
          <w:color w:val="000000" w:themeColor="text1"/>
          <w:spacing w:val="-2"/>
          <w:sz w:val="24"/>
          <w:highlight w:val="none"/>
          <w14:textFill>
            <w14:solidFill>
              <w14:schemeClr w14:val="tx1"/>
            </w14:solidFill>
          </w14:textFill>
        </w:rPr>
        <w:t>7.3养护路段外交通</w:t>
      </w:r>
    </w:p>
    <w:p w14:paraId="48E4DFC3">
      <w:pPr>
        <w:tabs>
          <w:tab w:val="left" w:pos="1080"/>
        </w:tabs>
        <w:autoSpaceDE w:val="0"/>
        <w:autoSpaceDN w:val="0"/>
        <w:spacing w:line="360" w:lineRule="auto"/>
        <w:ind w:firstLine="480"/>
        <w:jc w:val="left"/>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（增加）7.3.3为保证道路交通安全及运输畅通，承包人应采取以下措施：</w:t>
      </w:r>
    </w:p>
    <w:p w14:paraId="5CC180FD">
      <w:pPr>
        <w:tabs>
          <w:tab w:val="left" w:pos="1080"/>
        </w:tabs>
        <w:autoSpaceDE w:val="0"/>
        <w:autoSpaceDN w:val="0"/>
        <w:spacing w:line="360" w:lineRule="auto"/>
        <w:ind w:firstLine="480"/>
        <w:jc w:val="left"/>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当施工期间，因施工原因造成原有道路暂时堵塞时，承包人必须与交通和公安部门协商，采取足够的措施引导、疏通交通。但不管何种原因，因其交通堵塞时间均不能超过30分钟。若堵塞交通超过上述规定的时间，将视为承包人违约按22.1款等相关条款处理，同时</w:t>
      </w:r>
      <w:r>
        <w:rPr>
          <w:rFonts w:hint="eastAsia" w:ascii="宋体" w:hAnsi="宋体" w:cs="宋体"/>
          <w:color w:val="000000" w:themeColor="text1"/>
          <w:spacing w:val="-1"/>
          <w:sz w:val="24"/>
          <w:highlight w:val="none"/>
          <w14:textFill>
            <w14:solidFill>
              <w14:schemeClr w14:val="tx1"/>
            </w14:solidFill>
          </w14:textFill>
        </w:rPr>
        <w:t>咨询人</w:t>
      </w:r>
      <w:r>
        <w:rPr>
          <w:rFonts w:hint="eastAsia" w:ascii="宋体" w:hAnsi="宋体" w:cs="宋体"/>
          <w:color w:val="000000" w:themeColor="text1"/>
          <w:kern w:val="0"/>
          <w:sz w:val="24"/>
          <w:highlight w:val="none"/>
          <w:lang w:val="zh-CN"/>
          <w14:textFill>
            <w14:solidFill>
              <w14:schemeClr w14:val="tx1"/>
            </w14:solidFill>
          </w14:textFill>
        </w:rPr>
        <w:t>可指令采取任何措施疏通，一切费用由承包人承担。</w:t>
      </w:r>
    </w:p>
    <w:p w14:paraId="4CE7EB36">
      <w:pPr>
        <w:tabs>
          <w:tab w:val="left" w:pos="1080"/>
        </w:tabs>
        <w:autoSpaceDE w:val="0"/>
        <w:autoSpaceDN w:val="0"/>
        <w:spacing w:line="360" w:lineRule="auto"/>
        <w:ind w:firstLine="480"/>
        <w:jc w:val="left"/>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7.3.4承包人应加强文明施工，保障道路通畅的管理</w:t>
      </w:r>
    </w:p>
    <w:p w14:paraId="4039B904">
      <w:pPr>
        <w:tabs>
          <w:tab w:val="left" w:pos="1080"/>
        </w:tabs>
        <w:autoSpaceDE w:val="0"/>
        <w:autoSpaceDN w:val="0"/>
        <w:spacing w:line="360" w:lineRule="auto"/>
        <w:ind w:firstLine="480"/>
        <w:jc w:val="left"/>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（1）承包人在施工期内应按国家、交通主管部门与公路管理机构有关文明施工，保障畅通的规定组织施工，对出现的交通堵塞无条件地采取措施进行疏通。</w:t>
      </w:r>
    </w:p>
    <w:p w14:paraId="33E9F161">
      <w:pPr>
        <w:autoSpaceDE w:val="0"/>
        <w:autoSpaceDN w:val="0"/>
        <w:spacing w:line="360" w:lineRule="auto"/>
        <w:ind w:firstLine="480"/>
        <w:jc w:val="left"/>
        <w:rPr>
          <w:color w:val="000000" w:themeColor="text1"/>
          <w:highlight w:val="none"/>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（2）对于旧路改建或养护大中修工程项目：破坏旧路必须作出交通维持与恢复路面通行条件方案并必须取得</w:t>
      </w:r>
      <w:r>
        <w:rPr>
          <w:rFonts w:hint="eastAsia" w:ascii="宋体" w:hAnsi="宋体" w:cs="宋体"/>
          <w:color w:val="000000" w:themeColor="text1"/>
          <w:kern w:val="0"/>
          <w:sz w:val="24"/>
          <w:highlight w:val="none"/>
          <w14:textFill>
            <w14:solidFill>
              <w14:schemeClr w14:val="tx1"/>
            </w14:solidFill>
          </w14:textFill>
        </w:rPr>
        <w:t>咨询总负责人</w:t>
      </w:r>
      <w:r>
        <w:rPr>
          <w:rFonts w:hint="eastAsia" w:ascii="宋体" w:hAnsi="宋体" w:cs="宋体"/>
          <w:color w:val="000000" w:themeColor="text1"/>
          <w:kern w:val="0"/>
          <w:sz w:val="24"/>
          <w:highlight w:val="none"/>
          <w:lang w:val="zh-CN"/>
          <w14:textFill>
            <w14:solidFill>
              <w14:schemeClr w14:val="tx1"/>
            </w14:solidFill>
          </w14:textFill>
        </w:rPr>
        <w:t>与项目建设办公室的书面批准，未经批准进行旧路开挖与填筑的，项目建设办公室和</w:t>
      </w:r>
      <w:r>
        <w:rPr>
          <w:rFonts w:hint="eastAsia" w:ascii="宋体" w:hAnsi="宋体" w:cs="宋体"/>
          <w:color w:val="000000" w:themeColor="text1"/>
          <w:kern w:val="0"/>
          <w:sz w:val="24"/>
          <w:highlight w:val="none"/>
          <w14:textFill>
            <w14:solidFill>
              <w14:schemeClr w14:val="tx1"/>
            </w14:solidFill>
          </w14:textFill>
        </w:rPr>
        <w:t>咨询总负责人</w:t>
      </w:r>
      <w:r>
        <w:rPr>
          <w:rFonts w:hint="eastAsia" w:ascii="宋体" w:hAnsi="宋体" w:cs="宋体"/>
          <w:color w:val="000000" w:themeColor="text1"/>
          <w:kern w:val="0"/>
          <w:sz w:val="24"/>
          <w:highlight w:val="none"/>
          <w:lang w:val="zh-CN"/>
          <w14:textFill>
            <w14:solidFill>
              <w14:schemeClr w14:val="tx1"/>
            </w14:solidFill>
          </w14:textFill>
        </w:rPr>
        <w:t>有权责令停工，并由承包人恢复原良好的通车条件，并需承担一切费用；不得在道路上堆放材料或占道施工影响交通；路基、路面施工应避免出现晴天扬尘，雨天打滑影响安全与交通和影响群众生活、生产的现象；维持交通的路基施工应保证表面平整，行车通畅。</w:t>
      </w:r>
    </w:p>
    <w:p w14:paraId="0BB6189E">
      <w:pPr>
        <w:spacing w:before="79" w:line="219" w:lineRule="auto"/>
        <w:ind w:left="487"/>
        <w:outlineLvl w:val="3"/>
        <w:rPr>
          <w:rFonts w:ascii="宋体" w:hAnsi="宋体" w:cs="宋体"/>
          <w:color w:val="000000" w:themeColor="text1"/>
          <w:sz w:val="24"/>
          <w:highlight w:val="none"/>
          <w14:textFill>
            <w14:solidFill>
              <w14:schemeClr w14:val="tx1"/>
            </w14:solidFill>
          </w14:textFill>
        </w:rPr>
      </w:pPr>
      <w:bookmarkStart w:id="210" w:name="bookmark88"/>
      <w:bookmarkEnd w:id="210"/>
      <w:bookmarkStart w:id="211" w:name="bookmark87"/>
      <w:bookmarkEnd w:id="211"/>
      <w:r>
        <w:rPr>
          <w:rFonts w:eastAsia="Times New Roman"/>
          <w:b/>
          <w:bCs/>
          <w:color w:val="000000" w:themeColor="text1"/>
          <w:spacing w:val="-2"/>
          <w:sz w:val="24"/>
          <w:highlight w:val="none"/>
          <w14:textFill>
            <w14:solidFill>
              <w14:schemeClr w14:val="tx1"/>
            </w14:solidFill>
          </w14:textFill>
        </w:rPr>
        <w:t>9.</w:t>
      </w:r>
      <w:r>
        <w:rPr>
          <w:rFonts w:ascii="宋体" w:hAnsi="宋体" w:cs="宋体"/>
          <w:b/>
          <w:bCs/>
          <w:color w:val="000000" w:themeColor="text1"/>
          <w:spacing w:val="-2"/>
          <w:sz w:val="24"/>
          <w:highlight w:val="none"/>
          <w14:textFill>
            <w14:solidFill>
              <w14:schemeClr w14:val="tx1"/>
            </w14:solidFill>
          </w14:textFill>
        </w:rPr>
        <w:t>养护作业安全、治安保卫和环境保护</w:t>
      </w:r>
    </w:p>
    <w:p w14:paraId="26F4886F">
      <w:pPr>
        <w:spacing w:before="114" w:line="219" w:lineRule="auto"/>
        <w:ind w:left="487"/>
        <w:outlineLvl w:val="4"/>
        <w:rPr>
          <w:rFonts w:ascii="宋体" w:hAnsi="宋体" w:cs="宋体"/>
          <w:color w:val="000000" w:themeColor="text1"/>
          <w:sz w:val="24"/>
          <w:highlight w:val="none"/>
          <w14:textFill>
            <w14:solidFill>
              <w14:schemeClr w14:val="tx1"/>
            </w14:solidFill>
          </w14:textFill>
        </w:rPr>
      </w:pPr>
      <w:r>
        <w:rPr>
          <w:rFonts w:eastAsia="Times New Roman"/>
          <w:b/>
          <w:bCs/>
          <w:color w:val="000000" w:themeColor="text1"/>
          <w:spacing w:val="-2"/>
          <w:sz w:val="24"/>
          <w:highlight w:val="none"/>
          <w14:textFill>
            <w14:solidFill>
              <w14:schemeClr w14:val="tx1"/>
            </w14:solidFill>
          </w14:textFill>
        </w:rPr>
        <w:t xml:space="preserve">9.2  </w:t>
      </w:r>
      <w:r>
        <w:rPr>
          <w:rFonts w:ascii="宋体" w:hAnsi="宋体" w:cs="宋体"/>
          <w:b/>
          <w:bCs/>
          <w:color w:val="000000" w:themeColor="text1"/>
          <w:spacing w:val="-2"/>
          <w:sz w:val="24"/>
          <w:highlight w:val="none"/>
          <w14:textFill>
            <w14:solidFill>
              <w14:schemeClr w14:val="tx1"/>
            </w14:solidFill>
          </w14:textFill>
        </w:rPr>
        <w:t>承包人的养护安全责任</w:t>
      </w:r>
    </w:p>
    <w:p w14:paraId="19205BB1">
      <w:pPr>
        <w:spacing w:before="114" w:line="360" w:lineRule="auto"/>
        <w:ind w:firstLine="474" w:firstLineChars="200"/>
        <w:outlineLvl w:val="4"/>
        <w:rPr>
          <w:color w:val="000000" w:themeColor="text1"/>
          <w:spacing w:val="2"/>
          <w:sz w:val="24"/>
          <w:highlight w:val="none"/>
          <w14:textFill>
            <w14:solidFill>
              <w14:schemeClr w14:val="tx1"/>
            </w14:solidFill>
          </w14:textFill>
        </w:rPr>
      </w:pPr>
      <w:r>
        <w:rPr>
          <w:rFonts w:hint="eastAsia" w:ascii="宋体" w:hAnsi="宋体" w:cs="宋体"/>
          <w:b/>
          <w:bCs/>
          <w:color w:val="000000" w:themeColor="text1"/>
          <w:spacing w:val="-2"/>
          <w:sz w:val="24"/>
          <w:highlight w:val="none"/>
          <w14:textFill>
            <w14:solidFill>
              <w14:schemeClr w14:val="tx1"/>
            </w14:solidFill>
          </w14:textFill>
        </w:rPr>
        <w:t>9.2.5</w:t>
      </w:r>
      <w:r>
        <w:rPr>
          <w:rFonts w:hint="eastAsia" w:ascii="宋体" w:hAnsi="宋体" w:cs="宋体"/>
          <w:color w:val="000000" w:themeColor="text1"/>
          <w:kern w:val="0"/>
          <w:sz w:val="24"/>
          <w:highlight w:val="none"/>
          <w:lang w:val="zh-CN"/>
          <w14:textFill>
            <w14:solidFill>
              <w14:schemeClr w14:val="tx1"/>
            </w14:solidFill>
          </w14:textFill>
        </w:rPr>
        <w:t>条款末增加：</w:t>
      </w:r>
      <w:r>
        <w:rPr>
          <w:rFonts w:hint="eastAsia" w:ascii="宋体" w:hAnsi="宋体" w:cs="宋体"/>
          <w:color w:val="000000" w:themeColor="text1"/>
          <w:kern w:val="0"/>
          <w:sz w:val="24"/>
          <w:highlight w:val="none"/>
          <w14:textFill>
            <w14:solidFill>
              <w14:schemeClr w14:val="tx1"/>
            </w14:solidFill>
          </w14:textFill>
        </w:rPr>
        <w:t>如</w:t>
      </w:r>
      <w:r>
        <w:rPr>
          <w:rFonts w:hint="eastAsia" w:ascii="宋体" w:hAnsi="宋体" w:cs="宋体"/>
          <w:color w:val="000000" w:themeColor="text1"/>
          <w:kern w:val="0"/>
          <w:sz w:val="24"/>
          <w:highlight w:val="none"/>
          <w:lang w:val="zh-CN"/>
          <w14:textFill>
            <w14:solidFill>
              <w14:schemeClr w14:val="tx1"/>
            </w14:solidFill>
          </w14:textFill>
        </w:rPr>
        <w:t>项目法人或</w:t>
      </w:r>
      <w:r>
        <w:rPr>
          <w:rFonts w:hint="eastAsia" w:ascii="宋体" w:hAnsi="宋体" w:cs="宋体"/>
          <w:color w:val="000000" w:themeColor="text1"/>
          <w:kern w:val="0"/>
          <w:sz w:val="24"/>
          <w:highlight w:val="none"/>
          <w14:textFill>
            <w14:solidFill>
              <w14:schemeClr w14:val="tx1"/>
            </w14:solidFill>
          </w14:textFill>
        </w:rPr>
        <w:t>咨询人</w:t>
      </w:r>
      <w:r>
        <w:rPr>
          <w:rFonts w:hint="eastAsia" w:ascii="宋体" w:hAnsi="宋体" w:cs="宋体"/>
          <w:color w:val="000000" w:themeColor="text1"/>
          <w:kern w:val="0"/>
          <w:sz w:val="24"/>
          <w:highlight w:val="none"/>
          <w:lang w:val="zh-CN"/>
          <w14:textFill>
            <w14:solidFill>
              <w14:schemeClr w14:val="tx1"/>
            </w14:solidFill>
          </w14:textFill>
        </w:rPr>
        <w:t>在日常检查中发现承包人用于危险路段、有安全隐患路段施工安全防护的设施和用具（含交通标志牌、安全危险告知牌、安全隐患告知牌等）不齐全或缺乏，并且承包人没有按规定及时添置安放的情况，则项目法人及</w:t>
      </w:r>
      <w:r>
        <w:rPr>
          <w:rFonts w:hint="eastAsia" w:ascii="宋体" w:hAnsi="宋体" w:cs="宋体"/>
          <w:color w:val="000000" w:themeColor="text1"/>
          <w:kern w:val="0"/>
          <w:sz w:val="24"/>
          <w:highlight w:val="none"/>
          <w14:textFill>
            <w14:solidFill>
              <w14:schemeClr w14:val="tx1"/>
            </w14:solidFill>
          </w14:textFill>
        </w:rPr>
        <w:t>咨询总负责人</w:t>
      </w:r>
      <w:r>
        <w:rPr>
          <w:rFonts w:hint="eastAsia" w:ascii="宋体" w:hAnsi="宋体" w:cs="宋体"/>
          <w:color w:val="000000" w:themeColor="text1"/>
          <w:kern w:val="0"/>
          <w:sz w:val="24"/>
          <w:highlight w:val="none"/>
          <w:lang w:val="zh-CN"/>
          <w14:textFill>
            <w14:solidFill>
              <w14:schemeClr w14:val="tx1"/>
            </w14:solidFill>
          </w14:textFill>
        </w:rPr>
        <w:t>应按照合同有关规定指令承包人纠正和整改，承包人拒不整改或整改不彻底的，项目法人有权进行直接购置施工安全施工安全防护设施和用具（含交通标志牌、安全危险告知牌、安全隐患告知牌等）并安排专人进行设置管理等安全管理工作，所发生的费用由承包人负责，并由项目法人在承包人合同价中计量扣除。</w:t>
      </w:r>
    </w:p>
    <w:p w14:paraId="056E50A4">
      <w:pPr>
        <w:spacing w:before="126" w:line="310" w:lineRule="auto"/>
        <w:ind w:left="10" w:right="61" w:firstLine="479"/>
        <w:rPr>
          <w:rFonts w:ascii="宋体" w:hAnsi="宋体" w:cs="宋体"/>
          <w:color w:val="000000" w:themeColor="text1"/>
          <w:spacing w:val="-1"/>
          <w:sz w:val="24"/>
          <w:highlight w:val="none"/>
          <w14:textFill>
            <w14:solidFill>
              <w14:schemeClr w14:val="tx1"/>
            </w14:solidFill>
          </w14:textFill>
        </w:rPr>
      </w:pPr>
      <w:r>
        <w:rPr>
          <w:rFonts w:eastAsia="Times New Roman"/>
          <w:color w:val="000000" w:themeColor="text1"/>
          <w:spacing w:val="2"/>
          <w:sz w:val="24"/>
          <w:highlight w:val="none"/>
          <w14:textFill>
            <w14:solidFill>
              <w14:schemeClr w14:val="tx1"/>
            </w14:solidFill>
          </w14:textFill>
        </w:rPr>
        <w:t xml:space="preserve">9.2.8  </w:t>
      </w:r>
      <w:r>
        <w:rPr>
          <w:rFonts w:ascii="宋体" w:hAnsi="宋体" w:cs="宋体"/>
          <w:color w:val="000000" w:themeColor="text1"/>
          <w:spacing w:val="2"/>
          <w:sz w:val="24"/>
          <w:highlight w:val="none"/>
          <w14:textFill>
            <w14:solidFill>
              <w14:schemeClr w14:val="tx1"/>
            </w14:solidFill>
          </w14:textFill>
        </w:rPr>
        <w:t>承包人在养护作业场地配置专职安全生产管理人</w:t>
      </w:r>
      <w:r>
        <w:rPr>
          <w:rFonts w:ascii="宋体" w:hAnsi="宋体" w:cs="宋体"/>
          <w:color w:val="000000" w:themeColor="text1"/>
          <w:spacing w:val="1"/>
          <w:sz w:val="24"/>
          <w:highlight w:val="none"/>
          <w14:textFill>
            <w14:solidFill>
              <w14:schemeClr w14:val="tx1"/>
            </w14:solidFill>
          </w14:textFill>
        </w:rPr>
        <w:t>员的数量：</w:t>
      </w:r>
      <w:r>
        <w:rPr>
          <w:rFonts w:ascii="宋体" w:hAnsi="宋体" w:cs="宋体"/>
          <w:color w:val="000000" w:themeColor="text1"/>
          <w:spacing w:val="1"/>
          <w:sz w:val="24"/>
          <w:highlight w:val="none"/>
          <w:u w:val="single"/>
          <w14:textFill>
            <w14:solidFill>
              <w14:schemeClr w14:val="tx1"/>
            </w14:solidFill>
          </w14:textFill>
        </w:rPr>
        <w:t xml:space="preserve"> </w:t>
      </w:r>
      <w:r>
        <w:rPr>
          <w:rFonts w:hint="eastAsia" w:ascii="宋体" w:hAnsi="宋体" w:cs="宋体"/>
          <w:color w:val="000000" w:themeColor="text1"/>
          <w:spacing w:val="1"/>
          <w:sz w:val="24"/>
          <w:highlight w:val="none"/>
          <w:u w:val="single"/>
          <w14:textFill>
            <w14:solidFill>
              <w14:schemeClr w14:val="tx1"/>
            </w14:solidFill>
          </w14:textFill>
        </w:rPr>
        <w:t>1</w:t>
      </w:r>
      <w:r>
        <w:rPr>
          <w:rFonts w:ascii="宋体" w:hAnsi="宋体" w:cs="宋体"/>
          <w:color w:val="000000" w:themeColor="text1"/>
          <w:spacing w:val="1"/>
          <w:sz w:val="24"/>
          <w:highlight w:val="none"/>
          <w:u w:val="single"/>
          <w14:textFill>
            <w14:solidFill>
              <w14:schemeClr w14:val="tx1"/>
            </w14:solidFill>
          </w14:textFill>
        </w:rPr>
        <w:t xml:space="preserve"> </w:t>
      </w:r>
      <w:r>
        <w:rPr>
          <w:rFonts w:ascii="宋体" w:hAnsi="宋体" w:cs="宋体"/>
          <w:color w:val="000000" w:themeColor="text1"/>
          <w:spacing w:val="-108"/>
          <w:sz w:val="24"/>
          <w:highlight w:val="none"/>
          <w14:textFill>
            <w14:solidFill>
              <w14:schemeClr w14:val="tx1"/>
            </w14:solidFill>
          </w14:textFill>
        </w:rPr>
        <w:t xml:space="preserve"> </w:t>
      </w:r>
      <w:r>
        <w:rPr>
          <w:rFonts w:ascii="宋体" w:hAnsi="宋体" w:cs="宋体"/>
          <w:color w:val="000000" w:themeColor="text1"/>
          <w:spacing w:val="1"/>
          <w:sz w:val="24"/>
          <w:highlight w:val="none"/>
          <w14:textFill>
            <w14:solidFill>
              <w14:schemeClr w14:val="tx1"/>
            </w14:solidFill>
          </w14:textFill>
        </w:rPr>
        <w:t>人；</w:t>
      </w:r>
      <w:r>
        <w:rPr>
          <w:rFonts w:ascii="宋体" w:hAnsi="宋体" w:cs="宋体"/>
          <w:color w:val="000000" w:themeColor="text1"/>
          <w:spacing w:val="-1"/>
          <w:sz w:val="24"/>
          <w:highlight w:val="none"/>
          <w14:textFill>
            <w14:solidFill>
              <w14:schemeClr w14:val="tx1"/>
            </w14:solidFill>
          </w14:textFill>
        </w:rPr>
        <w:t>专职安全生产管理人员应满足的条件：</w:t>
      </w:r>
      <w:r>
        <w:rPr>
          <w:rFonts w:ascii="宋体" w:hAnsi="宋体" w:cs="宋体"/>
          <w:color w:val="000000" w:themeColor="text1"/>
          <w:spacing w:val="-1"/>
          <w:sz w:val="24"/>
          <w:highlight w:val="none"/>
          <w:u w:val="single"/>
          <w14:textFill>
            <w14:solidFill>
              <w14:schemeClr w14:val="tx1"/>
            </w14:solidFill>
          </w14:textFill>
        </w:rPr>
        <w:t xml:space="preserve"> </w:t>
      </w:r>
      <w:r>
        <w:rPr>
          <w:rFonts w:hint="eastAsia" w:ascii="宋体" w:hAnsi="宋体" w:cs="宋体"/>
          <w:color w:val="000000" w:themeColor="text1"/>
          <w:spacing w:val="-1"/>
          <w:sz w:val="24"/>
          <w:highlight w:val="none"/>
          <w:u w:val="single"/>
          <w14:textFill>
            <w14:solidFill>
              <w14:schemeClr w14:val="tx1"/>
            </w14:solidFill>
          </w14:textFill>
        </w:rPr>
        <w:t>须具备交通主管部门颁发的有效安全生产“三类人员”C类证书</w:t>
      </w:r>
      <w:r>
        <w:rPr>
          <w:rFonts w:ascii="宋体" w:hAnsi="宋体" w:cs="宋体"/>
          <w:color w:val="000000" w:themeColor="text1"/>
          <w:spacing w:val="-1"/>
          <w:sz w:val="24"/>
          <w:highlight w:val="none"/>
          <w:u w:val="single"/>
          <w14:textFill>
            <w14:solidFill>
              <w14:schemeClr w14:val="tx1"/>
            </w14:solidFill>
          </w14:textFill>
        </w:rPr>
        <w:t xml:space="preserve"> </w:t>
      </w:r>
      <w:r>
        <w:rPr>
          <w:rFonts w:ascii="宋体" w:hAnsi="宋体" w:cs="宋体"/>
          <w:color w:val="000000" w:themeColor="text1"/>
          <w:spacing w:val="-1"/>
          <w:sz w:val="24"/>
          <w:highlight w:val="none"/>
          <w14:textFill>
            <w14:solidFill>
              <w14:schemeClr w14:val="tx1"/>
            </w14:solidFill>
          </w14:textFill>
        </w:rPr>
        <w:t>。</w:t>
      </w:r>
    </w:p>
    <w:p w14:paraId="0F1CA3CA">
      <w:pPr>
        <w:spacing w:before="126" w:line="310" w:lineRule="auto"/>
        <w:ind w:left="10" w:right="61" w:firstLine="479"/>
        <w:rPr>
          <w:color w:val="000000" w:themeColor="text1"/>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9.2.11（增加）</w:t>
      </w:r>
      <w:bookmarkStart w:id="212" w:name="OLE_LINK34"/>
      <w:bookmarkStart w:id="213" w:name="OLE_LINK35"/>
      <w:r>
        <w:rPr>
          <w:rFonts w:hint="eastAsia" w:ascii="宋体" w:hAnsi="宋体" w:cs="宋体"/>
          <w:color w:val="000000" w:themeColor="text1"/>
          <w:sz w:val="24"/>
          <w:highlight w:val="none"/>
          <w14:textFill>
            <w14:solidFill>
              <w14:schemeClr w14:val="tx1"/>
            </w14:solidFill>
          </w14:textFill>
        </w:rPr>
        <w:t>(1)</w:t>
      </w:r>
      <w:bookmarkEnd w:id="212"/>
      <w:bookmarkEnd w:id="213"/>
      <w:r>
        <w:rPr>
          <w:rFonts w:hint="eastAsia" w:ascii="宋体" w:hAnsi="宋体" w:cs="宋体"/>
          <w:color w:val="000000" w:themeColor="text1"/>
          <w:sz w:val="24"/>
          <w:highlight w:val="none"/>
          <w14:textFill>
            <w14:solidFill>
              <w14:schemeClr w14:val="tx1"/>
            </w14:solidFill>
          </w14:textFill>
        </w:rPr>
        <w:t>在运营公路上进行施工，必须严格执行国家颁布的《公路法》、《安全生产法》、《道路交通标志和标线》（GB5768-2022）、《公路工程施工安全技术规范》（JTGF90-2015）、《公路养护安全作业规程》（JTGH30-2015）要求等国家及交通部门颁发的有关安全生产的法律法规、标准及制度，并按照有关规定设置施工标志、标牌、水马等安全设施)，施工过程中承包人必须派专人维护各施工标志牌正常使用。路上作业施工人员应统一着桔红色反光标志服，招标文件要求的主要施工管理人员在现场时应挂戴统一制作的上岗牌做标识，每个施工点的现场应摆放由业主规定统一格式的施工公示牌。投标人报价时要充分考虑上述设施所需费用，以及施工、生活用水用电的费用，所需费用由投标人考虑在有关报价中，业主不单独进行计量支付。施工标志牌的制作应符合国家有关标准的规定，标志牌版面的反光膜应不低于国GB5768-2022《道路交通标志和标线》的三级标准。(2)工程使用的水泥、碎石、砂等材料不得堆放在公路上，工棚搭设应设置在公路行车看不到的位置，如确需搭棚看守机械设备的，应按业主规定的式样搭设；机械设备摆放不得有碍路容路貌和行车安全。(3)破除的公路废弃材料应集中废弃到弃土场。(4)大修工程施工时，应设置相应防护措施确保公路行人及车流的安全畅通，由于未采用防护措施或防护措施不力而造成公路上行人、车流受影响的，由承包人承担其责任。(5)承包人不得在公路路面上拌和公路材料。(6)承包人须将拟施工点报</w:t>
      </w:r>
      <w:r>
        <w:rPr>
          <w:rFonts w:hint="eastAsia" w:ascii="宋体" w:hAnsi="宋体" w:cs="宋体"/>
          <w:color w:val="000000" w:themeColor="text1"/>
          <w:spacing w:val="-1"/>
          <w:sz w:val="24"/>
          <w:highlight w:val="none"/>
          <w14:textFill>
            <w14:solidFill>
              <w14:schemeClr w14:val="tx1"/>
            </w14:solidFill>
          </w14:textFill>
        </w:rPr>
        <w:t>咨询人</w:t>
      </w:r>
      <w:r>
        <w:rPr>
          <w:rFonts w:hint="eastAsia" w:ascii="宋体" w:hAnsi="宋体" w:cs="宋体"/>
          <w:color w:val="000000" w:themeColor="text1"/>
          <w:sz w:val="24"/>
          <w:highlight w:val="none"/>
          <w14:textFill>
            <w14:solidFill>
              <w14:schemeClr w14:val="tx1"/>
            </w14:solidFill>
          </w14:textFill>
        </w:rPr>
        <w:t>审批后，方可进行施工。</w:t>
      </w:r>
    </w:p>
    <w:p w14:paraId="5F7CD872">
      <w:pPr>
        <w:spacing w:before="78" w:line="220" w:lineRule="auto"/>
        <w:ind w:left="495"/>
        <w:outlineLvl w:val="3"/>
        <w:rPr>
          <w:rFonts w:ascii="宋体" w:hAnsi="宋体" w:cs="宋体"/>
          <w:color w:val="000000" w:themeColor="text1"/>
          <w:sz w:val="24"/>
          <w:highlight w:val="none"/>
          <w14:textFill>
            <w14:solidFill>
              <w14:schemeClr w14:val="tx1"/>
            </w14:solidFill>
          </w14:textFill>
        </w:rPr>
      </w:pPr>
      <w:bookmarkStart w:id="214" w:name="bookmark90"/>
      <w:bookmarkEnd w:id="214"/>
      <w:bookmarkStart w:id="215" w:name="bookmark89"/>
      <w:bookmarkEnd w:id="215"/>
      <w:r>
        <w:rPr>
          <w:rFonts w:eastAsia="Times New Roman"/>
          <w:b/>
          <w:bCs/>
          <w:color w:val="000000" w:themeColor="text1"/>
          <w:spacing w:val="-3"/>
          <w:sz w:val="24"/>
          <w:highlight w:val="none"/>
          <w14:textFill>
            <w14:solidFill>
              <w14:schemeClr w14:val="tx1"/>
            </w14:solidFill>
          </w14:textFill>
        </w:rPr>
        <w:t xml:space="preserve">10.  </w:t>
      </w:r>
      <w:r>
        <w:rPr>
          <w:rFonts w:ascii="宋体" w:hAnsi="宋体" w:cs="宋体"/>
          <w:b/>
          <w:bCs/>
          <w:color w:val="000000" w:themeColor="text1"/>
          <w:spacing w:val="-3"/>
          <w:sz w:val="24"/>
          <w:highlight w:val="none"/>
          <w14:textFill>
            <w14:solidFill>
              <w14:schemeClr w14:val="tx1"/>
            </w14:solidFill>
          </w14:textFill>
        </w:rPr>
        <w:t>进度计划</w:t>
      </w:r>
    </w:p>
    <w:p w14:paraId="12CC850C">
      <w:pPr>
        <w:spacing w:before="115" w:line="220" w:lineRule="auto"/>
        <w:ind w:left="495"/>
        <w:outlineLvl w:val="4"/>
        <w:rPr>
          <w:rFonts w:ascii="宋体" w:hAnsi="宋体" w:cs="宋体"/>
          <w:color w:val="000000" w:themeColor="text1"/>
          <w:sz w:val="24"/>
          <w:highlight w:val="none"/>
          <w14:textFill>
            <w14:solidFill>
              <w14:schemeClr w14:val="tx1"/>
            </w14:solidFill>
          </w14:textFill>
        </w:rPr>
      </w:pPr>
      <w:r>
        <w:rPr>
          <w:rFonts w:eastAsia="Times New Roman"/>
          <w:b/>
          <w:bCs/>
          <w:color w:val="000000" w:themeColor="text1"/>
          <w:spacing w:val="-3"/>
          <w:sz w:val="24"/>
          <w:highlight w:val="none"/>
          <w14:textFill>
            <w14:solidFill>
              <w14:schemeClr w14:val="tx1"/>
            </w14:solidFill>
          </w14:textFill>
        </w:rPr>
        <w:t xml:space="preserve">10.1  </w:t>
      </w:r>
      <w:r>
        <w:rPr>
          <w:rFonts w:ascii="宋体" w:hAnsi="宋体" w:cs="宋体"/>
          <w:b/>
          <w:bCs/>
          <w:color w:val="000000" w:themeColor="text1"/>
          <w:spacing w:val="-3"/>
          <w:sz w:val="24"/>
          <w:highlight w:val="none"/>
          <w14:textFill>
            <w14:solidFill>
              <w14:schemeClr w14:val="tx1"/>
            </w14:solidFill>
          </w14:textFill>
        </w:rPr>
        <w:t>合同进度计划</w:t>
      </w:r>
    </w:p>
    <w:p w14:paraId="33E15E42">
      <w:pPr>
        <w:spacing w:before="123" w:line="360" w:lineRule="auto"/>
        <w:ind w:firstLine="480" w:firstLineChars="200"/>
        <w:rPr>
          <w:rFonts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承包人向咨询人报送的养护作业方案内容：</w:t>
      </w:r>
      <w:r>
        <w:rPr>
          <w:rFonts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u w:val="single"/>
          <w14:textFill>
            <w14:solidFill>
              <w14:schemeClr w14:val="tx1"/>
            </w14:solidFill>
          </w14:textFill>
        </w:rPr>
        <w:t>施工组织、施工期限、主要工程施工方法、交通组织、工期、进度及措施</w:t>
      </w:r>
      <w:r>
        <w:rPr>
          <w:rFonts w:ascii="宋体" w:hAnsi="宋体" w:cs="宋体"/>
          <w:color w:val="000000" w:themeColor="text1"/>
          <w:spacing w:val="-1"/>
          <w:sz w:val="24"/>
          <w:highlight w:val="none"/>
          <w:u w:val="single"/>
          <w14:textFill>
            <w14:solidFill>
              <w14:schemeClr w14:val="tx1"/>
            </w14:solidFill>
          </w14:textFill>
        </w:rPr>
        <w:t xml:space="preserve"> </w:t>
      </w:r>
      <w:r>
        <w:rPr>
          <w:rFonts w:ascii="宋体" w:hAnsi="宋体" w:cs="宋体"/>
          <w:color w:val="000000" w:themeColor="text1"/>
          <w:spacing w:val="-1"/>
          <w:sz w:val="24"/>
          <w:highlight w:val="none"/>
          <w14:textFill>
            <w14:solidFill>
              <w14:schemeClr w14:val="tx1"/>
            </w14:solidFill>
          </w14:textFill>
        </w:rPr>
        <w:t>。</w:t>
      </w:r>
    </w:p>
    <w:p w14:paraId="477DF393">
      <w:pPr>
        <w:spacing w:before="106" w:line="219" w:lineRule="auto"/>
        <w:ind w:left="495"/>
        <w:outlineLvl w:val="4"/>
        <w:rPr>
          <w:rFonts w:ascii="宋体" w:hAnsi="宋体" w:cs="宋体"/>
          <w:color w:val="000000" w:themeColor="text1"/>
          <w:sz w:val="24"/>
          <w:highlight w:val="none"/>
          <w14:textFill>
            <w14:solidFill>
              <w14:schemeClr w14:val="tx1"/>
            </w14:solidFill>
          </w14:textFill>
        </w:rPr>
      </w:pPr>
      <w:r>
        <w:rPr>
          <w:rFonts w:eastAsia="Times New Roman"/>
          <w:b/>
          <w:bCs/>
          <w:color w:val="000000" w:themeColor="text1"/>
          <w:spacing w:val="-3"/>
          <w:sz w:val="24"/>
          <w:highlight w:val="none"/>
          <w14:textFill>
            <w14:solidFill>
              <w14:schemeClr w14:val="tx1"/>
            </w14:solidFill>
          </w14:textFill>
        </w:rPr>
        <w:t xml:space="preserve">10.2  </w:t>
      </w:r>
      <w:r>
        <w:rPr>
          <w:rFonts w:ascii="宋体" w:hAnsi="宋体" w:cs="宋体"/>
          <w:b/>
          <w:bCs/>
          <w:color w:val="000000" w:themeColor="text1"/>
          <w:spacing w:val="-3"/>
          <w:sz w:val="24"/>
          <w:highlight w:val="none"/>
          <w14:textFill>
            <w14:solidFill>
              <w14:schemeClr w14:val="tx1"/>
            </w14:solidFill>
          </w14:textFill>
        </w:rPr>
        <w:t>合同进度计划的修订</w:t>
      </w:r>
    </w:p>
    <w:p w14:paraId="7581DA76">
      <w:pPr>
        <w:spacing w:before="125" w:line="360" w:lineRule="auto"/>
        <w:ind w:firstLine="476" w:firstLineChars="200"/>
        <w:rPr>
          <w:rFonts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1"/>
          <w:sz w:val="24"/>
          <w:highlight w:val="none"/>
          <w14:textFill>
            <w14:solidFill>
              <w14:schemeClr w14:val="tx1"/>
            </w14:solidFill>
          </w14:textFill>
        </w:rPr>
        <w:t>承包人向咨询人提交修订合同进度计划的申请报告的期限为：</w:t>
      </w:r>
      <w:bookmarkStart w:id="216" w:name="OLE_LINK82"/>
      <w:bookmarkStart w:id="217" w:name="OLE_LINK81"/>
      <w:r>
        <w:rPr>
          <w:rFonts w:hint="eastAsia" w:ascii="宋体" w:hAnsi="宋体" w:cs="宋体"/>
          <w:color w:val="000000" w:themeColor="text1"/>
          <w:sz w:val="24"/>
          <w:highlight w:val="none"/>
          <w:u w:val="single"/>
          <w:lang w:val="zh-CN"/>
          <w14:textFill>
            <w14:solidFill>
              <w14:schemeClr w14:val="tx1"/>
            </w14:solidFill>
          </w14:textFill>
        </w:rPr>
        <w:t>实际进度发生滞后的当月 25日前</w:t>
      </w:r>
      <w:r>
        <w:rPr>
          <w:rFonts w:ascii="宋体" w:hAnsi="宋体" w:cs="宋体"/>
          <w:color w:val="000000" w:themeColor="text1"/>
          <w:spacing w:val="-1"/>
          <w:sz w:val="24"/>
          <w:highlight w:val="none"/>
          <w14:textFill>
            <w14:solidFill>
              <w14:schemeClr w14:val="tx1"/>
            </w14:solidFill>
          </w14:textFill>
        </w:rPr>
        <w:t>。</w:t>
      </w:r>
      <w:bookmarkEnd w:id="216"/>
      <w:bookmarkEnd w:id="217"/>
    </w:p>
    <w:p w14:paraId="68A4F8DC">
      <w:pPr>
        <w:spacing w:before="116" w:line="360" w:lineRule="auto"/>
        <w:ind w:firstLine="476" w:firstLineChars="200"/>
        <w:rPr>
          <w:rFonts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1"/>
          <w:sz w:val="24"/>
          <w:highlight w:val="none"/>
          <w14:textFill>
            <w14:solidFill>
              <w14:schemeClr w14:val="tx1"/>
            </w14:solidFill>
          </w14:textFill>
        </w:rPr>
        <w:t>咨询人批复承包人修订的合同进度计划的期限为：</w:t>
      </w:r>
      <w:r>
        <w:rPr>
          <w:rFonts w:hint="eastAsia" w:ascii="宋体" w:hAnsi="宋体" w:cs="宋体"/>
          <w:color w:val="000000" w:themeColor="text1"/>
          <w:spacing w:val="-1"/>
          <w:sz w:val="24"/>
          <w:highlight w:val="none"/>
          <w:u w:val="single"/>
          <w:lang w:val="zh-CN"/>
          <w14:textFill>
            <w14:solidFill>
              <w14:schemeClr w14:val="tx1"/>
            </w14:solidFill>
          </w14:textFill>
        </w:rPr>
        <w:t>收到修订合同进度计划后</w:t>
      </w:r>
      <w:r>
        <w:rPr>
          <w:rFonts w:ascii="宋体" w:hAnsi="宋体" w:cs="宋体"/>
          <w:color w:val="000000" w:themeColor="text1"/>
          <w:spacing w:val="-1"/>
          <w:sz w:val="24"/>
          <w:highlight w:val="none"/>
          <w:u w:val="single"/>
          <w:lang w:val="zh-CN"/>
          <w14:textFill>
            <w14:solidFill>
              <w14:schemeClr w14:val="tx1"/>
            </w14:solidFill>
          </w14:textFill>
        </w:rPr>
        <w:t>14</w:t>
      </w:r>
      <w:r>
        <w:rPr>
          <w:rFonts w:hint="eastAsia" w:ascii="宋体" w:hAnsi="宋体" w:cs="宋体"/>
          <w:color w:val="000000" w:themeColor="text1"/>
          <w:spacing w:val="-1"/>
          <w:sz w:val="24"/>
          <w:highlight w:val="none"/>
          <w:u w:val="single"/>
          <w:lang w:val="zh-CN"/>
          <w14:textFill>
            <w14:solidFill>
              <w14:schemeClr w14:val="tx1"/>
            </w14:solidFill>
          </w14:textFill>
        </w:rPr>
        <w:t>天内</w:t>
      </w:r>
      <w:r>
        <w:rPr>
          <w:rFonts w:ascii="宋体" w:hAnsi="宋体" w:cs="宋体"/>
          <w:color w:val="000000" w:themeColor="text1"/>
          <w:spacing w:val="-2"/>
          <w:sz w:val="24"/>
          <w:highlight w:val="none"/>
          <w14:textFill>
            <w14:solidFill>
              <w14:schemeClr w14:val="tx1"/>
            </w14:solidFill>
          </w14:textFill>
        </w:rPr>
        <w:t>。</w:t>
      </w:r>
    </w:p>
    <w:p w14:paraId="1AE59993">
      <w:pPr>
        <w:spacing w:before="106" w:line="219" w:lineRule="auto"/>
        <w:ind w:left="495"/>
        <w:outlineLvl w:val="4"/>
        <w:rPr>
          <w:rFonts w:ascii="宋体" w:hAnsi="宋体" w:cs="宋体"/>
          <w:color w:val="000000" w:themeColor="text1"/>
          <w:sz w:val="24"/>
          <w:highlight w:val="none"/>
          <w14:textFill>
            <w14:solidFill>
              <w14:schemeClr w14:val="tx1"/>
            </w14:solidFill>
          </w14:textFill>
        </w:rPr>
      </w:pPr>
      <w:bookmarkStart w:id="218" w:name="bookmark252"/>
      <w:bookmarkEnd w:id="218"/>
      <w:r>
        <w:rPr>
          <w:rFonts w:eastAsia="Times New Roman"/>
          <w:b/>
          <w:bCs/>
          <w:color w:val="000000" w:themeColor="text1"/>
          <w:spacing w:val="-3"/>
          <w:sz w:val="24"/>
          <w:highlight w:val="none"/>
          <w14:textFill>
            <w14:solidFill>
              <w14:schemeClr w14:val="tx1"/>
            </w14:solidFill>
          </w14:textFill>
        </w:rPr>
        <w:t xml:space="preserve">10.3  </w:t>
      </w:r>
      <w:r>
        <w:rPr>
          <w:rFonts w:ascii="宋体" w:hAnsi="宋体" w:cs="宋体"/>
          <w:b/>
          <w:bCs/>
          <w:color w:val="000000" w:themeColor="text1"/>
          <w:spacing w:val="-3"/>
          <w:sz w:val="24"/>
          <w:highlight w:val="none"/>
          <w14:textFill>
            <w14:solidFill>
              <w14:schemeClr w14:val="tx1"/>
            </w14:solidFill>
          </w14:textFill>
        </w:rPr>
        <w:t>年度作业计划</w:t>
      </w:r>
    </w:p>
    <w:p w14:paraId="480EC715">
      <w:pPr>
        <w:spacing w:before="126" w:line="360" w:lineRule="auto"/>
        <w:ind w:firstLine="476" w:firstLineChars="200"/>
        <w:rPr>
          <w:rFonts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1"/>
          <w:sz w:val="24"/>
          <w:highlight w:val="none"/>
          <w14:textFill>
            <w14:solidFill>
              <w14:schemeClr w14:val="tx1"/>
            </w14:solidFill>
          </w14:textFill>
        </w:rPr>
        <w:t>承包人向咨询人提交下一年度的养护作业计划的内容</w:t>
      </w:r>
      <w:r>
        <w:rPr>
          <w:rFonts w:ascii="宋体" w:hAnsi="宋体" w:cs="宋体"/>
          <w:color w:val="000000" w:themeColor="text1"/>
          <w:spacing w:val="6"/>
          <w:sz w:val="24"/>
          <w:highlight w:val="none"/>
          <w14:textFill>
            <w14:solidFill>
              <w14:schemeClr w14:val="tx1"/>
            </w14:solidFill>
          </w14:textFill>
        </w:rPr>
        <w:t>：</w:t>
      </w:r>
      <w:r>
        <w:rPr>
          <w:rFonts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u w:val="single"/>
          <w:lang w:val="zh-CN"/>
          <w14:textFill>
            <w14:solidFill>
              <w14:schemeClr w14:val="tx1"/>
            </w14:solidFill>
          </w14:textFill>
        </w:rPr>
        <w:t>包括本年度估计完成的和下一年度预计完成的分项工程数量和工作量，以及为实施此计划将采取的措施</w:t>
      </w:r>
      <w:r>
        <w:rPr>
          <w:rFonts w:ascii="宋体" w:hAnsi="宋体" w:cs="宋体"/>
          <w:color w:val="000000" w:themeColor="text1"/>
          <w:sz w:val="24"/>
          <w:highlight w:val="none"/>
          <w:u w:val="single"/>
          <w14:textFill>
            <w14:solidFill>
              <w14:schemeClr w14:val="tx1"/>
            </w14:solidFill>
          </w14:textFill>
        </w:rPr>
        <w:t xml:space="preserve"> </w:t>
      </w:r>
      <w:r>
        <w:rPr>
          <w:rFonts w:ascii="宋体" w:hAnsi="宋体" w:cs="宋体"/>
          <w:color w:val="000000" w:themeColor="text1"/>
          <w:spacing w:val="6"/>
          <w:sz w:val="24"/>
          <w:highlight w:val="none"/>
          <w14:textFill>
            <w14:solidFill>
              <w14:schemeClr w14:val="tx1"/>
            </w14:solidFill>
          </w14:textFill>
        </w:rPr>
        <w:t>；</w:t>
      </w:r>
    </w:p>
    <w:p w14:paraId="34C21560">
      <w:pPr>
        <w:spacing w:before="114" w:line="360" w:lineRule="auto"/>
        <w:ind w:left="489"/>
        <w:rPr>
          <w:color w:val="000000" w:themeColor="text1"/>
          <w:highlight w:val="none"/>
          <w14:textFill>
            <w14:solidFill>
              <w14:schemeClr w14:val="tx1"/>
            </w14:solidFill>
          </w14:textFill>
        </w:rPr>
      </w:pPr>
      <w:r>
        <w:rPr>
          <w:rFonts w:ascii="宋体" w:hAnsi="宋体" w:cs="宋体"/>
          <w:color w:val="000000" w:themeColor="text1"/>
          <w:spacing w:val="-1"/>
          <w:sz w:val="24"/>
          <w:highlight w:val="none"/>
          <w14:textFill>
            <w14:solidFill>
              <w14:schemeClr w14:val="tx1"/>
            </w14:solidFill>
          </w14:textFill>
        </w:rPr>
        <w:t>承包人向咨询人提交下一年度的养护作业计划的期限为：</w:t>
      </w:r>
      <w:r>
        <w:rPr>
          <w:rFonts w:hint="eastAsia" w:ascii="宋体" w:hAnsi="宋体" w:cs="宋体"/>
          <w:color w:val="000000" w:themeColor="text1"/>
          <w:spacing w:val="-1"/>
          <w:sz w:val="24"/>
          <w:highlight w:val="none"/>
          <w:u w:val="single"/>
          <w:lang w:val="zh-CN"/>
          <w14:textFill>
            <w14:solidFill>
              <w14:schemeClr w14:val="tx1"/>
            </w14:solidFill>
          </w14:textFill>
        </w:rPr>
        <w:t>在每年11月底前</w:t>
      </w:r>
      <w:r>
        <w:rPr>
          <w:rFonts w:ascii="宋体" w:hAnsi="宋体" w:cs="宋体"/>
          <w:color w:val="000000" w:themeColor="text1"/>
          <w:spacing w:val="-1"/>
          <w:sz w:val="24"/>
          <w:highlight w:val="none"/>
          <w14:textFill>
            <w14:solidFill>
              <w14:schemeClr w14:val="tx1"/>
            </w14:solidFill>
          </w14:textFill>
        </w:rPr>
        <w:t>。</w:t>
      </w:r>
    </w:p>
    <w:p w14:paraId="40484366">
      <w:pPr>
        <w:spacing w:before="78" w:line="221" w:lineRule="auto"/>
        <w:ind w:left="485"/>
        <w:outlineLvl w:val="3"/>
        <w:rPr>
          <w:rFonts w:ascii="宋体" w:hAnsi="宋体" w:cs="宋体"/>
          <w:color w:val="000000" w:themeColor="text1"/>
          <w:sz w:val="24"/>
          <w:highlight w:val="none"/>
          <w14:textFill>
            <w14:solidFill>
              <w14:schemeClr w14:val="tx1"/>
            </w14:solidFill>
          </w14:textFill>
        </w:rPr>
      </w:pPr>
      <w:r>
        <w:rPr>
          <w:rFonts w:eastAsia="Times New Roman"/>
          <w:b/>
          <w:bCs/>
          <w:color w:val="000000" w:themeColor="text1"/>
          <w:spacing w:val="-3"/>
          <w:sz w:val="24"/>
          <w:highlight w:val="none"/>
          <w14:textFill>
            <w14:solidFill>
              <w14:schemeClr w14:val="tx1"/>
            </w14:solidFill>
          </w14:textFill>
        </w:rPr>
        <w:t xml:space="preserve">11.  </w:t>
      </w:r>
      <w:r>
        <w:rPr>
          <w:rFonts w:ascii="宋体" w:hAnsi="宋体" w:cs="宋体"/>
          <w:b/>
          <w:bCs/>
          <w:color w:val="000000" w:themeColor="text1"/>
          <w:spacing w:val="-3"/>
          <w:sz w:val="24"/>
          <w:highlight w:val="none"/>
          <w14:textFill>
            <w14:solidFill>
              <w14:schemeClr w14:val="tx1"/>
            </w14:solidFill>
          </w14:textFill>
        </w:rPr>
        <w:t>开工和交工</w:t>
      </w:r>
    </w:p>
    <w:p w14:paraId="2DC110F4">
      <w:pPr>
        <w:spacing w:before="35" w:line="219" w:lineRule="auto"/>
        <w:ind w:left="485"/>
        <w:outlineLvl w:val="4"/>
        <w:rPr>
          <w:rFonts w:ascii="宋体" w:hAnsi="宋体" w:cs="宋体"/>
          <w:color w:val="000000" w:themeColor="text1"/>
          <w:sz w:val="24"/>
          <w:highlight w:val="none"/>
          <w14:textFill>
            <w14:solidFill>
              <w14:schemeClr w14:val="tx1"/>
            </w14:solidFill>
          </w14:textFill>
        </w:rPr>
      </w:pPr>
      <w:r>
        <w:rPr>
          <w:rFonts w:eastAsia="Times New Roman"/>
          <w:b/>
          <w:bCs/>
          <w:color w:val="000000" w:themeColor="text1"/>
          <w:spacing w:val="-3"/>
          <w:sz w:val="24"/>
          <w:highlight w:val="none"/>
          <w14:textFill>
            <w14:solidFill>
              <w14:schemeClr w14:val="tx1"/>
            </w14:solidFill>
          </w14:textFill>
        </w:rPr>
        <w:t xml:space="preserve">11.4 </w:t>
      </w:r>
      <w:r>
        <w:rPr>
          <w:rFonts w:ascii="宋体" w:hAnsi="宋体" w:cs="宋体"/>
          <w:b/>
          <w:bCs/>
          <w:color w:val="000000" w:themeColor="text1"/>
          <w:spacing w:val="-3"/>
          <w:sz w:val="24"/>
          <w:highlight w:val="none"/>
          <w14:textFill>
            <w14:solidFill>
              <w14:schemeClr w14:val="tx1"/>
            </w14:solidFill>
          </w14:textFill>
        </w:rPr>
        <w:t>异常恶劣的气候条件</w:t>
      </w:r>
    </w:p>
    <w:p w14:paraId="2ACD408F">
      <w:pPr>
        <w:spacing w:before="269" w:line="360" w:lineRule="auto"/>
        <w:ind w:firstLine="476" w:firstLineChars="200"/>
        <w:rPr>
          <w:color w:val="000000" w:themeColor="text1"/>
          <w:highlight w:val="none"/>
          <w14:textFill>
            <w14:solidFill>
              <w14:schemeClr w14:val="tx1"/>
            </w14:solidFill>
          </w14:textFill>
        </w:rPr>
      </w:pPr>
      <w:r>
        <w:rPr>
          <w:rFonts w:ascii="宋体" w:hAnsi="宋体" w:cs="宋体"/>
          <w:color w:val="000000" w:themeColor="text1"/>
          <w:spacing w:val="-1"/>
          <w:sz w:val="24"/>
          <w:highlight w:val="none"/>
          <w14:textFill>
            <w14:solidFill>
              <w14:schemeClr w14:val="tx1"/>
            </w14:solidFill>
          </w14:textFill>
        </w:rPr>
        <w:t>异常恶劣的气候条件的范围：</w:t>
      </w:r>
      <w:r>
        <w:rPr>
          <w:rFonts w:ascii="宋体" w:hAnsi="宋体" w:cs="宋体"/>
          <w:color w:val="000000" w:themeColor="text1"/>
          <w:spacing w:val="-1"/>
          <w:sz w:val="24"/>
          <w:highlight w:val="none"/>
          <w:u w:val="single"/>
          <w14:textFill>
            <w14:solidFill>
              <w14:schemeClr w14:val="tx1"/>
            </w14:solidFill>
          </w14:textFill>
        </w:rPr>
        <w:t xml:space="preserve">指发生烈度7度（含7度）以上地震、龙卷风、施工场地受淹超过项目法人提供的设计图纸指明的设计洪水水位引起的延误的情况 </w:t>
      </w:r>
      <w:r>
        <w:rPr>
          <w:rFonts w:ascii="宋体" w:hAnsi="宋体" w:cs="宋体"/>
          <w:color w:val="000000" w:themeColor="text1"/>
          <w:spacing w:val="-1"/>
          <w:sz w:val="24"/>
          <w:highlight w:val="none"/>
          <w14:textFill>
            <w14:solidFill>
              <w14:schemeClr w14:val="tx1"/>
            </w14:solidFill>
          </w14:textFill>
        </w:rPr>
        <w:t>。</w:t>
      </w:r>
    </w:p>
    <w:p w14:paraId="0660CD03">
      <w:pPr>
        <w:spacing w:before="78" w:line="219" w:lineRule="auto"/>
        <w:ind w:left="485"/>
        <w:outlineLvl w:val="3"/>
        <w:rPr>
          <w:rFonts w:ascii="宋体" w:hAnsi="宋体" w:cs="宋体"/>
          <w:color w:val="000000" w:themeColor="text1"/>
          <w:sz w:val="24"/>
          <w:highlight w:val="none"/>
          <w14:textFill>
            <w14:solidFill>
              <w14:schemeClr w14:val="tx1"/>
            </w14:solidFill>
          </w14:textFill>
        </w:rPr>
      </w:pPr>
      <w:bookmarkStart w:id="219" w:name="bookmark93"/>
      <w:bookmarkEnd w:id="219"/>
      <w:bookmarkStart w:id="220" w:name="bookmark94"/>
      <w:bookmarkEnd w:id="220"/>
      <w:r>
        <w:rPr>
          <w:rFonts w:eastAsia="Times New Roman"/>
          <w:b/>
          <w:bCs/>
          <w:color w:val="000000" w:themeColor="text1"/>
          <w:spacing w:val="-5"/>
          <w:sz w:val="24"/>
          <w:highlight w:val="none"/>
          <w14:textFill>
            <w14:solidFill>
              <w14:schemeClr w14:val="tx1"/>
            </w14:solidFill>
          </w14:textFill>
        </w:rPr>
        <w:t>12.</w:t>
      </w:r>
      <w:r>
        <w:rPr>
          <w:rFonts w:eastAsia="Times New Roman"/>
          <w:b/>
          <w:bCs/>
          <w:color w:val="000000" w:themeColor="text1"/>
          <w:spacing w:val="8"/>
          <w:sz w:val="24"/>
          <w:highlight w:val="none"/>
          <w14:textFill>
            <w14:solidFill>
              <w14:schemeClr w14:val="tx1"/>
            </w14:solidFill>
          </w14:textFill>
        </w:rPr>
        <w:t xml:space="preserve">  </w:t>
      </w:r>
      <w:r>
        <w:rPr>
          <w:rFonts w:ascii="宋体" w:hAnsi="宋体" w:cs="宋体"/>
          <w:b/>
          <w:bCs/>
          <w:color w:val="000000" w:themeColor="text1"/>
          <w:spacing w:val="-5"/>
          <w:sz w:val="24"/>
          <w:highlight w:val="none"/>
          <w14:textFill>
            <w14:solidFill>
              <w14:schemeClr w14:val="tx1"/>
            </w14:solidFill>
          </w14:textFill>
        </w:rPr>
        <w:t>暂停养护作业</w:t>
      </w:r>
    </w:p>
    <w:p w14:paraId="6297626B">
      <w:pPr>
        <w:spacing w:before="116" w:line="219" w:lineRule="auto"/>
        <w:ind w:left="485"/>
        <w:outlineLvl w:val="4"/>
        <w:rPr>
          <w:rFonts w:ascii="宋体" w:hAnsi="宋体" w:cs="宋体"/>
          <w:color w:val="000000" w:themeColor="text1"/>
          <w:sz w:val="24"/>
          <w:highlight w:val="none"/>
          <w14:textFill>
            <w14:solidFill>
              <w14:schemeClr w14:val="tx1"/>
            </w14:solidFill>
          </w14:textFill>
        </w:rPr>
      </w:pPr>
      <w:r>
        <w:rPr>
          <w:rFonts w:eastAsia="Times New Roman"/>
          <w:b/>
          <w:bCs/>
          <w:color w:val="000000" w:themeColor="text1"/>
          <w:spacing w:val="-3"/>
          <w:sz w:val="24"/>
          <w:highlight w:val="none"/>
          <w14:textFill>
            <w14:solidFill>
              <w14:schemeClr w14:val="tx1"/>
            </w14:solidFill>
          </w14:textFill>
        </w:rPr>
        <w:t xml:space="preserve">12.1  </w:t>
      </w:r>
      <w:r>
        <w:rPr>
          <w:rFonts w:ascii="宋体" w:hAnsi="宋体" w:cs="宋体"/>
          <w:b/>
          <w:bCs/>
          <w:color w:val="000000" w:themeColor="text1"/>
          <w:spacing w:val="-3"/>
          <w:sz w:val="24"/>
          <w:highlight w:val="none"/>
          <w14:textFill>
            <w14:solidFill>
              <w14:schemeClr w14:val="tx1"/>
            </w14:solidFill>
          </w14:textFill>
        </w:rPr>
        <w:t>承包人暂停养护作业的责任</w:t>
      </w:r>
    </w:p>
    <w:p w14:paraId="4E542959">
      <w:pPr>
        <w:spacing w:before="125" w:line="219" w:lineRule="auto"/>
        <w:ind w:left="497"/>
        <w:rPr>
          <w:color w:val="000000" w:themeColor="text1"/>
          <w:highlight w:val="none"/>
          <w14:textFill>
            <w14:solidFill>
              <w14:schemeClr w14:val="tx1"/>
            </w14:solidFill>
          </w14:textFill>
        </w:rPr>
      </w:pPr>
      <w:r>
        <w:rPr>
          <w:rFonts w:eastAsia="Times New Roman"/>
          <w:color w:val="000000" w:themeColor="text1"/>
          <w:spacing w:val="-1"/>
          <w:sz w:val="24"/>
          <w:highlight w:val="none"/>
          <w14:textFill>
            <w14:solidFill>
              <w14:schemeClr w14:val="tx1"/>
            </w14:solidFill>
          </w14:textFill>
        </w:rPr>
        <w:t xml:space="preserve">12.1  </w:t>
      </w:r>
      <w:r>
        <w:rPr>
          <w:rFonts w:ascii="宋体" w:hAnsi="宋体" w:cs="宋体"/>
          <w:color w:val="000000" w:themeColor="text1"/>
          <w:spacing w:val="-1"/>
          <w:sz w:val="24"/>
          <w:highlight w:val="none"/>
          <w14:textFill>
            <w14:solidFill>
              <w14:schemeClr w14:val="tx1"/>
            </w14:solidFill>
          </w14:textFill>
        </w:rPr>
        <w:t>（</w:t>
      </w:r>
      <w:r>
        <w:rPr>
          <w:rFonts w:eastAsia="Times New Roman"/>
          <w:color w:val="000000" w:themeColor="text1"/>
          <w:spacing w:val="-1"/>
          <w:sz w:val="24"/>
          <w:highlight w:val="none"/>
          <w14:textFill>
            <w14:solidFill>
              <w14:schemeClr w14:val="tx1"/>
            </w14:solidFill>
          </w14:textFill>
        </w:rPr>
        <w:t>6</w:t>
      </w:r>
      <w:r>
        <w:rPr>
          <w:rFonts w:ascii="宋体" w:hAnsi="宋体" w:cs="宋体"/>
          <w:color w:val="000000" w:themeColor="text1"/>
          <w:spacing w:val="-1"/>
          <w:sz w:val="24"/>
          <w:highlight w:val="none"/>
          <w14:textFill>
            <w14:solidFill>
              <w14:schemeClr w14:val="tx1"/>
            </w14:solidFill>
          </w14:textFill>
        </w:rPr>
        <w:t>）由承包人承担的其他暂停养护作业情形：</w:t>
      </w:r>
      <w:r>
        <w:rPr>
          <w:rFonts w:ascii="宋体" w:hAnsi="宋体" w:cs="宋体"/>
          <w:color w:val="000000" w:themeColor="text1"/>
          <w:spacing w:val="-1"/>
          <w:sz w:val="24"/>
          <w:highlight w:val="none"/>
          <w:u w:val="single"/>
          <w14:textFill>
            <w14:solidFill>
              <w14:schemeClr w14:val="tx1"/>
            </w14:solidFill>
          </w14:textFill>
        </w:rPr>
        <w:t xml:space="preserve">      </w:t>
      </w:r>
      <w:r>
        <w:rPr>
          <w:rFonts w:hint="eastAsia" w:ascii="宋体" w:hAnsi="宋体" w:cs="宋体"/>
          <w:color w:val="000000" w:themeColor="text1"/>
          <w:spacing w:val="-1"/>
          <w:sz w:val="24"/>
          <w:highlight w:val="none"/>
          <w:u w:val="single"/>
          <w14:textFill>
            <w14:solidFill>
              <w14:schemeClr w14:val="tx1"/>
            </w14:solidFill>
          </w14:textFill>
        </w:rPr>
        <w:t>/</w:t>
      </w:r>
      <w:r>
        <w:rPr>
          <w:rFonts w:ascii="宋体" w:hAnsi="宋体" w:cs="宋体"/>
          <w:color w:val="000000" w:themeColor="text1"/>
          <w:spacing w:val="-1"/>
          <w:sz w:val="24"/>
          <w:highlight w:val="none"/>
          <w:u w:val="single"/>
          <w14:textFill>
            <w14:solidFill>
              <w14:schemeClr w14:val="tx1"/>
            </w14:solidFill>
          </w14:textFill>
        </w:rPr>
        <w:t xml:space="preserve">       </w:t>
      </w:r>
      <w:r>
        <w:rPr>
          <w:rFonts w:ascii="宋体" w:hAnsi="宋体" w:cs="宋体"/>
          <w:color w:val="000000" w:themeColor="text1"/>
          <w:spacing w:val="-1"/>
          <w:sz w:val="24"/>
          <w:highlight w:val="none"/>
          <w14:textFill>
            <w14:solidFill>
              <w14:schemeClr w14:val="tx1"/>
            </w14:solidFill>
          </w14:textFill>
        </w:rPr>
        <w:t>。</w:t>
      </w:r>
    </w:p>
    <w:p w14:paraId="4390D51C">
      <w:pPr>
        <w:spacing w:before="78" w:line="221" w:lineRule="auto"/>
        <w:ind w:left="485"/>
        <w:outlineLvl w:val="3"/>
        <w:rPr>
          <w:rFonts w:ascii="宋体" w:hAnsi="宋体" w:cs="宋体"/>
          <w:color w:val="000000" w:themeColor="text1"/>
          <w:sz w:val="24"/>
          <w:highlight w:val="none"/>
          <w14:textFill>
            <w14:solidFill>
              <w14:schemeClr w14:val="tx1"/>
            </w14:solidFill>
          </w14:textFill>
        </w:rPr>
      </w:pPr>
      <w:bookmarkStart w:id="221" w:name="bookmark95"/>
      <w:bookmarkEnd w:id="221"/>
      <w:bookmarkStart w:id="222" w:name="bookmark96"/>
      <w:bookmarkEnd w:id="222"/>
      <w:r>
        <w:rPr>
          <w:rFonts w:eastAsia="Times New Roman"/>
          <w:b/>
          <w:bCs/>
          <w:color w:val="000000" w:themeColor="text1"/>
          <w:spacing w:val="-7"/>
          <w:sz w:val="24"/>
          <w:highlight w:val="none"/>
          <w14:textFill>
            <w14:solidFill>
              <w14:schemeClr w14:val="tx1"/>
            </w14:solidFill>
          </w14:textFill>
        </w:rPr>
        <w:t>15.</w:t>
      </w:r>
      <w:r>
        <w:rPr>
          <w:rFonts w:eastAsia="Times New Roman"/>
          <w:b/>
          <w:bCs/>
          <w:color w:val="000000" w:themeColor="text1"/>
          <w:spacing w:val="6"/>
          <w:sz w:val="24"/>
          <w:highlight w:val="none"/>
          <w14:textFill>
            <w14:solidFill>
              <w14:schemeClr w14:val="tx1"/>
            </w14:solidFill>
          </w14:textFill>
        </w:rPr>
        <w:t xml:space="preserve">  </w:t>
      </w:r>
      <w:r>
        <w:rPr>
          <w:rFonts w:ascii="宋体" w:hAnsi="宋体" w:cs="宋体"/>
          <w:b/>
          <w:bCs/>
          <w:color w:val="000000" w:themeColor="text1"/>
          <w:spacing w:val="-7"/>
          <w:sz w:val="24"/>
          <w:highlight w:val="none"/>
          <w14:textFill>
            <w14:solidFill>
              <w14:schemeClr w14:val="tx1"/>
            </w14:solidFill>
          </w14:textFill>
        </w:rPr>
        <w:t>变更</w:t>
      </w:r>
    </w:p>
    <w:p w14:paraId="1DEBA75F">
      <w:pPr>
        <w:spacing w:before="111" w:line="218" w:lineRule="auto"/>
        <w:ind w:left="485"/>
        <w:outlineLvl w:val="4"/>
        <w:rPr>
          <w:rFonts w:ascii="宋体" w:hAnsi="宋体" w:cs="宋体"/>
          <w:color w:val="000000" w:themeColor="text1"/>
          <w:sz w:val="24"/>
          <w:highlight w:val="none"/>
          <w14:textFill>
            <w14:solidFill>
              <w14:schemeClr w14:val="tx1"/>
            </w14:solidFill>
          </w14:textFill>
        </w:rPr>
      </w:pPr>
      <w:r>
        <w:rPr>
          <w:rFonts w:eastAsia="Times New Roman"/>
          <w:b/>
          <w:bCs/>
          <w:color w:val="000000" w:themeColor="text1"/>
          <w:spacing w:val="-3"/>
          <w:sz w:val="24"/>
          <w:highlight w:val="none"/>
          <w14:textFill>
            <w14:solidFill>
              <w14:schemeClr w14:val="tx1"/>
            </w14:solidFill>
          </w14:textFill>
        </w:rPr>
        <w:t xml:space="preserve">15.4  </w:t>
      </w:r>
      <w:r>
        <w:rPr>
          <w:rFonts w:ascii="宋体" w:hAnsi="宋体" w:cs="宋体"/>
          <w:b/>
          <w:bCs/>
          <w:color w:val="000000" w:themeColor="text1"/>
          <w:spacing w:val="-3"/>
          <w:sz w:val="24"/>
          <w:highlight w:val="none"/>
          <w14:textFill>
            <w14:solidFill>
              <w14:schemeClr w14:val="tx1"/>
            </w14:solidFill>
          </w14:textFill>
        </w:rPr>
        <w:t>变更的估价原则</w:t>
      </w:r>
    </w:p>
    <w:p w14:paraId="06FF71C7">
      <w:pPr>
        <w:spacing w:before="127" w:line="304" w:lineRule="auto"/>
        <w:ind w:right="46" w:firstLine="497"/>
        <w:rPr>
          <w:rFonts w:ascii="宋体" w:hAnsi="宋体" w:cs="宋体"/>
          <w:color w:val="000000" w:themeColor="text1"/>
          <w:sz w:val="24"/>
          <w:highlight w:val="none"/>
          <w14:textFill>
            <w14:solidFill>
              <w14:schemeClr w14:val="tx1"/>
            </w14:solidFill>
          </w14:textFill>
        </w:rPr>
      </w:pPr>
      <w:r>
        <w:rPr>
          <w:rFonts w:eastAsia="Times New Roman"/>
          <w:color w:val="000000" w:themeColor="text1"/>
          <w:sz w:val="24"/>
          <w:highlight w:val="none"/>
          <w14:textFill>
            <w14:solidFill>
              <w14:schemeClr w14:val="tx1"/>
            </w14:solidFill>
          </w14:textFill>
        </w:rPr>
        <w:t xml:space="preserve">15.4.4  </w:t>
      </w:r>
      <w:r>
        <w:rPr>
          <w:rFonts w:ascii="宋体" w:hAnsi="宋体" w:cs="宋体"/>
          <w:color w:val="000000" w:themeColor="text1"/>
          <w:sz w:val="24"/>
          <w:highlight w:val="none"/>
          <w14:textFill>
            <w14:solidFill>
              <w14:schemeClr w14:val="tx1"/>
            </w14:solidFill>
          </w14:textFill>
        </w:rPr>
        <w:t>变更工作在已标价工程量清单中无适用或类似子目的单价时，确定其单</w:t>
      </w:r>
      <w:r>
        <w:rPr>
          <w:rFonts w:ascii="宋体" w:hAnsi="宋体" w:cs="宋体"/>
          <w:color w:val="000000" w:themeColor="text1"/>
          <w:spacing w:val="-1"/>
          <w:sz w:val="24"/>
          <w:highlight w:val="none"/>
          <w14:textFill>
            <w14:solidFill>
              <w14:schemeClr w14:val="tx1"/>
            </w14:solidFill>
          </w14:textFill>
        </w:rPr>
        <w:t>价遵循的原则为：</w:t>
      </w:r>
      <w:r>
        <w:rPr>
          <w:rFonts w:hint="eastAsia" w:ascii="宋体" w:hAnsi="宋体" w:cs="宋体"/>
          <w:color w:val="000000" w:themeColor="text1"/>
          <w:sz w:val="24"/>
          <w:highlight w:val="none"/>
          <w:u w:val="single"/>
          <w14:textFill>
            <w14:solidFill>
              <w14:schemeClr w14:val="tx1"/>
            </w14:solidFill>
          </w14:textFill>
        </w:rPr>
        <w:t>有定额的套定额，并乘以下浮系数(下浮系数=中标价/招标控制价)计算，无定额可套的，由建设单位、施工单位、咨询单位根据市场行情协商确定价格或造价咨询单位根据市场行情协商确定包含除税金以外所有费用的税前综合价格。以上约定同时适用于招标工程量清单缺项以及工程量清单项目特征与图纸不符时的价款确定</w:t>
      </w:r>
      <w:r>
        <w:rPr>
          <w:rFonts w:hint="eastAsia" w:ascii="宋体" w:hAnsi="宋体" w:cs="宋体"/>
          <w:color w:val="000000" w:themeColor="text1"/>
          <w:sz w:val="24"/>
          <w:highlight w:val="none"/>
          <w14:textFill>
            <w14:solidFill>
              <w14:schemeClr w14:val="tx1"/>
            </w14:solidFill>
          </w14:textFill>
        </w:rPr>
        <w:t>。</w:t>
      </w:r>
    </w:p>
    <w:p w14:paraId="28F0A5A8">
      <w:pPr>
        <w:spacing w:before="1" w:line="217" w:lineRule="auto"/>
        <w:ind w:left="485"/>
        <w:outlineLvl w:val="4"/>
        <w:rPr>
          <w:rFonts w:ascii="宋体" w:hAnsi="宋体" w:cs="宋体"/>
          <w:color w:val="000000" w:themeColor="text1"/>
          <w:sz w:val="24"/>
          <w:highlight w:val="none"/>
          <w14:textFill>
            <w14:solidFill>
              <w14:schemeClr w14:val="tx1"/>
            </w14:solidFill>
          </w14:textFill>
        </w:rPr>
      </w:pPr>
      <w:r>
        <w:rPr>
          <w:rFonts w:eastAsia="Times New Roman"/>
          <w:b/>
          <w:bCs/>
          <w:color w:val="000000" w:themeColor="text1"/>
          <w:spacing w:val="-6"/>
          <w:sz w:val="24"/>
          <w:highlight w:val="none"/>
          <w14:textFill>
            <w14:solidFill>
              <w14:schemeClr w14:val="tx1"/>
            </w14:solidFill>
          </w14:textFill>
        </w:rPr>
        <w:t>15.8</w:t>
      </w:r>
      <w:r>
        <w:rPr>
          <w:rFonts w:eastAsia="Times New Roman"/>
          <w:b/>
          <w:bCs/>
          <w:color w:val="000000" w:themeColor="text1"/>
          <w:spacing w:val="19"/>
          <w:w w:val="101"/>
          <w:sz w:val="24"/>
          <w:highlight w:val="none"/>
          <w14:textFill>
            <w14:solidFill>
              <w14:schemeClr w14:val="tx1"/>
            </w14:solidFill>
          </w14:textFill>
        </w:rPr>
        <w:t xml:space="preserve"> </w:t>
      </w:r>
      <w:r>
        <w:rPr>
          <w:rFonts w:ascii="宋体" w:hAnsi="宋体" w:cs="宋体"/>
          <w:b/>
          <w:bCs/>
          <w:color w:val="000000" w:themeColor="text1"/>
          <w:spacing w:val="-6"/>
          <w:sz w:val="24"/>
          <w:highlight w:val="none"/>
          <w14:textFill>
            <w14:solidFill>
              <w14:schemeClr w14:val="tx1"/>
            </w14:solidFill>
          </w14:textFill>
        </w:rPr>
        <w:t>暂估价</w:t>
      </w:r>
    </w:p>
    <w:p w14:paraId="7E09878E">
      <w:pPr>
        <w:spacing w:before="127" w:line="218" w:lineRule="auto"/>
        <w:jc w:val="center"/>
        <w:rPr>
          <w:color w:val="000000" w:themeColor="text1"/>
          <w:highlight w:val="none"/>
          <w14:textFill>
            <w14:solidFill>
              <w14:schemeClr w14:val="tx1"/>
            </w14:solidFill>
          </w14:textFill>
        </w:rPr>
      </w:pPr>
      <w:r>
        <w:rPr>
          <w:rFonts w:ascii="宋体" w:hAnsi="宋体" w:cs="宋体"/>
          <w:color w:val="000000" w:themeColor="text1"/>
          <w:spacing w:val="-1"/>
          <w:sz w:val="24"/>
          <w:highlight w:val="none"/>
          <w14:textFill>
            <w14:solidFill>
              <w14:schemeClr w14:val="tx1"/>
            </w14:solidFill>
          </w14:textFill>
        </w:rPr>
        <w:t>按暂估价确定的工程、材料、工程设备、服务的实施主体为：</w:t>
      </w:r>
      <w:r>
        <w:rPr>
          <w:rFonts w:ascii="宋体" w:hAnsi="宋体" w:cs="宋体"/>
          <w:color w:val="000000" w:themeColor="text1"/>
          <w:spacing w:val="-1"/>
          <w:sz w:val="24"/>
          <w:highlight w:val="none"/>
          <w:u w:val="single"/>
          <w14:textFill>
            <w14:solidFill>
              <w14:schemeClr w14:val="tx1"/>
            </w14:solidFill>
          </w14:textFill>
        </w:rPr>
        <w:t xml:space="preserve"> </w:t>
      </w:r>
      <w:r>
        <w:rPr>
          <w:rFonts w:hint="eastAsia" w:ascii="宋体" w:hAnsi="宋体" w:cs="宋体"/>
          <w:color w:val="000000" w:themeColor="text1"/>
          <w:spacing w:val="-1"/>
          <w:sz w:val="24"/>
          <w:highlight w:val="none"/>
          <w:u w:val="single"/>
          <w14:textFill>
            <w14:solidFill>
              <w14:schemeClr w14:val="tx1"/>
            </w14:solidFill>
          </w14:textFill>
        </w:rPr>
        <w:t>/</w:t>
      </w:r>
      <w:r>
        <w:rPr>
          <w:rFonts w:ascii="宋体" w:hAnsi="宋体" w:cs="宋体"/>
          <w:color w:val="000000" w:themeColor="text1"/>
          <w:spacing w:val="-1"/>
          <w:sz w:val="24"/>
          <w:highlight w:val="none"/>
          <w:u w:val="single"/>
          <w14:textFill>
            <w14:solidFill>
              <w14:schemeClr w14:val="tx1"/>
            </w14:solidFill>
          </w14:textFill>
        </w:rPr>
        <w:t xml:space="preserve"> </w:t>
      </w:r>
      <w:r>
        <w:rPr>
          <w:rFonts w:ascii="宋体" w:hAnsi="宋体" w:cs="宋体"/>
          <w:color w:val="000000" w:themeColor="text1"/>
          <w:spacing w:val="-2"/>
          <w:sz w:val="24"/>
          <w:highlight w:val="none"/>
          <w:u w:val="single"/>
          <w14:textFill>
            <w14:solidFill>
              <w14:schemeClr w14:val="tx1"/>
            </w14:solidFill>
          </w14:textFill>
        </w:rPr>
        <w:t xml:space="preserve"> </w:t>
      </w:r>
      <w:r>
        <w:rPr>
          <w:rFonts w:ascii="宋体" w:hAnsi="宋体" w:cs="宋体"/>
          <w:color w:val="000000" w:themeColor="text1"/>
          <w:spacing w:val="-2"/>
          <w:sz w:val="24"/>
          <w:highlight w:val="none"/>
          <w14:textFill>
            <w14:solidFill>
              <w14:schemeClr w14:val="tx1"/>
            </w14:solidFill>
          </w14:textFill>
        </w:rPr>
        <w:t>。</w:t>
      </w:r>
    </w:p>
    <w:p w14:paraId="7ED24B66">
      <w:pPr>
        <w:spacing w:before="78" w:line="218" w:lineRule="auto"/>
        <w:ind w:left="485"/>
        <w:outlineLvl w:val="3"/>
        <w:rPr>
          <w:rFonts w:ascii="宋体" w:hAnsi="宋体" w:cs="宋体"/>
          <w:color w:val="000000" w:themeColor="text1"/>
          <w:sz w:val="24"/>
          <w:highlight w:val="none"/>
          <w14:textFill>
            <w14:solidFill>
              <w14:schemeClr w14:val="tx1"/>
            </w14:solidFill>
          </w14:textFill>
        </w:rPr>
      </w:pPr>
      <w:bookmarkStart w:id="223" w:name="bookmark98"/>
      <w:bookmarkEnd w:id="223"/>
      <w:bookmarkStart w:id="224" w:name="bookmark97"/>
      <w:bookmarkEnd w:id="224"/>
      <w:r>
        <w:rPr>
          <w:rFonts w:eastAsia="Times New Roman"/>
          <w:b/>
          <w:bCs/>
          <w:color w:val="000000" w:themeColor="text1"/>
          <w:spacing w:val="-5"/>
          <w:sz w:val="24"/>
          <w:highlight w:val="none"/>
          <w14:textFill>
            <w14:solidFill>
              <w14:schemeClr w14:val="tx1"/>
            </w14:solidFill>
          </w14:textFill>
        </w:rPr>
        <w:t>16.</w:t>
      </w:r>
      <w:r>
        <w:rPr>
          <w:rFonts w:eastAsia="Times New Roman"/>
          <w:b/>
          <w:bCs/>
          <w:color w:val="000000" w:themeColor="text1"/>
          <w:spacing w:val="5"/>
          <w:sz w:val="24"/>
          <w:highlight w:val="none"/>
          <w14:textFill>
            <w14:solidFill>
              <w14:schemeClr w14:val="tx1"/>
            </w14:solidFill>
          </w14:textFill>
        </w:rPr>
        <w:t xml:space="preserve">  </w:t>
      </w:r>
      <w:r>
        <w:rPr>
          <w:rFonts w:ascii="宋体" w:hAnsi="宋体" w:cs="宋体"/>
          <w:b/>
          <w:bCs/>
          <w:color w:val="000000" w:themeColor="text1"/>
          <w:spacing w:val="-5"/>
          <w:sz w:val="24"/>
          <w:highlight w:val="none"/>
          <w14:textFill>
            <w14:solidFill>
              <w14:schemeClr w14:val="tx1"/>
            </w14:solidFill>
          </w14:textFill>
        </w:rPr>
        <w:t>价格调整</w:t>
      </w:r>
    </w:p>
    <w:p w14:paraId="1CE7F573">
      <w:pPr>
        <w:spacing w:before="118" w:line="218" w:lineRule="auto"/>
        <w:ind w:left="485"/>
        <w:outlineLvl w:val="4"/>
        <w:rPr>
          <w:rFonts w:ascii="宋体" w:hAnsi="宋体" w:cs="宋体"/>
          <w:color w:val="000000" w:themeColor="text1"/>
          <w:sz w:val="24"/>
          <w:highlight w:val="none"/>
          <w14:textFill>
            <w14:solidFill>
              <w14:schemeClr w14:val="tx1"/>
            </w14:solidFill>
          </w14:textFill>
        </w:rPr>
      </w:pPr>
      <w:r>
        <w:rPr>
          <w:rFonts w:eastAsia="Times New Roman"/>
          <w:b/>
          <w:bCs/>
          <w:color w:val="000000" w:themeColor="text1"/>
          <w:spacing w:val="-2"/>
          <w:sz w:val="24"/>
          <w:highlight w:val="none"/>
          <w14:textFill>
            <w14:solidFill>
              <w14:schemeClr w14:val="tx1"/>
            </w14:solidFill>
          </w14:textFill>
        </w:rPr>
        <w:t xml:space="preserve">16.1  </w:t>
      </w:r>
      <w:r>
        <w:rPr>
          <w:rFonts w:ascii="宋体" w:hAnsi="宋体" w:cs="宋体"/>
          <w:b/>
          <w:bCs/>
          <w:color w:val="000000" w:themeColor="text1"/>
          <w:spacing w:val="-2"/>
          <w:sz w:val="24"/>
          <w:highlight w:val="none"/>
          <w14:textFill>
            <w14:solidFill>
              <w14:schemeClr w14:val="tx1"/>
            </w14:solidFill>
          </w14:textFill>
        </w:rPr>
        <w:t>物价波动引起的价格调整</w:t>
      </w:r>
    </w:p>
    <w:p w14:paraId="558463DF">
      <w:pPr>
        <w:spacing w:before="127" w:line="218" w:lineRule="auto"/>
        <w:ind w:left="497"/>
        <w:rPr>
          <w:rFonts w:ascii="宋体" w:hAnsi="宋体" w:cs="宋体"/>
          <w:color w:val="000000" w:themeColor="text1"/>
          <w:sz w:val="24"/>
          <w:highlight w:val="none"/>
          <w14:textFill>
            <w14:solidFill>
              <w14:schemeClr w14:val="tx1"/>
            </w14:solidFill>
          </w14:textFill>
        </w:rPr>
      </w:pPr>
      <w:r>
        <w:rPr>
          <w:rFonts w:eastAsia="Times New Roman"/>
          <w:color w:val="000000" w:themeColor="text1"/>
          <w:spacing w:val="-2"/>
          <w:sz w:val="24"/>
          <w:highlight w:val="none"/>
          <w14:textFill>
            <w14:solidFill>
              <w14:schemeClr w14:val="tx1"/>
            </w14:solidFill>
          </w14:textFill>
        </w:rPr>
        <w:t xml:space="preserve">16.1.1  </w:t>
      </w:r>
      <w:r>
        <w:rPr>
          <w:rFonts w:ascii="宋体" w:hAnsi="宋体" w:cs="宋体"/>
          <w:color w:val="000000" w:themeColor="text1"/>
          <w:spacing w:val="-2"/>
          <w:sz w:val="24"/>
          <w:highlight w:val="none"/>
          <w14:textFill>
            <w14:solidFill>
              <w14:schemeClr w14:val="tx1"/>
            </w14:solidFill>
          </w14:textFill>
        </w:rPr>
        <w:t>采用造价信息调整价格差额</w:t>
      </w:r>
    </w:p>
    <w:p w14:paraId="157C7021">
      <w:pPr>
        <w:spacing w:before="117" w:line="218" w:lineRule="auto"/>
        <w:ind w:left="497"/>
        <w:rPr>
          <w:rFonts w:ascii="宋体" w:hAnsi="宋体" w:cs="宋体"/>
          <w:color w:val="000000" w:themeColor="text1"/>
          <w:sz w:val="24"/>
          <w:highlight w:val="none"/>
          <w14:textFill>
            <w14:solidFill>
              <w14:schemeClr w14:val="tx1"/>
            </w14:solidFill>
          </w14:textFill>
        </w:rPr>
      </w:pPr>
      <w:r>
        <w:rPr>
          <w:rFonts w:eastAsia="Times New Roman"/>
          <w:color w:val="000000" w:themeColor="text1"/>
          <w:spacing w:val="-1"/>
          <w:sz w:val="24"/>
          <w:highlight w:val="none"/>
          <w14:textFill>
            <w14:solidFill>
              <w14:schemeClr w14:val="tx1"/>
            </w14:solidFill>
          </w14:textFill>
        </w:rPr>
        <w:t xml:space="preserve">16.1.1.1  </w:t>
      </w:r>
      <w:r>
        <w:rPr>
          <w:rFonts w:ascii="宋体" w:hAnsi="宋体" w:cs="宋体"/>
          <w:color w:val="000000" w:themeColor="text1"/>
          <w:spacing w:val="-1"/>
          <w:sz w:val="24"/>
          <w:highlight w:val="none"/>
          <w14:textFill>
            <w14:solidFill>
              <w14:schemeClr w14:val="tx1"/>
            </w14:solidFill>
          </w14:textFill>
        </w:rPr>
        <w:t>需要进行价格调整的材</w:t>
      </w:r>
      <w:r>
        <w:rPr>
          <w:rFonts w:ascii="宋体" w:hAnsi="宋体" w:cs="宋体"/>
          <w:color w:val="000000" w:themeColor="text1"/>
          <w:spacing w:val="-2"/>
          <w:sz w:val="24"/>
          <w:highlight w:val="none"/>
          <w14:textFill>
            <w14:solidFill>
              <w14:schemeClr w14:val="tx1"/>
            </w14:solidFill>
          </w14:textFill>
        </w:rPr>
        <w:t>料的种类为</w:t>
      </w:r>
      <w:r>
        <w:rPr>
          <w:rFonts w:ascii="宋体" w:hAnsi="宋体" w:cs="宋体"/>
          <w:color w:val="000000" w:themeColor="text1"/>
          <w:sz w:val="24"/>
          <w:highlight w:val="none"/>
          <w14:textFill>
            <w14:solidFill>
              <w14:schemeClr w14:val="tx1"/>
            </w14:solidFill>
          </w14:textFill>
        </w:rPr>
        <w:t>：</w:t>
      </w:r>
      <w:r>
        <w:rPr>
          <w:rFonts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u w:val="single"/>
          <w14:textFill>
            <w14:solidFill>
              <w14:schemeClr w14:val="tx1"/>
            </w14:solidFill>
          </w14:textFill>
        </w:rPr>
        <w:t>/</w:t>
      </w:r>
      <w:r>
        <w:rPr>
          <w:rFonts w:ascii="宋体" w:hAnsi="宋体" w:cs="宋体"/>
          <w:color w:val="000000" w:themeColor="text1"/>
          <w:sz w:val="24"/>
          <w:highlight w:val="none"/>
          <w:u w:val="single"/>
          <w14:textFill>
            <w14:solidFill>
              <w14:schemeClr w14:val="tx1"/>
            </w14:solidFill>
          </w14:textFill>
        </w:rPr>
        <w:t xml:space="preserve">        </w:t>
      </w:r>
      <w:r>
        <w:rPr>
          <w:rFonts w:ascii="宋体" w:hAnsi="宋体" w:cs="宋体"/>
          <w:color w:val="000000" w:themeColor="text1"/>
          <w:sz w:val="24"/>
          <w:highlight w:val="none"/>
          <w14:textFill>
            <w14:solidFill>
              <w14:schemeClr w14:val="tx1"/>
            </w14:solidFill>
          </w14:textFill>
        </w:rPr>
        <w:t>；</w:t>
      </w:r>
    </w:p>
    <w:p w14:paraId="20120C26">
      <w:pPr>
        <w:spacing w:before="115" w:line="218" w:lineRule="auto"/>
        <w:ind w:left="482"/>
        <w:rPr>
          <w:rFonts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1"/>
          <w:sz w:val="24"/>
          <w:highlight w:val="none"/>
          <w14:textFill>
            <w14:solidFill>
              <w14:schemeClr w14:val="tx1"/>
            </w14:solidFill>
          </w14:textFill>
        </w:rPr>
        <w:t>发布的养护项目所在地的材料信息价机构</w:t>
      </w:r>
      <w:r>
        <w:rPr>
          <w:rFonts w:ascii="宋体" w:hAnsi="宋体" w:cs="宋体"/>
          <w:color w:val="000000" w:themeColor="text1"/>
          <w:spacing w:val="1"/>
          <w:sz w:val="24"/>
          <w:highlight w:val="none"/>
          <w14:textFill>
            <w14:solidFill>
              <w14:schemeClr w14:val="tx1"/>
            </w14:solidFill>
          </w14:textFill>
        </w:rPr>
        <w:t>：</w:t>
      </w:r>
      <w:r>
        <w:rPr>
          <w:rFonts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u w:val="single"/>
          <w:lang w:val="en-US" w:eastAsia="zh-CN"/>
          <w14:textFill>
            <w14:solidFill>
              <w14:schemeClr w14:val="tx1"/>
            </w14:solidFill>
          </w14:textFill>
        </w:rPr>
        <w:t xml:space="preserve">  </w:t>
      </w:r>
      <w:r>
        <w:rPr>
          <w:rFonts w:ascii="宋体" w:hAnsi="宋体" w:cs="宋体"/>
          <w:color w:val="000000" w:themeColor="text1"/>
          <w:sz w:val="24"/>
          <w:highlight w:val="none"/>
          <w:u w:val="single"/>
          <w14:textFill>
            <w14:solidFill>
              <w14:schemeClr w14:val="tx1"/>
            </w14:solidFill>
          </w14:textFill>
        </w:rPr>
        <w:t xml:space="preserve">/  </w:t>
      </w:r>
      <w:r>
        <w:rPr>
          <w:rFonts w:ascii="宋体" w:hAnsi="宋体" w:cs="宋体"/>
          <w:color w:val="000000" w:themeColor="text1"/>
          <w:spacing w:val="1"/>
          <w:sz w:val="24"/>
          <w:highlight w:val="none"/>
          <w14:textFill>
            <w14:solidFill>
              <w14:schemeClr w14:val="tx1"/>
            </w14:solidFill>
          </w14:textFill>
        </w:rPr>
        <w:t>；</w:t>
      </w:r>
    </w:p>
    <w:p w14:paraId="030BFB11">
      <w:pPr>
        <w:spacing w:before="117" w:line="219" w:lineRule="auto"/>
        <w:ind w:left="479"/>
        <w:rPr>
          <w:rFonts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1"/>
          <w:sz w:val="24"/>
          <w:highlight w:val="none"/>
          <w14:textFill>
            <w14:solidFill>
              <w14:schemeClr w14:val="tx1"/>
            </w14:solidFill>
          </w14:textFill>
        </w:rPr>
        <w:t>承包人在本计量周期内已完成实体工程量的材料数量</w:t>
      </w:r>
      <w:r>
        <w:rPr>
          <w:rFonts w:ascii="宋体" w:hAnsi="宋体" w:cs="宋体"/>
          <w:color w:val="000000" w:themeColor="text1"/>
          <w:spacing w:val="6"/>
          <w:sz w:val="24"/>
          <w:highlight w:val="none"/>
          <w14:textFill>
            <w14:solidFill>
              <w14:schemeClr w14:val="tx1"/>
            </w14:solidFill>
          </w14:textFill>
        </w:rPr>
        <w:t>：</w:t>
      </w:r>
      <w:r>
        <w:rPr>
          <w:rFonts w:ascii="宋体" w:hAnsi="宋体" w:cs="宋体"/>
          <w:color w:val="000000" w:themeColor="text1"/>
          <w:sz w:val="24"/>
          <w:highlight w:val="none"/>
          <w:u w:val="single"/>
          <w14:textFill>
            <w14:solidFill>
              <w14:schemeClr w14:val="tx1"/>
            </w14:solidFill>
          </w14:textFill>
        </w:rPr>
        <w:t xml:space="preserve">     /      </w:t>
      </w:r>
      <w:r>
        <w:rPr>
          <w:rFonts w:ascii="宋体" w:hAnsi="宋体" w:cs="宋体"/>
          <w:color w:val="000000" w:themeColor="text1"/>
          <w:spacing w:val="6"/>
          <w:sz w:val="24"/>
          <w:highlight w:val="none"/>
          <w14:textFill>
            <w14:solidFill>
              <w14:schemeClr w14:val="tx1"/>
            </w14:solidFill>
          </w14:textFill>
        </w:rPr>
        <w:t>；</w:t>
      </w:r>
    </w:p>
    <w:p w14:paraId="3E2168D7">
      <w:pPr>
        <w:spacing w:before="117" w:line="218" w:lineRule="auto"/>
        <w:ind w:left="480"/>
        <w:rPr>
          <w:color w:val="000000" w:themeColor="text1"/>
          <w:highlight w:val="none"/>
          <w14:textFill>
            <w14:solidFill>
              <w14:schemeClr w14:val="tx1"/>
            </w14:solidFill>
          </w14:textFill>
        </w:rPr>
      </w:pPr>
      <w:bookmarkStart w:id="225" w:name="OLE_LINK5"/>
      <w:bookmarkStart w:id="226" w:name="OLE_LINK6"/>
      <w:r>
        <w:rPr>
          <w:rFonts w:ascii="宋体" w:hAnsi="宋体" w:cs="宋体"/>
          <w:color w:val="000000" w:themeColor="text1"/>
          <w:spacing w:val="-1"/>
          <w:sz w:val="24"/>
          <w:highlight w:val="none"/>
          <w14:textFill>
            <w14:solidFill>
              <w14:schemeClr w14:val="tx1"/>
            </w14:solidFill>
          </w14:textFill>
        </w:rPr>
        <w:t>风险幅度系数</w:t>
      </w:r>
      <w:bookmarkEnd w:id="225"/>
      <w:bookmarkEnd w:id="226"/>
      <w:r>
        <w:rPr>
          <w:rFonts w:ascii="宋体" w:hAnsi="宋体" w:cs="宋体"/>
          <w:color w:val="000000" w:themeColor="text1"/>
          <w:spacing w:val="-1"/>
          <w:sz w:val="24"/>
          <w:highlight w:val="none"/>
          <w14:textFill>
            <w14:solidFill>
              <w14:schemeClr w14:val="tx1"/>
            </w14:solidFill>
          </w14:textFill>
        </w:rPr>
        <w:t>：</w:t>
      </w:r>
      <w:r>
        <w:rPr>
          <w:rFonts w:ascii="宋体" w:hAnsi="宋体" w:cs="宋体"/>
          <w:color w:val="000000" w:themeColor="text1"/>
          <w:spacing w:val="-1"/>
          <w:sz w:val="24"/>
          <w:highlight w:val="none"/>
          <w:u w:val="single"/>
          <w14:textFill>
            <w14:solidFill>
              <w14:schemeClr w14:val="tx1"/>
            </w14:solidFill>
          </w14:textFill>
        </w:rPr>
        <w:t xml:space="preserve">      /       </w:t>
      </w:r>
      <w:r>
        <w:rPr>
          <w:rFonts w:ascii="宋体" w:hAnsi="宋体" w:cs="宋体"/>
          <w:color w:val="000000" w:themeColor="text1"/>
          <w:spacing w:val="-1"/>
          <w:sz w:val="24"/>
          <w:highlight w:val="none"/>
          <w14:textFill>
            <w14:solidFill>
              <w14:schemeClr w14:val="tx1"/>
            </w14:solidFill>
          </w14:textFill>
        </w:rPr>
        <w:t>。</w:t>
      </w:r>
    </w:p>
    <w:p w14:paraId="35087F44">
      <w:pPr>
        <w:spacing w:before="78" w:line="219" w:lineRule="auto"/>
        <w:ind w:left="485"/>
        <w:outlineLvl w:val="3"/>
        <w:rPr>
          <w:rFonts w:ascii="宋体" w:hAnsi="宋体" w:cs="宋体"/>
          <w:color w:val="000000" w:themeColor="text1"/>
          <w:sz w:val="24"/>
          <w:highlight w:val="none"/>
          <w14:textFill>
            <w14:solidFill>
              <w14:schemeClr w14:val="tx1"/>
            </w14:solidFill>
          </w14:textFill>
        </w:rPr>
      </w:pPr>
      <w:bookmarkStart w:id="227" w:name="bookmark99"/>
      <w:bookmarkEnd w:id="227"/>
      <w:bookmarkStart w:id="228" w:name="bookmark100"/>
      <w:bookmarkEnd w:id="228"/>
      <w:r>
        <w:rPr>
          <w:rFonts w:eastAsia="Times New Roman"/>
          <w:b/>
          <w:bCs/>
          <w:color w:val="000000" w:themeColor="text1"/>
          <w:spacing w:val="-3"/>
          <w:sz w:val="24"/>
          <w:highlight w:val="none"/>
          <w14:textFill>
            <w14:solidFill>
              <w14:schemeClr w14:val="tx1"/>
            </w14:solidFill>
          </w14:textFill>
        </w:rPr>
        <w:t xml:space="preserve">17.  </w:t>
      </w:r>
      <w:r>
        <w:rPr>
          <w:rFonts w:ascii="宋体" w:hAnsi="宋体" w:cs="宋体"/>
          <w:b/>
          <w:bCs/>
          <w:color w:val="000000" w:themeColor="text1"/>
          <w:spacing w:val="-3"/>
          <w:sz w:val="24"/>
          <w:highlight w:val="none"/>
          <w14:textFill>
            <w14:solidFill>
              <w14:schemeClr w14:val="tx1"/>
            </w14:solidFill>
          </w14:textFill>
        </w:rPr>
        <w:t>计量与支付</w:t>
      </w:r>
    </w:p>
    <w:p w14:paraId="13638DF0">
      <w:pPr>
        <w:spacing w:before="113" w:line="221" w:lineRule="auto"/>
        <w:ind w:left="485"/>
        <w:outlineLvl w:val="4"/>
        <w:rPr>
          <w:rFonts w:ascii="宋体" w:hAnsi="宋体" w:cs="宋体"/>
          <w:color w:val="000000" w:themeColor="text1"/>
          <w:sz w:val="24"/>
          <w:highlight w:val="none"/>
          <w14:textFill>
            <w14:solidFill>
              <w14:schemeClr w14:val="tx1"/>
            </w14:solidFill>
          </w14:textFill>
        </w:rPr>
      </w:pPr>
      <w:r>
        <w:rPr>
          <w:rFonts w:eastAsia="Times New Roman"/>
          <w:b/>
          <w:bCs/>
          <w:color w:val="000000" w:themeColor="text1"/>
          <w:spacing w:val="-6"/>
          <w:sz w:val="24"/>
          <w:highlight w:val="none"/>
          <w14:textFill>
            <w14:solidFill>
              <w14:schemeClr w14:val="tx1"/>
            </w14:solidFill>
          </w14:textFill>
        </w:rPr>
        <w:t>17.1</w:t>
      </w:r>
      <w:r>
        <w:rPr>
          <w:rFonts w:eastAsia="Times New Roman"/>
          <w:b/>
          <w:bCs/>
          <w:color w:val="000000" w:themeColor="text1"/>
          <w:spacing w:val="7"/>
          <w:sz w:val="24"/>
          <w:highlight w:val="none"/>
          <w14:textFill>
            <w14:solidFill>
              <w14:schemeClr w14:val="tx1"/>
            </w14:solidFill>
          </w14:textFill>
        </w:rPr>
        <w:t xml:space="preserve">  </w:t>
      </w:r>
      <w:r>
        <w:rPr>
          <w:rFonts w:ascii="宋体" w:hAnsi="宋体" w:cs="宋体"/>
          <w:b/>
          <w:bCs/>
          <w:color w:val="000000" w:themeColor="text1"/>
          <w:spacing w:val="-6"/>
          <w:sz w:val="24"/>
          <w:highlight w:val="none"/>
          <w14:textFill>
            <w14:solidFill>
              <w14:schemeClr w14:val="tx1"/>
            </w14:solidFill>
          </w14:textFill>
        </w:rPr>
        <w:t>计量</w:t>
      </w:r>
    </w:p>
    <w:p w14:paraId="46198644">
      <w:pPr>
        <w:spacing w:before="123" w:line="220" w:lineRule="auto"/>
        <w:ind w:left="497"/>
        <w:rPr>
          <w:rFonts w:ascii="宋体" w:hAnsi="宋体" w:cs="宋体"/>
          <w:color w:val="000000" w:themeColor="text1"/>
          <w:sz w:val="24"/>
          <w:highlight w:val="none"/>
          <w14:textFill>
            <w14:solidFill>
              <w14:schemeClr w14:val="tx1"/>
            </w14:solidFill>
          </w14:textFill>
        </w:rPr>
      </w:pPr>
      <w:r>
        <w:rPr>
          <w:rFonts w:eastAsia="Times New Roman"/>
          <w:color w:val="000000" w:themeColor="text1"/>
          <w:spacing w:val="-3"/>
          <w:sz w:val="24"/>
          <w:highlight w:val="none"/>
          <w14:textFill>
            <w14:solidFill>
              <w14:schemeClr w14:val="tx1"/>
            </w14:solidFill>
          </w14:textFill>
        </w:rPr>
        <w:t xml:space="preserve">17.1.3  </w:t>
      </w:r>
      <w:r>
        <w:rPr>
          <w:rFonts w:ascii="宋体" w:hAnsi="宋体" w:cs="宋体"/>
          <w:color w:val="000000" w:themeColor="text1"/>
          <w:spacing w:val="-3"/>
          <w:sz w:val="24"/>
          <w:highlight w:val="none"/>
          <w14:textFill>
            <w14:solidFill>
              <w14:schemeClr w14:val="tx1"/>
            </w14:solidFill>
          </w14:textFill>
        </w:rPr>
        <w:t>计量周期</w:t>
      </w:r>
    </w:p>
    <w:p w14:paraId="597312B2">
      <w:pPr>
        <w:spacing w:before="115" w:line="218" w:lineRule="auto"/>
        <w:ind w:left="490"/>
        <w:rPr>
          <w:rFonts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1"/>
          <w:sz w:val="24"/>
          <w:highlight w:val="none"/>
          <w14:textFill>
            <w14:solidFill>
              <w14:schemeClr w14:val="tx1"/>
            </w14:solidFill>
          </w14:textFill>
        </w:rPr>
        <w:t>（</w:t>
      </w:r>
      <w:r>
        <w:rPr>
          <w:rFonts w:eastAsia="Times New Roman"/>
          <w:color w:val="000000" w:themeColor="text1"/>
          <w:spacing w:val="-1"/>
          <w:sz w:val="24"/>
          <w:highlight w:val="none"/>
          <w14:textFill>
            <w14:solidFill>
              <w14:schemeClr w14:val="tx1"/>
            </w14:solidFill>
          </w14:textFill>
        </w:rPr>
        <w:t>2</w:t>
      </w:r>
      <w:r>
        <w:rPr>
          <w:rFonts w:ascii="宋体" w:hAnsi="宋体" w:cs="宋体"/>
          <w:color w:val="000000" w:themeColor="text1"/>
          <w:spacing w:val="-1"/>
          <w:sz w:val="24"/>
          <w:highlight w:val="none"/>
          <w14:textFill>
            <w14:solidFill>
              <w14:schemeClr w14:val="tx1"/>
            </w14:solidFill>
          </w14:textFill>
        </w:rPr>
        <w:t>）总价子目的计量周期：</w:t>
      </w:r>
      <w:r>
        <w:rPr>
          <w:rFonts w:ascii="宋体" w:hAnsi="宋体" w:cs="宋体"/>
          <w:color w:val="000000" w:themeColor="text1"/>
          <w:spacing w:val="-1"/>
          <w:sz w:val="24"/>
          <w:highlight w:val="none"/>
          <w:u w:val="single"/>
          <w14:textFill>
            <w14:solidFill>
              <w14:schemeClr w14:val="tx1"/>
            </w14:solidFill>
          </w14:textFill>
        </w:rPr>
        <w:t xml:space="preserve">   </w:t>
      </w:r>
      <w:r>
        <w:rPr>
          <w:rFonts w:hint="eastAsia" w:ascii="宋体" w:hAnsi="宋体" w:cs="宋体"/>
          <w:color w:val="000000" w:themeColor="text1"/>
          <w:spacing w:val="-1"/>
          <w:sz w:val="24"/>
          <w:highlight w:val="none"/>
          <w:u w:val="single"/>
          <w14:textFill>
            <w14:solidFill>
              <w14:schemeClr w14:val="tx1"/>
            </w14:solidFill>
          </w14:textFill>
        </w:rPr>
        <w:t xml:space="preserve"> </w:t>
      </w:r>
      <w:bookmarkStart w:id="229" w:name="OLE_LINK86"/>
      <w:bookmarkStart w:id="230" w:name="OLE_LINK85"/>
      <w:r>
        <w:rPr>
          <w:rFonts w:hint="eastAsia" w:ascii="宋体" w:hAnsi="宋体" w:cs="宋体"/>
          <w:color w:val="000000" w:themeColor="text1"/>
          <w:spacing w:val="-1"/>
          <w:sz w:val="24"/>
          <w:highlight w:val="none"/>
          <w:u w:val="single"/>
          <w14:textFill>
            <w14:solidFill>
              <w14:schemeClr w14:val="tx1"/>
            </w14:solidFill>
          </w14:textFill>
        </w:rPr>
        <w:t>按月</w:t>
      </w:r>
      <w:bookmarkEnd w:id="229"/>
      <w:bookmarkEnd w:id="230"/>
      <w:r>
        <w:rPr>
          <w:rFonts w:hint="eastAsia" w:ascii="宋体" w:hAnsi="宋体" w:cs="宋体"/>
          <w:color w:val="000000" w:themeColor="text1"/>
          <w:spacing w:val="-1"/>
          <w:sz w:val="24"/>
          <w:highlight w:val="none"/>
          <w:u w:val="single"/>
          <w14:textFill>
            <w14:solidFill>
              <w14:schemeClr w14:val="tx1"/>
            </w14:solidFill>
          </w14:textFill>
        </w:rPr>
        <w:t xml:space="preserve"> </w:t>
      </w:r>
      <w:r>
        <w:rPr>
          <w:rFonts w:ascii="宋体" w:hAnsi="宋体" w:cs="宋体"/>
          <w:color w:val="000000" w:themeColor="text1"/>
          <w:spacing w:val="-1"/>
          <w:sz w:val="24"/>
          <w:highlight w:val="none"/>
          <w:u w:val="single"/>
          <w14:textFill>
            <w14:solidFill>
              <w14:schemeClr w14:val="tx1"/>
            </w14:solidFill>
          </w14:textFill>
        </w:rPr>
        <w:t xml:space="preserve">       </w:t>
      </w:r>
      <w:r>
        <w:rPr>
          <w:rFonts w:ascii="宋体" w:hAnsi="宋体" w:cs="宋体"/>
          <w:color w:val="000000" w:themeColor="text1"/>
          <w:spacing w:val="-1"/>
          <w:sz w:val="24"/>
          <w:highlight w:val="none"/>
          <w14:textFill>
            <w14:solidFill>
              <w14:schemeClr w14:val="tx1"/>
            </w14:solidFill>
          </w14:textFill>
        </w:rPr>
        <w:t>。</w:t>
      </w:r>
    </w:p>
    <w:p w14:paraId="20059812">
      <w:pPr>
        <w:spacing w:before="117" w:line="218" w:lineRule="auto"/>
        <w:ind w:left="497"/>
        <w:rPr>
          <w:rFonts w:ascii="宋体" w:hAnsi="宋体" w:cs="宋体"/>
          <w:color w:val="000000" w:themeColor="text1"/>
          <w:sz w:val="24"/>
          <w:highlight w:val="none"/>
          <w14:textFill>
            <w14:solidFill>
              <w14:schemeClr w14:val="tx1"/>
            </w14:solidFill>
          </w14:textFill>
        </w:rPr>
      </w:pPr>
      <w:r>
        <w:rPr>
          <w:rFonts w:eastAsia="Times New Roman"/>
          <w:color w:val="000000" w:themeColor="text1"/>
          <w:spacing w:val="-2"/>
          <w:sz w:val="24"/>
          <w:highlight w:val="none"/>
          <w14:textFill>
            <w14:solidFill>
              <w14:schemeClr w14:val="tx1"/>
            </w14:solidFill>
          </w14:textFill>
        </w:rPr>
        <w:t xml:space="preserve">17.1.5  </w:t>
      </w:r>
      <w:bookmarkStart w:id="231" w:name="OLE_LINK9"/>
      <w:bookmarkStart w:id="232" w:name="OLE_LINK7"/>
      <w:r>
        <w:rPr>
          <w:rFonts w:ascii="宋体" w:hAnsi="宋体" w:cs="宋体"/>
          <w:color w:val="000000" w:themeColor="text1"/>
          <w:spacing w:val="-2"/>
          <w:sz w:val="24"/>
          <w:highlight w:val="none"/>
          <w14:textFill>
            <w14:solidFill>
              <w14:schemeClr w14:val="tx1"/>
            </w14:solidFill>
          </w14:textFill>
        </w:rPr>
        <w:t>总价子目的计量</w:t>
      </w:r>
      <w:bookmarkEnd w:id="231"/>
      <w:bookmarkEnd w:id="232"/>
    </w:p>
    <w:p w14:paraId="4492E851">
      <w:pPr>
        <w:spacing w:before="115" w:line="218" w:lineRule="auto"/>
        <w:ind w:left="480"/>
        <w:rPr>
          <w:rFonts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2"/>
          <w:sz w:val="24"/>
          <w:highlight w:val="none"/>
          <w14:textFill>
            <w14:solidFill>
              <w14:schemeClr w14:val="tx1"/>
            </w14:solidFill>
          </w14:textFill>
        </w:rPr>
        <w:t>本项第（</w:t>
      </w:r>
      <w:r>
        <w:rPr>
          <w:rFonts w:eastAsia="Times New Roman"/>
          <w:color w:val="000000" w:themeColor="text1"/>
          <w:spacing w:val="-2"/>
          <w:sz w:val="24"/>
          <w:highlight w:val="none"/>
          <w14:textFill>
            <w14:solidFill>
              <w14:schemeClr w14:val="tx1"/>
            </w14:solidFill>
          </w14:textFill>
        </w:rPr>
        <w:t>2</w:t>
      </w:r>
      <w:r>
        <w:rPr>
          <w:rFonts w:ascii="宋体" w:hAnsi="宋体" w:cs="宋体"/>
          <w:color w:val="000000" w:themeColor="text1"/>
          <w:spacing w:val="-2"/>
          <w:sz w:val="24"/>
          <w:highlight w:val="none"/>
          <w14:textFill>
            <w14:solidFill>
              <w14:schemeClr w14:val="tx1"/>
            </w14:solidFill>
          </w14:textFill>
        </w:rPr>
        <w:t>）</w:t>
      </w:r>
      <w:r>
        <w:rPr>
          <w:rFonts w:ascii="宋体" w:hAnsi="宋体" w:cs="宋体"/>
          <w:color w:val="000000" w:themeColor="text1"/>
          <w:spacing w:val="-64"/>
          <w:sz w:val="24"/>
          <w:highlight w:val="none"/>
          <w14:textFill>
            <w14:solidFill>
              <w14:schemeClr w14:val="tx1"/>
            </w14:solidFill>
          </w14:textFill>
        </w:rPr>
        <w:t xml:space="preserve"> </w:t>
      </w:r>
      <w:r>
        <w:rPr>
          <w:rFonts w:ascii="宋体" w:hAnsi="宋体" w:cs="宋体"/>
          <w:color w:val="000000" w:themeColor="text1"/>
          <w:spacing w:val="-2"/>
          <w:sz w:val="24"/>
          <w:highlight w:val="none"/>
          <w14:textFill>
            <w14:solidFill>
              <w14:schemeClr w14:val="tx1"/>
            </w14:solidFill>
          </w14:textFill>
        </w:rPr>
        <w:t>目补充：合同总价支付分解表为：</w:t>
      </w:r>
      <w:r>
        <w:rPr>
          <w:rFonts w:ascii="宋体" w:hAnsi="宋体" w:cs="宋体"/>
          <w:color w:val="000000" w:themeColor="text1"/>
          <w:spacing w:val="-2"/>
          <w:sz w:val="24"/>
          <w:highlight w:val="none"/>
          <w:u w:val="single"/>
          <w14:textFill>
            <w14:solidFill>
              <w14:schemeClr w14:val="tx1"/>
            </w14:solidFill>
          </w14:textFill>
        </w:rPr>
        <w:t xml:space="preserve">      </w:t>
      </w:r>
      <w:r>
        <w:rPr>
          <w:rFonts w:hint="eastAsia" w:ascii="宋体" w:hAnsi="宋体" w:cs="宋体"/>
          <w:color w:val="000000" w:themeColor="text1"/>
          <w:spacing w:val="-1"/>
          <w:sz w:val="24"/>
          <w:highlight w:val="none"/>
          <w:u w:val="single"/>
          <w14:textFill>
            <w14:solidFill>
              <w14:schemeClr w14:val="tx1"/>
            </w14:solidFill>
          </w14:textFill>
        </w:rPr>
        <w:t>/</w:t>
      </w:r>
      <w:r>
        <w:rPr>
          <w:rFonts w:ascii="宋体" w:hAnsi="宋体" w:cs="宋体"/>
          <w:color w:val="000000" w:themeColor="text1"/>
          <w:spacing w:val="-2"/>
          <w:sz w:val="24"/>
          <w:highlight w:val="none"/>
          <w:u w:val="single"/>
          <w14:textFill>
            <w14:solidFill>
              <w14:schemeClr w14:val="tx1"/>
            </w14:solidFill>
          </w14:textFill>
        </w:rPr>
        <w:t xml:space="preserve">      </w:t>
      </w:r>
      <w:r>
        <w:rPr>
          <w:rFonts w:ascii="宋体" w:hAnsi="宋体" w:cs="宋体"/>
          <w:color w:val="000000" w:themeColor="text1"/>
          <w:spacing w:val="-2"/>
          <w:sz w:val="24"/>
          <w:highlight w:val="none"/>
          <w14:textFill>
            <w14:solidFill>
              <w14:schemeClr w14:val="tx1"/>
            </w14:solidFill>
          </w14:textFill>
        </w:rPr>
        <w:t>。</w:t>
      </w:r>
    </w:p>
    <w:p w14:paraId="352A346F">
      <w:pPr>
        <w:spacing w:before="115" w:line="360" w:lineRule="auto"/>
        <w:ind w:firstLine="472" w:firstLineChars="200"/>
        <w:rPr>
          <w:rFonts w:ascii="宋体" w:hAnsi="宋体" w:cs="宋体"/>
          <w:color w:val="000000" w:themeColor="text1"/>
          <w:sz w:val="24"/>
          <w:highlight w:val="none"/>
          <w:u w:val="single"/>
          <w14:textFill>
            <w14:solidFill>
              <w14:schemeClr w14:val="tx1"/>
            </w14:solidFill>
          </w14:textFill>
        </w:rPr>
      </w:pPr>
      <w:r>
        <w:rPr>
          <w:rFonts w:ascii="宋体" w:hAnsi="宋体" w:cs="宋体"/>
          <w:color w:val="000000" w:themeColor="text1"/>
          <w:spacing w:val="-2"/>
          <w:sz w:val="24"/>
          <w:highlight w:val="none"/>
          <w14:textFill>
            <w14:solidFill>
              <w14:schemeClr w14:val="tx1"/>
            </w14:solidFill>
          </w14:textFill>
        </w:rPr>
        <w:t>本项第（</w:t>
      </w:r>
      <w:r>
        <w:rPr>
          <w:rFonts w:eastAsia="Times New Roman"/>
          <w:color w:val="000000" w:themeColor="text1"/>
          <w:spacing w:val="-2"/>
          <w:sz w:val="24"/>
          <w:highlight w:val="none"/>
          <w14:textFill>
            <w14:solidFill>
              <w14:schemeClr w14:val="tx1"/>
            </w14:solidFill>
          </w14:textFill>
        </w:rPr>
        <w:t>5</w:t>
      </w:r>
      <w:r>
        <w:rPr>
          <w:rFonts w:ascii="宋体" w:hAnsi="宋体" w:cs="宋体"/>
          <w:color w:val="000000" w:themeColor="text1"/>
          <w:spacing w:val="-2"/>
          <w:sz w:val="24"/>
          <w:highlight w:val="none"/>
          <w14:textFill>
            <w14:solidFill>
              <w14:schemeClr w14:val="tx1"/>
            </w14:solidFill>
          </w14:textFill>
        </w:rPr>
        <w:t>）</w:t>
      </w:r>
      <w:r>
        <w:rPr>
          <w:rFonts w:ascii="宋体" w:hAnsi="宋体" w:cs="宋体"/>
          <w:color w:val="000000" w:themeColor="text1"/>
          <w:spacing w:val="-52"/>
          <w:sz w:val="24"/>
          <w:highlight w:val="none"/>
          <w14:textFill>
            <w14:solidFill>
              <w14:schemeClr w14:val="tx1"/>
            </w14:solidFill>
          </w14:textFill>
        </w:rPr>
        <w:t xml:space="preserve"> </w:t>
      </w:r>
      <w:r>
        <w:rPr>
          <w:rFonts w:ascii="宋体" w:hAnsi="宋体" w:cs="宋体"/>
          <w:color w:val="000000" w:themeColor="text1"/>
          <w:spacing w:val="-2"/>
          <w:sz w:val="24"/>
          <w:highlight w:val="none"/>
          <w14:textFill>
            <w14:solidFill>
              <w14:schemeClr w14:val="tx1"/>
            </w14:solidFill>
          </w14:textFill>
        </w:rPr>
        <w:t>目补充：总价子目的支付原则和支付进度为：</w:t>
      </w:r>
      <w:r>
        <w:rPr>
          <w:rFonts w:hint="eastAsia" w:ascii="宋体" w:hAnsi="宋体" w:cs="宋体"/>
          <w:b/>
          <w:bCs/>
          <w:color w:val="000000" w:themeColor="text1"/>
          <w:sz w:val="24"/>
          <w:highlight w:val="none"/>
          <w:u w:val="single"/>
          <w14:textFill>
            <w14:solidFill>
              <w14:schemeClr w14:val="tx1"/>
            </w14:solidFill>
          </w14:textFill>
        </w:rPr>
        <w:t>(1)安全生产责任保险费用，发包人在承包人按要求购买安全生产责任保险并提交保险单后，按照承包人工程量清单中安全生产责任保险的报价向承包人支付100%</w:t>
      </w:r>
    </w:p>
    <w:p w14:paraId="1322D148">
      <w:pPr>
        <w:tabs>
          <w:tab w:val="left" w:leader="underscore" w:pos="6751"/>
        </w:tabs>
        <w:spacing w:line="360" w:lineRule="auto"/>
        <w:ind w:firstLine="482" w:firstLineChars="200"/>
        <w:jc w:val="left"/>
        <w:rPr>
          <w:rFonts w:ascii="宋体" w:hAnsi="宋体" w:cs="宋体"/>
          <w:b/>
          <w:bCs/>
          <w:color w:val="000000" w:themeColor="text1"/>
          <w:sz w:val="24"/>
          <w:highlight w:val="none"/>
          <w:u w:val="single"/>
          <w14:textFill>
            <w14:solidFill>
              <w14:schemeClr w14:val="tx1"/>
            </w14:solidFill>
          </w14:textFill>
        </w:rPr>
      </w:pPr>
      <w:r>
        <w:rPr>
          <w:rFonts w:hint="eastAsia" w:ascii="宋体" w:hAnsi="宋体" w:cs="宋体"/>
          <w:b/>
          <w:bCs/>
          <w:color w:val="000000" w:themeColor="text1"/>
          <w:sz w:val="24"/>
          <w:highlight w:val="none"/>
          <w:u w:val="single"/>
          <w14:textFill>
            <w14:solidFill>
              <w14:schemeClr w14:val="tx1"/>
            </w14:solidFill>
          </w14:textFill>
        </w:rPr>
        <w:t>(2)安全生产费：所报总价的90％在第l次进度付款证书中支付，余下的10％在终期计量支付。</w:t>
      </w:r>
    </w:p>
    <w:p w14:paraId="22E697C0">
      <w:pPr>
        <w:spacing w:line="360" w:lineRule="auto"/>
        <w:ind w:firstLine="482" w:firstLineChars="200"/>
        <w:rPr>
          <w:rFonts w:ascii="宋体" w:hAnsi="宋体" w:cs="宋体"/>
          <w:b/>
          <w:bCs/>
          <w:color w:val="000000" w:themeColor="text1"/>
          <w:kern w:val="0"/>
          <w:sz w:val="24"/>
          <w:highlight w:val="none"/>
          <w:u w:val="single"/>
          <w:lang w:val="zh-CN"/>
          <w14:textFill>
            <w14:solidFill>
              <w14:schemeClr w14:val="tx1"/>
            </w14:solidFill>
          </w14:textFill>
        </w:rPr>
      </w:pPr>
      <w:r>
        <w:rPr>
          <w:rFonts w:hint="eastAsia" w:ascii="宋体" w:hAnsi="宋体" w:cs="宋体"/>
          <w:b/>
          <w:bCs/>
          <w:color w:val="000000" w:themeColor="text1"/>
          <w:kern w:val="0"/>
          <w:sz w:val="24"/>
          <w:highlight w:val="none"/>
          <w:u w:val="single"/>
          <w:lang w:val="zh-CN"/>
          <w14:textFill>
            <w14:solidFill>
              <w14:schemeClr w14:val="tx1"/>
            </w14:solidFill>
          </w14:textFill>
        </w:rPr>
        <w:t>（</w:t>
      </w:r>
      <w:r>
        <w:rPr>
          <w:rFonts w:hint="eastAsia" w:ascii="宋体" w:hAnsi="宋体" w:cs="宋体"/>
          <w:b/>
          <w:bCs/>
          <w:color w:val="000000" w:themeColor="text1"/>
          <w:kern w:val="0"/>
          <w:sz w:val="24"/>
          <w:highlight w:val="none"/>
          <w:u w:val="single"/>
          <w14:textFill>
            <w14:solidFill>
              <w14:schemeClr w14:val="tx1"/>
            </w14:solidFill>
          </w14:textFill>
        </w:rPr>
        <w:t>3</w:t>
      </w:r>
      <w:r>
        <w:rPr>
          <w:rFonts w:hint="eastAsia" w:ascii="宋体" w:hAnsi="宋体" w:cs="宋体"/>
          <w:b/>
          <w:bCs/>
          <w:color w:val="000000" w:themeColor="text1"/>
          <w:kern w:val="0"/>
          <w:sz w:val="24"/>
          <w:highlight w:val="none"/>
          <w:u w:val="single"/>
          <w:lang w:val="zh-CN"/>
          <w14:textFill>
            <w14:solidFill>
              <w14:schemeClr w14:val="tx1"/>
            </w14:solidFill>
          </w14:textFill>
        </w:rPr>
        <w:t>）承包人驻地建设：所报总价的90％在第l次进度付款证书中支付，余下的10％，在承包人驻地建设已经移走和清除，并经</w:t>
      </w:r>
      <w:r>
        <w:rPr>
          <w:rFonts w:hint="eastAsia" w:ascii="宋体" w:hAnsi="宋体" w:cs="宋体"/>
          <w:b/>
          <w:bCs/>
          <w:color w:val="000000" w:themeColor="text1"/>
          <w:kern w:val="0"/>
          <w:sz w:val="24"/>
          <w:highlight w:val="none"/>
          <w:u w:val="single"/>
          <w14:textFill>
            <w14:solidFill>
              <w14:schemeClr w14:val="tx1"/>
            </w14:solidFill>
          </w14:textFill>
        </w:rPr>
        <w:t>咨询</w:t>
      </w:r>
      <w:r>
        <w:rPr>
          <w:rFonts w:hint="eastAsia" w:ascii="宋体" w:hAnsi="宋体" w:cs="宋体"/>
          <w:b/>
          <w:bCs/>
          <w:color w:val="000000" w:themeColor="text1"/>
          <w:kern w:val="0"/>
          <w:sz w:val="24"/>
          <w:highlight w:val="none"/>
          <w:u w:val="single"/>
          <w:lang w:val="zh-CN"/>
          <w14:textFill>
            <w14:solidFill>
              <w14:schemeClr w14:val="tx1"/>
            </w14:solidFill>
          </w14:textFill>
        </w:rPr>
        <w:t>人验收合格时予以支付。</w:t>
      </w:r>
    </w:p>
    <w:p w14:paraId="3ACD4C45">
      <w:pPr>
        <w:spacing w:before="78" w:line="219" w:lineRule="auto"/>
        <w:ind w:left="485"/>
        <w:outlineLvl w:val="4"/>
        <w:rPr>
          <w:rFonts w:ascii="宋体" w:hAnsi="宋体" w:cs="宋体"/>
          <w:color w:val="000000" w:themeColor="text1"/>
          <w:sz w:val="24"/>
          <w:highlight w:val="none"/>
          <w14:textFill>
            <w14:solidFill>
              <w14:schemeClr w14:val="tx1"/>
            </w14:solidFill>
          </w14:textFill>
        </w:rPr>
      </w:pPr>
      <w:r>
        <w:rPr>
          <w:rFonts w:eastAsia="Times New Roman"/>
          <w:b/>
          <w:bCs/>
          <w:color w:val="000000" w:themeColor="text1"/>
          <w:spacing w:val="-3"/>
          <w:sz w:val="24"/>
          <w:highlight w:val="none"/>
          <w14:textFill>
            <w14:solidFill>
              <w14:schemeClr w14:val="tx1"/>
            </w14:solidFill>
          </w14:textFill>
        </w:rPr>
        <w:t xml:space="preserve">17.3 </w:t>
      </w:r>
      <w:r>
        <w:rPr>
          <w:rFonts w:ascii="宋体" w:hAnsi="宋体" w:cs="宋体"/>
          <w:b/>
          <w:bCs/>
          <w:color w:val="000000" w:themeColor="text1"/>
          <w:spacing w:val="-3"/>
          <w:sz w:val="24"/>
          <w:highlight w:val="none"/>
          <w14:textFill>
            <w14:solidFill>
              <w14:schemeClr w14:val="tx1"/>
            </w14:solidFill>
          </w14:textFill>
        </w:rPr>
        <w:t>工程进度付款</w:t>
      </w:r>
    </w:p>
    <w:p w14:paraId="226DC362">
      <w:pPr>
        <w:spacing w:before="125" w:line="360" w:lineRule="auto"/>
        <w:ind w:firstLine="476" w:firstLineChars="200"/>
        <w:rPr>
          <w:rFonts w:ascii="宋体" w:hAnsi="宋体" w:cs="宋体"/>
          <w:color w:val="000000" w:themeColor="text1"/>
          <w:sz w:val="24"/>
          <w:highlight w:val="none"/>
          <w14:textFill>
            <w14:solidFill>
              <w14:schemeClr w14:val="tx1"/>
            </w14:solidFill>
          </w14:textFill>
        </w:rPr>
      </w:pPr>
      <w:r>
        <w:rPr>
          <w:rFonts w:eastAsia="Times New Roman"/>
          <w:color w:val="000000" w:themeColor="text1"/>
          <w:spacing w:val="-1"/>
          <w:sz w:val="24"/>
          <w:highlight w:val="none"/>
          <w14:textFill>
            <w14:solidFill>
              <w14:schemeClr w14:val="tx1"/>
            </w14:solidFill>
          </w14:textFill>
        </w:rPr>
        <w:t xml:space="preserve">17.3.6  </w:t>
      </w:r>
      <w:r>
        <w:rPr>
          <w:rFonts w:ascii="宋体" w:hAnsi="宋体" w:cs="宋体"/>
          <w:color w:val="000000" w:themeColor="text1"/>
          <w:spacing w:val="-1"/>
          <w:sz w:val="24"/>
          <w:highlight w:val="none"/>
          <w14:textFill>
            <w14:solidFill>
              <w14:schemeClr w14:val="tx1"/>
            </w14:solidFill>
          </w14:textFill>
        </w:rPr>
        <w:t>安全生产费支付比例：</w:t>
      </w:r>
      <w:r>
        <w:rPr>
          <w:rFonts w:ascii="宋体" w:hAnsi="宋体" w:cs="宋体"/>
          <w:color w:val="000000" w:themeColor="text1"/>
          <w:spacing w:val="-1"/>
          <w:sz w:val="24"/>
          <w:highlight w:val="none"/>
          <w:u w:val="single"/>
          <w14:textFill>
            <w14:solidFill>
              <w14:schemeClr w14:val="tx1"/>
            </w14:solidFill>
          </w14:textFill>
        </w:rPr>
        <w:t xml:space="preserve"> </w:t>
      </w:r>
      <w:bookmarkStart w:id="233" w:name="OLE_LINK91"/>
      <w:bookmarkStart w:id="234" w:name="OLE_LINK92"/>
      <w:r>
        <w:rPr>
          <w:rFonts w:ascii="宋体" w:hAnsi="宋体" w:cs="宋体"/>
          <w:color w:val="000000" w:themeColor="text1"/>
          <w:spacing w:val="-1"/>
          <w:sz w:val="24"/>
          <w:highlight w:val="none"/>
          <w:u w:val="single"/>
          <w14:textFill>
            <w14:solidFill>
              <w14:schemeClr w14:val="tx1"/>
            </w14:solidFill>
          </w14:textFill>
        </w:rPr>
        <w:t xml:space="preserve">所报该项总价的90%在第 1 次进度付款证书中支付，余下的10%在终期计量支付 </w:t>
      </w:r>
      <w:r>
        <w:rPr>
          <w:rFonts w:ascii="宋体" w:hAnsi="宋体" w:cs="宋体"/>
          <w:color w:val="000000" w:themeColor="text1"/>
          <w:spacing w:val="-1"/>
          <w:sz w:val="24"/>
          <w:highlight w:val="none"/>
          <w14:textFill>
            <w14:solidFill>
              <w14:schemeClr w14:val="tx1"/>
            </w14:solidFill>
          </w14:textFill>
        </w:rPr>
        <w:t>。</w:t>
      </w:r>
      <w:bookmarkEnd w:id="233"/>
      <w:bookmarkEnd w:id="234"/>
    </w:p>
    <w:p w14:paraId="467B8240">
      <w:pPr>
        <w:spacing w:line="360" w:lineRule="auto"/>
        <w:ind w:firstLine="476" w:firstLineChars="200"/>
        <w:rPr>
          <w:rFonts w:ascii="黑体" w:hAnsi="黑体" w:eastAsia="黑体"/>
          <w:color w:val="000000" w:themeColor="text1"/>
          <w:sz w:val="32"/>
          <w:szCs w:val="32"/>
          <w:highlight w:val="none"/>
          <w14:textFill>
            <w14:solidFill>
              <w14:schemeClr w14:val="tx1"/>
            </w14:solidFill>
          </w14:textFill>
        </w:rPr>
      </w:pPr>
      <w:r>
        <w:rPr>
          <w:rFonts w:ascii="宋体" w:hAnsi="宋体" w:cs="宋体"/>
          <w:color w:val="000000" w:themeColor="text1"/>
          <w:spacing w:val="-1"/>
          <w:sz w:val="24"/>
          <w:highlight w:val="none"/>
          <w14:textFill>
            <w14:solidFill>
              <w14:schemeClr w14:val="tx1"/>
            </w14:solidFill>
          </w14:textFill>
        </w:rPr>
        <w:t>安全生产费支付条件：</w:t>
      </w:r>
      <w:r>
        <w:rPr>
          <w:rFonts w:ascii="宋体" w:hAnsi="宋体" w:cs="宋体"/>
          <w:color w:val="000000" w:themeColor="text1"/>
          <w:spacing w:val="-1"/>
          <w:sz w:val="24"/>
          <w:highlight w:val="none"/>
          <w:u w:val="single"/>
          <w14:textFill>
            <w14:solidFill>
              <w14:schemeClr w14:val="tx1"/>
            </w14:solidFill>
          </w14:textFill>
        </w:rPr>
        <w:t xml:space="preserve"> </w:t>
      </w:r>
      <w:bookmarkStart w:id="235" w:name="OLE_LINK89"/>
      <w:bookmarkStart w:id="236" w:name="OLE_LINK90"/>
      <w:r>
        <w:rPr>
          <w:rFonts w:hint="eastAsia" w:ascii="宋体" w:hAnsi="宋体" w:cs="宋体"/>
          <w:color w:val="000000" w:themeColor="text1"/>
          <w:spacing w:val="-1"/>
          <w:sz w:val="24"/>
          <w:highlight w:val="none"/>
          <w:u w:val="single"/>
          <w14:textFill>
            <w14:solidFill>
              <w14:schemeClr w14:val="tx1"/>
            </w14:solidFill>
          </w14:textFill>
        </w:rPr>
        <w:t>在</w:t>
      </w:r>
      <w:r>
        <w:rPr>
          <w:rFonts w:ascii="宋体" w:hAnsi="宋体" w:cs="宋体"/>
          <w:color w:val="000000" w:themeColor="text1"/>
          <w:spacing w:val="-1"/>
          <w:sz w:val="24"/>
          <w:highlight w:val="none"/>
          <w:u w:val="single"/>
          <w14:textFill>
            <w14:solidFill>
              <w14:schemeClr w14:val="tx1"/>
            </w14:solidFill>
          </w14:textFill>
        </w:rPr>
        <w:t>施工安全防护用具及设施的采购和更新、安全施工措施落实、安全生产条件改善</w:t>
      </w:r>
      <w:r>
        <w:rPr>
          <w:rFonts w:hint="eastAsia" w:ascii="宋体" w:hAnsi="宋体" w:cs="宋体"/>
          <w:color w:val="000000" w:themeColor="text1"/>
          <w:spacing w:val="-1"/>
          <w:sz w:val="24"/>
          <w:highlight w:val="none"/>
          <w:u w:val="single"/>
          <w14:textFill>
            <w14:solidFill>
              <w14:schemeClr w14:val="tx1"/>
            </w14:solidFill>
          </w14:textFill>
        </w:rPr>
        <w:t>后支付</w:t>
      </w:r>
      <w:r>
        <w:rPr>
          <w:rFonts w:ascii="宋体" w:hAnsi="宋体" w:cs="宋体"/>
          <w:color w:val="000000" w:themeColor="text1"/>
          <w:spacing w:val="-1"/>
          <w:sz w:val="24"/>
          <w:highlight w:val="none"/>
          <w:u w:val="single"/>
          <w14:textFill>
            <w14:solidFill>
              <w14:schemeClr w14:val="tx1"/>
            </w14:solidFill>
          </w14:textFill>
        </w:rPr>
        <w:t xml:space="preserve"> </w:t>
      </w:r>
      <w:r>
        <w:rPr>
          <w:rFonts w:ascii="宋体" w:hAnsi="宋体" w:cs="宋体"/>
          <w:color w:val="000000" w:themeColor="text1"/>
          <w:spacing w:val="-1"/>
          <w:sz w:val="24"/>
          <w:highlight w:val="none"/>
          <w14:textFill>
            <w14:solidFill>
              <w14:schemeClr w14:val="tx1"/>
            </w14:solidFill>
          </w14:textFill>
        </w:rPr>
        <w:t>。</w:t>
      </w:r>
      <w:bookmarkEnd w:id="235"/>
      <w:bookmarkEnd w:id="236"/>
    </w:p>
    <w:p w14:paraId="610FD977">
      <w:pPr>
        <w:spacing w:before="78" w:line="219" w:lineRule="auto"/>
        <w:ind w:left="495"/>
        <w:outlineLvl w:val="4"/>
        <w:rPr>
          <w:rFonts w:ascii="宋体" w:hAnsi="宋体" w:cs="宋体"/>
          <w:color w:val="000000" w:themeColor="text1"/>
          <w:sz w:val="24"/>
          <w:highlight w:val="none"/>
          <w14:textFill>
            <w14:solidFill>
              <w14:schemeClr w14:val="tx1"/>
            </w14:solidFill>
          </w14:textFill>
        </w:rPr>
      </w:pPr>
      <w:r>
        <w:rPr>
          <w:rFonts w:eastAsia="Times New Roman"/>
          <w:b/>
          <w:bCs/>
          <w:color w:val="000000" w:themeColor="text1"/>
          <w:spacing w:val="-3"/>
          <w:sz w:val="24"/>
          <w:highlight w:val="none"/>
          <w14:textFill>
            <w14:solidFill>
              <w14:schemeClr w14:val="tx1"/>
            </w14:solidFill>
          </w14:textFill>
        </w:rPr>
        <w:t xml:space="preserve">17.7  </w:t>
      </w:r>
      <w:r>
        <w:rPr>
          <w:rFonts w:ascii="宋体" w:hAnsi="宋体" w:cs="宋体"/>
          <w:b/>
          <w:bCs/>
          <w:color w:val="000000" w:themeColor="text1"/>
          <w:spacing w:val="-3"/>
          <w:sz w:val="24"/>
          <w:highlight w:val="none"/>
          <w14:textFill>
            <w14:solidFill>
              <w14:schemeClr w14:val="tx1"/>
            </w14:solidFill>
          </w14:textFill>
        </w:rPr>
        <w:t>财政资金申请与支付</w:t>
      </w:r>
    </w:p>
    <w:p w14:paraId="00C5FB4F">
      <w:pPr>
        <w:spacing w:before="125" w:line="219" w:lineRule="auto"/>
        <w:ind w:left="490"/>
        <w:rPr>
          <w:color w:val="000000" w:themeColor="text1"/>
          <w:highlight w:val="none"/>
          <w14:textFill>
            <w14:solidFill>
              <w14:schemeClr w14:val="tx1"/>
            </w14:solidFill>
          </w14:textFill>
        </w:rPr>
      </w:pPr>
      <w:r>
        <w:rPr>
          <w:rFonts w:ascii="宋体" w:hAnsi="宋体" w:cs="宋体"/>
          <w:color w:val="000000" w:themeColor="text1"/>
          <w:spacing w:val="-1"/>
          <w:sz w:val="24"/>
          <w:highlight w:val="none"/>
          <w14:textFill>
            <w14:solidFill>
              <w14:schemeClr w14:val="tx1"/>
            </w14:solidFill>
          </w14:textFill>
        </w:rPr>
        <w:t>养护项目资金来源为：</w:t>
      </w:r>
      <w:r>
        <w:rPr>
          <w:rFonts w:ascii="宋体" w:hAnsi="宋体" w:cs="宋体"/>
          <w:color w:val="000000" w:themeColor="text1"/>
          <w:spacing w:val="-1"/>
          <w:sz w:val="24"/>
          <w:highlight w:val="none"/>
          <w:u w:val="single"/>
          <w14:textFill>
            <w14:solidFill>
              <w14:schemeClr w14:val="tx1"/>
            </w14:solidFill>
          </w14:textFill>
        </w:rPr>
        <w:t xml:space="preserve"> 财政资金 </w:t>
      </w:r>
      <w:r>
        <w:rPr>
          <w:rFonts w:ascii="宋体" w:hAnsi="宋体" w:cs="宋体"/>
          <w:color w:val="000000" w:themeColor="text1"/>
          <w:spacing w:val="-1"/>
          <w:sz w:val="24"/>
          <w:highlight w:val="none"/>
          <w14:textFill>
            <w14:solidFill>
              <w14:schemeClr w14:val="tx1"/>
            </w14:solidFill>
          </w14:textFill>
        </w:rPr>
        <w:t>。</w:t>
      </w:r>
    </w:p>
    <w:p w14:paraId="0555295F">
      <w:pPr>
        <w:spacing w:before="78" w:line="219" w:lineRule="auto"/>
        <w:ind w:left="495"/>
        <w:outlineLvl w:val="3"/>
        <w:rPr>
          <w:rFonts w:ascii="宋体" w:hAnsi="宋体" w:cs="宋体"/>
          <w:color w:val="000000" w:themeColor="text1"/>
          <w:sz w:val="24"/>
          <w:highlight w:val="none"/>
          <w14:textFill>
            <w14:solidFill>
              <w14:schemeClr w14:val="tx1"/>
            </w14:solidFill>
          </w14:textFill>
        </w:rPr>
      </w:pPr>
      <w:bookmarkStart w:id="237" w:name="bookmark101"/>
      <w:bookmarkEnd w:id="237"/>
      <w:bookmarkStart w:id="238" w:name="bookmark102"/>
      <w:bookmarkEnd w:id="238"/>
      <w:r>
        <w:rPr>
          <w:rFonts w:eastAsia="Times New Roman"/>
          <w:b/>
          <w:bCs/>
          <w:color w:val="000000" w:themeColor="text1"/>
          <w:spacing w:val="-6"/>
          <w:sz w:val="24"/>
          <w:highlight w:val="none"/>
          <w14:textFill>
            <w14:solidFill>
              <w14:schemeClr w14:val="tx1"/>
            </w14:solidFill>
          </w14:textFill>
        </w:rPr>
        <w:t>18.</w:t>
      </w:r>
      <w:r>
        <w:rPr>
          <w:rFonts w:eastAsia="Times New Roman"/>
          <w:b/>
          <w:bCs/>
          <w:color w:val="000000" w:themeColor="text1"/>
          <w:spacing w:val="8"/>
          <w:sz w:val="24"/>
          <w:highlight w:val="none"/>
          <w14:textFill>
            <w14:solidFill>
              <w14:schemeClr w14:val="tx1"/>
            </w14:solidFill>
          </w14:textFill>
        </w:rPr>
        <w:t xml:space="preserve">  </w:t>
      </w:r>
      <w:r>
        <w:rPr>
          <w:rFonts w:ascii="宋体" w:hAnsi="宋体" w:cs="宋体"/>
          <w:b/>
          <w:bCs/>
          <w:color w:val="000000" w:themeColor="text1"/>
          <w:spacing w:val="-6"/>
          <w:sz w:val="24"/>
          <w:highlight w:val="none"/>
          <w14:textFill>
            <w14:solidFill>
              <w14:schemeClr w14:val="tx1"/>
            </w14:solidFill>
          </w14:textFill>
        </w:rPr>
        <w:t>工程验收</w:t>
      </w:r>
    </w:p>
    <w:p w14:paraId="38E97AE4">
      <w:pPr>
        <w:spacing w:before="116" w:line="219" w:lineRule="auto"/>
        <w:ind w:left="495"/>
        <w:outlineLvl w:val="4"/>
        <w:rPr>
          <w:rFonts w:ascii="宋体" w:hAnsi="宋体" w:cs="宋体"/>
          <w:color w:val="000000" w:themeColor="text1"/>
          <w:sz w:val="24"/>
          <w:highlight w:val="none"/>
          <w14:textFill>
            <w14:solidFill>
              <w14:schemeClr w14:val="tx1"/>
            </w14:solidFill>
          </w14:textFill>
        </w:rPr>
      </w:pPr>
      <w:r>
        <w:rPr>
          <w:rFonts w:eastAsia="Times New Roman"/>
          <w:b/>
          <w:bCs/>
          <w:color w:val="000000" w:themeColor="text1"/>
          <w:spacing w:val="-3"/>
          <w:sz w:val="24"/>
          <w:highlight w:val="none"/>
          <w14:textFill>
            <w14:solidFill>
              <w14:schemeClr w14:val="tx1"/>
            </w14:solidFill>
          </w14:textFill>
        </w:rPr>
        <w:t xml:space="preserve">18.1  </w:t>
      </w:r>
      <w:r>
        <w:rPr>
          <w:rFonts w:ascii="宋体" w:hAnsi="宋体" w:cs="宋体"/>
          <w:b/>
          <w:bCs/>
          <w:color w:val="000000" w:themeColor="text1"/>
          <w:spacing w:val="-3"/>
          <w:sz w:val="24"/>
          <w:highlight w:val="none"/>
          <w14:textFill>
            <w14:solidFill>
              <w14:schemeClr w14:val="tx1"/>
            </w14:solidFill>
          </w14:textFill>
        </w:rPr>
        <w:t>工程验收的含义</w:t>
      </w:r>
    </w:p>
    <w:p w14:paraId="4EE9EBDF">
      <w:pPr>
        <w:spacing w:before="122" w:line="360" w:lineRule="auto"/>
        <w:ind w:firstLine="468" w:firstLineChars="200"/>
        <w:rPr>
          <w:rFonts w:ascii="宋体" w:hAnsi="宋体" w:cs="宋体"/>
          <w:color w:val="000000" w:themeColor="text1"/>
          <w:sz w:val="24"/>
          <w:highlight w:val="none"/>
          <w14:textFill>
            <w14:solidFill>
              <w14:schemeClr w14:val="tx1"/>
            </w14:solidFill>
          </w14:textFill>
        </w:rPr>
      </w:pPr>
      <w:r>
        <w:rPr>
          <w:rFonts w:eastAsia="Times New Roman"/>
          <w:color w:val="000000" w:themeColor="text1"/>
          <w:spacing w:val="-3"/>
          <w:sz w:val="24"/>
          <w:highlight w:val="none"/>
          <w14:textFill>
            <w14:solidFill>
              <w14:schemeClr w14:val="tx1"/>
            </w14:solidFill>
          </w14:textFill>
        </w:rPr>
        <w:t xml:space="preserve">18.1.1  </w:t>
      </w:r>
      <w:r>
        <w:rPr>
          <w:rFonts w:ascii="宋体" w:hAnsi="宋体" w:cs="宋体"/>
          <w:color w:val="000000" w:themeColor="text1"/>
          <w:spacing w:val="-3"/>
          <w:sz w:val="24"/>
          <w:highlight w:val="none"/>
          <w14:textFill>
            <w14:solidFill>
              <w14:schemeClr w14:val="tx1"/>
            </w14:solidFill>
          </w14:textFill>
        </w:rPr>
        <w:t>验收单位：</w:t>
      </w:r>
      <w:r>
        <w:rPr>
          <w:rFonts w:ascii="宋体" w:hAnsi="宋体" w:cs="宋体"/>
          <w:color w:val="000000" w:themeColor="text1"/>
          <w:spacing w:val="1"/>
          <w:sz w:val="24"/>
          <w:highlight w:val="none"/>
          <w:u w:val="single"/>
          <w14:textFill>
            <w14:solidFill>
              <w14:schemeClr w14:val="tx1"/>
            </w14:solidFill>
          </w14:textFill>
        </w:rPr>
        <w:t xml:space="preserve"> </w:t>
      </w:r>
      <w:r>
        <w:rPr>
          <w:rFonts w:hint="eastAsia" w:ascii="宋体" w:hAnsi="宋体" w:cs="宋体"/>
          <w:color w:val="000000" w:themeColor="text1"/>
          <w:spacing w:val="1"/>
          <w:sz w:val="24"/>
          <w:highlight w:val="none"/>
          <w:u w:val="single"/>
          <w:lang w:val="zh-CN"/>
          <w14:textFill>
            <w14:solidFill>
              <w14:schemeClr w14:val="tx1"/>
            </w14:solidFill>
          </w14:textFill>
        </w:rPr>
        <w:t>由发包人主持，由发包人、监理人、质监、设计、施工、运营、管理养护等有关部门代表组成交工验收小组，对本项目的工程质量进行评定，并写出交工验收报告报交通运输主管部门备案</w:t>
      </w:r>
      <w:r>
        <w:rPr>
          <w:rFonts w:ascii="宋体" w:hAnsi="宋体" w:cs="宋体"/>
          <w:color w:val="000000" w:themeColor="text1"/>
          <w:spacing w:val="1"/>
          <w:sz w:val="24"/>
          <w:highlight w:val="none"/>
          <w:u w:val="single"/>
          <w14:textFill>
            <w14:solidFill>
              <w14:schemeClr w14:val="tx1"/>
            </w14:solidFill>
          </w14:textFill>
        </w:rPr>
        <w:t xml:space="preserve"> </w:t>
      </w:r>
      <w:r>
        <w:rPr>
          <w:rFonts w:ascii="宋体" w:hAnsi="宋体" w:cs="宋体"/>
          <w:color w:val="000000" w:themeColor="text1"/>
          <w:spacing w:val="-3"/>
          <w:sz w:val="24"/>
          <w:highlight w:val="none"/>
          <w14:textFill>
            <w14:solidFill>
              <w14:schemeClr w14:val="tx1"/>
            </w14:solidFill>
          </w14:textFill>
        </w:rPr>
        <w:t>。</w:t>
      </w:r>
    </w:p>
    <w:p w14:paraId="2233D5D5">
      <w:pPr>
        <w:spacing w:before="2" w:line="360" w:lineRule="auto"/>
        <w:ind w:left="508"/>
        <w:rPr>
          <w:rFonts w:ascii="宋体" w:hAnsi="宋体" w:cs="宋体"/>
          <w:color w:val="000000" w:themeColor="text1"/>
          <w:sz w:val="12"/>
          <w:szCs w:val="12"/>
          <w:highlight w:val="none"/>
          <w14:textFill>
            <w14:solidFill>
              <w14:schemeClr w14:val="tx1"/>
            </w14:solidFill>
          </w14:textFill>
        </w:rPr>
      </w:pPr>
      <w:r>
        <w:rPr>
          <w:rFonts w:eastAsia="Times New Roman"/>
          <w:color w:val="000000" w:themeColor="text1"/>
          <w:spacing w:val="-2"/>
          <w:sz w:val="24"/>
          <w:highlight w:val="none"/>
          <w14:textFill>
            <w14:solidFill>
              <w14:schemeClr w14:val="tx1"/>
            </w14:solidFill>
          </w14:textFill>
        </w:rPr>
        <w:t xml:space="preserve">18.1.2  </w:t>
      </w:r>
      <w:r>
        <w:rPr>
          <w:rFonts w:ascii="宋体" w:hAnsi="宋体" w:cs="宋体"/>
          <w:color w:val="000000" w:themeColor="text1"/>
          <w:spacing w:val="-2"/>
          <w:sz w:val="24"/>
          <w:highlight w:val="none"/>
          <w14:textFill>
            <w14:solidFill>
              <w14:schemeClr w14:val="tx1"/>
            </w14:solidFill>
          </w14:textFill>
        </w:rPr>
        <w:t>本项目工程验收方式：</w:t>
      </w:r>
      <w:r>
        <w:rPr>
          <w:rFonts w:ascii="宋体" w:hAnsi="宋体" w:cs="宋体"/>
          <w:color w:val="000000" w:themeColor="text1"/>
          <w:spacing w:val="-2"/>
          <w:sz w:val="24"/>
          <w:highlight w:val="none"/>
          <w:u w:val="single"/>
          <w14:textFill>
            <w14:solidFill>
              <w14:schemeClr w14:val="tx1"/>
            </w14:solidFill>
          </w14:textFill>
        </w:rPr>
        <w:t xml:space="preserve"> 按交工验收和竣工验收两阶段执行 </w:t>
      </w:r>
      <w:r>
        <w:rPr>
          <w:rFonts w:ascii="宋体" w:hAnsi="宋体" w:cs="宋体"/>
          <w:color w:val="000000" w:themeColor="text1"/>
          <w:spacing w:val="-86"/>
          <w:sz w:val="24"/>
          <w:highlight w:val="none"/>
          <w14:textFill>
            <w14:solidFill>
              <w14:schemeClr w14:val="tx1"/>
            </w14:solidFill>
          </w14:textFill>
        </w:rPr>
        <w:t xml:space="preserve"> </w:t>
      </w:r>
      <w:r>
        <w:rPr>
          <w:rFonts w:ascii="宋体" w:hAnsi="宋体" w:cs="宋体"/>
          <w:color w:val="000000" w:themeColor="text1"/>
          <w:spacing w:val="-2"/>
          <w:sz w:val="24"/>
          <w:highlight w:val="none"/>
          <w14:textFill>
            <w14:solidFill>
              <w14:schemeClr w14:val="tx1"/>
            </w14:solidFill>
          </w14:textFill>
        </w:rPr>
        <w:t>。</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"bookmark253" </w:instrText>
      </w:r>
      <w:r>
        <w:rPr>
          <w:color w:val="000000" w:themeColor="text1"/>
          <w:highlight w:val="none"/>
          <w14:textFill>
            <w14:solidFill>
              <w14:schemeClr w14:val="tx1"/>
            </w14:solidFill>
          </w14:textFill>
        </w:rPr>
        <w:fldChar w:fldCharType="separate"/>
      </w:r>
      <w:r>
        <w:rPr>
          <w:rFonts w:ascii="宋体" w:hAnsi="宋体" w:cs="宋体"/>
          <w:color w:val="000000" w:themeColor="text1"/>
          <w:spacing w:val="-2"/>
          <w:position w:val="11"/>
          <w:sz w:val="12"/>
          <w:szCs w:val="12"/>
          <w:highlight w:val="none"/>
          <w14:textFill>
            <w14:solidFill>
              <w14:schemeClr w14:val="tx1"/>
            </w14:solidFill>
          </w14:textFill>
        </w:rPr>
        <w:t>①</w:t>
      </w:r>
      <w:r>
        <w:rPr>
          <w:rFonts w:ascii="宋体" w:hAnsi="宋体" w:cs="宋体"/>
          <w:color w:val="000000" w:themeColor="text1"/>
          <w:spacing w:val="-2"/>
          <w:position w:val="11"/>
          <w:sz w:val="12"/>
          <w:szCs w:val="12"/>
          <w:highlight w:val="none"/>
          <w14:textFill>
            <w14:solidFill>
              <w14:schemeClr w14:val="tx1"/>
            </w14:solidFill>
          </w14:textFill>
        </w:rPr>
        <w:fldChar w:fldCharType="end"/>
      </w:r>
    </w:p>
    <w:p w14:paraId="17127588">
      <w:pPr>
        <w:spacing w:before="80" w:line="219" w:lineRule="auto"/>
        <w:ind w:left="490"/>
        <w:rPr>
          <w:color w:val="000000" w:themeColor="text1"/>
          <w:highlight w:val="none"/>
          <w14:textFill>
            <w14:solidFill>
              <w14:schemeClr w14:val="tx1"/>
            </w14:solidFill>
          </w14:textFill>
        </w:rPr>
      </w:pPr>
      <w:r>
        <w:rPr>
          <w:rFonts w:ascii="宋体" w:hAnsi="宋体" w:cs="宋体"/>
          <w:color w:val="000000" w:themeColor="text1"/>
          <w:spacing w:val="-1"/>
          <w:sz w:val="24"/>
          <w:highlight w:val="none"/>
          <w14:textFill>
            <w14:solidFill>
              <w14:schemeClr w14:val="tx1"/>
            </w14:solidFill>
          </w14:textFill>
        </w:rPr>
        <w:t>本项目工程验收时间：</w:t>
      </w:r>
      <w:r>
        <w:rPr>
          <w:rFonts w:hint="eastAsia" w:ascii="宋体" w:hAnsi="宋体" w:cs="宋体"/>
          <w:color w:val="000000" w:themeColor="text1"/>
          <w:spacing w:val="-1"/>
          <w:sz w:val="24"/>
          <w:highlight w:val="none"/>
          <w:u w:val="single"/>
          <w14:textFill>
            <w14:solidFill>
              <w14:schemeClr w14:val="tx1"/>
            </w14:solidFill>
          </w14:textFill>
        </w:rPr>
        <w:t>完工交付使用后6个月之内</w:t>
      </w:r>
      <w:r>
        <w:rPr>
          <w:rFonts w:hint="eastAsia" w:ascii="宋体" w:hAnsi="宋体" w:cs="宋体"/>
          <w:color w:val="000000" w:themeColor="text1"/>
          <w:spacing w:val="-1"/>
          <w:sz w:val="24"/>
          <w:highlight w:val="none"/>
          <w14:textFill>
            <w14:solidFill>
              <w14:schemeClr w14:val="tx1"/>
            </w14:solidFill>
          </w14:textFill>
        </w:rPr>
        <w:t>。</w:t>
      </w:r>
    </w:p>
    <w:p w14:paraId="6D8F5E1A">
      <w:pPr>
        <w:spacing w:before="79" w:line="220" w:lineRule="auto"/>
        <w:ind w:left="485"/>
        <w:outlineLvl w:val="3"/>
        <w:rPr>
          <w:rFonts w:ascii="宋体" w:hAnsi="宋体" w:cs="宋体"/>
          <w:color w:val="000000" w:themeColor="text1"/>
          <w:sz w:val="24"/>
          <w:highlight w:val="none"/>
          <w14:textFill>
            <w14:solidFill>
              <w14:schemeClr w14:val="tx1"/>
            </w14:solidFill>
          </w14:textFill>
        </w:rPr>
      </w:pPr>
      <w:bookmarkStart w:id="239" w:name="bookmark103"/>
      <w:bookmarkEnd w:id="239"/>
      <w:bookmarkStart w:id="240" w:name="bookmark104"/>
      <w:bookmarkEnd w:id="240"/>
      <w:r>
        <w:rPr>
          <w:rFonts w:eastAsia="Times New Roman"/>
          <w:b/>
          <w:bCs/>
          <w:color w:val="000000" w:themeColor="text1"/>
          <w:spacing w:val="-5"/>
          <w:sz w:val="24"/>
          <w:highlight w:val="none"/>
          <w14:textFill>
            <w14:solidFill>
              <w14:schemeClr w14:val="tx1"/>
            </w14:solidFill>
          </w14:textFill>
        </w:rPr>
        <w:t>20.</w:t>
      </w:r>
      <w:r>
        <w:rPr>
          <w:rFonts w:eastAsia="Times New Roman"/>
          <w:b/>
          <w:bCs/>
          <w:color w:val="000000" w:themeColor="text1"/>
          <w:spacing w:val="6"/>
          <w:sz w:val="24"/>
          <w:highlight w:val="none"/>
          <w14:textFill>
            <w14:solidFill>
              <w14:schemeClr w14:val="tx1"/>
            </w14:solidFill>
          </w14:textFill>
        </w:rPr>
        <w:t xml:space="preserve">  </w:t>
      </w:r>
      <w:r>
        <w:rPr>
          <w:rFonts w:ascii="宋体" w:hAnsi="宋体" w:cs="宋体"/>
          <w:b/>
          <w:bCs/>
          <w:color w:val="000000" w:themeColor="text1"/>
          <w:spacing w:val="-5"/>
          <w:sz w:val="24"/>
          <w:highlight w:val="none"/>
          <w14:textFill>
            <w14:solidFill>
              <w14:schemeClr w14:val="tx1"/>
            </w14:solidFill>
          </w14:textFill>
        </w:rPr>
        <w:t>保险</w:t>
      </w:r>
    </w:p>
    <w:p w14:paraId="5BA65D5A">
      <w:pPr>
        <w:spacing w:before="115" w:line="220" w:lineRule="auto"/>
        <w:ind w:left="485"/>
        <w:outlineLvl w:val="4"/>
        <w:rPr>
          <w:rFonts w:ascii="宋体" w:hAnsi="宋体" w:cs="宋体"/>
          <w:color w:val="000000" w:themeColor="text1"/>
          <w:sz w:val="24"/>
          <w:highlight w:val="none"/>
          <w14:textFill>
            <w14:solidFill>
              <w14:schemeClr w14:val="tx1"/>
            </w14:solidFill>
          </w14:textFill>
        </w:rPr>
      </w:pPr>
      <w:r>
        <w:rPr>
          <w:rFonts w:eastAsia="Times New Roman"/>
          <w:b/>
          <w:bCs/>
          <w:color w:val="000000" w:themeColor="text1"/>
          <w:spacing w:val="-2"/>
          <w:sz w:val="24"/>
          <w:highlight w:val="none"/>
          <w14:textFill>
            <w14:solidFill>
              <w14:schemeClr w14:val="tx1"/>
            </w14:solidFill>
          </w14:textFill>
        </w:rPr>
        <w:t xml:space="preserve">20.6  </w:t>
      </w:r>
      <w:r>
        <w:rPr>
          <w:rFonts w:ascii="宋体" w:hAnsi="宋体" w:cs="宋体"/>
          <w:b/>
          <w:bCs/>
          <w:color w:val="000000" w:themeColor="text1"/>
          <w:spacing w:val="-2"/>
          <w:sz w:val="24"/>
          <w:highlight w:val="none"/>
          <w14:textFill>
            <w14:solidFill>
              <w14:schemeClr w14:val="tx1"/>
            </w14:solidFill>
          </w14:textFill>
        </w:rPr>
        <w:t>对各项保险的一般要求</w:t>
      </w:r>
    </w:p>
    <w:p w14:paraId="151613E9">
      <w:pPr>
        <w:spacing w:before="121" w:line="311" w:lineRule="auto"/>
        <w:ind w:left="26" w:firstLine="458"/>
        <w:rPr>
          <w:color w:val="000000" w:themeColor="text1"/>
          <w:highlight w:val="none"/>
          <w14:textFill>
            <w14:solidFill>
              <w14:schemeClr w14:val="tx1"/>
            </w14:solidFill>
          </w14:textFill>
        </w:rPr>
      </w:pPr>
      <w:r>
        <w:rPr>
          <w:rFonts w:eastAsia="Times New Roman"/>
          <w:color w:val="000000" w:themeColor="text1"/>
          <w:spacing w:val="-11"/>
          <w:sz w:val="24"/>
          <w:highlight w:val="none"/>
          <w14:textFill>
            <w14:solidFill>
              <w14:schemeClr w14:val="tx1"/>
            </w14:solidFill>
          </w14:textFill>
        </w:rPr>
        <w:t xml:space="preserve">20.6.1   </w:t>
      </w:r>
      <w:r>
        <w:rPr>
          <w:rFonts w:ascii="宋体" w:hAnsi="宋体" w:cs="宋体"/>
          <w:color w:val="000000" w:themeColor="text1"/>
          <w:spacing w:val="-11"/>
          <w:sz w:val="24"/>
          <w:highlight w:val="none"/>
          <w14:textFill>
            <w14:solidFill>
              <w14:schemeClr w14:val="tx1"/>
            </w14:solidFill>
          </w14:textFill>
        </w:rPr>
        <w:t>承</w:t>
      </w:r>
      <w:r>
        <w:rPr>
          <w:rFonts w:ascii="宋体" w:hAnsi="宋体" w:cs="宋体"/>
          <w:color w:val="000000" w:themeColor="text1"/>
          <w:spacing w:val="-61"/>
          <w:sz w:val="24"/>
          <w:highlight w:val="none"/>
          <w14:textFill>
            <w14:solidFill>
              <w14:schemeClr w14:val="tx1"/>
            </w14:solidFill>
          </w14:textFill>
        </w:rPr>
        <w:t xml:space="preserve"> </w:t>
      </w:r>
      <w:r>
        <w:rPr>
          <w:rFonts w:ascii="宋体" w:hAnsi="宋体" w:cs="宋体"/>
          <w:color w:val="000000" w:themeColor="text1"/>
          <w:spacing w:val="-11"/>
          <w:sz w:val="24"/>
          <w:highlight w:val="none"/>
          <w14:textFill>
            <w14:solidFill>
              <w14:schemeClr w14:val="tx1"/>
            </w14:solidFill>
          </w14:textFill>
        </w:rPr>
        <w:t>包</w:t>
      </w:r>
      <w:r>
        <w:rPr>
          <w:rFonts w:ascii="宋体" w:hAnsi="宋体" w:cs="宋体"/>
          <w:color w:val="000000" w:themeColor="text1"/>
          <w:spacing w:val="-60"/>
          <w:sz w:val="24"/>
          <w:highlight w:val="none"/>
          <w14:textFill>
            <w14:solidFill>
              <w14:schemeClr w14:val="tx1"/>
            </w14:solidFill>
          </w14:textFill>
        </w:rPr>
        <w:t xml:space="preserve"> </w:t>
      </w:r>
      <w:r>
        <w:rPr>
          <w:rFonts w:ascii="宋体" w:hAnsi="宋体" w:cs="宋体"/>
          <w:color w:val="000000" w:themeColor="text1"/>
          <w:spacing w:val="-11"/>
          <w:sz w:val="24"/>
          <w:highlight w:val="none"/>
          <w14:textFill>
            <w14:solidFill>
              <w14:schemeClr w14:val="tx1"/>
            </w14:solidFill>
          </w14:textFill>
        </w:rPr>
        <w:t>人</w:t>
      </w:r>
      <w:r>
        <w:rPr>
          <w:rFonts w:ascii="宋体" w:hAnsi="宋体" w:cs="宋体"/>
          <w:color w:val="000000" w:themeColor="text1"/>
          <w:spacing w:val="-41"/>
          <w:sz w:val="24"/>
          <w:highlight w:val="none"/>
          <w14:textFill>
            <w14:solidFill>
              <w14:schemeClr w14:val="tx1"/>
            </w14:solidFill>
          </w14:textFill>
        </w:rPr>
        <w:t xml:space="preserve"> </w:t>
      </w:r>
      <w:r>
        <w:rPr>
          <w:rFonts w:ascii="宋体" w:hAnsi="宋体" w:cs="宋体"/>
          <w:color w:val="000000" w:themeColor="text1"/>
          <w:spacing w:val="-11"/>
          <w:sz w:val="24"/>
          <w:highlight w:val="none"/>
          <w14:textFill>
            <w14:solidFill>
              <w14:schemeClr w14:val="tx1"/>
            </w14:solidFill>
          </w14:textFill>
        </w:rPr>
        <w:t>向</w:t>
      </w:r>
      <w:r>
        <w:rPr>
          <w:rFonts w:ascii="宋体" w:hAnsi="宋体" w:cs="宋体"/>
          <w:color w:val="000000" w:themeColor="text1"/>
          <w:spacing w:val="-59"/>
          <w:sz w:val="24"/>
          <w:highlight w:val="none"/>
          <w14:textFill>
            <w14:solidFill>
              <w14:schemeClr w14:val="tx1"/>
            </w14:solidFill>
          </w14:textFill>
        </w:rPr>
        <w:t xml:space="preserve"> </w:t>
      </w:r>
      <w:r>
        <w:rPr>
          <w:rFonts w:ascii="宋体" w:hAnsi="宋体" w:cs="宋体"/>
          <w:color w:val="000000" w:themeColor="text1"/>
          <w:spacing w:val="-11"/>
          <w:sz w:val="24"/>
          <w:highlight w:val="none"/>
          <w14:textFill>
            <w14:solidFill>
              <w14:schemeClr w14:val="tx1"/>
            </w14:solidFill>
          </w14:textFill>
        </w:rPr>
        <w:t>发</w:t>
      </w:r>
      <w:r>
        <w:rPr>
          <w:rFonts w:ascii="宋体" w:hAnsi="宋体" w:cs="宋体"/>
          <w:color w:val="000000" w:themeColor="text1"/>
          <w:spacing w:val="-62"/>
          <w:sz w:val="24"/>
          <w:highlight w:val="none"/>
          <w14:textFill>
            <w14:solidFill>
              <w14:schemeClr w14:val="tx1"/>
            </w14:solidFill>
          </w14:textFill>
        </w:rPr>
        <w:t xml:space="preserve"> </w:t>
      </w:r>
      <w:r>
        <w:rPr>
          <w:rFonts w:ascii="宋体" w:hAnsi="宋体" w:cs="宋体"/>
          <w:color w:val="000000" w:themeColor="text1"/>
          <w:spacing w:val="-11"/>
          <w:sz w:val="24"/>
          <w:highlight w:val="none"/>
          <w14:textFill>
            <w14:solidFill>
              <w14:schemeClr w14:val="tx1"/>
            </w14:solidFill>
          </w14:textFill>
        </w:rPr>
        <w:t>包</w:t>
      </w:r>
      <w:r>
        <w:rPr>
          <w:rFonts w:ascii="宋体" w:hAnsi="宋体" w:cs="宋体"/>
          <w:color w:val="000000" w:themeColor="text1"/>
          <w:spacing w:val="-61"/>
          <w:sz w:val="24"/>
          <w:highlight w:val="none"/>
          <w14:textFill>
            <w14:solidFill>
              <w14:schemeClr w14:val="tx1"/>
            </w14:solidFill>
          </w14:textFill>
        </w:rPr>
        <w:t xml:space="preserve"> </w:t>
      </w:r>
      <w:r>
        <w:rPr>
          <w:rFonts w:ascii="宋体" w:hAnsi="宋体" w:cs="宋体"/>
          <w:color w:val="000000" w:themeColor="text1"/>
          <w:spacing w:val="-11"/>
          <w:sz w:val="24"/>
          <w:highlight w:val="none"/>
          <w14:textFill>
            <w14:solidFill>
              <w14:schemeClr w14:val="tx1"/>
            </w14:solidFill>
          </w14:textFill>
        </w:rPr>
        <w:t>人</w:t>
      </w:r>
      <w:r>
        <w:rPr>
          <w:rFonts w:ascii="宋体" w:hAnsi="宋体" w:cs="宋体"/>
          <w:color w:val="000000" w:themeColor="text1"/>
          <w:spacing w:val="-62"/>
          <w:sz w:val="24"/>
          <w:highlight w:val="none"/>
          <w14:textFill>
            <w14:solidFill>
              <w14:schemeClr w14:val="tx1"/>
            </w14:solidFill>
          </w14:textFill>
        </w:rPr>
        <w:t xml:space="preserve"> </w:t>
      </w:r>
      <w:r>
        <w:rPr>
          <w:rFonts w:ascii="宋体" w:hAnsi="宋体" w:cs="宋体"/>
          <w:color w:val="000000" w:themeColor="text1"/>
          <w:spacing w:val="-11"/>
          <w:sz w:val="24"/>
          <w:highlight w:val="none"/>
          <w14:textFill>
            <w14:solidFill>
              <w14:schemeClr w14:val="tx1"/>
            </w14:solidFill>
          </w14:textFill>
        </w:rPr>
        <w:t>提</w:t>
      </w:r>
      <w:r>
        <w:rPr>
          <w:rFonts w:ascii="宋体" w:hAnsi="宋体" w:cs="宋体"/>
          <w:color w:val="000000" w:themeColor="text1"/>
          <w:spacing w:val="-60"/>
          <w:sz w:val="24"/>
          <w:highlight w:val="none"/>
          <w14:textFill>
            <w14:solidFill>
              <w14:schemeClr w14:val="tx1"/>
            </w14:solidFill>
          </w14:textFill>
        </w:rPr>
        <w:t xml:space="preserve"> </w:t>
      </w:r>
      <w:r>
        <w:rPr>
          <w:rFonts w:ascii="宋体" w:hAnsi="宋体" w:cs="宋体"/>
          <w:color w:val="000000" w:themeColor="text1"/>
          <w:spacing w:val="-11"/>
          <w:sz w:val="24"/>
          <w:highlight w:val="none"/>
          <w14:textFill>
            <w14:solidFill>
              <w14:schemeClr w14:val="tx1"/>
            </w14:solidFill>
          </w14:textFill>
        </w:rPr>
        <w:t>交</w:t>
      </w:r>
      <w:r>
        <w:rPr>
          <w:rFonts w:ascii="宋体" w:hAnsi="宋体" w:cs="宋体"/>
          <w:color w:val="000000" w:themeColor="text1"/>
          <w:spacing w:val="-60"/>
          <w:sz w:val="24"/>
          <w:highlight w:val="none"/>
          <w14:textFill>
            <w14:solidFill>
              <w14:schemeClr w14:val="tx1"/>
            </w14:solidFill>
          </w14:textFill>
        </w:rPr>
        <w:t xml:space="preserve"> </w:t>
      </w:r>
      <w:r>
        <w:rPr>
          <w:rFonts w:ascii="宋体" w:hAnsi="宋体" w:cs="宋体"/>
          <w:color w:val="000000" w:themeColor="text1"/>
          <w:spacing w:val="-11"/>
          <w:sz w:val="24"/>
          <w:highlight w:val="none"/>
          <w14:textFill>
            <w14:solidFill>
              <w14:schemeClr w14:val="tx1"/>
            </w14:solidFill>
          </w14:textFill>
        </w:rPr>
        <w:t>各</w:t>
      </w:r>
      <w:r>
        <w:rPr>
          <w:rFonts w:ascii="宋体" w:hAnsi="宋体" w:cs="宋体"/>
          <w:color w:val="000000" w:themeColor="text1"/>
          <w:spacing w:val="-59"/>
          <w:sz w:val="24"/>
          <w:highlight w:val="none"/>
          <w14:textFill>
            <w14:solidFill>
              <w14:schemeClr w14:val="tx1"/>
            </w14:solidFill>
          </w14:textFill>
        </w:rPr>
        <w:t xml:space="preserve"> </w:t>
      </w:r>
      <w:r>
        <w:rPr>
          <w:rFonts w:ascii="宋体" w:hAnsi="宋体" w:cs="宋体"/>
          <w:color w:val="000000" w:themeColor="text1"/>
          <w:spacing w:val="-11"/>
          <w:sz w:val="24"/>
          <w:highlight w:val="none"/>
          <w14:textFill>
            <w14:solidFill>
              <w14:schemeClr w14:val="tx1"/>
            </w14:solidFill>
          </w14:textFill>
        </w:rPr>
        <w:t>项</w:t>
      </w:r>
      <w:r>
        <w:rPr>
          <w:rFonts w:ascii="宋体" w:hAnsi="宋体" w:cs="宋体"/>
          <w:color w:val="000000" w:themeColor="text1"/>
          <w:spacing w:val="-61"/>
          <w:sz w:val="24"/>
          <w:highlight w:val="none"/>
          <w14:textFill>
            <w14:solidFill>
              <w14:schemeClr w14:val="tx1"/>
            </w14:solidFill>
          </w14:textFill>
        </w:rPr>
        <w:t xml:space="preserve"> </w:t>
      </w:r>
      <w:r>
        <w:rPr>
          <w:rFonts w:ascii="宋体" w:hAnsi="宋体" w:cs="宋体"/>
          <w:color w:val="000000" w:themeColor="text1"/>
          <w:spacing w:val="-11"/>
          <w:sz w:val="24"/>
          <w:highlight w:val="none"/>
          <w14:textFill>
            <w14:solidFill>
              <w14:schemeClr w14:val="tx1"/>
            </w14:solidFill>
          </w14:textFill>
        </w:rPr>
        <w:t>保</w:t>
      </w:r>
      <w:r>
        <w:rPr>
          <w:rFonts w:ascii="宋体" w:hAnsi="宋体" w:cs="宋体"/>
          <w:color w:val="000000" w:themeColor="text1"/>
          <w:spacing w:val="-52"/>
          <w:sz w:val="24"/>
          <w:highlight w:val="none"/>
          <w14:textFill>
            <w14:solidFill>
              <w14:schemeClr w14:val="tx1"/>
            </w14:solidFill>
          </w14:textFill>
        </w:rPr>
        <w:t xml:space="preserve"> </w:t>
      </w:r>
      <w:r>
        <w:rPr>
          <w:rFonts w:ascii="宋体" w:hAnsi="宋体" w:cs="宋体"/>
          <w:color w:val="000000" w:themeColor="text1"/>
          <w:spacing w:val="-11"/>
          <w:sz w:val="24"/>
          <w:highlight w:val="none"/>
          <w14:textFill>
            <w14:solidFill>
              <w14:schemeClr w14:val="tx1"/>
            </w14:solidFill>
          </w14:textFill>
        </w:rPr>
        <w:t>险</w:t>
      </w:r>
      <w:r>
        <w:rPr>
          <w:rFonts w:ascii="宋体" w:hAnsi="宋体" w:cs="宋体"/>
          <w:color w:val="000000" w:themeColor="text1"/>
          <w:spacing w:val="-61"/>
          <w:sz w:val="24"/>
          <w:highlight w:val="none"/>
          <w14:textFill>
            <w14:solidFill>
              <w14:schemeClr w14:val="tx1"/>
            </w14:solidFill>
          </w14:textFill>
        </w:rPr>
        <w:t xml:space="preserve"> </w:t>
      </w:r>
      <w:r>
        <w:rPr>
          <w:rFonts w:ascii="宋体" w:hAnsi="宋体" w:cs="宋体"/>
          <w:color w:val="000000" w:themeColor="text1"/>
          <w:spacing w:val="-11"/>
          <w:sz w:val="24"/>
          <w:highlight w:val="none"/>
          <w14:textFill>
            <w14:solidFill>
              <w14:schemeClr w14:val="tx1"/>
            </w14:solidFill>
          </w14:textFill>
        </w:rPr>
        <w:t>生</w:t>
      </w:r>
      <w:r>
        <w:rPr>
          <w:rFonts w:ascii="宋体" w:hAnsi="宋体" w:cs="宋体"/>
          <w:color w:val="000000" w:themeColor="text1"/>
          <w:spacing w:val="-57"/>
          <w:sz w:val="24"/>
          <w:highlight w:val="none"/>
          <w14:textFill>
            <w14:solidFill>
              <w14:schemeClr w14:val="tx1"/>
            </w14:solidFill>
          </w14:textFill>
        </w:rPr>
        <w:t xml:space="preserve"> </w:t>
      </w:r>
      <w:r>
        <w:rPr>
          <w:rFonts w:ascii="宋体" w:hAnsi="宋体" w:cs="宋体"/>
          <w:color w:val="000000" w:themeColor="text1"/>
          <w:spacing w:val="-11"/>
          <w:sz w:val="24"/>
          <w:highlight w:val="none"/>
          <w14:textFill>
            <w14:solidFill>
              <w14:schemeClr w14:val="tx1"/>
            </w14:solidFill>
          </w14:textFill>
        </w:rPr>
        <w:t>效</w:t>
      </w:r>
      <w:r>
        <w:rPr>
          <w:rFonts w:ascii="宋体" w:hAnsi="宋体" w:cs="宋体"/>
          <w:color w:val="000000" w:themeColor="text1"/>
          <w:spacing w:val="-43"/>
          <w:sz w:val="24"/>
          <w:highlight w:val="none"/>
          <w14:textFill>
            <w14:solidFill>
              <w14:schemeClr w14:val="tx1"/>
            </w14:solidFill>
          </w14:textFill>
        </w:rPr>
        <w:t xml:space="preserve"> </w:t>
      </w:r>
      <w:r>
        <w:rPr>
          <w:rFonts w:ascii="宋体" w:hAnsi="宋体" w:cs="宋体"/>
          <w:color w:val="000000" w:themeColor="text1"/>
          <w:spacing w:val="-11"/>
          <w:sz w:val="24"/>
          <w:highlight w:val="none"/>
          <w14:textFill>
            <w14:solidFill>
              <w14:schemeClr w14:val="tx1"/>
            </w14:solidFill>
          </w14:textFill>
        </w:rPr>
        <w:t>的</w:t>
      </w:r>
      <w:r>
        <w:rPr>
          <w:rFonts w:ascii="宋体" w:hAnsi="宋体" w:cs="宋体"/>
          <w:color w:val="000000" w:themeColor="text1"/>
          <w:spacing w:val="-62"/>
          <w:sz w:val="24"/>
          <w:highlight w:val="none"/>
          <w14:textFill>
            <w14:solidFill>
              <w14:schemeClr w14:val="tx1"/>
            </w14:solidFill>
          </w14:textFill>
        </w:rPr>
        <w:t xml:space="preserve"> </w:t>
      </w:r>
      <w:r>
        <w:rPr>
          <w:rFonts w:ascii="宋体" w:hAnsi="宋体" w:cs="宋体"/>
          <w:color w:val="000000" w:themeColor="text1"/>
          <w:spacing w:val="-11"/>
          <w:sz w:val="24"/>
          <w:highlight w:val="none"/>
          <w14:textFill>
            <w14:solidFill>
              <w14:schemeClr w14:val="tx1"/>
            </w14:solidFill>
          </w14:textFill>
        </w:rPr>
        <w:t>证</w:t>
      </w:r>
      <w:r>
        <w:rPr>
          <w:rFonts w:ascii="宋体" w:hAnsi="宋体" w:cs="宋体"/>
          <w:color w:val="000000" w:themeColor="text1"/>
          <w:spacing w:val="-66"/>
          <w:sz w:val="24"/>
          <w:highlight w:val="none"/>
          <w14:textFill>
            <w14:solidFill>
              <w14:schemeClr w14:val="tx1"/>
            </w14:solidFill>
          </w14:textFill>
        </w:rPr>
        <w:t xml:space="preserve"> </w:t>
      </w:r>
      <w:r>
        <w:rPr>
          <w:rFonts w:ascii="宋体" w:hAnsi="宋体" w:cs="宋体"/>
          <w:color w:val="000000" w:themeColor="text1"/>
          <w:spacing w:val="-11"/>
          <w:sz w:val="24"/>
          <w:highlight w:val="none"/>
          <w14:textFill>
            <w14:solidFill>
              <w14:schemeClr w14:val="tx1"/>
            </w14:solidFill>
          </w14:textFill>
        </w:rPr>
        <w:t>据</w:t>
      </w:r>
      <w:r>
        <w:rPr>
          <w:rFonts w:ascii="宋体" w:hAnsi="宋体" w:cs="宋体"/>
          <w:color w:val="000000" w:themeColor="text1"/>
          <w:spacing w:val="-62"/>
          <w:sz w:val="24"/>
          <w:highlight w:val="none"/>
          <w14:textFill>
            <w14:solidFill>
              <w14:schemeClr w14:val="tx1"/>
            </w14:solidFill>
          </w14:textFill>
        </w:rPr>
        <w:t xml:space="preserve"> </w:t>
      </w:r>
      <w:r>
        <w:rPr>
          <w:rFonts w:ascii="宋体" w:hAnsi="宋体" w:cs="宋体"/>
          <w:color w:val="000000" w:themeColor="text1"/>
          <w:spacing w:val="-11"/>
          <w:sz w:val="24"/>
          <w:highlight w:val="none"/>
          <w14:textFill>
            <w14:solidFill>
              <w14:schemeClr w14:val="tx1"/>
            </w14:solidFill>
          </w14:textFill>
        </w:rPr>
        <w:t>和</w:t>
      </w:r>
      <w:r>
        <w:rPr>
          <w:rFonts w:ascii="宋体" w:hAnsi="宋体" w:cs="宋体"/>
          <w:color w:val="000000" w:themeColor="text1"/>
          <w:spacing w:val="-62"/>
          <w:sz w:val="24"/>
          <w:highlight w:val="none"/>
          <w14:textFill>
            <w14:solidFill>
              <w14:schemeClr w14:val="tx1"/>
            </w14:solidFill>
          </w14:textFill>
        </w:rPr>
        <w:t xml:space="preserve"> </w:t>
      </w:r>
      <w:r>
        <w:rPr>
          <w:rFonts w:ascii="宋体" w:hAnsi="宋体" w:cs="宋体"/>
          <w:color w:val="000000" w:themeColor="text1"/>
          <w:spacing w:val="-11"/>
          <w:sz w:val="24"/>
          <w:highlight w:val="none"/>
          <w14:textFill>
            <w14:solidFill>
              <w14:schemeClr w14:val="tx1"/>
            </w14:solidFill>
          </w14:textFill>
        </w:rPr>
        <w:t>保</w:t>
      </w:r>
      <w:r>
        <w:rPr>
          <w:rFonts w:ascii="宋体" w:hAnsi="宋体" w:cs="宋体"/>
          <w:color w:val="000000" w:themeColor="text1"/>
          <w:spacing w:val="-49"/>
          <w:sz w:val="24"/>
          <w:highlight w:val="none"/>
          <w14:textFill>
            <w14:solidFill>
              <w14:schemeClr w14:val="tx1"/>
            </w14:solidFill>
          </w14:textFill>
        </w:rPr>
        <w:t xml:space="preserve"> </w:t>
      </w:r>
      <w:r>
        <w:rPr>
          <w:rFonts w:ascii="宋体" w:hAnsi="宋体" w:cs="宋体"/>
          <w:color w:val="000000" w:themeColor="text1"/>
          <w:spacing w:val="-11"/>
          <w:sz w:val="24"/>
          <w:highlight w:val="none"/>
          <w14:textFill>
            <w14:solidFill>
              <w14:schemeClr w14:val="tx1"/>
            </w14:solidFill>
          </w14:textFill>
        </w:rPr>
        <w:t>险</w:t>
      </w:r>
      <w:r>
        <w:rPr>
          <w:rFonts w:ascii="宋体" w:hAnsi="宋体" w:cs="宋体"/>
          <w:color w:val="000000" w:themeColor="text1"/>
          <w:spacing w:val="-61"/>
          <w:sz w:val="24"/>
          <w:highlight w:val="none"/>
          <w14:textFill>
            <w14:solidFill>
              <w14:schemeClr w14:val="tx1"/>
            </w14:solidFill>
          </w14:textFill>
        </w:rPr>
        <w:t xml:space="preserve"> </w:t>
      </w:r>
      <w:r>
        <w:rPr>
          <w:rFonts w:ascii="宋体" w:hAnsi="宋体" w:cs="宋体"/>
          <w:color w:val="000000" w:themeColor="text1"/>
          <w:spacing w:val="-11"/>
          <w:sz w:val="24"/>
          <w:highlight w:val="none"/>
          <w14:textFill>
            <w14:solidFill>
              <w14:schemeClr w14:val="tx1"/>
            </w14:solidFill>
          </w14:textFill>
        </w:rPr>
        <w:t>单</w:t>
      </w:r>
      <w:r>
        <w:rPr>
          <w:rFonts w:ascii="宋体" w:hAnsi="宋体" w:cs="宋体"/>
          <w:color w:val="000000" w:themeColor="text1"/>
          <w:spacing w:val="-60"/>
          <w:sz w:val="24"/>
          <w:highlight w:val="none"/>
          <w14:textFill>
            <w14:solidFill>
              <w14:schemeClr w14:val="tx1"/>
            </w14:solidFill>
          </w14:textFill>
        </w:rPr>
        <w:t xml:space="preserve"> </w:t>
      </w:r>
      <w:r>
        <w:rPr>
          <w:rFonts w:ascii="宋体" w:hAnsi="宋体" w:cs="宋体"/>
          <w:color w:val="000000" w:themeColor="text1"/>
          <w:spacing w:val="-11"/>
          <w:sz w:val="24"/>
          <w:highlight w:val="none"/>
          <w14:textFill>
            <w14:solidFill>
              <w14:schemeClr w14:val="tx1"/>
            </w14:solidFill>
          </w14:textFill>
        </w:rPr>
        <w:t>副</w:t>
      </w:r>
      <w:r>
        <w:rPr>
          <w:rFonts w:ascii="宋体" w:hAnsi="宋体" w:cs="宋体"/>
          <w:color w:val="000000" w:themeColor="text1"/>
          <w:spacing w:val="-62"/>
          <w:sz w:val="24"/>
          <w:highlight w:val="none"/>
          <w14:textFill>
            <w14:solidFill>
              <w14:schemeClr w14:val="tx1"/>
            </w14:solidFill>
          </w14:textFill>
        </w:rPr>
        <w:t xml:space="preserve"> </w:t>
      </w:r>
      <w:r>
        <w:rPr>
          <w:rFonts w:ascii="宋体" w:hAnsi="宋体" w:cs="宋体"/>
          <w:color w:val="000000" w:themeColor="text1"/>
          <w:spacing w:val="-11"/>
          <w:sz w:val="24"/>
          <w:highlight w:val="none"/>
          <w14:textFill>
            <w14:solidFill>
              <w14:schemeClr w14:val="tx1"/>
            </w14:solidFill>
          </w14:textFill>
        </w:rPr>
        <w:t>本</w:t>
      </w:r>
      <w:r>
        <w:rPr>
          <w:rFonts w:ascii="宋体" w:hAnsi="宋体" w:cs="宋体"/>
          <w:color w:val="000000" w:themeColor="text1"/>
          <w:spacing w:val="-43"/>
          <w:sz w:val="24"/>
          <w:highlight w:val="none"/>
          <w14:textFill>
            <w14:solidFill>
              <w14:schemeClr w14:val="tx1"/>
            </w14:solidFill>
          </w14:textFill>
        </w:rPr>
        <w:t xml:space="preserve"> </w:t>
      </w:r>
      <w:r>
        <w:rPr>
          <w:rFonts w:ascii="宋体" w:hAnsi="宋体" w:cs="宋体"/>
          <w:color w:val="000000" w:themeColor="text1"/>
          <w:spacing w:val="-11"/>
          <w:sz w:val="24"/>
          <w:highlight w:val="none"/>
          <w14:textFill>
            <w14:solidFill>
              <w14:schemeClr w14:val="tx1"/>
            </w14:solidFill>
          </w14:textFill>
        </w:rPr>
        <w:t>的</w:t>
      </w:r>
      <w:r>
        <w:rPr>
          <w:rFonts w:ascii="宋体" w:hAnsi="宋体" w:cs="宋体"/>
          <w:color w:val="000000" w:themeColor="text1"/>
          <w:spacing w:val="-60"/>
          <w:sz w:val="24"/>
          <w:highlight w:val="none"/>
          <w14:textFill>
            <w14:solidFill>
              <w14:schemeClr w14:val="tx1"/>
            </w14:solidFill>
          </w14:textFill>
        </w:rPr>
        <w:t xml:space="preserve"> </w:t>
      </w:r>
      <w:r>
        <w:rPr>
          <w:rFonts w:ascii="宋体" w:hAnsi="宋体" w:cs="宋体"/>
          <w:color w:val="000000" w:themeColor="text1"/>
          <w:spacing w:val="-11"/>
          <w:sz w:val="24"/>
          <w:highlight w:val="none"/>
          <w14:textFill>
            <w14:solidFill>
              <w14:schemeClr w14:val="tx1"/>
            </w14:solidFill>
          </w14:textFill>
        </w:rPr>
        <w:t>期</w:t>
      </w:r>
      <w:r>
        <w:rPr>
          <w:rFonts w:ascii="宋体" w:hAnsi="宋体" w:cs="宋体"/>
          <w:color w:val="000000" w:themeColor="text1"/>
          <w:spacing w:val="-9"/>
          <w:sz w:val="24"/>
          <w:highlight w:val="none"/>
          <w14:textFill>
            <w14:solidFill>
              <w14:schemeClr w14:val="tx1"/>
            </w14:solidFill>
          </w14:textFill>
        </w:rPr>
        <w:t>限：</w:t>
      </w:r>
      <w:r>
        <w:rPr>
          <w:rFonts w:ascii="宋体" w:hAnsi="宋体" w:cs="宋体"/>
          <w:color w:val="000000" w:themeColor="text1"/>
          <w:sz w:val="24"/>
          <w:highlight w:val="none"/>
          <w:u w:val="single"/>
          <w14:textFill>
            <w14:solidFill>
              <w14:schemeClr w14:val="tx1"/>
            </w14:solidFill>
          </w14:textFill>
        </w:rPr>
        <w:t xml:space="preserve"> </w:t>
      </w:r>
      <w:bookmarkStart w:id="241" w:name="OLE_LINK98"/>
      <w:bookmarkStart w:id="242" w:name="OLE_LINK97"/>
      <w:r>
        <w:rPr>
          <w:rFonts w:hint="eastAsia" w:ascii="宋体" w:hAnsi="宋体" w:cs="宋体"/>
          <w:color w:val="000000" w:themeColor="text1"/>
          <w:sz w:val="24"/>
          <w:highlight w:val="none"/>
          <w:u w:val="single"/>
          <w:lang w:val="zh-CN"/>
          <w14:textFill>
            <w14:solidFill>
              <w14:schemeClr w14:val="tx1"/>
            </w14:solidFill>
          </w14:textFill>
        </w:rPr>
        <w:t>开工</w:t>
      </w:r>
      <w:r>
        <w:rPr>
          <w:rFonts w:hint="eastAsia" w:ascii="宋体" w:hAnsi="宋体" w:cs="宋体"/>
          <w:color w:val="000000" w:themeColor="text1"/>
          <w:spacing w:val="-1"/>
          <w:sz w:val="24"/>
          <w:highlight w:val="none"/>
          <w:u w:val="single"/>
          <w:lang w:val="zh-CN"/>
          <w14:textFill>
            <w14:solidFill>
              <w14:schemeClr w14:val="tx1"/>
            </w14:solidFill>
          </w14:textFill>
        </w:rPr>
        <w:t>前7</w:t>
      </w:r>
      <w:r>
        <w:rPr>
          <w:rFonts w:hint="eastAsia" w:ascii="宋体" w:hAnsi="宋体" w:cs="宋体"/>
          <w:color w:val="000000" w:themeColor="text1"/>
          <w:sz w:val="24"/>
          <w:highlight w:val="none"/>
          <w:u w:val="single"/>
          <w:lang w:val="zh-CN"/>
          <w14:textFill>
            <w14:solidFill>
              <w14:schemeClr w14:val="tx1"/>
            </w14:solidFill>
          </w14:textFill>
        </w:rPr>
        <w:t>天内</w:t>
      </w:r>
      <w:bookmarkEnd w:id="241"/>
      <w:bookmarkEnd w:id="242"/>
      <w:r>
        <w:rPr>
          <w:rFonts w:ascii="宋体" w:hAnsi="宋体" w:cs="宋体"/>
          <w:color w:val="000000" w:themeColor="text1"/>
          <w:sz w:val="24"/>
          <w:highlight w:val="none"/>
          <w:u w:val="single"/>
          <w14:textFill>
            <w14:solidFill>
              <w14:schemeClr w14:val="tx1"/>
            </w14:solidFill>
          </w14:textFill>
        </w:rPr>
        <w:t xml:space="preserve"> </w:t>
      </w:r>
      <w:r>
        <w:rPr>
          <w:rFonts w:ascii="宋体" w:hAnsi="宋体" w:cs="宋体"/>
          <w:color w:val="000000" w:themeColor="text1"/>
          <w:spacing w:val="-9"/>
          <w:sz w:val="24"/>
          <w:highlight w:val="none"/>
          <w14:textFill>
            <w14:solidFill>
              <w14:schemeClr w14:val="tx1"/>
            </w14:solidFill>
          </w14:textFill>
        </w:rPr>
        <w:t>。</w:t>
      </w:r>
    </w:p>
    <w:p w14:paraId="1D22E699">
      <w:pPr>
        <w:spacing w:before="115" w:line="218" w:lineRule="auto"/>
        <w:ind w:left="490"/>
        <w:rPr>
          <w:rFonts w:ascii="宋体" w:hAnsi="宋体" w:cs="宋体"/>
          <w:color w:val="000000" w:themeColor="text1"/>
          <w:sz w:val="24"/>
          <w:highlight w:val="none"/>
          <w14:textFill>
            <w14:solidFill>
              <w14:schemeClr w14:val="tx1"/>
            </w14:solidFill>
          </w14:textFill>
        </w:rPr>
      </w:pPr>
      <w:bookmarkStart w:id="243" w:name="bookmark106"/>
      <w:bookmarkEnd w:id="243"/>
      <w:bookmarkStart w:id="244" w:name="bookmark105"/>
      <w:bookmarkEnd w:id="244"/>
      <w:r>
        <w:rPr>
          <w:rFonts w:eastAsia="Times New Roman"/>
          <w:b/>
          <w:bCs/>
          <w:color w:val="000000" w:themeColor="text1"/>
          <w:spacing w:val="-4"/>
          <w:sz w:val="24"/>
          <w:highlight w:val="none"/>
          <w14:textFill>
            <w14:solidFill>
              <w14:schemeClr w14:val="tx1"/>
            </w14:solidFill>
          </w14:textFill>
        </w:rPr>
        <w:t>21.</w:t>
      </w:r>
      <w:r>
        <w:rPr>
          <w:rFonts w:eastAsia="Times New Roman"/>
          <w:b/>
          <w:bCs/>
          <w:color w:val="000000" w:themeColor="text1"/>
          <w:spacing w:val="6"/>
          <w:sz w:val="24"/>
          <w:highlight w:val="none"/>
          <w14:textFill>
            <w14:solidFill>
              <w14:schemeClr w14:val="tx1"/>
            </w14:solidFill>
          </w14:textFill>
        </w:rPr>
        <w:t xml:space="preserve">  </w:t>
      </w:r>
      <w:r>
        <w:rPr>
          <w:rFonts w:ascii="宋体" w:hAnsi="宋体" w:cs="宋体"/>
          <w:b/>
          <w:bCs/>
          <w:color w:val="000000" w:themeColor="text1"/>
          <w:spacing w:val="-4"/>
          <w:sz w:val="24"/>
          <w:highlight w:val="none"/>
          <w14:textFill>
            <w14:solidFill>
              <w14:schemeClr w14:val="tx1"/>
            </w14:solidFill>
          </w14:textFill>
        </w:rPr>
        <w:t>不可抗力</w:t>
      </w:r>
    </w:p>
    <w:p w14:paraId="054CFF57">
      <w:pPr>
        <w:spacing w:before="116" w:line="219" w:lineRule="auto"/>
        <w:ind w:left="485"/>
        <w:outlineLvl w:val="4"/>
        <w:rPr>
          <w:rFonts w:ascii="宋体" w:hAnsi="宋体" w:cs="宋体"/>
          <w:color w:val="000000" w:themeColor="text1"/>
          <w:sz w:val="24"/>
          <w:highlight w:val="none"/>
          <w14:textFill>
            <w14:solidFill>
              <w14:schemeClr w14:val="tx1"/>
            </w14:solidFill>
          </w14:textFill>
        </w:rPr>
      </w:pPr>
      <w:r>
        <w:rPr>
          <w:rFonts w:eastAsia="Times New Roman"/>
          <w:b/>
          <w:bCs/>
          <w:color w:val="000000" w:themeColor="text1"/>
          <w:spacing w:val="-2"/>
          <w:sz w:val="24"/>
          <w:highlight w:val="none"/>
          <w14:textFill>
            <w14:solidFill>
              <w14:schemeClr w14:val="tx1"/>
            </w14:solidFill>
          </w14:textFill>
        </w:rPr>
        <w:t xml:space="preserve">21.1  </w:t>
      </w:r>
      <w:r>
        <w:rPr>
          <w:rFonts w:ascii="宋体" w:hAnsi="宋体" w:cs="宋体"/>
          <w:b/>
          <w:bCs/>
          <w:color w:val="000000" w:themeColor="text1"/>
          <w:spacing w:val="-2"/>
          <w:sz w:val="24"/>
          <w:highlight w:val="none"/>
          <w14:textFill>
            <w14:solidFill>
              <w14:schemeClr w14:val="tx1"/>
            </w14:solidFill>
          </w14:textFill>
        </w:rPr>
        <w:t>不可抗力的确认</w:t>
      </w:r>
    </w:p>
    <w:p w14:paraId="5E22D2AC">
      <w:pPr>
        <w:spacing w:before="126" w:line="219" w:lineRule="auto"/>
        <w:ind w:left="485"/>
        <w:rPr>
          <w:color w:val="000000" w:themeColor="text1"/>
          <w:highlight w:val="none"/>
          <w14:textFill>
            <w14:solidFill>
              <w14:schemeClr w14:val="tx1"/>
            </w14:solidFill>
          </w14:textFill>
        </w:rPr>
      </w:pPr>
      <w:r>
        <w:rPr>
          <w:rFonts w:eastAsia="Times New Roman"/>
          <w:color w:val="000000" w:themeColor="text1"/>
          <w:sz w:val="24"/>
          <w:highlight w:val="none"/>
          <w14:textFill>
            <w14:solidFill>
              <w14:schemeClr w14:val="tx1"/>
            </w14:solidFill>
          </w14:textFill>
        </w:rPr>
        <w:t xml:space="preserve">21.1.1  </w:t>
      </w:r>
      <w:r>
        <w:rPr>
          <w:rFonts w:ascii="宋体" w:hAnsi="宋体" w:cs="宋体"/>
          <w:color w:val="000000" w:themeColor="text1"/>
          <w:sz w:val="24"/>
          <w:highlight w:val="none"/>
          <w14:textFill>
            <w14:solidFill>
              <w14:schemeClr w14:val="tx1"/>
            </w14:solidFill>
          </w14:textFill>
        </w:rPr>
        <w:t>（</w:t>
      </w:r>
      <w:r>
        <w:rPr>
          <w:rFonts w:eastAsia="Times New Roman"/>
          <w:color w:val="000000" w:themeColor="text1"/>
          <w:sz w:val="24"/>
          <w:highlight w:val="none"/>
          <w14:textFill>
            <w14:solidFill>
              <w14:schemeClr w14:val="tx1"/>
            </w14:solidFill>
          </w14:textFill>
        </w:rPr>
        <w:t>5</w:t>
      </w:r>
      <w:r>
        <w:rPr>
          <w:rFonts w:ascii="宋体" w:hAnsi="宋体" w:cs="宋体"/>
          <w:color w:val="000000" w:themeColor="text1"/>
          <w:sz w:val="24"/>
          <w:highlight w:val="none"/>
          <w14:textFill>
            <w14:solidFill>
              <w14:schemeClr w14:val="tx1"/>
            </w14:solidFill>
          </w14:textFill>
        </w:rPr>
        <w:t>）不可抗力的其他情形：</w:t>
      </w:r>
      <w:r>
        <w:rPr>
          <w:rFonts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u w:val="single"/>
          <w14:textFill>
            <w14:solidFill>
              <w14:schemeClr w14:val="tx1"/>
            </w14:solidFill>
          </w14:textFill>
        </w:rPr>
        <w:t>/</w:t>
      </w:r>
      <w:r>
        <w:rPr>
          <w:rFonts w:ascii="宋体" w:hAnsi="宋体" w:cs="宋体"/>
          <w:color w:val="000000" w:themeColor="text1"/>
          <w:spacing w:val="-1"/>
          <w:sz w:val="24"/>
          <w:highlight w:val="none"/>
          <w:u w:val="single"/>
          <w14:textFill>
            <w14:solidFill>
              <w14:schemeClr w14:val="tx1"/>
            </w14:solidFill>
          </w14:textFill>
        </w:rPr>
        <w:t xml:space="preserve">      </w:t>
      </w:r>
      <w:r>
        <w:rPr>
          <w:rFonts w:ascii="宋体" w:hAnsi="宋体" w:cs="宋体"/>
          <w:color w:val="000000" w:themeColor="text1"/>
          <w:spacing w:val="-1"/>
          <w:sz w:val="24"/>
          <w:highlight w:val="none"/>
          <w14:textFill>
            <w14:solidFill>
              <w14:schemeClr w14:val="tx1"/>
            </w14:solidFill>
          </w14:textFill>
        </w:rPr>
        <w:t>。</w:t>
      </w:r>
    </w:p>
    <w:p w14:paraId="0EA514C0">
      <w:pPr>
        <w:spacing w:before="79" w:line="224" w:lineRule="auto"/>
        <w:ind w:left="485"/>
        <w:outlineLvl w:val="3"/>
        <w:rPr>
          <w:rFonts w:ascii="宋体" w:hAnsi="宋体" w:cs="宋体"/>
          <w:color w:val="000000" w:themeColor="text1"/>
          <w:sz w:val="24"/>
          <w:highlight w:val="none"/>
          <w14:textFill>
            <w14:solidFill>
              <w14:schemeClr w14:val="tx1"/>
            </w14:solidFill>
          </w14:textFill>
        </w:rPr>
      </w:pPr>
      <w:bookmarkStart w:id="245" w:name="bookmark107"/>
      <w:bookmarkEnd w:id="245"/>
      <w:bookmarkStart w:id="246" w:name="bookmark108"/>
      <w:bookmarkEnd w:id="246"/>
      <w:r>
        <w:rPr>
          <w:rFonts w:eastAsia="Times New Roman"/>
          <w:b/>
          <w:bCs/>
          <w:color w:val="000000" w:themeColor="text1"/>
          <w:spacing w:val="-5"/>
          <w:sz w:val="24"/>
          <w:highlight w:val="none"/>
          <w14:textFill>
            <w14:solidFill>
              <w14:schemeClr w14:val="tx1"/>
            </w14:solidFill>
          </w14:textFill>
        </w:rPr>
        <w:t>22.</w:t>
      </w:r>
      <w:r>
        <w:rPr>
          <w:rFonts w:eastAsia="Times New Roman"/>
          <w:b/>
          <w:bCs/>
          <w:color w:val="000000" w:themeColor="text1"/>
          <w:spacing w:val="6"/>
          <w:sz w:val="24"/>
          <w:highlight w:val="none"/>
          <w14:textFill>
            <w14:solidFill>
              <w14:schemeClr w14:val="tx1"/>
            </w14:solidFill>
          </w14:textFill>
        </w:rPr>
        <w:t xml:space="preserve">  </w:t>
      </w:r>
      <w:r>
        <w:rPr>
          <w:rFonts w:ascii="宋体" w:hAnsi="宋体" w:cs="宋体"/>
          <w:b/>
          <w:bCs/>
          <w:color w:val="000000" w:themeColor="text1"/>
          <w:spacing w:val="-5"/>
          <w:sz w:val="24"/>
          <w:highlight w:val="none"/>
          <w14:textFill>
            <w14:solidFill>
              <w14:schemeClr w14:val="tx1"/>
            </w14:solidFill>
          </w14:textFill>
        </w:rPr>
        <w:t>违约</w:t>
      </w:r>
    </w:p>
    <w:p w14:paraId="106F0614">
      <w:pPr>
        <w:spacing w:before="109" w:line="219" w:lineRule="auto"/>
        <w:ind w:left="485"/>
        <w:outlineLvl w:val="4"/>
        <w:rPr>
          <w:rFonts w:ascii="宋体" w:hAnsi="宋体" w:cs="宋体"/>
          <w:color w:val="000000" w:themeColor="text1"/>
          <w:sz w:val="24"/>
          <w:highlight w:val="none"/>
          <w14:textFill>
            <w14:solidFill>
              <w14:schemeClr w14:val="tx1"/>
            </w14:solidFill>
          </w14:textFill>
        </w:rPr>
      </w:pPr>
      <w:r>
        <w:rPr>
          <w:rFonts w:eastAsia="Times New Roman"/>
          <w:b/>
          <w:bCs/>
          <w:color w:val="000000" w:themeColor="text1"/>
          <w:spacing w:val="-2"/>
          <w:sz w:val="24"/>
          <w:highlight w:val="none"/>
          <w14:textFill>
            <w14:solidFill>
              <w14:schemeClr w14:val="tx1"/>
            </w14:solidFill>
          </w14:textFill>
        </w:rPr>
        <w:t xml:space="preserve">22.1  </w:t>
      </w:r>
      <w:r>
        <w:rPr>
          <w:rFonts w:ascii="宋体" w:hAnsi="宋体" w:cs="宋体"/>
          <w:b/>
          <w:bCs/>
          <w:color w:val="000000" w:themeColor="text1"/>
          <w:spacing w:val="-2"/>
          <w:sz w:val="24"/>
          <w:highlight w:val="none"/>
          <w14:textFill>
            <w14:solidFill>
              <w14:schemeClr w14:val="tx1"/>
            </w14:solidFill>
          </w14:textFill>
        </w:rPr>
        <w:t>承包人违约</w:t>
      </w:r>
    </w:p>
    <w:p w14:paraId="49B6E5E9">
      <w:pPr>
        <w:spacing w:line="360" w:lineRule="auto"/>
        <w:ind w:firstLine="482" w:firstLineChars="200"/>
        <w:jc w:val="left"/>
        <w:rPr>
          <w:rFonts w:ascii="宋体" w:hAnsi="宋体" w:cs="宋体"/>
          <w:b/>
          <w:bCs/>
          <w:color w:val="000000" w:themeColor="text1"/>
          <w:sz w:val="24"/>
          <w:highlight w:val="none"/>
          <w14:textFill>
            <w14:solidFill>
              <w14:schemeClr w14:val="tx1"/>
            </w14:solidFill>
          </w14:textFill>
        </w:rPr>
      </w:pPr>
      <w:bookmarkStart w:id="247" w:name="OLE_LINK105"/>
      <w:bookmarkStart w:id="248" w:name="OLE_LINK106"/>
      <w:r>
        <w:rPr>
          <w:rFonts w:hint="eastAsia" w:ascii="宋体" w:hAnsi="宋体" w:cs="宋体"/>
          <w:b/>
          <w:bCs/>
          <w:color w:val="000000" w:themeColor="text1"/>
          <w:sz w:val="24"/>
          <w:highlight w:val="none"/>
          <w14:textFill>
            <w14:solidFill>
              <w14:schemeClr w14:val="tx1"/>
            </w14:solidFill>
          </w14:textFill>
        </w:rPr>
        <w:t>22.1.1</w:t>
      </w:r>
      <w:bookmarkEnd w:id="247"/>
      <w:bookmarkEnd w:id="248"/>
      <w:r>
        <w:rPr>
          <w:rFonts w:hint="eastAsia" w:ascii="宋体" w:hAnsi="宋体" w:cs="宋体"/>
          <w:b/>
          <w:bCs/>
          <w:color w:val="000000" w:themeColor="text1"/>
          <w:sz w:val="24"/>
          <w:highlight w:val="none"/>
          <w14:textFill>
            <w14:solidFill>
              <w14:schemeClr w14:val="tx1"/>
            </w14:solidFill>
          </w14:textFill>
        </w:rPr>
        <w:t>承包人违约的情形</w:t>
      </w:r>
    </w:p>
    <w:p w14:paraId="08F9FFA9">
      <w:pPr>
        <w:spacing w:line="360" w:lineRule="auto"/>
        <w:ind w:firstLine="476" w:firstLineChars="200"/>
        <w:jc w:val="left"/>
        <w:rPr>
          <w:rFonts w:ascii="宋体" w:hAnsi="宋体" w:cs="宋体"/>
          <w:b/>
          <w:bCs/>
          <w:color w:val="000000" w:themeColor="text1"/>
          <w:spacing w:val="-2"/>
          <w:sz w:val="24"/>
          <w:highlight w:val="none"/>
          <w14:textFill>
            <w14:solidFill>
              <w14:schemeClr w14:val="tx1"/>
            </w14:solidFill>
          </w14:textFill>
        </w:rPr>
      </w:pPr>
      <w:r>
        <w:rPr>
          <w:rFonts w:hint="eastAsia" w:ascii="宋体" w:hAnsi="宋体" w:cs="宋体"/>
          <w:color w:val="000000" w:themeColor="text1"/>
          <w:spacing w:val="-1"/>
          <w:sz w:val="24"/>
          <w:highlight w:val="none"/>
          <w14:textFill>
            <w14:solidFill>
              <w14:schemeClr w14:val="tx1"/>
            </w14:solidFill>
          </w14:textFill>
        </w:rPr>
        <w:t>修改（10）</w:t>
      </w:r>
      <w:r>
        <w:rPr>
          <w:rFonts w:hint="eastAsia" w:ascii="宋体" w:hAnsi="宋体" w:cs="宋体"/>
          <w:color w:val="000000" w:themeColor="text1"/>
          <w:sz w:val="24"/>
          <w:highlight w:val="none"/>
          <w14:textFill>
            <w14:solidFill>
              <w14:schemeClr w14:val="tx1"/>
            </w14:solidFill>
          </w14:textFill>
        </w:rPr>
        <w:t>承包人在签订合同后10日内项目经理和总工未到项目现场开展工作；</w:t>
      </w:r>
    </w:p>
    <w:p w14:paraId="5F325853">
      <w:pPr>
        <w:pStyle w:val="459"/>
        <w:spacing w:line="360" w:lineRule="auto"/>
        <w:ind w:firstLine="480" w:firstLineChars="200"/>
        <w:rPr>
          <w:rFonts w:ascii="宋体" w:hAnsi="宋体" w:cs="宋体"/>
          <w:color w:val="000000" w:themeColor="text1"/>
          <w:spacing w:val="-2"/>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增加（11）承包人不按合同约定履行义务的其他情况。</w:t>
      </w:r>
    </w:p>
    <w:p w14:paraId="2709E603">
      <w:pPr>
        <w:spacing w:before="123" w:line="360" w:lineRule="auto"/>
        <w:ind w:left="485"/>
        <w:rPr>
          <w:rFonts w:ascii="宋体" w:hAnsi="宋体" w:cs="宋体"/>
          <w:color w:val="000000" w:themeColor="text1"/>
          <w:spacing w:val="-1"/>
          <w:sz w:val="24"/>
          <w:highlight w:val="none"/>
          <w14:textFill>
            <w14:solidFill>
              <w14:schemeClr w14:val="tx1"/>
            </w14:solidFill>
          </w14:textFill>
        </w:rPr>
      </w:pPr>
      <w:r>
        <w:rPr>
          <w:rFonts w:hint="eastAsia" w:ascii="宋体" w:hAnsi="宋体" w:cs="宋体"/>
          <w:color w:val="000000" w:themeColor="text1"/>
          <w:spacing w:val="-1"/>
          <w:sz w:val="24"/>
          <w:highlight w:val="none"/>
          <w14:textFill>
            <w14:solidFill>
              <w14:schemeClr w14:val="tx1"/>
            </w14:solidFill>
          </w14:textFill>
        </w:rPr>
        <w:t>22.1.2对承包人违约的处理</w:t>
      </w:r>
    </w:p>
    <w:p w14:paraId="2E9D177D">
      <w:pPr>
        <w:tabs>
          <w:tab w:val="left" w:pos="1080"/>
        </w:tabs>
        <w:spacing w:line="360" w:lineRule="auto"/>
        <w:ind w:firstLine="480"/>
        <w:rPr>
          <w:rFonts w:ascii="宋体" w:hAnsi="宋体" w:cs="宋体"/>
          <w:color w:val="000000" w:themeColor="text1"/>
          <w:sz w:val="24"/>
          <w:szCs w:val="22"/>
          <w:highlight w:val="none"/>
          <w14:textFill>
            <w14:solidFill>
              <w14:schemeClr w14:val="tx1"/>
            </w14:solidFill>
          </w14:textFill>
        </w:rPr>
      </w:pPr>
      <w:r>
        <w:rPr>
          <w:rFonts w:hint="eastAsia" w:ascii="宋体" w:hAnsi="宋体" w:cs="宋体"/>
          <w:color w:val="000000" w:themeColor="text1"/>
          <w:spacing w:val="-1"/>
          <w:sz w:val="24"/>
          <w:highlight w:val="none"/>
          <w14:textFill>
            <w14:solidFill>
              <w14:schemeClr w14:val="tx1"/>
            </w14:solidFill>
          </w14:textFill>
        </w:rPr>
        <w:t>(1)</w:t>
      </w:r>
      <w:r>
        <w:rPr>
          <w:rFonts w:hint="eastAsia" w:ascii="宋体" w:hAnsi="宋体" w:cs="宋体"/>
          <w:color w:val="000000" w:themeColor="text1"/>
          <w:sz w:val="24"/>
          <w:highlight w:val="none"/>
          <w14:textFill>
            <w14:solidFill>
              <w14:schemeClr w14:val="tx1"/>
            </w14:solidFill>
          </w14:textFill>
        </w:rPr>
        <w:t>承包人发生第22.1.1⑹、⑽目约定的违约情形时，发包人可通知承包人立即解除合同</w:t>
      </w:r>
      <w:r>
        <w:rPr>
          <w:rFonts w:hint="eastAsia" w:ascii="宋体" w:hAnsi="宋体" w:cs="宋体"/>
          <w:bCs/>
          <w:color w:val="000000" w:themeColor="text1"/>
          <w:sz w:val="24"/>
          <w:highlight w:val="none"/>
          <w14:textFill>
            <w14:solidFill>
              <w14:schemeClr w14:val="tx1"/>
            </w14:solidFill>
          </w14:textFill>
        </w:rPr>
        <w:t>，并</w:t>
      </w:r>
      <w:r>
        <w:rPr>
          <w:rFonts w:hint="eastAsia" w:ascii="宋体" w:hAnsi="宋体" w:cs="宋体"/>
          <w:color w:val="000000" w:themeColor="text1"/>
          <w:sz w:val="24"/>
          <w:highlight w:val="none"/>
          <w14:textFill>
            <w14:solidFill>
              <w14:schemeClr w14:val="tx1"/>
            </w14:solidFill>
          </w14:textFill>
        </w:rPr>
        <w:t>按有关法律处理。</w:t>
      </w:r>
    </w:p>
    <w:p w14:paraId="676B71FB">
      <w:pPr>
        <w:spacing w:line="360" w:lineRule="auto"/>
        <w:ind w:firstLine="48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pacing w:val="-1"/>
          <w:sz w:val="24"/>
          <w:highlight w:val="none"/>
          <w14:textFill>
            <w14:solidFill>
              <w14:schemeClr w14:val="tx1"/>
            </w14:solidFill>
          </w14:textFill>
        </w:rPr>
        <w:t>(2)</w:t>
      </w:r>
      <w:r>
        <w:rPr>
          <w:rFonts w:hint="eastAsia" w:ascii="宋体" w:hAnsi="宋体" w:cs="宋体"/>
          <w:color w:val="000000" w:themeColor="text1"/>
          <w:sz w:val="24"/>
          <w:highlight w:val="none"/>
          <w14:textFill>
            <w14:solidFill>
              <w14:schemeClr w14:val="tx1"/>
            </w14:solidFill>
          </w14:textFill>
        </w:rPr>
        <w:t>承包人发生第22.1.1⑹目约定以外的违约情形时，咨询人可向承包人发出整改通知，要求其在指定的期限内改正。承包人应承担其违约所引起的费用增加和（或）工期延误。</w:t>
      </w:r>
    </w:p>
    <w:p w14:paraId="13CC2C83">
      <w:pPr>
        <w:tabs>
          <w:tab w:val="left" w:pos="1080"/>
        </w:tabs>
        <w:spacing w:line="360" w:lineRule="auto"/>
        <w:ind w:firstLine="480" w:firstLineChars="200"/>
        <w:rPr>
          <w:rFonts w:ascii="宋体" w:hAnsi="宋体" w:cs="宋体"/>
          <w:color w:val="000000" w:themeColor="text1"/>
          <w:spacing w:val="-2"/>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（3）经检查证明承包人已采取了有效措施纠正违约行为，具备复工条件的，可由咨询人签发复工通知复工。</w:t>
      </w:r>
    </w:p>
    <w:p w14:paraId="5DF8862D">
      <w:pPr>
        <w:spacing w:before="117" w:line="360" w:lineRule="auto"/>
        <w:ind w:left="2" w:firstLine="489"/>
        <w:rPr>
          <w:rFonts w:ascii="宋体" w:hAnsi="宋体" w:cs="宋体"/>
          <w:color w:val="000000" w:themeColor="text1"/>
          <w:spacing w:val="-1"/>
          <w:sz w:val="24"/>
          <w:highlight w:val="none"/>
          <w14:textFill>
            <w14:solidFill>
              <w14:schemeClr w14:val="tx1"/>
            </w14:solidFill>
          </w14:textFill>
        </w:rPr>
      </w:pPr>
      <w:r>
        <w:rPr>
          <w:rFonts w:hint="eastAsia" w:ascii="宋体" w:hAnsi="宋体" w:cs="宋体"/>
          <w:color w:val="000000" w:themeColor="text1"/>
          <w:spacing w:val="3"/>
          <w:sz w:val="24"/>
          <w:highlight w:val="none"/>
          <w14:textFill>
            <w14:solidFill>
              <w14:schemeClr w14:val="tx1"/>
            </w14:solidFill>
          </w14:textFill>
        </w:rPr>
        <w:t>（4）当承包人发生第22.1.1项约定的违约情况时，发包人有权向</w:t>
      </w:r>
      <w:r>
        <w:rPr>
          <w:rFonts w:hint="eastAsia" w:ascii="宋体" w:hAnsi="宋体" w:cs="宋体"/>
          <w:color w:val="000000" w:themeColor="text1"/>
          <w:spacing w:val="2"/>
          <w:sz w:val="24"/>
          <w:highlight w:val="none"/>
          <w14:textFill>
            <w14:solidFill>
              <w14:schemeClr w14:val="tx1"/>
            </w14:solidFill>
          </w14:textFill>
        </w:rPr>
        <w:t>承包人课以</w:t>
      </w:r>
      <w:r>
        <w:rPr>
          <w:rFonts w:hint="eastAsia" w:ascii="宋体" w:hAnsi="宋体" w:cs="宋体"/>
          <w:color w:val="000000" w:themeColor="text1"/>
          <w:spacing w:val="-1"/>
          <w:sz w:val="24"/>
          <w:highlight w:val="none"/>
          <w14:textFill>
            <w14:solidFill>
              <w14:schemeClr w14:val="tx1"/>
            </w14:solidFill>
          </w14:textFill>
        </w:rPr>
        <w:t>违约金，具体约定如下：</w:t>
      </w:r>
    </w:p>
    <w:p w14:paraId="3B359237">
      <w:pPr>
        <w:spacing w:before="117" w:line="360" w:lineRule="auto"/>
        <w:ind w:firstLine="482" w:firstLineChars="200"/>
        <w:rPr>
          <w:rFonts w:ascii="宋体" w:hAnsi="宋体" w:cs="宋体"/>
          <w:b/>
          <w:bCs/>
          <w:color w:val="000000" w:themeColor="text1"/>
          <w:sz w:val="24"/>
          <w:highlight w:val="none"/>
          <w:u w:val="singl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a.承</w:t>
      </w:r>
      <w:r>
        <w:rPr>
          <w:rFonts w:hint="eastAsia" w:ascii="宋体" w:hAnsi="宋体" w:cs="宋体"/>
          <w:b/>
          <w:bCs/>
          <w:color w:val="000000" w:themeColor="text1"/>
          <w:sz w:val="24"/>
          <w:highlight w:val="none"/>
          <w:u w:val="single"/>
          <w14:textFill>
            <w14:solidFill>
              <w14:schemeClr w14:val="tx1"/>
            </w14:solidFill>
          </w14:textFill>
        </w:rPr>
        <w:t>包人发生第22.1.1项约定的违约情况时，无论发包人是否解除合同，发包人均有权将其违约行为上报省级交通主管部门，作为不良记录纳人公路养护工程市场信用信息管理系统</w:t>
      </w:r>
      <w:r>
        <w:rPr>
          <w:rFonts w:hint="eastAsia" w:ascii="宋体" w:hAnsi="宋体" w:cs="宋体"/>
          <w:b/>
          <w:bCs/>
          <w:color w:val="000000" w:themeColor="text1"/>
          <w:sz w:val="24"/>
          <w:highlight w:val="none"/>
          <w14:textFill>
            <w14:solidFill>
              <w14:schemeClr w14:val="tx1"/>
            </w14:solidFill>
          </w14:textFill>
        </w:rPr>
        <w:t>。</w:t>
      </w:r>
    </w:p>
    <w:p w14:paraId="23C2EFDA">
      <w:pPr>
        <w:spacing w:before="117" w:line="360" w:lineRule="auto"/>
        <w:ind w:firstLine="482" w:firstLineChars="200"/>
        <w:rPr>
          <w:rFonts w:ascii="宋体" w:hAnsi="宋体" w:cs="宋体"/>
          <w:b/>
          <w:bCs/>
          <w:color w:val="000000" w:themeColor="text1"/>
          <w:sz w:val="24"/>
          <w:highlight w:val="none"/>
          <w:u w:val="single"/>
          <w14:textFill>
            <w14:solidFill>
              <w14:schemeClr w14:val="tx1"/>
            </w14:solidFill>
          </w14:textFill>
        </w:rPr>
      </w:pPr>
      <w:r>
        <w:rPr>
          <w:rFonts w:hint="eastAsia" w:ascii="宋体" w:hAnsi="宋体" w:cs="宋体"/>
          <w:b/>
          <w:bCs/>
          <w:color w:val="000000" w:themeColor="text1"/>
          <w:sz w:val="24"/>
          <w:highlight w:val="none"/>
          <w:u w:val="single"/>
          <w14:textFill>
            <w14:solidFill>
              <w14:schemeClr w14:val="tx1"/>
            </w14:solidFill>
          </w14:textFill>
        </w:rPr>
        <w:t>b.承包人发生第22.1.1项（5）目情形，按第19.2.4款规定处理；</w:t>
      </w:r>
    </w:p>
    <w:p w14:paraId="1E1780AA">
      <w:pPr>
        <w:tabs>
          <w:tab w:val="left" w:pos="1080"/>
        </w:tabs>
        <w:spacing w:line="360" w:lineRule="auto"/>
        <w:ind w:firstLine="482" w:firstLineChars="200"/>
        <w:jc w:val="left"/>
        <w:rPr>
          <w:rFonts w:ascii="宋体" w:hAnsi="宋体" w:cs="宋体"/>
          <w:b/>
          <w:bCs/>
          <w:color w:val="000000" w:themeColor="text1"/>
          <w:spacing w:val="-2"/>
          <w:sz w:val="24"/>
          <w:highlight w:val="none"/>
          <w14:textFill>
            <w14:solidFill>
              <w14:schemeClr w14:val="tx1"/>
            </w14:solidFill>
          </w14:textFill>
        </w:rPr>
      </w:pPr>
      <w:r>
        <w:rPr>
          <w:rFonts w:hint="eastAsia" w:ascii="宋体" w:hAnsi="宋体" w:cs="宋体"/>
          <w:b/>
          <w:bCs/>
          <w:color w:val="000000" w:themeColor="text1"/>
          <w:sz w:val="24"/>
          <w:highlight w:val="none"/>
          <w:u w:val="single"/>
          <w14:textFill>
            <w14:solidFill>
              <w14:schemeClr w14:val="tx1"/>
            </w14:solidFill>
          </w14:textFill>
        </w:rPr>
        <w:t>c.承包人发生第22.1.1（7）目的违约情形时，每天向发包人支付逾期开工违约金：5000元/天。逾期超过14天，发包人有权解除合同并追究承包人解除合同的违约责任。</w:t>
      </w:r>
    </w:p>
    <w:p w14:paraId="40117D4F">
      <w:pPr>
        <w:tabs>
          <w:tab w:val="left" w:pos="1080"/>
        </w:tabs>
        <w:spacing w:line="360" w:lineRule="auto"/>
        <w:ind w:firstLine="482" w:firstLineChars="200"/>
        <w:rPr>
          <w:rFonts w:ascii="宋体" w:hAnsi="宋体" w:cs="宋体"/>
          <w:b/>
          <w:bCs/>
          <w:color w:val="000000" w:themeColor="text1"/>
          <w:sz w:val="24"/>
          <w:highlight w:val="none"/>
          <w:u w:val="single"/>
          <w14:textFill>
            <w14:solidFill>
              <w14:schemeClr w14:val="tx1"/>
            </w14:solidFill>
          </w14:textFill>
        </w:rPr>
      </w:pPr>
      <w:r>
        <w:rPr>
          <w:rFonts w:hint="eastAsia" w:ascii="宋体" w:hAnsi="宋体" w:cs="宋体"/>
          <w:b/>
          <w:bCs/>
          <w:color w:val="000000" w:themeColor="text1"/>
          <w:sz w:val="24"/>
          <w:highlight w:val="none"/>
          <w:u w:val="single"/>
          <w14:textFill>
            <w14:solidFill>
              <w14:schemeClr w14:val="tx1"/>
            </w14:solidFill>
          </w14:textFill>
        </w:rPr>
        <w:t>有22.1.1.（8）款行为或以下行为的，视为承包人违约，可对承包人处以以下的违约金：</w:t>
      </w:r>
    </w:p>
    <w:p w14:paraId="11E85363">
      <w:pPr>
        <w:tabs>
          <w:tab w:val="left" w:pos="1080"/>
        </w:tabs>
        <w:spacing w:line="360" w:lineRule="auto"/>
        <w:ind w:firstLine="480"/>
        <w:rPr>
          <w:rFonts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u w:val="single"/>
          <w14:textFill>
            <w14:solidFill>
              <w14:schemeClr w14:val="tx1"/>
            </w14:solidFill>
          </w14:textFill>
        </w:rPr>
        <w:t>a.承包人更换主要人员的（不管是否经项目法人或咨询总负责人同意），项目经理处8万元/人次，总工（或技术负责人）处5万元/人次，其他主要人员（指结构专业工程师、路基路面专业工程师、测量工程师、计量工程师和试验工程师）处2万元/人次；</w:t>
      </w:r>
    </w:p>
    <w:p w14:paraId="19E46724">
      <w:pPr>
        <w:tabs>
          <w:tab w:val="left" w:pos="1080"/>
        </w:tabs>
        <w:spacing w:line="360" w:lineRule="auto"/>
        <w:ind w:firstLine="480"/>
        <w:rPr>
          <w:rFonts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u w:val="single"/>
          <w14:textFill>
            <w14:solidFill>
              <w14:schemeClr w14:val="tx1"/>
            </w14:solidFill>
          </w14:textFill>
        </w:rPr>
        <w:t>b．项目经理或项目技术负责人未经发包人同意擅自离开工地，每天课以违约金500元／人；若虽经批准离开工地但每月在工地天数不足22天（特殊情况经咨询人批准报发包人同意例外）的，每不足一天课以违约金500元／人。其它主要技术骨干人员每月在工地天数不足22天（特殊情况经咨询人批准报发包人同意例外）的,每不足一天课以违约金300元／人；</w:t>
      </w:r>
    </w:p>
    <w:p w14:paraId="5959D41D">
      <w:pPr>
        <w:tabs>
          <w:tab w:val="left" w:pos="1080"/>
        </w:tabs>
        <w:spacing w:line="360" w:lineRule="auto"/>
        <w:ind w:firstLine="480"/>
        <w:rPr>
          <w:rFonts w:ascii="宋体" w:hAnsi="宋体" w:cs="宋体"/>
          <w:color w:val="000000" w:themeColor="text1"/>
          <w:spacing w:val="-2"/>
          <w:sz w:val="24"/>
          <w:highlight w:val="none"/>
          <w14:textFill>
            <w14:solidFill>
              <w14:schemeClr w14:val="tx1"/>
            </w14:solidFill>
          </w14:textFill>
        </w:rPr>
      </w:pPr>
      <w:r>
        <w:rPr>
          <w:rFonts w:hint="eastAsia" w:ascii="宋体" w:hAnsi="宋体" w:cs="宋体"/>
          <w:color w:val="000000" w:themeColor="text1"/>
          <w:sz w:val="24"/>
          <w:highlight w:val="none"/>
          <w:u w:val="single"/>
          <w14:textFill>
            <w14:solidFill>
              <w14:schemeClr w14:val="tx1"/>
            </w14:solidFill>
          </w14:textFill>
        </w:rPr>
        <w:t>c．主要设备没有按进度和合同规定承诺进场的处500元/日台。</w:t>
      </w:r>
    </w:p>
    <w:p w14:paraId="461F115F">
      <w:pPr>
        <w:tabs>
          <w:tab w:val="left" w:pos="1080"/>
        </w:tabs>
        <w:spacing w:line="360" w:lineRule="auto"/>
        <w:ind w:firstLine="562"/>
        <w:rPr>
          <w:rFonts w:ascii="宋体" w:hAnsi="宋体" w:cs="宋体"/>
          <w:b/>
          <w:bCs/>
          <w:color w:val="000000" w:themeColor="text1"/>
          <w:sz w:val="24"/>
          <w:highlight w:val="none"/>
          <w:u w:val="single"/>
          <w14:textFill>
            <w14:solidFill>
              <w14:schemeClr w14:val="tx1"/>
            </w14:solidFill>
          </w14:textFill>
        </w:rPr>
      </w:pPr>
      <w:r>
        <w:rPr>
          <w:rFonts w:hint="eastAsia" w:ascii="宋体" w:hAnsi="宋体" w:cs="宋体"/>
          <w:b/>
          <w:bCs/>
          <w:color w:val="000000" w:themeColor="text1"/>
          <w:sz w:val="24"/>
          <w:highlight w:val="none"/>
          <w:u w:val="single"/>
          <w14:textFill>
            <w14:solidFill>
              <w14:schemeClr w14:val="tx1"/>
            </w14:solidFill>
          </w14:textFill>
        </w:rPr>
        <w:t>（9）有以下情形的，可对承包人处以违约金。</w:t>
      </w:r>
    </w:p>
    <w:p w14:paraId="10FB3C9D">
      <w:pPr>
        <w:tabs>
          <w:tab w:val="left" w:pos="1080"/>
        </w:tabs>
        <w:spacing w:line="360" w:lineRule="auto"/>
        <w:ind w:firstLine="480"/>
        <w:rPr>
          <w:rFonts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u w:val="single"/>
          <w14:textFill>
            <w14:solidFill>
              <w14:schemeClr w14:val="tx1"/>
            </w14:solidFill>
          </w14:textFill>
        </w:rPr>
        <w:t>a.质量管理</w:t>
      </w:r>
    </w:p>
    <w:p w14:paraId="36C8F877">
      <w:pPr>
        <w:tabs>
          <w:tab w:val="left" w:pos="1080"/>
        </w:tabs>
        <w:spacing w:line="360" w:lineRule="auto"/>
        <w:ind w:firstLine="480"/>
        <w:rPr>
          <w:rFonts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u w:val="single"/>
          <w14:textFill>
            <w14:solidFill>
              <w14:schemeClr w14:val="tx1"/>
            </w14:solidFill>
          </w14:textFill>
        </w:rPr>
        <w:t>(a)出现下列行为之一可处200元/（人）次。</w:t>
      </w:r>
    </w:p>
    <w:p w14:paraId="5C311400">
      <w:pPr>
        <w:tabs>
          <w:tab w:val="left" w:pos="1080"/>
        </w:tabs>
        <w:spacing w:line="360" w:lineRule="auto"/>
        <w:ind w:firstLine="480" w:firstLineChars="200"/>
        <w:rPr>
          <w:rFonts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u w:val="single"/>
          <w14:textFill>
            <w14:solidFill>
              <w14:schemeClr w14:val="tx1"/>
            </w14:solidFill>
          </w14:textFill>
        </w:rPr>
        <w:t>Ⅰ分项工程（养护单元）施工现场无合格的施工责任牌；或</w:t>
      </w:r>
    </w:p>
    <w:p w14:paraId="4575314F">
      <w:pPr>
        <w:tabs>
          <w:tab w:val="left" w:pos="1080"/>
        </w:tabs>
        <w:spacing w:line="360" w:lineRule="auto"/>
        <w:ind w:firstLine="480" w:firstLineChars="200"/>
        <w:rPr>
          <w:rFonts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u w:val="single"/>
          <w14:textFill>
            <w14:solidFill>
              <w14:schemeClr w14:val="tx1"/>
            </w14:solidFill>
          </w14:textFill>
        </w:rPr>
        <w:t>Ⅱ分项工程（养护单元）施工现场无其相关责任人；或</w:t>
      </w:r>
    </w:p>
    <w:p w14:paraId="16DC9426">
      <w:pPr>
        <w:tabs>
          <w:tab w:val="left" w:pos="1080"/>
        </w:tabs>
        <w:spacing w:line="360" w:lineRule="auto"/>
        <w:ind w:firstLine="480" w:firstLineChars="200"/>
        <w:rPr>
          <w:rFonts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u w:val="single"/>
          <w14:textFill>
            <w14:solidFill>
              <w14:schemeClr w14:val="tx1"/>
            </w14:solidFill>
          </w14:textFill>
        </w:rPr>
        <w:t>Ⅲ施工现场无基本的检测检验工具；或</w:t>
      </w:r>
    </w:p>
    <w:p w14:paraId="2A728152">
      <w:pPr>
        <w:tabs>
          <w:tab w:val="left" w:pos="1080"/>
        </w:tabs>
        <w:spacing w:line="360" w:lineRule="auto"/>
        <w:ind w:firstLine="480" w:firstLineChars="200"/>
        <w:rPr>
          <w:rFonts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u w:val="single"/>
          <w14:textFill>
            <w14:solidFill>
              <w14:schemeClr w14:val="tx1"/>
            </w14:solidFill>
          </w14:textFill>
        </w:rPr>
        <w:t>Ⅳ施工现场相关责任人无检查检验记录表；或</w:t>
      </w:r>
    </w:p>
    <w:p w14:paraId="7B30DAF8">
      <w:pPr>
        <w:tabs>
          <w:tab w:val="left" w:pos="1080"/>
        </w:tabs>
        <w:spacing w:line="360" w:lineRule="auto"/>
        <w:ind w:firstLine="480" w:firstLineChars="200"/>
        <w:rPr>
          <w:rFonts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u w:val="single"/>
          <w14:textFill>
            <w14:solidFill>
              <w14:schemeClr w14:val="tx1"/>
            </w14:solidFill>
          </w14:textFill>
        </w:rPr>
        <w:t>Ⅴ现场已完成工作无检查记录。</w:t>
      </w:r>
    </w:p>
    <w:p w14:paraId="2273E037">
      <w:pPr>
        <w:tabs>
          <w:tab w:val="left" w:pos="1080"/>
        </w:tabs>
        <w:spacing w:line="360" w:lineRule="auto"/>
        <w:ind w:firstLine="480"/>
        <w:rPr>
          <w:rFonts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u w:val="single"/>
          <w14:textFill>
            <w14:solidFill>
              <w14:schemeClr w14:val="tx1"/>
            </w14:solidFill>
          </w14:textFill>
        </w:rPr>
        <w:t>（b）出现以下行为之一，可处1000元/次。</w:t>
      </w:r>
    </w:p>
    <w:p w14:paraId="3E41B23C">
      <w:pPr>
        <w:tabs>
          <w:tab w:val="left" w:pos="1080"/>
        </w:tabs>
        <w:spacing w:line="360" w:lineRule="auto"/>
        <w:ind w:firstLine="480" w:firstLineChars="200"/>
        <w:rPr>
          <w:rFonts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u w:val="single"/>
          <w14:textFill>
            <w14:solidFill>
              <w14:schemeClr w14:val="tx1"/>
            </w14:solidFill>
          </w14:textFill>
        </w:rPr>
        <w:t>Ⅰ　未按工序申请检验进入下一道工序的；或</w:t>
      </w:r>
    </w:p>
    <w:p w14:paraId="06D2999B">
      <w:pPr>
        <w:tabs>
          <w:tab w:val="left" w:pos="1080"/>
        </w:tabs>
        <w:spacing w:line="360" w:lineRule="auto"/>
        <w:ind w:firstLine="480" w:firstLineChars="200"/>
        <w:rPr>
          <w:rFonts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u w:val="single"/>
          <w14:textFill>
            <w14:solidFill>
              <w14:schemeClr w14:val="tx1"/>
            </w14:solidFill>
          </w14:textFill>
        </w:rPr>
        <w:t>Ⅱ　隐蔽工程记录文件不全；或</w:t>
      </w:r>
    </w:p>
    <w:p w14:paraId="3083F2AA">
      <w:pPr>
        <w:tabs>
          <w:tab w:val="left" w:pos="1080"/>
        </w:tabs>
        <w:spacing w:line="360" w:lineRule="auto"/>
        <w:ind w:firstLine="480" w:firstLineChars="200"/>
        <w:rPr>
          <w:rFonts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u w:val="single"/>
          <w14:textFill>
            <w14:solidFill>
              <w14:schemeClr w14:val="tx1"/>
            </w14:solidFill>
          </w14:textFill>
        </w:rPr>
        <w:t>Ⅲ　施工试验检验频率不符合施工规范规定；或</w:t>
      </w:r>
    </w:p>
    <w:p w14:paraId="08848A8A">
      <w:pPr>
        <w:tabs>
          <w:tab w:val="left" w:pos="1080"/>
        </w:tabs>
        <w:spacing w:line="360" w:lineRule="auto"/>
        <w:ind w:firstLine="480" w:firstLineChars="200"/>
        <w:rPr>
          <w:rFonts w:ascii="宋体" w:hAnsi="宋体" w:cs="宋体"/>
          <w:color w:val="000000" w:themeColor="text1"/>
          <w:spacing w:val="-2"/>
          <w:sz w:val="24"/>
          <w:highlight w:val="none"/>
          <w14:textFill>
            <w14:solidFill>
              <w14:schemeClr w14:val="tx1"/>
            </w14:solidFill>
          </w14:textFill>
        </w:rPr>
      </w:pPr>
      <w:r>
        <w:rPr>
          <w:rFonts w:hint="eastAsia" w:ascii="宋体" w:hAnsi="宋体" w:cs="宋体"/>
          <w:color w:val="000000" w:themeColor="text1"/>
          <w:sz w:val="24"/>
          <w:highlight w:val="none"/>
          <w:u w:val="single"/>
          <w14:textFill>
            <w14:solidFill>
              <w14:schemeClr w14:val="tx1"/>
            </w14:solidFill>
          </w14:textFill>
        </w:rPr>
        <w:t>Ⅳ　分项工程（养护单元）质量自检验收检验频率不符合质量评定标准规定的。</w:t>
      </w:r>
    </w:p>
    <w:p w14:paraId="1A94F573">
      <w:pPr>
        <w:tabs>
          <w:tab w:val="left" w:pos="1080"/>
        </w:tabs>
        <w:spacing w:line="360" w:lineRule="auto"/>
        <w:ind w:firstLine="480"/>
        <w:rPr>
          <w:rFonts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u w:val="single"/>
          <w14:textFill>
            <w14:solidFill>
              <w14:schemeClr w14:val="tx1"/>
            </w14:solidFill>
          </w14:textFill>
        </w:rPr>
        <w:t>（c）出现以下行为之一，可处2000元/次。</w:t>
      </w:r>
    </w:p>
    <w:p w14:paraId="3E9C5F52">
      <w:pPr>
        <w:tabs>
          <w:tab w:val="left" w:pos="1080"/>
        </w:tabs>
        <w:spacing w:line="360" w:lineRule="auto"/>
        <w:ind w:firstLine="480" w:firstLineChars="200"/>
        <w:rPr>
          <w:rFonts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u w:val="single"/>
          <w14:textFill>
            <w14:solidFill>
              <w14:schemeClr w14:val="tx1"/>
            </w14:solidFill>
          </w14:textFill>
        </w:rPr>
        <w:t>Ⅰ　出现质量问题，且承包人负有直接责任的，或不能证明其履行其职责的；</w:t>
      </w:r>
    </w:p>
    <w:p w14:paraId="03E58061">
      <w:pPr>
        <w:tabs>
          <w:tab w:val="left" w:pos="1080"/>
        </w:tabs>
        <w:spacing w:line="360" w:lineRule="auto"/>
        <w:ind w:firstLine="480" w:firstLineChars="200"/>
        <w:rPr>
          <w:rFonts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u w:val="single"/>
          <w14:textFill>
            <w14:solidFill>
              <w14:schemeClr w14:val="tx1"/>
            </w14:solidFill>
          </w14:textFill>
        </w:rPr>
        <w:t>Ⅱ　发生质量事故，未按有关规定和时间向有关部门报告的；</w:t>
      </w:r>
    </w:p>
    <w:p w14:paraId="3514F1B5">
      <w:pPr>
        <w:tabs>
          <w:tab w:val="left" w:pos="1080"/>
        </w:tabs>
        <w:spacing w:line="360" w:lineRule="auto"/>
        <w:ind w:firstLine="480" w:firstLineChars="200"/>
        <w:rPr>
          <w:rFonts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u w:val="single"/>
          <w14:textFill>
            <w14:solidFill>
              <w14:schemeClr w14:val="tx1"/>
            </w14:solidFill>
          </w14:textFill>
        </w:rPr>
        <w:t>Ⅲ　已经施工完成的工程没有按竣工文件收集归档管理办法要求依分项工程、工序将施工作业记录、测量记录、试验检测记录及工序报验审批记录等收集归档。</w:t>
      </w:r>
    </w:p>
    <w:p w14:paraId="6843696D">
      <w:pPr>
        <w:tabs>
          <w:tab w:val="left" w:pos="1080"/>
        </w:tabs>
        <w:spacing w:line="360" w:lineRule="auto"/>
        <w:ind w:firstLine="480"/>
        <w:rPr>
          <w:rFonts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u w:val="single"/>
          <w14:textFill>
            <w14:solidFill>
              <w14:schemeClr w14:val="tx1"/>
            </w14:solidFill>
          </w14:textFill>
        </w:rPr>
        <w:t>（d）出现以下行为之一，可处5000元/次。</w:t>
      </w:r>
    </w:p>
    <w:p w14:paraId="18F75641">
      <w:pPr>
        <w:tabs>
          <w:tab w:val="left" w:pos="1080"/>
        </w:tabs>
        <w:spacing w:line="360" w:lineRule="auto"/>
        <w:ind w:firstLine="480" w:firstLineChars="200"/>
        <w:rPr>
          <w:rFonts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u w:val="single"/>
          <w14:textFill>
            <w14:solidFill>
              <w14:schemeClr w14:val="tx1"/>
            </w14:solidFill>
          </w14:textFill>
        </w:rPr>
        <w:t>Ⅰ　施工单位不接受质监机构监督；或</w:t>
      </w:r>
    </w:p>
    <w:p w14:paraId="4032E6DF">
      <w:pPr>
        <w:tabs>
          <w:tab w:val="left" w:pos="1080"/>
        </w:tabs>
        <w:spacing w:line="360" w:lineRule="auto"/>
        <w:ind w:firstLine="480" w:firstLineChars="200"/>
        <w:rPr>
          <w:rFonts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u w:val="single"/>
          <w14:textFill>
            <w14:solidFill>
              <w14:schemeClr w14:val="tx1"/>
            </w14:solidFill>
          </w14:textFill>
        </w:rPr>
        <w:t>Ⅱ　出现二、三级一般质量事故，且承包人负有直接责任，或不能证明其履行其职责的；或</w:t>
      </w:r>
    </w:p>
    <w:p w14:paraId="702695ED">
      <w:pPr>
        <w:tabs>
          <w:tab w:val="left" w:pos="1080"/>
        </w:tabs>
        <w:spacing w:line="360" w:lineRule="auto"/>
        <w:ind w:firstLine="480" w:firstLineChars="200"/>
        <w:rPr>
          <w:rFonts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u w:val="single"/>
          <w14:textFill>
            <w14:solidFill>
              <w14:schemeClr w14:val="tx1"/>
            </w14:solidFill>
          </w14:textFill>
        </w:rPr>
        <w:t>Ⅲ　未按规定建立合格的工地试验室（或委托第三方试验室）的；或</w:t>
      </w:r>
    </w:p>
    <w:p w14:paraId="384D74AD">
      <w:pPr>
        <w:tabs>
          <w:tab w:val="left" w:pos="1080"/>
        </w:tabs>
        <w:spacing w:line="360" w:lineRule="auto"/>
        <w:ind w:firstLine="480" w:firstLineChars="200"/>
        <w:rPr>
          <w:rFonts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u w:val="single"/>
          <w14:textFill>
            <w14:solidFill>
              <w14:schemeClr w14:val="tx1"/>
            </w14:solidFill>
          </w14:textFill>
        </w:rPr>
        <w:t>Ⅳ　路基土石方，路面各结构层一次单项单点实体抽查合格率为50%—70%的；或</w:t>
      </w:r>
    </w:p>
    <w:p w14:paraId="177CAEC9">
      <w:pPr>
        <w:tabs>
          <w:tab w:val="left" w:pos="1080"/>
        </w:tabs>
        <w:spacing w:line="360" w:lineRule="auto"/>
        <w:ind w:firstLine="480" w:firstLineChars="200"/>
        <w:rPr>
          <w:rFonts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u w:val="single"/>
          <w14:textFill>
            <w14:solidFill>
              <w14:schemeClr w14:val="tx1"/>
            </w14:solidFill>
          </w14:textFill>
        </w:rPr>
        <w:t>Ⅴ　使用主要材料（钢筋、水泥、沥青、碎石、砂、砂砾等）不合格的。或</w:t>
      </w:r>
    </w:p>
    <w:p w14:paraId="22C92E8D">
      <w:pPr>
        <w:tabs>
          <w:tab w:val="left" w:pos="1080"/>
        </w:tabs>
        <w:spacing w:line="360" w:lineRule="auto"/>
        <w:ind w:firstLine="480" w:firstLineChars="200"/>
        <w:rPr>
          <w:rFonts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u w:val="single"/>
          <w14:textFill>
            <w14:solidFill>
              <w14:schemeClr w14:val="tx1"/>
            </w14:solidFill>
          </w14:textFill>
        </w:rPr>
        <w:t>Ⅷ　已经施工完成的工程无法提供按竣工文件收集归档管理办法要求应收集的分项工程、工序的施工作业记录、测量记录、试验检测记录及工序报验审批记录等质量管理文件的。</w:t>
      </w:r>
    </w:p>
    <w:p w14:paraId="155A8ECF">
      <w:pPr>
        <w:tabs>
          <w:tab w:val="left" w:pos="1080"/>
        </w:tabs>
        <w:spacing w:line="360" w:lineRule="auto"/>
        <w:ind w:firstLine="480"/>
        <w:rPr>
          <w:rFonts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u w:val="single"/>
          <w14:textFill>
            <w14:solidFill>
              <w14:schemeClr w14:val="tx1"/>
            </w14:solidFill>
          </w14:textFill>
        </w:rPr>
        <w:t>b．安全生产管理</w:t>
      </w:r>
    </w:p>
    <w:p w14:paraId="46CA8201">
      <w:pPr>
        <w:tabs>
          <w:tab w:val="left" w:pos="1080"/>
        </w:tabs>
        <w:spacing w:line="360" w:lineRule="auto"/>
        <w:ind w:firstLine="480"/>
        <w:rPr>
          <w:rFonts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u w:val="single"/>
          <w14:textFill>
            <w14:solidFill>
              <w14:schemeClr w14:val="tx1"/>
            </w14:solidFill>
          </w14:textFill>
        </w:rPr>
        <w:t>（a）出现下列行为之一可处200元/（人）次。</w:t>
      </w:r>
    </w:p>
    <w:p w14:paraId="28FB8CF4">
      <w:pPr>
        <w:tabs>
          <w:tab w:val="left" w:pos="1080"/>
        </w:tabs>
        <w:spacing w:line="360" w:lineRule="auto"/>
        <w:ind w:firstLine="480" w:firstLineChars="200"/>
        <w:rPr>
          <w:rFonts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u w:val="single"/>
          <w14:textFill>
            <w14:solidFill>
              <w14:schemeClr w14:val="tx1"/>
            </w14:solidFill>
          </w14:textFill>
        </w:rPr>
        <w:t>Ⅰ　需持证上岗人员无证上岗的；或</w:t>
      </w:r>
    </w:p>
    <w:p w14:paraId="66D29C05">
      <w:pPr>
        <w:tabs>
          <w:tab w:val="left" w:pos="1080"/>
        </w:tabs>
        <w:spacing w:line="360" w:lineRule="auto"/>
        <w:ind w:firstLine="480" w:firstLineChars="200"/>
        <w:rPr>
          <w:rFonts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u w:val="single"/>
          <w14:textFill>
            <w14:solidFill>
              <w14:schemeClr w14:val="tx1"/>
            </w14:solidFill>
          </w14:textFill>
        </w:rPr>
        <w:t>Ⅱ　需配戴安全防护用具作业的；或</w:t>
      </w:r>
    </w:p>
    <w:p w14:paraId="05A884E3">
      <w:pPr>
        <w:tabs>
          <w:tab w:val="left" w:pos="1080"/>
        </w:tabs>
        <w:spacing w:line="360" w:lineRule="auto"/>
        <w:ind w:firstLine="480" w:firstLineChars="200"/>
        <w:rPr>
          <w:rFonts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u w:val="single"/>
          <w14:textFill>
            <w14:solidFill>
              <w14:schemeClr w14:val="tx1"/>
            </w14:solidFill>
          </w14:textFill>
        </w:rPr>
        <w:t>Ⅲ　未经登记、安全培训教育上岗的。</w:t>
      </w:r>
    </w:p>
    <w:p w14:paraId="22D98BB8">
      <w:pPr>
        <w:tabs>
          <w:tab w:val="left" w:pos="1080"/>
        </w:tabs>
        <w:spacing w:line="360" w:lineRule="auto"/>
        <w:ind w:firstLine="480"/>
        <w:rPr>
          <w:rFonts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u w:val="single"/>
          <w14:textFill>
            <w14:solidFill>
              <w14:schemeClr w14:val="tx1"/>
            </w14:solidFill>
          </w14:textFill>
        </w:rPr>
        <w:t>（b）出现下列行为之一可处500元/处次。</w:t>
      </w:r>
    </w:p>
    <w:p w14:paraId="57947885">
      <w:pPr>
        <w:tabs>
          <w:tab w:val="left" w:pos="1080"/>
        </w:tabs>
        <w:spacing w:line="360" w:lineRule="auto"/>
        <w:ind w:firstLine="480" w:firstLineChars="200"/>
        <w:rPr>
          <w:rFonts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u w:val="single"/>
          <w14:textFill>
            <w14:solidFill>
              <w14:schemeClr w14:val="tx1"/>
            </w14:solidFill>
          </w14:textFill>
        </w:rPr>
        <w:t>Ⅰ　无专职安全检查人员；或</w:t>
      </w:r>
    </w:p>
    <w:p w14:paraId="331A730B">
      <w:pPr>
        <w:tabs>
          <w:tab w:val="left" w:pos="1080"/>
        </w:tabs>
        <w:spacing w:line="360" w:lineRule="auto"/>
        <w:ind w:firstLine="480" w:firstLineChars="200"/>
        <w:rPr>
          <w:rFonts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u w:val="single"/>
          <w14:textFill>
            <w14:solidFill>
              <w14:schemeClr w14:val="tx1"/>
            </w14:solidFill>
          </w14:textFill>
        </w:rPr>
        <w:t>Ⅱ　无安全生产检查日志；或</w:t>
      </w:r>
    </w:p>
    <w:p w14:paraId="088390A0">
      <w:pPr>
        <w:tabs>
          <w:tab w:val="left" w:pos="1080"/>
        </w:tabs>
        <w:spacing w:line="360" w:lineRule="auto"/>
        <w:ind w:firstLine="480" w:firstLineChars="200"/>
        <w:rPr>
          <w:rFonts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u w:val="single"/>
          <w14:textFill>
            <w14:solidFill>
              <w14:schemeClr w14:val="tx1"/>
            </w14:solidFill>
          </w14:textFill>
        </w:rPr>
        <w:t>Ⅲ　作业点或危险施工路段安全标志不全；或</w:t>
      </w:r>
    </w:p>
    <w:p w14:paraId="1F576EFA">
      <w:pPr>
        <w:tabs>
          <w:tab w:val="left" w:pos="1080"/>
        </w:tabs>
        <w:spacing w:line="360" w:lineRule="auto"/>
        <w:ind w:firstLine="480" w:firstLineChars="200"/>
        <w:rPr>
          <w:rFonts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u w:val="single"/>
          <w14:textFill>
            <w14:solidFill>
              <w14:schemeClr w14:val="tx1"/>
            </w14:solidFill>
          </w14:textFill>
        </w:rPr>
        <w:t>Ⅳ　安全标志（牌）、线（绳）不符国家规定的；或</w:t>
      </w:r>
    </w:p>
    <w:p w14:paraId="374359BD">
      <w:pPr>
        <w:tabs>
          <w:tab w:val="left" w:pos="1080"/>
        </w:tabs>
        <w:spacing w:line="360" w:lineRule="auto"/>
        <w:ind w:firstLine="480" w:firstLineChars="200"/>
        <w:rPr>
          <w:rFonts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u w:val="single"/>
          <w14:textFill>
            <w14:solidFill>
              <w14:schemeClr w14:val="tx1"/>
            </w14:solidFill>
          </w14:textFill>
        </w:rPr>
        <w:t>Ⅴ　易燃易爆物品管理不符合管理要求。</w:t>
      </w:r>
    </w:p>
    <w:p w14:paraId="0987C4E6">
      <w:pPr>
        <w:tabs>
          <w:tab w:val="left" w:pos="1080"/>
        </w:tabs>
        <w:spacing w:line="360" w:lineRule="auto"/>
        <w:ind w:firstLine="480"/>
        <w:rPr>
          <w:rFonts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u w:val="single"/>
          <w14:textFill>
            <w14:solidFill>
              <w14:schemeClr w14:val="tx1"/>
            </w14:solidFill>
          </w14:textFill>
        </w:rPr>
        <w:t>（c）出现下列行为之一可处1000元/处次。</w:t>
      </w:r>
    </w:p>
    <w:p w14:paraId="4E28D4D6">
      <w:pPr>
        <w:tabs>
          <w:tab w:val="left" w:pos="1080"/>
        </w:tabs>
        <w:spacing w:line="360" w:lineRule="auto"/>
        <w:ind w:firstLine="480" w:firstLineChars="200"/>
        <w:rPr>
          <w:rFonts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u w:val="single"/>
          <w14:textFill>
            <w14:solidFill>
              <w14:schemeClr w14:val="tx1"/>
            </w14:solidFill>
          </w14:textFill>
        </w:rPr>
        <w:t>Ⅰ　施工作业点或施工形成的危险路段无规定的安全标志；或</w:t>
      </w:r>
    </w:p>
    <w:p w14:paraId="62DB4DA1">
      <w:pPr>
        <w:tabs>
          <w:tab w:val="left" w:pos="1080"/>
        </w:tabs>
        <w:spacing w:line="360" w:lineRule="auto"/>
        <w:ind w:firstLine="480" w:firstLineChars="200"/>
        <w:rPr>
          <w:rFonts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u w:val="single"/>
          <w14:textFill>
            <w14:solidFill>
              <w14:schemeClr w14:val="tx1"/>
            </w14:solidFill>
          </w14:textFill>
        </w:rPr>
        <w:t>Ⅱ　需设安全防护设施的未按规定设置；或</w:t>
      </w:r>
    </w:p>
    <w:p w14:paraId="7584705C">
      <w:pPr>
        <w:tabs>
          <w:tab w:val="left" w:pos="1080"/>
        </w:tabs>
        <w:spacing w:line="360" w:lineRule="auto"/>
        <w:ind w:firstLine="480" w:firstLineChars="200"/>
        <w:rPr>
          <w:rFonts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u w:val="single"/>
          <w14:textFill>
            <w14:solidFill>
              <w14:schemeClr w14:val="tx1"/>
            </w14:solidFill>
          </w14:textFill>
        </w:rPr>
        <w:t>Ⅲ　出现一般安全生事故负有责任的；或</w:t>
      </w:r>
    </w:p>
    <w:p w14:paraId="5CBA58A9">
      <w:pPr>
        <w:tabs>
          <w:tab w:val="left" w:pos="1080"/>
        </w:tabs>
        <w:spacing w:line="360" w:lineRule="auto"/>
        <w:ind w:firstLine="480" w:firstLineChars="200"/>
        <w:rPr>
          <w:rFonts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u w:val="single"/>
          <w14:textFill>
            <w14:solidFill>
              <w14:schemeClr w14:val="tx1"/>
            </w14:solidFill>
          </w14:textFill>
        </w:rPr>
        <w:t>Ⅳ　发生重大安全事故不按规定报告的。</w:t>
      </w:r>
    </w:p>
    <w:p w14:paraId="106E3180">
      <w:pPr>
        <w:tabs>
          <w:tab w:val="left" w:pos="1080"/>
        </w:tabs>
        <w:spacing w:line="360" w:lineRule="auto"/>
        <w:ind w:firstLine="480"/>
        <w:rPr>
          <w:rFonts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u w:val="single"/>
          <w14:textFill>
            <w14:solidFill>
              <w14:schemeClr w14:val="tx1"/>
            </w14:solidFill>
          </w14:textFill>
        </w:rPr>
        <w:t>（d）出现下列行为之一可处10000元/处次。</w:t>
      </w:r>
    </w:p>
    <w:p w14:paraId="2FFDA41A">
      <w:pPr>
        <w:tabs>
          <w:tab w:val="left" w:pos="1080"/>
        </w:tabs>
        <w:spacing w:line="360" w:lineRule="auto"/>
        <w:ind w:firstLine="480" w:firstLineChars="200"/>
        <w:rPr>
          <w:rFonts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u w:val="single"/>
          <w14:textFill>
            <w14:solidFill>
              <w14:schemeClr w14:val="tx1"/>
            </w14:solidFill>
          </w14:textFill>
        </w:rPr>
        <w:t>出现重大安全生产事故负有责任的。</w:t>
      </w:r>
    </w:p>
    <w:p w14:paraId="7A658853">
      <w:pPr>
        <w:tabs>
          <w:tab w:val="left" w:pos="1080"/>
        </w:tabs>
        <w:spacing w:line="360" w:lineRule="auto"/>
        <w:ind w:firstLine="480"/>
        <w:rPr>
          <w:rFonts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u w:val="single"/>
          <w14:textFill>
            <w14:solidFill>
              <w14:schemeClr w14:val="tx1"/>
            </w14:solidFill>
          </w14:textFill>
        </w:rPr>
        <w:t>c．文明施工与环境保护，交通通畅</w:t>
      </w:r>
    </w:p>
    <w:p w14:paraId="4567797A">
      <w:pPr>
        <w:tabs>
          <w:tab w:val="left" w:pos="1080"/>
        </w:tabs>
        <w:spacing w:line="360" w:lineRule="auto"/>
        <w:ind w:firstLine="480"/>
        <w:rPr>
          <w:rFonts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u w:val="single"/>
          <w14:textFill>
            <w14:solidFill>
              <w14:schemeClr w14:val="tx1"/>
            </w14:solidFill>
          </w14:textFill>
        </w:rPr>
        <w:t>（a）路基路面施工扬尘影响交通安全的处500元/处天；</w:t>
      </w:r>
    </w:p>
    <w:p w14:paraId="2861CE00">
      <w:pPr>
        <w:tabs>
          <w:tab w:val="left" w:pos="1080"/>
        </w:tabs>
        <w:spacing w:line="360" w:lineRule="auto"/>
        <w:ind w:firstLine="480"/>
        <w:rPr>
          <w:rFonts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u w:val="single"/>
          <w14:textFill>
            <w14:solidFill>
              <w14:schemeClr w14:val="tx1"/>
            </w14:solidFill>
          </w14:textFill>
        </w:rPr>
        <w:t>（b）由于施工原因造成污染、破坏被群众向政府、主管单位投诉或被环保、水利部门责令整改的，处1000元/次。</w:t>
      </w:r>
    </w:p>
    <w:p w14:paraId="79332672">
      <w:pPr>
        <w:tabs>
          <w:tab w:val="left" w:pos="1080"/>
        </w:tabs>
        <w:spacing w:line="360" w:lineRule="auto"/>
        <w:ind w:firstLine="480"/>
        <w:rPr>
          <w:rFonts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u w:val="single"/>
          <w14:textFill>
            <w14:solidFill>
              <w14:schemeClr w14:val="tx1"/>
            </w14:solidFill>
          </w14:textFill>
        </w:rPr>
        <w:t>（c）由于承包人原因包括不及时处理堵车造成交通堵塞，堵车30分钟至一小时的处3000元/次，堵车一小时至二小时的处5000元/次，堵车二小时以上的处每小时（不满1小时按1小时计）1万元，并建议上级主管单位进行通报。</w:t>
      </w:r>
    </w:p>
    <w:p w14:paraId="74DC220B">
      <w:pPr>
        <w:tabs>
          <w:tab w:val="left" w:pos="1080"/>
        </w:tabs>
        <w:spacing w:line="360" w:lineRule="auto"/>
        <w:ind w:firstLine="480"/>
        <w:rPr>
          <w:rFonts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u w:val="single"/>
          <w14:textFill>
            <w14:solidFill>
              <w14:schemeClr w14:val="tx1"/>
            </w14:solidFill>
          </w14:textFill>
        </w:rPr>
        <w:t>d．其他重要规定违约处理</w:t>
      </w:r>
    </w:p>
    <w:p w14:paraId="6EA97C25">
      <w:pPr>
        <w:tabs>
          <w:tab w:val="left" w:pos="1080"/>
        </w:tabs>
        <w:spacing w:line="360" w:lineRule="auto"/>
        <w:ind w:firstLine="480"/>
        <w:rPr>
          <w:rFonts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u w:val="single"/>
          <w14:textFill>
            <w14:solidFill>
              <w14:schemeClr w14:val="tx1"/>
            </w14:solidFill>
          </w14:textFill>
        </w:rPr>
        <w:t>有下列行为之一的处500元/人次违约金并责令承包人进行整改。</w:t>
      </w:r>
    </w:p>
    <w:p w14:paraId="1CC21232">
      <w:pPr>
        <w:tabs>
          <w:tab w:val="left" w:pos="1080"/>
        </w:tabs>
        <w:spacing w:line="360" w:lineRule="auto"/>
        <w:ind w:firstLine="480"/>
        <w:rPr>
          <w:rFonts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u w:val="single"/>
          <w14:textFill>
            <w14:solidFill>
              <w14:schemeClr w14:val="tx1"/>
            </w14:solidFill>
          </w14:textFill>
        </w:rPr>
        <w:t>(a)劳务人员未按规定签订聘用合同并向业主、咨询总负责人报备；或</w:t>
      </w:r>
    </w:p>
    <w:p w14:paraId="40FDC0C0">
      <w:pPr>
        <w:tabs>
          <w:tab w:val="left" w:pos="1080"/>
        </w:tabs>
        <w:spacing w:line="360" w:lineRule="auto"/>
        <w:ind w:firstLine="480"/>
        <w:rPr>
          <w:rFonts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u w:val="single"/>
          <w14:textFill>
            <w14:solidFill>
              <w14:schemeClr w14:val="tx1"/>
            </w14:solidFill>
          </w14:textFill>
        </w:rPr>
        <w:t>(b)签订的劳务合同不符合劳动法等法规要求；或</w:t>
      </w:r>
    </w:p>
    <w:p w14:paraId="463E2B2B">
      <w:pPr>
        <w:tabs>
          <w:tab w:val="left" w:pos="1080"/>
        </w:tabs>
        <w:spacing w:line="360" w:lineRule="auto"/>
        <w:ind w:firstLine="480"/>
        <w:rPr>
          <w:rFonts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u w:val="single"/>
          <w14:textFill>
            <w14:solidFill>
              <w14:schemeClr w14:val="tx1"/>
            </w14:solidFill>
          </w14:textFill>
        </w:rPr>
        <w:t>(c)劳务人员未编入承包人施工班组，并持项目经理签发的劳务上岗证上岗。</w:t>
      </w:r>
    </w:p>
    <w:p w14:paraId="01591C19">
      <w:pPr>
        <w:tabs>
          <w:tab w:val="left" w:pos="1080"/>
        </w:tabs>
        <w:spacing w:line="360" w:lineRule="auto"/>
        <w:ind w:firstLine="480"/>
        <w:rPr>
          <w:rFonts w:ascii="宋体" w:hAnsi="宋体" w:cs="宋体"/>
          <w:b/>
          <w:bCs/>
          <w:color w:val="000000" w:themeColor="text1"/>
          <w:sz w:val="24"/>
          <w:highlight w:val="none"/>
          <w:u w:val="single"/>
          <w14:textFill>
            <w14:solidFill>
              <w14:schemeClr w14:val="tx1"/>
            </w14:solidFill>
          </w14:textFill>
        </w:rPr>
      </w:pPr>
      <w:r>
        <w:rPr>
          <w:rFonts w:hint="eastAsia" w:ascii="宋体" w:hAnsi="宋体" w:cs="宋体"/>
          <w:b/>
          <w:bCs/>
          <w:color w:val="000000" w:themeColor="text1"/>
          <w:sz w:val="24"/>
          <w:highlight w:val="none"/>
          <w:u w:val="single"/>
          <w14:textFill>
            <w14:solidFill>
              <w14:schemeClr w14:val="tx1"/>
            </w14:solidFill>
          </w14:textFill>
        </w:rPr>
        <w:t>（10）上述被处的违约金在计量支付时从履约担保金中扣除，当扣除额达履约担保金总额30%时，承包人无条件进行足额补充。</w:t>
      </w:r>
    </w:p>
    <w:p w14:paraId="408E2727">
      <w:pPr>
        <w:tabs>
          <w:tab w:val="left" w:pos="1080"/>
        </w:tabs>
        <w:spacing w:line="360" w:lineRule="auto"/>
        <w:ind w:firstLine="480"/>
        <w:rPr>
          <w:rFonts w:ascii="宋体" w:hAnsi="宋体" w:cs="宋体"/>
          <w:b/>
          <w:bCs/>
          <w:color w:val="000000" w:themeColor="text1"/>
          <w:sz w:val="24"/>
          <w:highlight w:val="none"/>
          <w:u w:val="single"/>
          <w14:textFill>
            <w14:solidFill>
              <w14:schemeClr w14:val="tx1"/>
            </w14:solidFill>
          </w14:textFill>
        </w:rPr>
      </w:pPr>
      <w:r>
        <w:rPr>
          <w:rFonts w:hint="eastAsia" w:ascii="宋体" w:hAnsi="宋体" w:cs="宋体"/>
          <w:b/>
          <w:bCs/>
          <w:color w:val="000000" w:themeColor="text1"/>
          <w:sz w:val="24"/>
          <w:highlight w:val="none"/>
          <w:u w:val="single"/>
          <w14:textFill>
            <w14:solidFill>
              <w14:schemeClr w14:val="tx1"/>
            </w14:solidFill>
          </w14:textFill>
        </w:rPr>
        <w:t>（11）业主（招标人）按合同进行违约处理后，并不解除承包人按照国家法规与合同应承担的责任与义务。</w:t>
      </w:r>
    </w:p>
    <w:p w14:paraId="434743CC">
      <w:pPr>
        <w:spacing w:line="360" w:lineRule="auto"/>
        <w:ind w:left="485"/>
        <w:outlineLvl w:val="4"/>
        <w:rPr>
          <w:rFonts w:ascii="宋体" w:hAnsi="宋体" w:cs="宋体"/>
          <w:color w:val="000000" w:themeColor="text1"/>
          <w:sz w:val="24"/>
          <w:highlight w:val="none"/>
          <w14:textFill>
            <w14:solidFill>
              <w14:schemeClr w14:val="tx1"/>
            </w14:solidFill>
          </w14:textFill>
        </w:rPr>
      </w:pPr>
      <w:bookmarkStart w:id="249" w:name="bookmark253"/>
      <w:bookmarkEnd w:id="249"/>
      <w:r>
        <w:rPr>
          <w:rFonts w:hint="eastAsia" w:ascii="宋体" w:hAnsi="宋体" w:cs="宋体"/>
          <w:b/>
          <w:bCs/>
          <w:color w:val="000000" w:themeColor="text1"/>
          <w:spacing w:val="-2"/>
          <w:sz w:val="24"/>
          <w:highlight w:val="none"/>
          <w14:textFill>
            <w14:solidFill>
              <w14:schemeClr w14:val="tx1"/>
            </w14:solidFill>
          </w14:textFill>
        </w:rPr>
        <w:t>22.2发包人违约</w:t>
      </w:r>
    </w:p>
    <w:p w14:paraId="02C682F2">
      <w:pPr>
        <w:spacing w:before="125" w:line="360" w:lineRule="auto"/>
        <w:ind w:left="485"/>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pacing w:val="-1"/>
          <w:sz w:val="24"/>
          <w:highlight w:val="none"/>
          <w14:textFill>
            <w14:solidFill>
              <w14:schemeClr w14:val="tx1"/>
            </w14:solidFill>
          </w14:textFill>
        </w:rPr>
        <w:t>22.2.2对发包人违约的处理</w:t>
      </w:r>
    </w:p>
    <w:p w14:paraId="1BB96854">
      <w:pPr>
        <w:spacing w:before="113" w:line="360" w:lineRule="auto"/>
        <w:ind w:left="10" w:right="2" w:firstLine="482"/>
        <w:rPr>
          <w:rFonts w:ascii="宋体" w:hAnsi="宋体" w:cs="宋体"/>
          <w:color w:val="000000" w:themeColor="text1"/>
          <w:spacing w:val="-1"/>
          <w:sz w:val="24"/>
          <w:highlight w:val="none"/>
          <w:u w:val="single"/>
          <w14:textFill>
            <w14:solidFill>
              <w14:schemeClr w14:val="tx1"/>
            </w14:solidFill>
          </w14:textFill>
        </w:rPr>
      </w:pPr>
      <w:r>
        <w:rPr>
          <w:rFonts w:hint="eastAsia" w:ascii="宋体" w:hAnsi="宋体" w:cs="宋体"/>
          <w:color w:val="000000" w:themeColor="text1"/>
          <w:spacing w:val="1"/>
          <w:sz w:val="24"/>
          <w:highlight w:val="none"/>
          <w14:textFill>
            <w14:solidFill>
              <w14:schemeClr w14:val="tx1"/>
            </w14:solidFill>
          </w14:textFill>
        </w:rPr>
        <w:t>发包人无正当理由不按时返还履约保证金或</w:t>
      </w:r>
      <w:r>
        <w:rPr>
          <w:rFonts w:hint="eastAsia" w:ascii="宋体" w:hAnsi="宋体" w:cs="宋体"/>
          <w:color w:val="000000" w:themeColor="text1"/>
          <w:sz w:val="24"/>
          <w:highlight w:val="none"/>
          <w14:textFill>
            <w14:solidFill>
              <w14:schemeClr w14:val="tx1"/>
            </w14:solidFill>
          </w14:textFill>
        </w:rPr>
        <w:t>质量保证金的，发包人应向承包人</w:t>
      </w:r>
      <w:r>
        <w:rPr>
          <w:rFonts w:hint="eastAsia" w:ascii="宋体" w:hAnsi="宋体" w:cs="宋体"/>
          <w:color w:val="000000" w:themeColor="text1"/>
          <w:spacing w:val="-1"/>
          <w:sz w:val="24"/>
          <w:highlight w:val="none"/>
          <w14:textFill>
            <w14:solidFill>
              <w14:schemeClr w14:val="tx1"/>
            </w14:solidFill>
          </w14:textFill>
        </w:rPr>
        <w:t>支付的违约金如下：</w:t>
      </w:r>
      <w:r>
        <w:rPr>
          <w:rFonts w:hint="eastAsia" w:ascii="宋体" w:hAnsi="宋体" w:cs="宋体"/>
          <w:color w:val="000000" w:themeColor="text1"/>
          <w:spacing w:val="-1"/>
          <w:sz w:val="24"/>
          <w:highlight w:val="none"/>
          <w:u w:val="single"/>
          <w14:textFill>
            <w14:solidFill>
              <w14:schemeClr w14:val="tx1"/>
            </w14:solidFill>
          </w14:textFill>
        </w:rPr>
        <w:t>/</w:t>
      </w:r>
    </w:p>
    <w:p w14:paraId="009690F6">
      <w:pPr>
        <w:spacing w:line="216" w:lineRule="auto"/>
        <w:ind w:left="476"/>
        <w:rPr>
          <w:rFonts w:ascii="宋体" w:hAnsi="宋体" w:cs="宋体"/>
          <w:color w:val="000000" w:themeColor="text1"/>
          <w:sz w:val="24"/>
          <w:highlight w:val="none"/>
          <w14:textFill>
            <w14:solidFill>
              <w14:schemeClr w14:val="tx1"/>
            </w14:solidFill>
          </w14:textFill>
        </w:rPr>
      </w:pPr>
      <w:r>
        <w:rPr>
          <w:rFonts w:eastAsia="Times New Roman"/>
          <w:color w:val="000000" w:themeColor="text1"/>
          <w:spacing w:val="-1"/>
          <w:sz w:val="24"/>
          <w:highlight w:val="none"/>
          <w14:textFill>
            <w14:solidFill>
              <w14:schemeClr w14:val="tx1"/>
            </w14:solidFill>
          </w14:textFill>
        </w:rPr>
        <w:t>22.2.5</w:t>
      </w:r>
      <w:r>
        <w:rPr>
          <w:rFonts w:hint="eastAsia" w:ascii="宋体" w:hAnsi="宋体" w:cs="宋体"/>
          <w:color w:val="000000" w:themeColor="text1"/>
          <w:spacing w:val="-1"/>
          <w:sz w:val="24"/>
          <w:highlight w:val="none"/>
          <w14:textFill>
            <w14:solidFill>
              <w14:schemeClr w14:val="tx1"/>
            </w14:solidFill>
          </w14:textFill>
        </w:rPr>
        <w:t>解除合同后的承包人撤离</w:t>
      </w:r>
    </w:p>
    <w:p w14:paraId="2D1F0265">
      <w:pPr>
        <w:spacing w:before="113" w:line="360" w:lineRule="auto"/>
        <w:ind w:left="10" w:right="2" w:firstLine="482"/>
        <w:rPr>
          <w:rFonts w:ascii="宋体" w:hAnsi="宋体" w:cs="宋体"/>
          <w:color w:val="000000" w:themeColor="text1"/>
          <w:spacing w:val="-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（修改）因发包人违约而解除合同后，承包人应妥善做好已养护项目和已购材料、设备</w:t>
      </w:r>
      <w:r>
        <w:rPr>
          <w:rFonts w:hint="eastAsia" w:ascii="宋体" w:hAnsi="宋体" w:cs="宋体"/>
          <w:color w:val="000000" w:themeColor="text1"/>
          <w:spacing w:val="1"/>
          <w:sz w:val="24"/>
          <w:highlight w:val="none"/>
          <w14:textFill>
            <w14:solidFill>
              <w14:schemeClr w14:val="tx1"/>
            </w14:solidFill>
          </w14:textFill>
        </w:rPr>
        <w:t>的保护工作，按发包人要求将承包人设备和人员撤出养</w:t>
      </w:r>
      <w:r>
        <w:rPr>
          <w:rFonts w:hint="eastAsia" w:ascii="宋体" w:hAnsi="宋体" w:cs="宋体"/>
          <w:color w:val="000000" w:themeColor="text1"/>
          <w:sz w:val="24"/>
          <w:highlight w:val="none"/>
          <w14:textFill>
            <w14:solidFill>
              <w14:schemeClr w14:val="tx1"/>
            </w14:solidFill>
          </w14:textFill>
        </w:rPr>
        <w:t>护作业场地。承包人撤出养</w:t>
      </w:r>
      <w:r>
        <w:rPr>
          <w:rFonts w:hint="eastAsia" w:ascii="宋体" w:hAnsi="宋体" w:cs="宋体"/>
          <w:color w:val="000000" w:themeColor="text1"/>
          <w:spacing w:val="-1"/>
          <w:sz w:val="24"/>
          <w:highlight w:val="none"/>
          <w14:textFill>
            <w14:solidFill>
              <w14:schemeClr w14:val="tx1"/>
            </w14:solidFill>
          </w14:textFill>
        </w:rPr>
        <w:t>护作业场地应遵守第</w:t>
      </w:r>
      <w:r>
        <w:rPr>
          <w:rFonts w:hint="eastAsia" w:ascii="宋体" w:hAnsi="宋体" w:cs="宋体"/>
          <w:color w:val="000000" w:themeColor="text1"/>
          <w:spacing w:val="-32"/>
          <w:sz w:val="24"/>
          <w:highlight w:val="none"/>
          <w14:textFill>
            <w14:solidFill>
              <w14:schemeClr w14:val="tx1"/>
            </w14:solidFill>
          </w14:textFill>
        </w:rPr>
        <w:t>18.5.1</w:t>
      </w:r>
      <w:r>
        <w:rPr>
          <w:rFonts w:hint="eastAsia" w:ascii="宋体" w:hAnsi="宋体" w:cs="宋体"/>
          <w:color w:val="000000" w:themeColor="text1"/>
          <w:spacing w:val="-1"/>
          <w:sz w:val="24"/>
          <w:highlight w:val="none"/>
          <w14:textFill>
            <w14:solidFill>
              <w14:schemeClr w14:val="tx1"/>
            </w14:solidFill>
          </w14:textFill>
        </w:rPr>
        <w:t>款的约定，发包人应为承包人撤出提供必</w:t>
      </w:r>
      <w:r>
        <w:rPr>
          <w:rFonts w:hint="eastAsia" w:ascii="宋体" w:hAnsi="宋体" w:cs="宋体"/>
          <w:color w:val="000000" w:themeColor="text1"/>
          <w:spacing w:val="-2"/>
          <w:sz w:val="24"/>
          <w:highlight w:val="none"/>
          <w14:textFill>
            <w14:solidFill>
              <w14:schemeClr w14:val="tx1"/>
            </w14:solidFill>
          </w14:textFill>
        </w:rPr>
        <w:t>要条件。</w:t>
      </w:r>
    </w:p>
    <w:p w14:paraId="296EA71A">
      <w:pPr>
        <w:spacing w:line="400" w:lineRule="atLeast"/>
        <w:jc w:val="center"/>
        <w:rPr>
          <w:rFonts w:ascii="宋体"/>
          <w:b/>
          <w:bCs/>
          <w:color w:val="000000" w:themeColor="text1"/>
          <w:highlight w:val="none"/>
          <w14:textFill>
            <w14:solidFill>
              <w14:schemeClr w14:val="tx1"/>
            </w14:solidFill>
          </w14:textFill>
        </w:rPr>
      </w:pPr>
      <w:r>
        <w:rPr>
          <w:rFonts w:hint="eastAsia" w:ascii="宋体" w:hAnsi="宋体" w:cs="宋体"/>
          <w:b/>
          <w:bCs/>
          <w:color w:val="000000" w:themeColor="text1"/>
          <w:sz w:val="32"/>
          <w:szCs w:val="32"/>
          <w:highlight w:val="none"/>
          <w14:textFill>
            <w14:solidFill>
              <w14:schemeClr w14:val="tx1"/>
            </w14:solidFill>
          </w14:textFill>
        </w:rPr>
        <w:t>（三）、合同附件</w:t>
      </w:r>
    </w:p>
    <w:p w14:paraId="0E4EB359">
      <w:pPr>
        <w:pStyle w:val="5"/>
        <w:numPr>
          <w:ilvl w:val="0"/>
          <w:numId w:val="0"/>
        </w:numPr>
        <w:ind w:left="1260"/>
        <w:rPr>
          <w:rFonts w:hAnsi="宋体" w:eastAsia="宋体" w:cs="Times New Roman"/>
          <w:color w:val="000000" w:themeColor="text1"/>
          <w:sz w:val="28"/>
          <w:szCs w:val="28"/>
          <w:highlight w:val="none"/>
          <w14:textFill>
            <w14:solidFill>
              <w14:schemeClr w14:val="tx1"/>
            </w14:solidFill>
          </w14:textFill>
        </w:rPr>
      </w:pPr>
      <w:r>
        <w:rPr>
          <w:rFonts w:hint="eastAsia" w:hAnsi="宋体" w:eastAsia="宋体"/>
          <w:color w:val="000000" w:themeColor="text1"/>
          <w:sz w:val="28"/>
          <w:szCs w:val="28"/>
          <w:highlight w:val="none"/>
          <w14:textFill>
            <w14:solidFill>
              <w14:schemeClr w14:val="tx1"/>
            </w14:solidFill>
          </w14:textFill>
        </w:rPr>
        <w:t>附件一</w:t>
      </w:r>
      <w:r>
        <w:rPr>
          <w:rFonts w:hAnsi="宋体" w:eastAsia="宋体"/>
          <w:color w:val="000000" w:themeColor="text1"/>
          <w:sz w:val="28"/>
          <w:szCs w:val="28"/>
          <w:highlight w:val="none"/>
          <w14:textFill>
            <w14:solidFill>
              <w14:schemeClr w14:val="tx1"/>
            </w14:solidFill>
          </w14:textFill>
        </w:rPr>
        <w:t xml:space="preserve">  </w:t>
      </w:r>
      <w:r>
        <w:rPr>
          <w:rFonts w:hint="eastAsia" w:hAnsi="宋体" w:eastAsia="宋体"/>
          <w:color w:val="000000" w:themeColor="text1"/>
          <w:sz w:val="28"/>
          <w:szCs w:val="28"/>
          <w:highlight w:val="none"/>
          <w14:textFill>
            <w14:solidFill>
              <w14:schemeClr w14:val="tx1"/>
            </w14:solidFill>
          </w14:textFill>
        </w:rPr>
        <w:t>合同协议书</w:t>
      </w:r>
    </w:p>
    <w:p w14:paraId="0D3B70F6">
      <w:pPr>
        <w:pStyle w:val="5"/>
        <w:numPr>
          <w:ilvl w:val="0"/>
          <w:numId w:val="0"/>
        </w:numPr>
        <w:ind w:left="1260"/>
        <w:rPr>
          <w:rFonts w:hAnsi="宋体" w:eastAsia="宋体" w:cs="Times New Roman"/>
          <w:color w:val="000000" w:themeColor="text1"/>
          <w:sz w:val="28"/>
          <w:szCs w:val="28"/>
          <w:highlight w:val="none"/>
          <w14:textFill>
            <w14:solidFill>
              <w14:schemeClr w14:val="tx1"/>
            </w14:solidFill>
          </w14:textFill>
        </w:rPr>
      </w:pPr>
      <w:r>
        <w:rPr>
          <w:rFonts w:hint="eastAsia" w:hAnsi="宋体" w:eastAsia="宋体"/>
          <w:color w:val="000000" w:themeColor="text1"/>
          <w:sz w:val="28"/>
          <w:szCs w:val="28"/>
          <w:highlight w:val="none"/>
          <w14:textFill>
            <w14:solidFill>
              <w14:schemeClr w14:val="tx1"/>
            </w14:solidFill>
          </w14:textFill>
        </w:rPr>
        <w:t>附件二</w:t>
      </w:r>
      <w:r>
        <w:rPr>
          <w:rFonts w:hAnsi="宋体" w:eastAsia="宋体"/>
          <w:color w:val="000000" w:themeColor="text1"/>
          <w:sz w:val="28"/>
          <w:szCs w:val="28"/>
          <w:highlight w:val="none"/>
          <w14:textFill>
            <w14:solidFill>
              <w14:schemeClr w14:val="tx1"/>
            </w14:solidFill>
          </w14:textFill>
        </w:rPr>
        <w:t xml:space="preserve">  </w:t>
      </w:r>
      <w:r>
        <w:rPr>
          <w:rFonts w:hint="eastAsia" w:hAnsi="宋体" w:eastAsia="宋体"/>
          <w:color w:val="000000" w:themeColor="text1"/>
          <w:sz w:val="28"/>
          <w:szCs w:val="28"/>
          <w:highlight w:val="none"/>
          <w14:textFill>
            <w14:solidFill>
              <w14:schemeClr w14:val="tx1"/>
            </w14:solidFill>
          </w14:textFill>
        </w:rPr>
        <w:t>廉政合同</w:t>
      </w:r>
    </w:p>
    <w:p w14:paraId="5D8DED21">
      <w:pPr>
        <w:pStyle w:val="5"/>
        <w:numPr>
          <w:ilvl w:val="0"/>
          <w:numId w:val="0"/>
        </w:numPr>
        <w:ind w:left="1260"/>
        <w:rPr>
          <w:rFonts w:hAnsi="宋体" w:eastAsia="宋体"/>
          <w:color w:val="000000" w:themeColor="text1"/>
          <w:sz w:val="28"/>
          <w:szCs w:val="28"/>
          <w:highlight w:val="none"/>
          <w14:textFill>
            <w14:solidFill>
              <w14:schemeClr w14:val="tx1"/>
            </w14:solidFill>
          </w14:textFill>
        </w:rPr>
      </w:pPr>
      <w:r>
        <w:rPr>
          <w:rFonts w:hint="eastAsia" w:hAnsi="宋体" w:eastAsia="宋体"/>
          <w:color w:val="000000" w:themeColor="text1"/>
          <w:sz w:val="28"/>
          <w:szCs w:val="28"/>
          <w:highlight w:val="none"/>
          <w14:textFill>
            <w14:solidFill>
              <w14:schemeClr w14:val="tx1"/>
            </w14:solidFill>
          </w14:textFill>
        </w:rPr>
        <w:t>附件三</w:t>
      </w:r>
      <w:r>
        <w:rPr>
          <w:rFonts w:hAnsi="宋体" w:eastAsia="宋体"/>
          <w:color w:val="000000" w:themeColor="text1"/>
          <w:sz w:val="28"/>
          <w:szCs w:val="28"/>
          <w:highlight w:val="none"/>
          <w14:textFill>
            <w14:solidFill>
              <w14:schemeClr w14:val="tx1"/>
            </w14:solidFill>
          </w14:textFill>
        </w:rPr>
        <w:t xml:space="preserve">  </w:t>
      </w:r>
      <w:r>
        <w:rPr>
          <w:rFonts w:hint="eastAsia" w:hAnsi="宋体" w:eastAsia="宋体"/>
          <w:color w:val="000000" w:themeColor="text1"/>
          <w:sz w:val="28"/>
          <w:szCs w:val="28"/>
          <w:highlight w:val="none"/>
          <w14:textFill>
            <w14:solidFill>
              <w14:schemeClr w14:val="tx1"/>
            </w14:solidFill>
          </w14:textFill>
        </w:rPr>
        <w:t>安全生产合同</w:t>
      </w:r>
    </w:p>
    <w:p w14:paraId="64527FC0">
      <w:pPr>
        <w:pStyle w:val="5"/>
        <w:numPr>
          <w:ilvl w:val="0"/>
          <w:numId w:val="0"/>
        </w:numPr>
        <w:ind w:left="1680" w:hanging="420"/>
        <w:rPr>
          <w:rFonts w:hAnsi="宋体" w:eastAsia="宋体" w:cs="Times New Roman"/>
          <w:color w:val="000000" w:themeColor="text1"/>
          <w:sz w:val="28"/>
          <w:szCs w:val="28"/>
          <w:highlight w:val="none"/>
          <w14:textFill>
            <w14:solidFill>
              <w14:schemeClr w14:val="tx1"/>
            </w14:solidFill>
          </w14:textFill>
        </w:rPr>
      </w:pPr>
      <w:r>
        <w:rPr>
          <w:rFonts w:hint="eastAsia" w:hAnsi="宋体" w:eastAsia="宋体"/>
          <w:color w:val="000000" w:themeColor="text1"/>
          <w:sz w:val="28"/>
          <w:szCs w:val="28"/>
          <w:highlight w:val="none"/>
          <w14:textFill>
            <w14:solidFill>
              <w14:schemeClr w14:val="tx1"/>
            </w14:solidFill>
          </w14:textFill>
        </w:rPr>
        <w:t>附件四</w:t>
      </w:r>
      <w:r>
        <w:rPr>
          <w:rFonts w:hAnsi="宋体" w:eastAsia="宋体"/>
          <w:color w:val="000000" w:themeColor="text1"/>
          <w:sz w:val="28"/>
          <w:szCs w:val="28"/>
          <w:highlight w:val="none"/>
          <w14:textFill>
            <w14:solidFill>
              <w14:schemeClr w14:val="tx1"/>
            </w14:solidFill>
          </w14:textFill>
        </w:rPr>
        <w:t xml:space="preserve">  </w:t>
      </w:r>
      <w:r>
        <w:rPr>
          <w:rFonts w:hint="eastAsia" w:hAnsi="宋体" w:eastAsia="宋体"/>
          <w:color w:val="000000" w:themeColor="text1"/>
          <w:sz w:val="28"/>
          <w:szCs w:val="28"/>
          <w:highlight w:val="none"/>
          <w14:textFill>
            <w14:solidFill>
              <w14:schemeClr w14:val="tx1"/>
            </w14:solidFill>
          </w14:textFill>
        </w:rPr>
        <w:t>项目经理委任书</w:t>
      </w:r>
    </w:p>
    <w:p w14:paraId="64BFEDF6">
      <w:pPr>
        <w:pStyle w:val="438"/>
        <w:autoSpaceDE w:val="0"/>
        <w:autoSpaceDN w:val="0"/>
        <w:spacing w:before="67"/>
        <w:ind w:firstLine="1265" w:firstLineChars="450"/>
        <w:jc w:val="left"/>
        <w:outlineLvl w:val="2"/>
        <w:rPr>
          <w:rFonts w:ascii="宋体" w:cs="Times New Roman"/>
          <w:b/>
          <w:bCs/>
          <w:color w:val="000000" w:themeColor="text1"/>
          <w:kern w:val="0"/>
          <w:sz w:val="28"/>
          <w:szCs w:val="28"/>
          <w:highlight w:val="none"/>
          <w:lang w:val="zh-CN"/>
          <w14:textFill>
            <w14:solidFill>
              <w14:schemeClr w14:val="tx1"/>
            </w14:solidFill>
          </w14:textFill>
        </w:rPr>
      </w:pPr>
      <w:bookmarkStart w:id="250" w:name="_Toc30680"/>
      <w:r>
        <w:rPr>
          <w:rFonts w:hint="eastAsia" w:ascii="宋体" w:hAnsi="宋体" w:cs="宋体"/>
          <w:b/>
          <w:bCs/>
          <w:color w:val="000000" w:themeColor="text1"/>
          <w:sz w:val="28"/>
          <w:szCs w:val="28"/>
          <w:highlight w:val="none"/>
          <w14:textFill>
            <w14:solidFill>
              <w14:schemeClr w14:val="tx1"/>
            </w14:solidFill>
          </w14:textFill>
        </w:rPr>
        <w:t>附件五</w:t>
      </w:r>
      <w:r>
        <w:rPr>
          <w:rFonts w:ascii="宋体" w:hAnsi="宋体" w:cs="宋体"/>
          <w:b/>
          <w:bCs/>
          <w:color w:val="000000" w:themeColor="text1"/>
          <w:sz w:val="28"/>
          <w:szCs w:val="28"/>
          <w:highlight w:val="none"/>
          <w14:textFill>
            <w14:solidFill>
              <w14:schemeClr w14:val="tx1"/>
            </w14:solidFill>
          </w14:textFill>
        </w:rPr>
        <w:t xml:space="preserve">  </w:t>
      </w:r>
      <w:r>
        <w:rPr>
          <w:rFonts w:hint="eastAsia" w:ascii="宋体" w:hAnsi="宋体" w:cs="宋体"/>
          <w:b/>
          <w:bCs/>
          <w:color w:val="000000" w:themeColor="text1"/>
          <w:kern w:val="0"/>
          <w:sz w:val="28"/>
          <w:szCs w:val="28"/>
          <w:highlight w:val="none"/>
          <w:lang w:val="zh-CN"/>
          <w14:textFill>
            <w14:solidFill>
              <w14:schemeClr w14:val="tx1"/>
            </w14:solidFill>
          </w14:textFill>
        </w:rPr>
        <w:t>履约保证金格式</w:t>
      </w:r>
      <w:bookmarkEnd w:id="250"/>
    </w:p>
    <w:p w14:paraId="5163D2B4">
      <w:pPr>
        <w:rPr>
          <w:color w:val="000000" w:themeColor="text1"/>
          <w:highlight w:val="none"/>
          <w14:textFill>
            <w14:solidFill>
              <w14:schemeClr w14:val="tx1"/>
            </w14:solidFill>
          </w14:textFill>
        </w:rPr>
      </w:pPr>
    </w:p>
    <w:p w14:paraId="6B9CDD7C">
      <w:pPr>
        <w:jc w:val="center"/>
        <w:rPr>
          <w:color w:val="000000" w:themeColor="text1"/>
          <w:highlight w:val="none"/>
          <w14:textFill>
            <w14:solidFill>
              <w14:schemeClr w14:val="tx1"/>
            </w14:solidFill>
          </w14:textFill>
        </w:rPr>
      </w:pPr>
      <w:r>
        <w:rPr>
          <w:rStyle w:val="464"/>
          <w:rFonts w:hint="eastAsia" w:hAnsi="宋体"/>
          <w:color w:val="000000" w:themeColor="text1"/>
          <w:highlight w:val="none"/>
          <w14:textFill>
            <w14:solidFill>
              <w14:schemeClr w14:val="tx1"/>
            </w14:solidFill>
          </w14:textFill>
        </w:rPr>
        <w:t>均参考交通运输部</w:t>
      </w:r>
      <w:r>
        <w:rPr>
          <w:rFonts w:hint="eastAsia" w:ascii="宋体" w:hAnsi="宋体" w:cs="宋体"/>
          <w:color w:val="000000" w:themeColor="text1"/>
          <w:sz w:val="24"/>
          <w:szCs w:val="24"/>
          <w:highlight w:val="none"/>
          <w14:textFill>
            <w14:solidFill>
              <w14:schemeClr w14:val="tx1"/>
            </w14:solidFill>
          </w14:textFill>
        </w:rPr>
        <w:t>办公厅</w:t>
      </w:r>
      <w:r>
        <w:rPr>
          <w:rStyle w:val="464"/>
          <w:rFonts w:hint="eastAsia" w:hAnsi="宋体"/>
          <w:color w:val="000000" w:themeColor="text1"/>
          <w:highlight w:val="none"/>
          <w14:textFill>
            <w14:solidFill>
              <w14:schemeClr w14:val="tx1"/>
            </w14:solidFill>
          </w14:textFill>
        </w:rPr>
        <w:t>《</w:t>
      </w:r>
      <w:r>
        <w:rPr>
          <w:rFonts w:hint="eastAsia" w:ascii="宋体" w:hAnsi="宋体" w:cs="宋体"/>
          <w:b/>
          <w:bCs/>
          <w:color w:val="000000" w:themeColor="text1"/>
          <w:spacing w:val="6"/>
          <w:sz w:val="24"/>
          <w:szCs w:val="24"/>
          <w:highlight w:val="none"/>
          <w14:textFill>
            <w14:solidFill>
              <w14:schemeClr w14:val="tx1"/>
            </w14:solidFill>
          </w14:textFill>
        </w:rPr>
        <w:t>公路养护项目合同范本</w:t>
      </w:r>
      <w:r>
        <w:rPr>
          <w:rStyle w:val="464"/>
          <w:rFonts w:hint="eastAsia" w:hAnsi="宋体"/>
          <w:color w:val="000000" w:themeColor="text1"/>
          <w:highlight w:val="none"/>
          <w14:textFill>
            <w14:solidFill>
              <w14:schemeClr w14:val="tx1"/>
            </w14:solidFill>
          </w14:textFill>
        </w:rPr>
        <w:t>》</w:t>
      </w:r>
      <w:r>
        <w:rPr>
          <w:rFonts w:hint="eastAsia" w:ascii="宋体" w:hAnsi="宋体" w:cs="宋体"/>
          <w:color w:val="000000" w:themeColor="text1"/>
          <w:sz w:val="24"/>
          <w:szCs w:val="24"/>
          <w:highlight w:val="none"/>
          <w14:textFill>
            <w14:solidFill>
              <w14:schemeClr w14:val="tx1"/>
            </w14:solidFill>
          </w14:textFill>
        </w:rPr>
        <w:t>（2025年版）</w:t>
      </w:r>
      <w:r>
        <w:rPr>
          <w:rStyle w:val="464"/>
          <w:rFonts w:hint="eastAsia" w:hAnsi="宋体"/>
          <w:color w:val="000000" w:themeColor="text1"/>
          <w:highlight w:val="none"/>
          <w14:textFill>
            <w14:solidFill>
              <w14:schemeClr w14:val="tx1"/>
            </w14:solidFill>
          </w14:textFill>
        </w:rPr>
        <w:t>的格式。</w:t>
      </w:r>
    </w:p>
    <w:p w14:paraId="4714654C">
      <w:pPr>
        <w:ind w:firstLine="482"/>
        <w:rPr>
          <w:rStyle w:val="464"/>
          <w:rFonts w:cs="Times New Roman"/>
          <w:color w:val="000000" w:themeColor="text1"/>
          <w:highlight w:val="none"/>
          <w14:textFill>
            <w14:solidFill>
              <w14:schemeClr w14:val="tx1"/>
            </w14:solidFill>
          </w14:textFill>
        </w:rPr>
      </w:pPr>
    </w:p>
    <w:p w14:paraId="1193F061">
      <w:pPr>
        <w:spacing w:before="113" w:line="360" w:lineRule="auto"/>
        <w:ind w:right="2"/>
        <w:rPr>
          <w:rFonts w:ascii="Cambria" w:hAnsi="Cambria" w:eastAsia="黑体" w:cs="黑体"/>
          <w:b/>
          <w:bCs/>
          <w:color w:val="000000" w:themeColor="text1"/>
          <w:sz w:val="24"/>
          <w:szCs w:val="24"/>
          <w:highlight w:val="none"/>
          <w14:textFill>
            <w14:solidFill>
              <w14:schemeClr w14:val="tx1"/>
            </w14:solidFill>
          </w14:textFill>
        </w:rPr>
      </w:pPr>
    </w:p>
    <w:p w14:paraId="5219852B">
      <w:pPr>
        <w:spacing w:before="113" w:line="360" w:lineRule="auto"/>
        <w:ind w:right="2"/>
        <w:rPr>
          <w:rFonts w:ascii="Cambria" w:hAnsi="Cambria" w:eastAsia="黑体" w:cs="黑体"/>
          <w:b/>
          <w:bCs/>
          <w:color w:val="000000" w:themeColor="text1"/>
          <w:sz w:val="24"/>
          <w:szCs w:val="24"/>
          <w:highlight w:val="none"/>
          <w14:textFill>
            <w14:solidFill>
              <w14:schemeClr w14:val="tx1"/>
            </w14:solidFill>
          </w14:textFill>
        </w:rPr>
      </w:pPr>
    </w:p>
    <w:p w14:paraId="06AD399F">
      <w:pPr>
        <w:spacing w:before="113" w:line="360" w:lineRule="auto"/>
        <w:ind w:right="2"/>
        <w:rPr>
          <w:rFonts w:ascii="Cambria" w:hAnsi="Cambria" w:eastAsia="黑体" w:cs="黑体"/>
          <w:b/>
          <w:bCs/>
          <w:color w:val="000000" w:themeColor="text1"/>
          <w:sz w:val="24"/>
          <w:szCs w:val="24"/>
          <w:highlight w:val="none"/>
          <w14:textFill>
            <w14:solidFill>
              <w14:schemeClr w14:val="tx1"/>
            </w14:solidFill>
          </w14:textFill>
        </w:rPr>
      </w:pPr>
    </w:p>
    <w:p w14:paraId="0672F6F8">
      <w:pPr>
        <w:spacing w:before="113" w:line="360" w:lineRule="auto"/>
        <w:ind w:right="2"/>
        <w:rPr>
          <w:rFonts w:ascii="Cambria" w:hAnsi="Cambria" w:eastAsia="黑体" w:cs="黑体"/>
          <w:b/>
          <w:bCs/>
          <w:color w:val="000000" w:themeColor="text1"/>
          <w:sz w:val="24"/>
          <w:szCs w:val="24"/>
          <w:highlight w:val="none"/>
          <w14:textFill>
            <w14:solidFill>
              <w14:schemeClr w14:val="tx1"/>
            </w14:solidFill>
          </w14:textFill>
        </w:rPr>
      </w:pPr>
    </w:p>
    <w:p w14:paraId="35A22693">
      <w:pPr>
        <w:spacing w:before="113" w:line="360" w:lineRule="auto"/>
        <w:ind w:right="2"/>
        <w:rPr>
          <w:rFonts w:ascii="Cambria" w:hAnsi="Cambria" w:eastAsia="黑体" w:cs="黑体"/>
          <w:b/>
          <w:bCs/>
          <w:color w:val="000000" w:themeColor="text1"/>
          <w:sz w:val="24"/>
          <w:szCs w:val="24"/>
          <w:highlight w:val="none"/>
          <w14:textFill>
            <w14:solidFill>
              <w14:schemeClr w14:val="tx1"/>
            </w14:solidFill>
          </w14:textFill>
        </w:rPr>
      </w:pPr>
    </w:p>
    <w:p w14:paraId="3854FE38">
      <w:pPr>
        <w:spacing w:before="113" w:line="360" w:lineRule="auto"/>
        <w:ind w:right="2"/>
        <w:rPr>
          <w:rFonts w:ascii="Cambria" w:hAnsi="Cambria" w:eastAsia="黑体" w:cs="黑体"/>
          <w:b/>
          <w:bCs/>
          <w:color w:val="000000" w:themeColor="text1"/>
          <w:sz w:val="24"/>
          <w:szCs w:val="24"/>
          <w:highlight w:val="none"/>
          <w14:textFill>
            <w14:solidFill>
              <w14:schemeClr w14:val="tx1"/>
            </w14:solidFill>
          </w14:textFill>
        </w:rPr>
      </w:pPr>
    </w:p>
    <w:p w14:paraId="3777A350">
      <w:pPr>
        <w:spacing w:before="113" w:line="360" w:lineRule="auto"/>
        <w:ind w:right="2"/>
        <w:rPr>
          <w:rFonts w:ascii="Cambria" w:hAnsi="Cambria" w:eastAsia="黑体" w:cs="黑体"/>
          <w:b/>
          <w:bCs/>
          <w:color w:val="000000" w:themeColor="text1"/>
          <w:sz w:val="24"/>
          <w:szCs w:val="24"/>
          <w:highlight w:val="none"/>
          <w14:textFill>
            <w14:solidFill>
              <w14:schemeClr w14:val="tx1"/>
            </w14:solidFill>
          </w14:textFill>
        </w:rPr>
      </w:pPr>
    </w:p>
    <w:p w14:paraId="732469AA">
      <w:pPr>
        <w:spacing w:before="113" w:line="360" w:lineRule="auto"/>
        <w:ind w:right="2"/>
        <w:rPr>
          <w:rFonts w:ascii="Cambria" w:hAnsi="Cambria" w:eastAsia="黑体" w:cs="黑体"/>
          <w:b/>
          <w:bCs/>
          <w:color w:val="000000" w:themeColor="text1"/>
          <w:sz w:val="24"/>
          <w:szCs w:val="24"/>
          <w:highlight w:val="none"/>
          <w14:textFill>
            <w14:solidFill>
              <w14:schemeClr w14:val="tx1"/>
            </w14:solidFill>
          </w14:textFill>
        </w:rPr>
      </w:pPr>
    </w:p>
    <w:p w14:paraId="12CF606A">
      <w:pPr>
        <w:spacing w:before="113" w:line="360" w:lineRule="auto"/>
        <w:ind w:right="2"/>
        <w:rPr>
          <w:rFonts w:ascii="Cambria" w:hAnsi="Cambria" w:eastAsia="黑体" w:cs="黑体"/>
          <w:b/>
          <w:bCs/>
          <w:color w:val="000000" w:themeColor="text1"/>
          <w:sz w:val="24"/>
          <w:szCs w:val="24"/>
          <w:highlight w:val="none"/>
          <w14:textFill>
            <w14:solidFill>
              <w14:schemeClr w14:val="tx1"/>
            </w14:solidFill>
          </w14:textFill>
        </w:rPr>
      </w:pPr>
    </w:p>
    <w:p w14:paraId="5CA38DE2">
      <w:pPr>
        <w:spacing w:before="113" w:line="360" w:lineRule="auto"/>
        <w:ind w:right="2"/>
        <w:rPr>
          <w:rFonts w:ascii="Cambria" w:hAnsi="Cambria" w:eastAsia="黑体" w:cs="黑体"/>
          <w:b/>
          <w:bCs/>
          <w:color w:val="000000" w:themeColor="text1"/>
          <w:sz w:val="24"/>
          <w:szCs w:val="24"/>
          <w:highlight w:val="none"/>
          <w14:textFill>
            <w14:solidFill>
              <w14:schemeClr w14:val="tx1"/>
            </w14:solidFill>
          </w14:textFill>
        </w:rPr>
      </w:pPr>
    </w:p>
    <w:p w14:paraId="51967D28">
      <w:pPr>
        <w:spacing w:before="113" w:line="360" w:lineRule="auto"/>
        <w:ind w:right="2"/>
        <w:rPr>
          <w:rFonts w:ascii="Cambria" w:hAnsi="Cambria" w:eastAsia="黑体" w:cs="黑体"/>
          <w:b/>
          <w:bCs/>
          <w:color w:val="000000" w:themeColor="text1"/>
          <w:sz w:val="24"/>
          <w:szCs w:val="24"/>
          <w:highlight w:val="none"/>
          <w14:textFill>
            <w14:solidFill>
              <w14:schemeClr w14:val="tx1"/>
            </w14:solidFill>
          </w14:textFill>
        </w:rPr>
      </w:pPr>
    </w:p>
    <w:p w14:paraId="3D409B9C">
      <w:pPr>
        <w:spacing w:before="113" w:line="360" w:lineRule="auto"/>
        <w:ind w:right="2"/>
        <w:rPr>
          <w:rFonts w:ascii="Cambria" w:hAnsi="Cambria" w:eastAsia="黑体" w:cs="黑体"/>
          <w:b/>
          <w:bCs/>
          <w:color w:val="000000" w:themeColor="text1"/>
          <w:sz w:val="24"/>
          <w:szCs w:val="24"/>
          <w:highlight w:val="none"/>
          <w14:textFill>
            <w14:solidFill>
              <w14:schemeClr w14:val="tx1"/>
            </w14:solidFill>
          </w14:textFill>
        </w:rPr>
      </w:pPr>
    </w:p>
    <w:p w14:paraId="2681C72A">
      <w:pPr>
        <w:spacing w:before="113" w:line="360" w:lineRule="auto"/>
        <w:ind w:right="2"/>
        <w:rPr>
          <w:rFonts w:ascii="Cambria" w:hAnsi="Cambria" w:eastAsia="黑体" w:cs="黑体"/>
          <w:b/>
          <w:bCs/>
          <w:color w:val="000000" w:themeColor="text1"/>
          <w:sz w:val="24"/>
          <w:szCs w:val="24"/>
          <w:highlight w:val="none"/>
          <w14:textFill>
            <w14:solidFill>
              <w14:schemeClr w14:val="tx1"/>
            </w14:solidFill>
          </w14:textFill>
        </w:rPr>
      </w:pPr>
    </w:p>
    <w:p w14:paraId="36910F0A">
      <w:pPr>
        <w:spacing w:before="113" w:line="360" w:lineRule="auto"/>
        <w:ind w:right="2"/>
        <w:rPr>
          <w:rFonts w:ascii="Cambria" w:hAnsi="Cambria" w:eastAsia="黑体" w:cs="黑体"/>
          <w:b/>
          <w:bCs/>
          <w:color w:val="000000" w:themeColor="text1"/>
          <w:sz w:val="24"/>
          <w:szCs w:val="24"/>
          <w:highlight w:val="none"/>
          <w14:textFill>
            <w14:solidFill>
              <w14:schemeClr w14:val="tx1"/>
            </w14:solidFill>
          </w14:textFill>
        </w:rPr>
      </w:pPr>
    </w:p>
    <w:p w14:paraId="68455AC1">
      <w:pPr>
        <w:spacing w:before="113" w:line="360" w:lineRule="auto"/>
        <w:ind w:right="2"/>
        <w:rPr>
          <w:rFonts w:ascii="Cambria" w:hAnsi="Cambria" w:eastAsia="黑体" w:cs="黑体"/>
          <w:b/>
          <w:bCs/>
          <w:color w:val="000000" w:themeColor="text1"/>
          <w:sz w:val="24"/>
          <w:szCs w:val="24"/>
          <w:highlight w:val="none"/>
          <w14:textFill>
            <w14:solidFill>
              <w14:schemeClr w14:val="tx1"/>
            </w14:solidFill>
          </w14:textFill>
        </w:rPr>
      </w:pPr>
    </w:p>
    <w:p w14:paraId="16117DA3">
      <w:pPr>
        <w:spacing w:before="113" w:line="360" w:lineRule="auto"/>
        <w:ind w:right="2"/>
        <w:rPr>
          <w:rFonts w:ascii="Cambria" w:hAnsi="Cambria" w:eastAsia="黑体" w:cs="黑体"/>
          <w:b/>
          <w:bCs/>
          <w:color w:val="000000" w:themeColor="text1"/>
          <w:sz w:val="24"/>
          <w:szCs w:val="24"/>
          <w:highlight w:val="none"/>
          <w14:textFill>
            <w14:solidFill>
              <w14:schemeClr w14:val="tx1"/>
            </w14:solidFill>
          </w14:textFill>
        </w:rPr>
      </w:pPr>
    </w:p>
    <w:p w14:paraId="4158A365">
      <w:pPr>
        <w:spacing w:before="113" w:line="360" w:lineRule="auto"/>
        <w:ind w:right="2"/>
        <w:rPr>
          <w:rFonts w:ascii="Cambria" w:hAnsi="Cambria" w:eastAsia="黑体" w:cs="黑体"/>
          <w:b/>
          <w:bCs/>
          <w:color w:val="000000" w:themeColor="text1"/>
          <w:sz w:val="24"/>
          <w:szCs w:val="24"/>
          <w:highlight w:val="none"/>
          <w14:textFill>
            <w14:solidFill>
              <w14:schemeClr w14:val="tx1"/>
            </w14:solidFill>
          </w14:textFill>
        </w:rPr>
      </w:pPr>
    </w:p>
    <w:p w14:paraId="11DBD59D">
      <w:pPr>
        <w:spacing w:before="113" w:line="227" w:lineRule="auto"/>
        <w:outlineLvl w:val="1"/>
        <w:rPr>
          <w:rFonts w:ascii="宋体" w:hAnsi="宋体" w:cs="宋体"/>
          <w:color w:val="000000" w:themeColor="text1"/>
          <w:spacing w:val="7"/>
          <w:sz w:val="44"/>
          <w:szCs w:val="44"/>
          <w:highlight w:val="none"/>
          <w14:textFill>
            <w14:solidFill>
              <w14:schemeClr w14:val="tx1"/>
            </w14:solidFill>
          </w14:textFill>
        </w:rPr>
      </w:pPr>
      <w:bookmarkStart w:id="251" w:name="_Toc3913"/>
      <w:r>
        <w:rPr>
          <w:rFonts w:hint="eastAsia" w:ascii="宋体" w:hAnsi="宋体" w:cs="宋体"/>
          <w:color w:val="000000" w:themeColor="text1"/>
          <w:spacing w:val="7"/>
          <w:sz w:val="30"/>
          <w:szCs w:val="30"/>
          <w:highlight w:val="none"/>
          <w14:textFill>
            <w14:solidFill>
              <w14:schemeClr w14:val="tx1"/>
            </w14:solidFill>
          </w14:textFill>
        </w:rPr>
        <w:t>附件一</w:t>
      </w:r>
      <w:bookmarkEnd w:id="251"/>
    </w:p>
    <w:p w14:paraId="57991478">
      <w:pPr>
        <w:spacing w:before="113" w:line="227" w:lineRule="auto"/>
        <w:ind w:left="2813"/>
        <w:outlineLvl w:val="1"/>
        <w:rPr>
          <w:rFonts w:ascii="宋体" w:hAnsi="宋体" w:cs="宋体"/>
          <w:color w:val="000000" w:themeColor="text1"/>
          <w:sz w:val="44"/>
          <w:szCs w:val="44"/>
          <w:highlight w:val="none"/>
          <w14:textFill>
            <w14:solidFill>
              <w14:schemeClr w14:val="tx1"/>
            </w14:solidFill>
          </w14:textFill>
        </w:rPr>
      </w:pPr>
      <w:bookmarkStart w:id="252" w:name="_Toc17576"/>
      <w:r>
        <w:rPr>
          <w:rFonts w:hint="eastAsia" w:ascii="宋体" w:hAnsi="宋体" w:cs="宋体"/>
          <w:color w:val="000000" w:themeColor="text1"/>
          <w:spacing w:val="7"/>
          <w:sz w:val="44"/>
          <w:szCs w:val="44"/>
          <w:highlight w:val="none"/>
          <w14:textFill>
            <w14:solidFill>
              <w14:schemeClr w14:val="tx1"/>
            </w14:solidFill>
          </w14:textFill>
        </w:rPr>
        <w:t>合同协议书</w:t>
      </w:r>
      <w:bookmarkEnd w:id="252"/>
    </w:p>
    <w:p w14:paraId="553A0B76">
      <w:pPr>
        <w:pStyle w:val="21"/>
        <w:spacing w:line="261" w:lineRule="auto"/>
        <w:rPr>
          <w:color w:val="000000" w:themeColor="text1"/>
          <w:highlight w:val="none"/>
          <w14:textFill>
            <w14:solidFill>
              <w14:schemeClr w14:val="tx1"/>
            </w14:solidFill>
          </w14:textFill>
        </w:rPr>
      </w:pPr>
    </w:p>
    <w:p w14:paraId="6DDF3DD3">
      <w:pPr>
        <w:spacing w:before="78" w:line="360" w:lineRule="auto"/>
        <w:ind w:right="90" w:firstLine="483"/>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pacing w:val="2"/>
          <w:sz w:val="24"/>
          <w:szCs w:val="24"/>
          <w:highlight w:val="none"/>
          <w14:textFill>
            <w14:solidFill>
              <w14:schemeClr w14:val="tx1"/>
            </w14:solidFill>
          </w14:textFill>
        </w:rPr>
        <w:t>为实施</w:t>
      </w:r>
      <w:r>
        <w:rPr>
          <w:rFonts w:hint="eastAsia" w:ascii="宋体" w:hAnsi="宋体" w:cs="宋体"/>
          <w:color w:val="000000" w:themeColor="text1"/>
          <w:spacing w:val="-118"/>
          <w:sz w:val="24"/>
          <w:szCs w:val="24"/>
          <w:highlight w:val="none"/>
          <w14:textFill>
            <w14:solidFill>
              <w14:schemeClr w14:val="tx1"/>
            </w14:solidFill>
          </w14:textFill>
        </w:rPr>
        <w:t xml:space="preserve"> </w:t>
      </w:r>
      <w:r>
        <w:rPr>
          <w:rFonts w:hint="eastAsia" w:ascii="宋体" w:hAnsi="宋体" w:cs="宋体"/>
          <w:color w:val="000000" w:themeColor="text1"/>
          <w:spacing w:val="2"/>
          <w:sz w:val="24"/>
          <w:szCs w:val="24"/>
          <w:highlight w:val="none"/>
          <w:u w:val="single"/>
          <w14:textFill>
            <w14:solidFill>
              <w14:schemeClr w14:val="tx1"/>
            </w14:solidFill>
          </w14:textFill>
        </w:rPr>
        <w:t xml:space="preserve">                  </w:t>
      </w:r>
      <w:r>
        <w:rPr>
          <w:rFonts w:hint="eastAsia" w:ascii="宋体" w:hAnsi="宋体" w:cs="宋体"/>
          <w:color w:val="000000" w:themeColor="text1"/>
          <w:spacing w:val="2"/>
          <w:sz w:val="24"/>
          <w:szCs w:val="24"/>
          <w:highlight w:val="none"/>
          <w14:textFill>
            <w14:solidFill>
              <w14:schemeClr w14:val="tx1"/>
            </w14:solidFill>
          </w14:textFill>
        </w:rPr>
        <w:t>（养护工程项目名称</w:t>
      </w:r>
      <w:r>
        <w:rPr>
          <w:rFonts w:hint="eastAsia" w:ascii="宋体" w:hAnsi="宋体" w:cs="宋体"/>
          <w:color w:val="000000" w:themeColor="text1"/>
          <w:spacing w:val="-45"/>
          <w:sz w:val="24"/>
          <w:szCs w:val="24"/>
          <w:highlight w:val="none"/>
          <w14:textFill>
            <w14:solidFill>
              <w14:schemeClr w14:val="tx1"/>
            </w14:solidFill>
          </w14:textFill>
        </w:rPr>
        <w:t>），</w:t>
      </w:r>
      <w:r>
        <w:rPr>
          <w:rFonts w:hint="eastAsia" w:ascii="宋体" w:hAnsi="宋体" w:cs="宋体"/>
          <w:color w:val="000000" w:themeColor="text1"/>
          <w:spacing w:val="2"/>
          <w:sz w:val="24"/>
          <w:szCs w:val="24"/>
          <w:highlight w:val="none"/>
          <w14:textFill>
            <w14:solidFill>
              <w14:schemeClr w14:val="tx1"/>
            </w14:solidFill>
          </w14:textFill>
        </w:rPr>
        <w:t>发包人</w:t>
      </w:r>
      <w:r>
        <w:rPr>
          <w:rFonts w:hint="eastAsia" w:ascii="宋体" w:hAnsi="宋体" w:cs="宋体"/>
          <w:color w:val="000000" w:themeColor="text1"/>
          <w:spacing w:val="-117"/>
          <w:sz w:val="24"/>
          <w:szCs w:val="24"/>
          <w:highlight w:val="none"/>
          <w14:textFill>
            <w14:solidFill>
              <w14:schemeClr w14:val="tx1"/>
            </w14:solidFill>
          </w14:textFill>
        </w:rPr>
        <w:t xml:space="preserve"> </w:t>
      </w:r>
      <w:r>
        <w:rPr>
          <w:rFonts w:hint="eastAsia" w:ascii="宋体" w:hAnsi="宋体" w:cs="宋体"/>
          <w:color w:val="000000" w:themeColor="text1"/>
          <w:spacing w:val="3"/>
          <w:sz w:val="24"/>
          <w:szCs w:val="24"/>
          <w:highlight w:val="none"/>
          <w:u w:val="single"/>
          <w14:textFill>
            <w14:solidFill>
              <w14:schemeClr w14:val="tx1"/>
            </w14:solidFill>
          </w14:textFill>
        </w:rPr>
        <w:t xml:space="preserve">          </w:t>
      </w:r>
      <w:r>
        <w:rPr>
          <w:rFonts w:hint="eastAsia" w:ascii="宋体" w:hAnsi="宋体" w:cs="宋体"/>
          <w:color w:val="000000" w:themeColor="text1"/>
          <w:spacing w:val="2"/>
          <w:sz w:val="24"/>
          <w:szCs w:val="24"/>
          <w:highlight w:val="none"/>
          <w14:textFill>
            <w14:solidFill>
              <w14:schemeClr w14:val="tx1"/>
            </w14:solidFill>
          </w14:textFill>
        </w:rPr>
        <w:t>（发包人名</w:t>
      </w:r>
      <w:r>
        <w:rPr>
          <w:rFonts w:hint="eastAsia" w:ascii="宋体" w:hAnsi="宋体" w:cs="宋体"/>
          <w:color w:val="000000" w:themeColor="text1"/>
          <w:spacing w:val="-7"/>
          <w:sz w:val="24"/>
          <w:szCs w:val="24"/>
          <w:highlight w:val="none"/>
          <w14:textFill>
            <w14:solidFill>
              <w14:schemeClr w14:val="tx1"/>
            </w14:solidFill>
          </w14:textFill>
        </w:rPr>
        <w:t>称，以下简称“发包人</w:t>
      </w:r>
      <w:r>
        <w:rPr>
          <w:rFonts w:hint="eastAsia" w:ascii="宋体" w:hAnsi="宋体" w:cs="宋体"/>
          <w:color w:val="000000" w:themeColor="text1"/>
          <w:spacing w:val="-74"/>
          <w:sz w:val="24"/>
          <w:szCs w:val="24"/>
          <w:highlight w:val="none"/>
          <w14:textFill>
            <w14:solidFill>
              <w14:schemeClr w14:val="tx1"/>
            </w14:solidFill>
          </w14:textFill>
        </w:rPr>
        <w:t xml:space="preserve"> </w:t>
      </w:r>
      <w:r>
        <w:rPr>
          <w:rFonts w:hint="eastAsia" w:ascii="宋体" w:hAnsi="宋体" w:cs="宋体"/>
          <w:color w:val="000000" w:themeColor="text1"/>
          <w:spacing w:val="-7"/>
          <w:sz w:val="24"/>
          <w:szCs w:val="24"/>
          <w:highlight w:val="none"/>
          <w14:textFill>
            <w14:solidFill>
              <w14:schemeClr w14:val="tx1"/>
            </w14:solidFill>
          </w14:textFill>
        </w:rPr>
        <w:t>”）与</w:t>
      </w:r>
      <w:r>
        <w:rPr>
          <w:rFonts w:hint="eastAsia" w:ascii="宋体" w:hAnsi="宋体" w:cs="宋体"/>
          <w:color w:val="000000" w:themeColor="text1"/>
          <w:spacing w:val="-118"/>
          <w:sz w:val="24"/>
          <w:szCs w:val="24"/>
          <w:highlight w:val="none"/>
          <w14:textFill>
            <w14:solidFill>
              <w14:schemeClr w14:val="tx1"/>
            </w14:solidFill>
          </w14:textFill>
        </w:rPr>
        <w:t xml:space="preserve"> </w:t>
      </w:r>
      <w:r>
        <w:rPr>
          <w:rFonts w:hint="eastAsia" w:ascii="宋体" w:hAnsi="宋体" w:cs="宋体"/>
          <w:color w:val="000000" w:themeColor="text1"/>
          <w:spacing w:val="-7"/>
          <w:sz w:val="24"/>
          <w:szCs w:val="24"/>
          <w:highlight w:val="none"/>
          <w:u w:val="single"/>
          <w14:textFill>
            <w14:solidFill>
              <w14:schemeClr w14:val="tx1"/>
            </w14:solidFill>
          </w14:textFill>
        </w:rPr>
        <w:t xml:space="preserve">          </w:t>
      </w:r>
      <w:r>
        <w:rPr>
          <w:rFonts w:hint="eastAsia" w:ascii="宋体" w:hAnsi="宋体" w:cs="宋体"/>
          <w:color w:val="000000" w:themeColor="text1"/>
          <w:spacing w:val="-7"/>
          <w:sz w:val="24"/>
          <w:szCs w:val="24"/>
          <w:highlight w:val="none"/>
          <w14:textFill>
            <w14:solidFill>
              <w14:schemeClr w14:val="tx1"/>
            </w14:solidFill>
          </w14:textFill>
        </w:rPr>
        <w:t>（承包人名称，以下简称“承包人</w:t>
      </w:r>
      <w:r>
        <w:rPr>
          <w:rFonts w:hint="eastAsia" w:ascii="宋体" w:hAnsi="宋体" w:cs="宋体"/>
          <w:color w:val="000000" w:themeColor="text1"/>
          <w:spacing w:val="-88"/>
          <w:sz w:val="24"/>
          <w:szCs w:val="24"/>
          <w:highlight w:val="none"/>
          <w14:textFill>
            <w14:solidFill>
              <w14:schemeClr w14:val="tx1"/>
            </w14:solidFill>
          </w14:textFill>
        </w:rPr>
        <w:t xml:space="preserve"> </w:t>
      </w:r>
      <w:r>
        <w:rPr>
          <w:rFonts w:hint="eastAsia" w:ascii="宋体" w:hAnsi="宋体" w:cs="宋体"/>
          <w:color w:val="000000" w:themeColor="text1"/>
          <w:spacing w:val="-7"/>
          <w:sz w:val="24"/>
          <w:szCs w:val="24"/>
          <w:highlight w:val="none"/>
          <w14:textFill>
            <w14:solidFill>
              <w14:schemeClr w14:val="tx1"/>
            </w14:solidFill>
          </w14:textFill>
        </w:rPr>
        <w:t>”）共同</w:t>
      </w:r>
      <w:r>
        <w:rPr>
          <w:rFonts w:hint="eastAsia" w:ascii="宋体" w:hAnsi="宋体" w:cs="宋体"/>
          <w:color w:val="000000" w:themeColor="text1"/>
          <w:spacing w:val="-2"/>
          <w:sz w:val="24"/>
          <w:szCs w:val="24"/>
          <w:highlight w:val="none"/>
          <w14:textFill>
            <w14:solidFill>
              <w14:schemeClr w14:val="tx1"/>
            </w14:solidFill>
          </w14:textFill>
        </w:rPr>
        <w:t>达成如下协议。</w:t>
      </w:r>
    </w:p>
    <w:p w14:paraId="62209FBA">
      <w:pPr>
        <w:spacing w:line="360" w:lineRule="auto"/>
        <w:ind w:left="499"/>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pacing w:val="-3"/>
          <w:sz w:val="24"/>
          <w:szCs w:val="24"/>
          <w:highlight w:val="none"/>
          <w14:textFill>
            <w14:solidFill>
              <w14:schemeClr w14:val="tx1"/>
            </w14:solidFill>
          </w14:textFill>
        </w:rPr>
        <w:t>1.  项目概况与承包范围</w:t>
      </w:r>
    </w:p>
    <w:p w14:paraId="4A0C19F6">
      <w:pPr>
        <w:spacing w:before="116" w:line="360" w:lineRule="auto"/>
        <w:ind w:left="492"/>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pacing w:val="-3"/>
          <w:sz w:val="24"/>
          <w:szCs w:val="24"/>
          <w:highlight w:val="none"/>
          <w14:textFill>
            <w14:solidFill>
              <w14:schemeClr w14:val="tx1"/>
            </w14:solidFill>
          </w14:textFill>
        </w:rPr>
        <w:t>（1）项目概况</w:t>
      </w:r>
    </w:p>
    <w:p w14:paraId="23526EB9">
      <w:pPr>
        <w:spacing w:before="113" w:line="360" w:lineRule="auto"/>
        <w:ind w:firstLine="48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1.本项目：</w:t>
      </w:r>
      <w:r>
        <w:rPr>
          <w:rFonts w:hint="eastAsia" w:ascii="宋体" w:hAnsi="宋体" w:cs="宋体"/>
          <w:color w:val="000000" w:themeColor="text1"/>
          <w:sz w:val="24"/>
          <w:szCs w:val="24"/>
          <w:highlight w:val="none"/>
          <w:u w:val="single"/>
          <w14:textFill>
            <w14:solidFill>
              <w14:schemeClr w14:val="tx1"/>
            </w14:solidFill>
          </w14:textFill>
        </w:rPr>
        <w:t>S206线K25+642～K53+000段安全设施精细化提升工程,公路等级为四级公路，全长27.358km。实施范围为S206线K25+642～K53+000路段,路线长27.358km</w:t>
      </w:r>
      <w:r>
        <w:rPr>
          <w:rFonts w:hint="eastAsia" w:ascii="宋体" w:hAnsi="宋体" w:cs="宋体"/>
          <w:color w:val="000000" w:themeColor="text1"/>
          <w:spacing w:val="-3"/>
          <w:sz w:val="24"/>
          <w:szCs w:val="24"/>
          <w:highlight w:val="none"/>
          <w14:textFill>
            <w14:solidFill>
              <w14:schemeClr w14:val="tx1"/>
            </w14:solidFill>
          </w14:textFill>
        </w:rPr>
        <w:t>。</w:t>
      </w:r>
    </w:p>
    <w:p w14:paraId="0DC0DE14">
      <w:pPr>
        <w:spacing w:line="360" w:lineRule="auto"/>
        <w:ind w:left="492"/>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（2）养护工程主要工程数量：</w:t>
      </w:r>
      <w:r>
        <w:rPr>
          <w:rFonts w:hint="eastAsia" w:ascii="宋体" w:hAnsi="宋体" w:cs="宋体"/>
          <w:color w:val="000000" w:themeColor="text1"/>
          <w:sz w:val="24"/>
          <w:szCs w:val="24"/>
          <w:highlight w:val="none"/>
          <w:u w:val="single"/>
          <w14:textFill>
            <w14:solidFill>
              <w14:schemeClr w14:val="tx1"/>
            </w14:solidFill>
          </w14:textFill>
        </w:rPr>
        <w:t xml:space="preserve">  详见施工图纸</w:t>
      </w:r>
      <w:r>
        <w:rPr>
          <w:rFonts w:hint="eastAsia" w:ascii="宋体" w:hAnsi="宋体" w:cs="宋体"/>
          <w:color w:val="000000" w:themeColor="text1"/>
          <w:spacing w:val="-1"/>
          <w:sz w:val="24"/>
          <w:szCs w:val="24"/>
          <w:highlight w:val="none"/>
          <w:u w:val="single"/>
          <w14:textFill>
            <w14:solidFill>
              <w14:schemeClr w14:val="tx1"/>
            </w14:solidFill>
          </w14:textFill>
        </w:rPr>
        <w:t xml:space="preserve"> </w:t>
      </w:r>
      <w:r>
        <w:rPr>
          <w:rFonts w:hint="eastAsia" w:ascii="宋体" w:hAnsi="宋体" w:cs="宋体"/>
          <w:color w:val="000000" w:themeColor="text1"/>
          <w:spacing w:val="-1"/>
          <w:sz w:val="24"/>
          <w:szCs w:val="24"/>
          <w:highlight w:val="none"/>
          <w14:textFill>
            <w14:solidFill>
              <w14:schemeClr w14:val="tx1"/>
            </w14:solidFill>
          </w14:textFill>
        </w:rPr>
        <w:t>。</w:t>
      </w:r>
    </w:p>
    <w:p w14:paraId="7A1A08DD">
      <w:pPr>
        <w:spacing w:before="116" w:line="360" w:lineRule="auto"/>
        <w:ind w:left="476"/>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pacing w:val="-1"/>
          <w:sz w:val="24"/>
          <w:szCs w:val="24"/>
          <w:highlight w:val="none"/>
          <w14:textFill>
            <w14:solidFill>
              <w14:schemeClr w14:val="tx1"/>
            </w14:solidFill>
          </w14:textFill>
        </w:rPr>
        <w:t>2.  下列文件应视为构成合同文件的组成部分：</w:t>
      </w:r>
    </w:p>
    <w:p w14:paraId="724685D9">
      <w:pPr>
        <w:spacing w:before="114" w:line="360" w:lineRule="auto"/>
        <w:ind w:right="90" w:firstLine="491"/>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pacing w:val="4"/>
          <w:sz w:val="24"/>
          <w:szCs w:val="24"/>
          <w:highlight w:val="none"/>
          <w14:textFill>
            <w14:solidFill>
              <w14:schemeClr w14:val="tx1"/>
            </w14:solidFill>
          </w14:textFill>
        </w:rPr>
        <w:t>（1）本协议书及各种合同附件（含评标期间和合同谈判过程中的澄清文</w:t>
      </w:r>
      <w:r>
        <w:rPr>
          <w:rFonts w:hint="eastAsia" w:ascii="宋体" w:hAnsi="宋体" w:cs="宋体"/>
          <w:color w:val="000000" w:themeColor="text1"/>
          <w:spacing w:val="3"/>
          <w:sz w:val="24"/>
          <w:szCs w:val="24"/>
          <w:highlight w:val="none"/>
          <w14:textFill>
            <w14:solidFill>
              <w14:schemeClr w14:val="tx1"/>
            </w14:solidFill>
          </w14:textFill>
        </w:rPr>
        <w:t>件和</w:t>
      </w:r>
      <w:r>
        <w:rPr>
          <w:rFonts w:hint="eastAsia" w:ascii="宋体" w:hAnsi="宋体" w:cs="宋体"/>
          <w:color w:val="000000" w:themeColor="text1"/>
          <w:spacing w:val="-3"/>
          <w:sz w:val="24"/>
          <w:szCs w:val="24"/>
          <w:highlight w:val="none"/>
          <w14:textFill>
            <w14:solidFill>
              <w14:schemeClr w14:val="tx1"/>
            </w14:solidFill>
          </w14:textFill>
        </w:rPr>
        <w:t>补充资料</w:t>
      </w:r>
      <w:r>
        <w:rPr>
          <w:rFonts w:hint="eastAsia" w:ascii="宋体" w:hAnsi="宋体" w:cs="宋体"/>
          <w:color w:val="000000" w:themeColor="text1"/>
          <w:spacing w:val="-62"/>
          <w:w w:val="97"/>
          <w:sz w:val="24"/>
          <w:szCs w:val="24"/>
          <w:highlight w:val="none"/>
          <w14:textFill>
            <w14:solidFill>
              <w14:schemeClr w14:val="tx1"/>
            </w14:solidFill>
          </w14:textFill>
        </w:rPr>
        <w:t>）；</w:t>
      </w:r>
    </w:p>
    <w:p w14:paraId="70CE05BC">
      <w:pPr>
        <w:spacing w:before="114" w:line="360" w:lineRule="auto"/>
        <w:ind w:left="492"/>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pacing w:val="-2"/>
          <w:sz w:val="24"/>
          <w:szCs w:val="24"/>
          <w:highlight w:val="none"/>
          <w14:textFill>
            <w14:solidFill>
              <w14:schemeClr w14:val="tx1"/>
            </w14:solidFill>
          </w14:textFill>
        </w:rPr>
        <w:t>（2）中标通知书（或成交通知书）（如有</w:t>
      </w:r>
      <w:r>
        <w:rPr>
          <w:rFonts w:hint="eastAsia" w:ascii="宋体" w:hAnsi="宋体" w:cs="宋体"/>
          <w:color w:val="000000" w:themeColor="text1"/>
          <w:spacing w:val="-62"/>
          <w:w w:val="97"/>
          <w:sz w:val="24"/>
          <w:szCs w:val="24"/>
          <w:highlight w:val="none"/>
          <w14:textFill>
            <w14:solidFill>
              <w14:schemeClr w14:val="tx1"/>
            </w14:solidFill>
          </w14:textFill>
        </w:rPr>
        <w:t>）；</w:t>
      </w:r>
    </w:p>
    <w:p w14:paraId="2BEB2F01">
      <w:pPr>
        <w:spacing w:before="114" w:line="360" w:lineRule="auto"/>
        <w:ind w:left="492"/>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pacing w:val="-2"/>
          <w:sz w:val="24"/>
          <w:szCs w:val="24"/>
          <w:highlight w:val="none"/>
          <w14:textFill>
            <w14:solidFill>
              <w14:schemeClr w14:val="tx1"/>
            </w14:solidFill>
          </w14:textFill>
        </w:rPr>
        <w:t>（3）投标函及投标函附录（或</w:t>
      </w:r>
      <w:r>
        <w:rPr>
          <w:rFonts w:hint="eastAsia" w:ascii="宋体" w:hAnsi="宋体" w:cs="宋体"/>
          <w:color w:val="000000" w:themeColor="text1"/>
          <w:sz w:val="24"/>
          <w:szCs w:val="24"/>
          <w:highlight w:val="none"/>
          <w14:textFill>
            <w14:solidFill>
              <w14:schemeClr w14:val="tx1"/>
            </w14:solidFill>
          </w14:textFill>
        </w:rPr>
        <w:t>磋商函及磋商函附录）</w:t>
      </w:r>
      <w:r>
        <w:rPr>
          <w:rFonts w:hint="eastAsia" w:ascii="宋体" w:hAnsi="宋体" w:cs="宋体"/>
          <w:color w:val="000000" w:themeColor="text1"/>
          <w:spacing w:val="-2"/>
          <w:sz w:val="24"/>
          <w:szCs w:val="24"/>
          <w:highlight w:val="none"/>
          <w14:textFill>
            <w14:solidFill>
              <w14:schemeClr w14:val="tx1"/>
            </w14:solidFill>
          </w14:textFill>
        </w:rPr>
        <w:t>（如有</w:t>
      </w:r>
      <w:r>
        <w:rPr>
          <w:rFonts w:hint="eastAsia" w:ascii="宋体" w:hAnsi="宋体" w:cs="宋体"/>
          <w:color w:val="000000" w:themeColor="text1"/>
          <w:spacing w:val="-64"/>
          <w:sz w:val="24"/>
          <w:szCs w:val="24"/>
          <w:highlight w:val="none"/>
          <w14:textFill>
            <w14:solidFill>
              <w14:schemeClr w14:val="tx1"/>
            </w14:solidFill>
          </w14:textFill>
        </w:rPr>
        <w:t>）；</w:t>
      </w:r>
    </w:p>
    <w:p w14:paraId="5C48B3FC">
      <w:pPr>
        <w:spacing w:before="117" w:line="360" w:lineRule="auto"/>
        <w:ind w:left="492"/>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pacing w:val="-3"/>
          <w:sz w:val="24"/>
          <w:szCs w:val="24"/>
          <w:highlight w:val="none"/>
          <w14:textFill>
            <w14:solidFill>
              <w14:schemeClr w14:val="tx1"/>
            </w14:solidFill>
          </w14:textFill>
        </w:rPr>
        <w:t>（4）专用合同条款；</w:t>
      </w:r>
    </w:p>
    <w:p w14:paraId="7DE31435">
      <w:pPr>
        <w:spacing w:before="116" w:line="360" w:lineRule="auto"/>
        <w:ind w:left="492"/>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pacing w:val="-3"/>
          <w:sz w:val="24"/>
          <w:szCs w:val="24"/>
          <w:highlight w:val="none"/>
          <w14:textFill>
            <w14:solidFill>
              <w14:schemeClr w14:val="tx1"/>
            </w14:solidFill>
          </w14:textFill>
        </w:rPr>
        <w:t>（5）通用合同条款；</w:t>
      </w:r>
    </w:p>
    <w:p w14:paraId="2E703C3C">
      <w:pPr>
        <w:spacing w:before="114" w:line="360" w:lineRule="auto"/>
        <w:ind w:left="492"/>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pacing w:val="-1"/>
          <w:sz w:val="24"/>
          <w:szCs w:val="24"/>
          <w:highlight w:val="none"/>
          <w14:textFill>
            <w14:solidFill>
              <w14:schemeClr w14:val="tx1"/>
            </w14:solidFill>
          </w14:textFill>
        </w:rPr>
        <w:t>（6）工程量清单计量规则（或养护绩效管理规则</w:t>
      </w:r>
      <w:r>
        <w:rPr>
          <w:rFonts w:hint="eastAsia" w:ascii="宋体" w:hAnsi="宋体" w:cs="宋体"/>
          <w:color w:val="000000" w:themeColor="text1"/>
          <w:spacing w:val="-62"/>
          <w:w w:val="97"/>
          <w:sz w:val="24"/>
          <w:szCs w:val="24"/>
          <w:highlight w:val="none"/>
          <w14:textFill>
            <w14:solidFill>
              <w14:schemeClr w14:val="tx1"/>
            </w14:solidFill>
          </w14:textFill>
        </w:rPr>
        <w:t>）；</w:t>
      </w:r>
    </w:p>
    <w:p w14:paraId="0739C6D0">
      <w:pPr>
        <w:spacing w:before="116" w:line="360" w:lineRule="auto"/>
        <w:ind w:left="492"/>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pacing w:val="-3"/>
          <w:sz w:val="24"/>
          <w:szCs w:val="24"/>
          <w:highlight w:val="none"/>
          <w14:textFill>
            <w14:solidFill>
              <w14:schemeClr w14:val="tx1"/>
            </w14:solidFill>
          </w14:textFill>
        </w:rPr>
        <w:t>（7）技术规范；</w:t>
      </w:r>
    </w:p>
    <w:p w14:paraId="30D7E0AB">
      <w:pPr>
        <w:spacing w:before="115" w:line="360" w:lineRule="auto"/>
        <w:ind w:left="492"/>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pacing w:val="-4"/>
          <w:sz w:val="24"/>
          <w:szCs w:val="24"/>
          <w:highlight w:val="none"/>
          <w14:textFill>
            <w14:solidFill>
              <w14:schemeClr w14:val="tx1"/>
            </w14:solidFill>
          </w14:textFill>
        </w:rPr>
        <w:t>（8）图纸；</w:t>
      </w:r>
    </w:p>
    <w:p w14:paraId="25272109">
      <w:pPr>
        <w:spacing w:before="112" w:line="360" w:lineRule="auto"/>
        <w:ind w:left="492"/>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pacing w:val="-2"/>
          <w:sz w:val="24"/>
          <w:szCs w:val="24"/>
          <w:highlight w:val="none"/>
          <w14:textFill>
            <w14:solidFill>
              <w14:schemeClr w14:val="tx1"/>
            </w14:solidFill>
          </w14:textFill>
        </w:rPr>
        <w:t>（9）已标价工程量清单（或绩效清单</w:t>
      </w:r>
      <w:r>
        <w:rPr>
          <w:rFonts w:hint="eastAsia" w:ascii="宋体" w:hAnsi="宋体" w:cs="宋体"/>
          <w:color w:val="000000" w:themeColor="text1"/>
          <w:spacing w:val="-62"/>
          <w:sz w:val="24"/>
          <w:szCs w:val="24"/>
          <w:highlight w:val="none"/>
          <w14:textFill>
            <w14:solidFill>
              <w14:schemeClr w14:val="tx1"/>
            </w14:solidFill>
          </w14:textFill>
        </w:rPr>
        <w:t>）；</w:t>
      </w:r>
    </w:p>
    <w:p w14:paraId="5178B9C0">
      <w:pPr>
        <w:spacing w:before="118" w:line="360" w:lineRule="auto"/>
        <w:ind w:left="492"/>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pacing w:val="-2"/>
          <w:sz w:val="24"/>
          <w:szCs w:val="24"/>
          <w:highlight w:val="none"/>
          <w14:textFill>
            <w14:solidFill>
              <w14:schemeClr w14:val="tx1"/>
            </w14:solidFill>
          </w14:textFill>
        </w:rPr>
        <w:t>（10）承包人有关人员、设备投入的承诺；</w:t>
      </w:r>
    </w:p>
    <w:p w14:paraId="280B2D35">
      <w:pPr>
        <w:spacing w:before="116" w:line="360" w:lineRule="auto"/>
        <w:ind w:left="492"/>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pacing w:val="-3"/>
          <w:sz w:val="24"/>
          <w:szCs w:val="24"/>
          <w:highlight w:val="none"/>
          <w14:textFill>
            <w14:solidFill>
              <w14:schemeClr w14:val="tx1"/>
            </w14:solidFill>
          </w14:textFill>
        </w:rPr>
        <w:t>（11）其他合同文件。</w:t>
      </w:r>
    </w:p>
    <w:p w14:paraId="58969D45">
      <w:pPr>
        <w:spacing w:before="114" w:line="360" w:lineRule="auto"/>
        <w:ind w:left="2" w:right="90" w:firstLine="48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pacing w:val="1"/>
          <w:sz w:val="24"/>
          <w:szCs w:val="24"/>
          <w:highlight w:val="none"/>
          <w14:textFill>
            <w14:solidFill>
              <w14:schemeClr w14:val="tx1"/>
            </w14:solidFill>
          </w14:textFill>
        </w:rPr>
        <w:t>上述合同文件互相补充和解释。如果合同文件之间存</w:t>
      </w:r>
      <w:r>
        <w:rPr>
          <w:rFonts w:hint="eastAsia" w:ascii="宋体" w:hAnsi="宋体" w:cs="宋体"/>
          <w:color w:val="000000" w:themeColor="text1"/>
          <w:sz w:val="24"/>
          <w:szCs w:val="24"/>
          <w:highlight w:val="none"/>
          <w14:textFill>
            <w14:solidFill>
              <w14:schemeClr w14:val="tx1"/>
            </w14:solidFill>
          </w14:textFill>
        </w:rPr>
        <w:t>在矛盾或不一致之处，以</w:t>
      </w:r>
      <w:r>
        <w:rPr>
          <w:rFonts w:hint="eastAsia" w:ascii="宋体" w:hAnsi="宋体" w:cs="宋体"/>
          <w:color w:val="000000" w:themeColor="text1"/>
          <w:spacing w:val="-1"/>
          <w:sz w:val="24"/>
          <w:szCs w:val="24"/>
          <w:highlight w:val="none"/>
          <w14:textFill>
            <w14:solidFill>
              <w14:schemeClr w14:val="tx1"/>
            </w14:solidFill>
          </w14:textFill>
        </w:rPr>
        <w:t>上述文件的排列次序在先者为准。</w:t>
      </w:r>
    </w:p>
    <w:p w14:paraId="55709F7A">
      <w:pPr>
        <w:spacing w:before="1" w:line="360" w:lineRule="auto"/>
        <w:ind w:left="27" w:right="92" w:firstLine="454"/>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pacing w:val="6"/>
          <w:sz w:val="24"/>
          <w:szCs w:val="24"/>
          <w:highlight w:val="none"/>
          <w14:textFill>
            <w14:solidFill>
              <w14:schemeClr w14:val="tx1"/>
            </w14:solidFill>
          </w14:textFill>
        </w:rPr>
        <w:t>3.  根据工程量清单所列的预计数量和单价或</w:t>
      </w:r>
      <w:r>
        <w:rPr>
          <w:rFonts w:hint="eastAsia" w:ascii="宋体" w:hAnsi="宋体" w:cs="宋体"/>
          <w:color w:val="000000" w:themeColor="text1"/>
          <w:spacing w:val="5"/>
          <w:sz w:val="24"/>
          <w:szCs w:val="24"/>
          <w:highlight w:val="none"/>
          <w14:textFill>
            <w14:solidFill>
              <w14:schemeClr w14:val="tx1"/>
            </w14:solidFill>
          </w14:textFill>
        </w:rPr>
        <w:t>总额价计算的签约合同价：人民</w:t>
      </w:r>
      <w:r>
        <w:rPr>
          <w:rFonts w:hint="eastAsia" w:ascii="宋体" w:hAnsi="宋体" w:cs="宋体"/>
          <w:color w:val="000000" w:themeColor="text1"/>
          <w:spacing w:val="-12"/>
          <w:sz w:val="24"/>
          <w:szCs w:val="24"/>
          <w:highlight w:val="none"/>
          <w14:textFill>
            <w14:solidFill>
              <w14:schemeClr w14:val="tx1"/>
            </w14:solidFill>
          </w14:textFill>
        </w:rPr>
        <w:t>币（大写）</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pacing w:val="-103"/>
          <w:sz w:val="24"/>
          <w:szCs w:val="24"/>
          <w:highlight w:val="none"/>
          <w14:textFill>
            <w14:solidFill>
              <w14:schemeClr w14:val="tx1"/>
            </w14:solidFill>
          </w14:textFill>
        </w:rPr>
        <w:t xml:space="preserve"> </w:t>
      </w:r>
      <w:r>
        <w:rPr>
          <w:rFonts w:hint="eastAsia" w:ascii="宋体" w:hAnsi="宋体" w:cs="宋体"/>
          <w:color w:val="000000" w:themeColor="text1"/>
          <w:spacing w:val="-12"/>
          <w:sz w:val="24"/>
          <w:szCs w:val="24"/>
          <w:highlight w:val="none"/>
          <w14:textFill>
            <w14:solidFill>
              <w14:schemeClr w14:val="tx1"/>
            </w14:solidFill>
          </w14:textFill>
        </w:rPr>
        <w:t>元</w:t>
      </w:r>
      <w:r>
        <w:rPr>
          <w:rFonts w:hint="eastAsia" w:ascii="宋体" w:hAnsi="宋体" w:cs="宋体"/>
          <w:color w:val="000000" w:themeColor="text1"/>
          <w:spacing w:val="15"/>
          <w:sz w:val="24"/>
          <w:szCs w:val="24"/>
          <w:highlight w:val="none"/>
          <w14:textFill>
            <w14:solidFill>
              <w14:schemeClr w14:val="tx1"/>
            </w14:solidFill>
          </w14:textFill>
        </w:rPr>
        <w:t xml:space="preserve"> </w:t>
      </w:r>
      <w:r>
        <w:rPr>
          <w:rFonts w:hint="eastAsia" w:ascii="宋体" w:hAnsi="宋体" w:cs="宋体"/>
          <w:color w:val="000000" w:themeColor="text1"/>
          <w:spacing w:val="-12"/>
          <w:sz w:val="24"/>
          <w:szCs w:val="24"/>
          <w:highlight w:val="none"/>
          <w14:textFill>
            <w14:solidFill>
              <w14:schemeClr w14:val="tx1"/>
            </w14:solidFill>
          </w14:textFill>
        </w:rPr>
        <w:t>(¥</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pacing w:val="-25"/>
          <w:sz w:val="24"/>
          <w:szCs w:val="24"/>
          <w:highlight w:val="none"/>
          <w14:textFill>
            <w14:solidFill>
              <w14:schemeClr w14:val="tx1"/>
            </w14:solidFill>
          </w14:textFill>
        </w:rPr>
        <w:t xml:space="preserve"> </w:t>
      </w:r>
      <w:r>
        <w:rPr>
          <w:rFonts w:hint="eastAsia" w:ascii="宋体" w:hAnsi="宋体" w:cs="宋体"/>
          <w:color w:val="000000" w:themeColor="text1"/>
          <w:spacing w:val="-12"/>
          <w:sz w:val="24"/>
          <w:szCs w:val="24"/>
          <w:highlight w:val="none"/>
          <w14:textFill>
            <w14:solidFill>
              <w14:schemeClr w14:val="tx1"/>
            </w14:solidFill>
          </w14:textFill>
        </w:rPr>
        <w:t>)。</w:t>
      </w:r>
    </w:p>
    <w:p w14:paraId="080C5605">
      <w:pPr>
        <w:spacing w:before="117" w:line="360" w:lineRule="auto"/>
        <w:ind w:left="475"/>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pacing w:val="-1"/>
          <w:sz w:val="24"/>
          <w:szCs w:val="24"/>
          <w:highlight w:val="none"/>
          <w14:textFill>
            <w14:solidFill>
              <w14:schemeClr w14:val="tx1"/>
            </w14:solidFill>
          </w14:textFill>
        </w:rPr>
        <w:t>4.  承包人项目经理：</w:t>
      </w:r>
      <w:r>
        <w:rPr>
          <w:rFonts w:hint="eastAsia" w:ascii="宋体" w:hAnsi="宋体" w:cs="宋体"/>
          <w:color w:val="000000" w:themeColor="text1"/>
          <w:spacing w:val="-1"/>
          <w:sz w:val="24"/>
          <w:szCs w:val="24"/>
          <w:highlight w:val="none"/>
          <w:u w:val="single"/>
          <w14:textFill>
            <w14:solidFill>
              <w14:schemeClr w14:val="tx1"/>
            </w14:solidFill>
          </w14:textFill>
        </w:rPr>
        <w:t xml:space="preserve">        </w:t>
      </w:r>
      <w:r>
        <w:rPr>
          <w:rFonts w:hint="eastAsia" w:ascii="宋体" w:hAnsi="宋体" w:cs="宋体"/>
          <w:color w:val="000000" w:themeColor="text1"/>
          <w:spacing w:val="-87"/>
          <w:sz w:val="24"/>
          <w:szCs w:val="24"/>
          <w:highlight w:val="none"/>
          <w14:textFill>
            <w14:solidFill>
              <w14:schemeClr w14:val="tx1"/>
            </w14:solidFill>
          </w14:textFill>
        </w:rPr>
        <w:t xml:space="preserve"> </w:t>
      </w:r>
      <w:r>
        <w:rPr>
          <w:rFonts w:hint="eastAsia" w:ascii="宋体" w:hAnsi="宋体" w:cs="宋体"/>
          <w:color w:val="000000" w:themeColor="text1"/>
          <w:spacing w:val="-1"/>
          <w:sz w:val="24"/>
          <w:szCs w:val="24"/>
          <w:highlight w:val="none"/>
          <w14:textFill>
            <w14:solidFill>
              <w14:schemeClr w14:val="tx1"/>
            </w14:solidFill>
          </w14:textFill>
        </w:rPr>
        <w:t>。承包人项目总工：</w:t>
      </w:r>
      <w:r>
        <w:rPr>
          <w:rFonts w:hint="eastAsia" w:ascii="宋体" w:hAnsi="宋体" w:cs="宋体"/>
          <w:color w:val="000000" w:themeColor="text1"/>
          <w:spacing w:val="-1"/>
          <w:sz w:val="24"/>
          <w:szCs w:val="24"/>
          <w:highlight w:val="none"/>
          <w:u w:val="single"/>
          <w14:textFill>
            <w14:solidFill>
              <w14:schemeClr w14:val="tx1"/>
            </w14:solidFill>
          </w14:textFill>
        </w:rPr>
        <w:t xml:space="preserve">        </w:t>
      </w:r>
      <w:r>
        <w:rPr>
          <w:rFonts w:hint="eastAsia" w:ascii="宋体" w:hAnsi="宋体" w:cs="宋体"/>
          <w:color w:val="000000" w:themeColor="text1"/>
          <w:spacing w:val="-1"/>
          <w:sz w:val="24"/>
          <w:szCs w:val="24"/>
          <w:highlight w:val="none"/>
          <w14:textFill>
            <w14:solidFill>
              <w14:schemeClr w14:val="tx1"/>
            </w14:solidFill>
          </w14:textFill>
        </w:rPr>
        <w:t>。</w:t>
      </w:r>
    </w:p>
    <w:p w14:paraId="2A332536">
      <w:pPr>
        <w:spacing w:before="116" w:line="360" w:lineRule="auto"/>
        <w:ind w:left="1" w:right="90" w:firstLine="481"/>
        <w:rPr>
          <w:rFonts w:ascii="宋体" w:hAnsi="宋体" w:cs="宋体"/>
          <w:color w:val="000000" w:themeColor="text1"/>
          <w:spacing w:val="-1"/>
          <w:sz w:val="24"/>
          <w:szCs w:val="24"/>
          <w:highlight w:val="none"/>
          <w14:textFill>
            <w14:solidFill>
              <w14:schemeClr w14:val="tx1"/>
            </w14:solidFill>
          </w14:textFill>
        </w:rPr>
      </w:pPr>
      <w:r>
        <w:rPr>
          <w:rFonts w:hint="eastAsia" w:ascii="宋体" w:hAnsi="宋体" w:cs="宋体"/>
          <w:color w:val="000000" w:themeColor="text1"/>
          <w:spacing w:val="10"/>
          <w:sz w:val="24"/>
          <w:szCs w:val="24"/>
          <w:highlight w:val="none"/>
          <w14:textFill>
            <w14:solidFill>
              <w14:schemeClr w14:val="tx1"/>
            </w14:solidFill>
          </w14:textFill>
        </w:rPr>
        <w:t xml:space="preserve">5.  养护工程质量符合 </w:t>
      </w:r>
      <w:r>
        <w:rPr>
          <w:rFonts w:hint="eastAsia" w:ascii="宋体" w:hAnsi="宋体" w:cs="宋体"/>
          <w:color w:val="000000" w:themeColor="text1"/>
          <w:spacing w:val="14"/>
          <w:sz w:val="24"/>
          <w:szCs w:val="24"/>
          <w:highlight w:val="none"/>
          <w:u w:val="single"/>
          <w14:textFill>
            <w14:solidFill>
              <w14:schemeClr w14:val="tx1"/>
            </w14:solidFill>
          </w14:textFill>
        </w:rPr>
        <w:t xml:space="preserve">        </w:t>
      </w:r>
      <w:r>
        <w:rPr>
          <w:rFonts w:hint="eastAsia" w:ascii="宋体" w:hAnsi="宋体" w:cs="宋体"/>
          <w:color w:val="000000" w:themeColor="text1"/>
          <w:spacing w:val="-104"/>
          <w:sz w:val="24"/>
          <w:szCs w:val="24"/>
          <w:highlight w:val="none"/>
          <w14:textFill>
            <w14:solidFill>
              <w14:schemeClr w14:val="tx1"/>
            </w14:solidFill>
          </w14:textFill>
        </w:rPr>
        <w:t xml:space="preserve"> </w:t>
      </w:r>
      <w:r>
        <w:rPr>
          <w:rFonts w:hint="eastAsia" w:ascii="宋体" w:hAnsi="宋体" w:cs="宋体"/>
          <w:color w:val="000000" w:themeColor="text1"/>
          <w:spacing w:val="10"/>
          <w:sz w:val="24"/>
          <w:szCs w:val="24"/>
          <w:highlight w:val="none"/>
          <w14:textFill>
            <w14:solidFill>
              <w14:schemeClr w14:val="tx1"/>
            </w14:solidFill>
          </w14:textFill>
        </w:rPr>
        <w:t>标准；养护工程安全目标</w:t>
      </w:r>
      <w:r>
        <w:rPr>
          <w:rFonts w:hint="eastAsia" w:ascii="宋体" w:hAnsi="宋体" w:cs="宋体"/>
          <w:color w:val="000000" w:themeColor="text1"/>
          <w:spacing w:val="3"/>
          <w:sz w:val="24"/>
          <w:szCs w:val="24"/>
          <w:highlight w:val="none"/>
          <w14:textFill>
            <w14:solidFill>
              <w14:schemeClr w14:val="tx1"/>
            </w14:solidFill>
          </w14:textFill>
        </w:rPr>
        <w:t>：</w:t>
      </w:r>
      <w:r>
        <w:rPr>
          <w:rFonts w:hint="eastAsia" w:ascii="宋体" w:hAnsi="宋体" w:cs="宋体"/>
          <w:color w:val="000000" w:themeColor="text1"/>
          <w:spacing w:val="-89"/>
          <w:sz w:val="24"/>
          <w:szCs w:val="24"/>
          <w:highlight w:val="none"/>
          <w14:textFill>
            <w14:solidFill>
              <w14:schemeClr w14:val="tx1"/>
            </w14:solidFill>
          </w14:textFill>
        </w:rPr>
        <w:t xml:space="preserve"> </w:t>
      </w:r>
      <w:r>
        <w:rPr>
          <w:rFonts w:hint="eastAsia" w:ascii="宋体" w:hAnsi="宋体" w:cs="宋体"/>
          <w:color w:val="000000" w:themeColor="text1"/>
          <w:spacing w:val="14"/>
          <w:sz w:val="24"/>
          <w:szCs w:val="24"/>
          <w:highlight w:val="none"/>
          <w:u w:val="single"/>
          <w14:textFill>
            <w14:solidFill>
              <w14:schemeClr w14:val="tx1"/>
            </w14:solidFill>
          </w14:textFill>
        </w:rPr>
        <w:t xml:space="preserve">        </w:t>
      </w:r>
      <w:r>
        <w:rPr>
          <w:rFonts w:hint="eastAsia" w:ascii="宋体" w:hAnsi="宋体" w:cs="宋体"/>
          <w:color w:val="000000" w:themeColor="text1"/>
          <w:spacing w:val="-84"/>
          <w:sz w:val="24"/>
          <w:szCs w:val="24"/>
          <w:highlight w:val="none"/>
          <w14:textFill>
            <w14:solidFill>
              <w14:schemeClr w14:val="tx1"/>
            </w14:solidFill>
          </w14:textFill>
        </w:rPr>
        <w:t xml:space="preserve"> </w:t>
      </w:r>
      <w:r>
        <w:rPr>
          <w:rFonts w:hint="eastAsia" w:ascii="宋体" w:hAnsi="宋体" w:cs="宋体"/>
          <w:color w:val="000000" w:themeColor="text1"/>
          <w:spacing w:val="3"/>
          <w:sz w:val="24"/>
          <w:szCs w:val="24"/>
          <w:highlight w:val="none"/>
          <w14:textFill>
            <w14:solidFill>
              <w14:schemeClr w14:val="tx1"/>
            </w14:solidFill>
          </w14:textFill>
        </w:rPr>
        <w:t>；</w:t>
      </w:r>
      <w:r>
        <w:rPr>
          <w:rFonts w:hint="eastAsia" w:ascii="宋体" w:hAnsi="宋体" w:cs="宋体"/>
          <w:color w:val="000000" w:themeColor="text1"/>
          <w:spacing w:val="10"/>
          <w:sz w:val="24"/>
          <w:szCs w:val="24"/>
          <w:highlight w:val="none"/>
          <w14:textFill>
            <w14:solidFill>
              <w14:schemeClr w14:val="tx1"/>
            </w14:solidFill>
          </w14:textFill>
        </w:rPr>
        <w:t>养护工程环保目</w:t>
      </w:r>
      <w:r>
        <w:rPr>
          <w:rFonts w:hint="eastAsia" w:ascii="宋体" w:hAnsi="宋体" w:cs="宋体"/>
          <w:color w:val="000000" w:themeColor="text1"/>
          <w:spacing w:val="-1"/>
          <w:sz w:val="24"/>
          <w:szCs w:val="24"/>
          <w:highlight w:val="none"/>
          <w14:textFill>
            <w14:solidFill>
              <w14:schemeClr w14:val="tx1"/>
            </w14:solidFill>
          </w14:textFill>
        </w:rPr>
        <w:t>标：</w:t>
      </w:r>
      <w:r>
        <w:rPr>
          <w:rFonts w:hint="eastAsia" w:ascii="宋体" w:hAnsi="宋体" w:cs="宋体"/>
          <w:color w:val="000000" w:themeColor="text1"/>
          <w:spacing w:val="-1"/>
          <w:sz w:val="24"/>
          <w:szCs w:val="24"/>
          <w:highlight w:val="none"/>
          <w:u w:val="single"/>
          <w14:textFill>
            <w14:solidFill>
              <w14:schemeClr w14:val="tx1"/>
            </w14:solidFill>
          </w14:textFill>
        </w:rPr>
        <w:t xml:space="preserve">        </w:t>
      </w:r>
      <w:r>
        <w:rPr>
          <w:rFonts w:hint="eastAsia" w:ascii="宋体" w:hAnsi="宋体" w:cs="宋体"/>
          <w:color w:val="000000" w:themeColor="text1"/>
          <w:spacing w:val="-1"/>
          <w:sz w:val="24"/>
          <w:szCs w:val="24"/>
          <w:highlight w:val="none"/>
          <w14:textFill>
            <w14:solidFill>
              <w14:schemeClr w14:val="tx1"/>
            </w14:solidFill>
          </w14:textFill>
        </w:rPr>
        <w:t>。</w:t>
      </w:r>
    </w:p>
    <w:p w14:paraId="621F7629">
      <w:pPr>
        <w:spacing w:before="78" w:line="360" w:lineRule="auto"/>
        <w:ind w:left="48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6.  承包人承诺按合同约定承担养护项目</w:t>
      </w:r>
      <w:r>
        <w:rPr>
          <w:rFonts w:hint="eastAsia" w:ascii="宋体" w:hAnsi="宋体" w:cs="宋体"/>
          <w:color w:val="000000" w:themeColor="text1"/>
          <w:spacing w:val="-1"/>
          <w:sz w:val="24"/>
          <w:szCs w:val="24"/>
          <w:highlight w:val="none"/>
          <w14:textFill>
            <w14:solidFill>
              <w14:schemeClr w14:val="tx1"/>
            </w14:solidFill>
          </w14:textFill>
        </w:rPr>
        <w:t>的实施、完成及缺陷修复。</w:t>
      </w:r>
    </w:p>
    <w:p w14:paraId="063A17B4">
      <w:pPr>
        <w:spacing w:before="115" w:line="360" w:lineRule="auto"/>
        <w:ind w:left="479"/>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7.  发包人承诺按合同约定的条件、时间和方式向</w:t>
      </w:r>
      <w:r>
        <w:rPr>
          <w:rFonts w:hint="eastAsia" w:ascii="宋体" w:hAnsi="宋体" w:cs="宋体"/>
          <w:color w:val="000000" w:themeColor="text1"/>
          <w:spacing w:val="-1"/>
          <w:sz w:val="24"/>
          <w:szCs w:val="24"/>
          <w:highlight w:val="none"/>
          <w14:textFill>
            <w14:solidFill>
              <w14:schemeClr w14:val="tx1"/>
            </w14:solidFill>
          </w14:textFill>
        </w:rPr>
        <w:t>承包人支付合同价款。</w:t>
      </w:r>
    </w:p>
    <w:p w14:paraId="01A2928A">
      <w:pPr>
        <w:spacing w:before="115" w:line="360" w:lineRule="auto"/>
        <w:ind w:left="485"/>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pacing w:val="-2"/>
          <w:sz w:val="24"/>
          <w:szCs w:val="24"/>
          <w:highlight w:val="none"/>
          <w14:textFill>
            <w14:solidFill>
              <w14:schemeClr w14:val="tx1"/>
            </w14:solidFill>
          </w14:textFill>
        </w:rPr>
        <w:t>8.  承包人应按照咨询人（监理人）指示开工，</w:t>
      </w:r>
      <w:r>
        <w:rPr>
          <w:rFonts w:hint="eastAsia" w:ascii="宋体" w:hAnsi="宋体" w:cs="宋体"/>
          <w:color w:val="000000" w:themeColor="text1"/>
          <w:spacing w:val="-3"/>
          <w:sz w:val="24"/>
          <w:szCs w:val="24"/>
          <w:highlight w:val="none"/>
          <w14:textFill>
            <w14:solidFill>
              <w14:schemeClr w14:val="tx1"/>
            </w14:solidFill>
          </w14:textFill>
        </w:rPr>
        <w:t>工期为</w:t>
      </w:r>
      <w:r>
        <w:rPr>
          <w:rFonts w:hint="eastAsia" w:ascii="宋体" w:hAnsi="宋体" w:cs="宋体"/>
          <w:color w:val="000000" w:themeColor="text1"/>
          <w:spacing w:val="-120"/>
          <w:sz w:val="24"/>
          <w:szCs w:val="24"/>
          <w:highlight w:val="none"/>
          <w14:textFill>
            <w14:solidFill>
              <w14:schemeClr w14:val="tx1"/>
            </w14:solidFill>
          </w14:textFill>
        </w:rPr>
        <w:t xml:space="preserve"> </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pacing w:val="-69"/>
          <w:sz w:val="24"/>
          <w:szCs w:val="24"/>
          <w:highlight w:val="none"/>
          <w14:textFill>
            <w14:solidFill>
              <w14:schemeClr w14:val="tx1"/>
            </w14:solidFill>
          </w14:textFill>
        </w:rPr>
        <w:t xml:space="preserve"> </w:t>
      </w:r>
      <w:r>
        <w:rPr>
          <w:rFonts w:hint="eastAsia" w:ascii="宋体" w:hAnsi="宋体" w:cs="宋体"/>
          <w:color w:val="000000" w:themeColor="text1"/>
          <w:spacing w:val="-3"/>
          <w:sz w:val="24"/>
          <w:szCs w:val="24"/>
          <w:highlight w:val="none"/>
          <w14:textFill>
            <w14:solidFill>
              <w14:schemeClr w14:val="tx1"/>
            </w14:solidFill>
          </w14:textFill>
        </w:rPr>
        <w:t>日历天。</w:t>
      </w:r>
    </w:p>
    <w:p w14:paraId="4D98B92E">
      <w:pPr>
        <w:spacing w:before="116" w:line="360" w:lineRule="auto"/>
        <w:ind w:right="2" w:firstLine="48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pacing w:val="6"/>
          <w:sz w:val="24"/>
          <w:szCs w:val="24"/>
          <w:highlight w:val="none"/>
          <w14:textFill>
            <w14:solidFill>
              <w14:schemeClr w14:val="tx1"/>
            </w14:solidFill>
          </w14:textFill>
        </w:rPr>
        <w:t>9.  本协议书在承包人提供履约保证金后，由</w:t>
      </w:r>
      <w:r>
        <w:rPr>
          <w:rFonts w:hint="eastAsia" w:ascii="宋体" w:hAnsi="宋体" w:cs="宋体"/>
          <w:color w:val="000000" w:themeColor="text1"/>
          <w:spacing w:val="5"/>
          <w:sz w:val="24"/>
          <w:szCs w:val="24"/>
          <w:highlight w:val="none"/>
          <w14:textFill>
            <w14:solidFill>
              <w14:schemeClr w14:val="tx1"/>
            </w14:solidFill>
          </w14:textFill>
        </w:rPr>
        <w:t>双方法定代表人或其委托代理人</w:t>
      </w:r>
      <w:r>
        <w:rPr>
          <w:rFonts w:hint="eastAsia" w:ascii="宋体" w:hAnsi="宋体" w:cs="宋体"/>
          <w:color w:val="000000" w:themeColor="text1"/>
          <w:spacing w:val="-1"/>
          <w:sz w:val="24"/>
          <w:szCs w:val="24"/>
          <w:highlight w:val="none"/>
          <w14:textFill>
            <w14:solidFill>
              <w14:schemeClr w14:val="tx1"/>
            </w14:solidFill>
          </w14:textFill>
        </w:rPr>
        <w:t>签署并加盖单位章之日起生效。</w:t>
      </w:r>
    </w:p>
    <w:p w14:paraId="0D7A13ED">
      <w:pPr>
        <w:spacing w:before="115" w:line="360" w:lineRule="auto"/>
        <w:ind w:left="15" w:right="60" w:firstLine="483"/>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pacing w:val="-1"/>
          <w:sz w:val="24"/>
          <w:szCs w:val="24"/>
          <w:highlight w:val="none"/>
          <w14:textFill>
            <w14:solidFill>
              <w14:schemeClr w14:val="tx1"/>
            </w14:solidFill>
          </w14:textFill>
        </w:rPr>
        <w:t xml:space="preserve">10.  </w:t>
      </w:r>
      <w:r>
        <w:rPr>
          <w:rFonts w:hint="eastAsia" w:ascii="宋体" w:hAnsi="宋体" w:cs="宋体"/>
          <w:color w:val="000000" w:themeColor="text1"/>
          <w:sz w:val="24"/>
          <w:szCs w:val="24"/>
          <w:highlight w:val="none"/>
          <w14:textFill>
            <w14:solidFill>
              <w14:schemeClr w14:val="tx1"/>
            </w14:solidFill>
          </w14:textFill>
        </w:rPr>
        <w:t>本协议书一式</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份，发包人执</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份，承包人执</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份</w:t>
      </w:r>
      <w:r>
        <w:rPr>
          <w:rFonts w:hint="eastAsia" w:ascii="宋体" w:hAnsi="宋体" w:cs="宋体"/>
          <w:color w:val="000000" w:themeColor="text1"/>
          <w:spacing w:val="-2"/>
          <w:sz w:val="24"/>
          <w:szCs w:val="24"/>
          <w:highlight w:val="none"/>
          <w14:textFill>
            <w14:solidFill>
              <w14:schemeClr w14:val="tx1"/>
            </w14:solidFill>
          </w14:textFill>
        </w:rPr>
        <w:t>。</w:t>
      </w:r>
    </w:p>
    <w:p w14:paraId="7246DFE1">
      <w:pPr>
        <w:spacing w:before="117" w:line="360" w:lineRule="auto"/>
        <w:ind w:left="498"/>
        <w:rPr>
          <w:rFonts w:ascii="宋体" w:hAnsi="宋体" w:cs="宋体"/>
          <w:color w:val="000000" w:themeColor="text1"/>
          <w:spacing w:val="-2"/>
          <w:sz w:val="24"/>
          <w:szCs w:val="24"/>
          <w:highlight w:val="none"/>
          <w14:textFill>
            <w14:solidFill>
              <w14:schemeClr w14:val="tx1"/>
            </w14:solidFill>
          </w14:textFill>
        </w:rPr>
      </w:pPr>
      <w:r>
        <w:rPr>
          <w:rFonts w:hint="eastAsia" w:ascii="宋体" w:hAnsi="宋体" w:cs="宋体"/>
          <w:color w:val="000000" w:themeColor="text1"/>
          <w:spacing w:val="-1"/>
          <w:sz w:val="24"/>
          <w:szCs w:val="24"/>
          <w:highlight w:val="none"/>
          <w14:textFill>
            <w14:solidFill>
              <w14:schemeClr w14:val="tx1"/>
            </w14:solidFill>
          </w14:textFill>
        </w:rPr>
        <w:t>11.  合同未尽事宜，双方另行签订补充协议。补充协议是合同的组成</w:t>
      </w:r>
      <w:r>
        <w:rPr>
          <w:rFonts w:hint="eastAsia" w:ascii="宋体" w:hAnsi="宋体" w:cs="宋体"/>
          <w:color w:val="000000" w:themeColor="text1"/>
          <w:spacing w:val="-2"/>
          <w:sz w:val="24"/>
          <w:szCs w:val="24"/>
          <w:highlight w:val="none"/>
          <w14:textFill>
            <w14:solidFill>
              <w14:schemeClr w14:val="tx1"/>
            </w14:solidFill>
          </w14:textFill>
        </w:rPr>
        <w:t>部分。</w:t>
      </w:r>
    </w:p>
    <w:p w14:paraId="43B9C650">
      <w:pPr>
        <w:spacing w:line="420" w:lineRule="exact"/>
        <w:ind w:firstLine="472"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pacing w:val="-2"/>
          <w:sz w:val="24"/>
          <w:szCs w:val="24"/>
          <w:highlight w:val="none"/>
          <w14:textFill>
            <w14:solidFill>
              <w14:schemeClr w14:val="tx1"/>
            </w14:solidFill>
          </w14:textFill>
        </w:rPr>
        <w:t>12.</w:t>
      </w:r>
      <w:r>
        <w:rPr>
          <w:rFonts w:hint="eastAsia" w:ascii="宋体" w:hAnsi="宋体" w:cs="宋体"/>
          <w:color w:val="000000" w:themeColor="text1"/>
          <w:sz w:val="24"/>
          <w:szCs w:val="24"/>
          <w:highlight w:val="none"/>
          <w14:textFill>
            <w14:solidFill>
              <w14:schemeClr w14:val="tx1"/>
            </w14:solidFill>
          </w14:textFill>
        </w:rPr>
        <w:t xml:space="preserve"> 合同签约地：</w:t>
      </w:r>
      <w:r>
        <w:rPr>
          <w:rFonts w:hint="eastAsia" w:ascii="宋体" w:hAnsi="宋体" w:cs="宋体"/>
          <w:color w:val="000000" w:themeColor="text1"/>
          <w:sz w:val="24"/>
          <w:szCs w:val="24"/>
          <w:highlight w:val="none"/>
          <w:u w:val="single"/>
          <w:lang w:eastAsia="zh-CN"/>
          <w14:textFill>
            <w14:solidFill>
              <w14:schemeClr w14:val="tx1"/>
            </w14:solidFill>
          </w14:textFill>
        </w:rPr>
        <w:t>广西</w:t>
      </w:r>
      <w:r>
        <w:rPr>
          <w:rFonts w:hint="eastAsia" w:ascii="宋体" w:hAnsi="宋体" w:cs="宋体"/>
          <w:color w:val="000000" w:themeColor="text1"/>
          <w:sz w:val="24"/>
          <w:szCs w:val="24"/>
          <w:highlight w:val="none"/>
          <w:u w:val="single"/>
          <w14:textFill>
            <w14:solidFill>
              <w14:schemeClr w14:val="tx1"/>
            </w14:solidFill>
          </w14:textFill>
        </w:rPr>
        <w:t xml:space="preserve">金秀县金秀镇解放路171号 </w:t>
      </w:r>
      <w:r>
        <w:rPr>
          <w:rFonts w:hint="eastAsia" w:ascii="宋体" w:hAnsi="宋体" w:cs="宋体"/>
          <w:color w:val="000000" w:themeColor="text1"/>
          <w:sz w:val="24"/>
          <w:szCs w:val="24"/>
          <w:highlight w:val="none"/>
          <w14:textFill>
            <w14:solidFill>
              <w14:schemeClr w14:val="tx1"/>
            </w14:solidFill>
          </w14:textFill>
        </w:rPr>
        <w:t>。</w:t>
      </w:r>
    </w:p>
    <w:p w14:paraId="46C78A81">
      <w:pPr>
        <w:spacing w:line="420" w:lineRule="exact"/>
        <w:ind w:firstLine="480" w:firstLineChars="200"/>
        <w:rPr>
          <w:rFonts w:ascii="宋体" w:hAnsi="宋体" w:cs="宋体"/>
          <w:color w:val="000000" w:themeColor="text1"/>
          <w:sz w:val="24"/>
          <w:szCs w:val="24"/>
          <w:highlight w:val="none"/>
          <w14:textFill>
            <w14:solidFill>
              <w14:schemeClr w14:val="tx1"/>
            </w14:solidFill>
          </w14:textFill>
        </w:rPr>
      </w:pPr>
    </w:p>
    <w:tbl>
      <w:tblPr>
        <w:tblStyle w:val="59"/>
        <w:tblpPr w:leftFromText="180" w:rightFromText="180" w:vertAnchor="text" w:horzAnchor="page" w:tblpX="1681" w:tblpY="267"/>
        <w:tblOverlap w:val="never"/>
        <w:tblW w:w="9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98"/>
        <w:gridCol w:w="4467"/>
      </w:tblGrid>
      <w:tr w14:paraId="11D86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3" w:hRule="atLeast"/>
        </w:trPr>
        <w:tc>
          <w:tcPr>
            <w:tcW w:w="4598" w:type="dxa"/>
            <w:tcBorders>
              <w:top w:val="single" w:color="000000" w:sz="4" w:space="0"/>
              <w:right w:val="single" w:color="000000" w:sz="4" w:space="0"/>
            </w:tcBorders>
          </w:tcPr>
          <w:p w14:paraId="7C41957D">
            <w:pPr>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甲方（盖章）：</w:t>
            </w:r>
          </w:p>
          <w:p w14:paraId="7B3D0779">
            <w:pPr>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广西壮族自治区金秀公路养护中心</w:t>
            </w:r>
          </w:p>
        </w:tc>
        <w:tc>
          <w:tcPr>
            <w:tcW w:w="4467" w:type="dxa"/>
            <w:tcBorders>
              <w:top w:val="single" w:color="000000" w:sz="4" w:space="0"/>
              <w:left w:val="single" w:color="000000" w:sz="4" w:space="0"/>
              <w:right w:val="single" w:color="000000" w:sz="4" w:space="0"/>
            </w:tcBorders>
          </w:tcPr>
          <w:p w14:paraId="02F714D9">
            <w:pPr>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乙方（盖章）：</w:t>
            </w:r>
          </w:p>
          <w:p w14:paraId="6EE8CE5C">
            <w:pPr>
              <w:rPr>
                <w:rFonts w:ascii="宋体" w:hAnsi="宋体" w:cs="宋体"/>
                <w:b/>
                <w:bCs/>
                <w:color w:val="000000" w:themeColor="text1"/>
                <w:sz w:val="24"/>
                <w:highlight w:val="none"/>
                <w14:textFill>
                  <w14:solidFill>
                    <w14:schemeClr w14:val="tx1"/>
                  </w14:solidFill>
                </w14:textFill>
              </w:rPr>
            </w:pPr>
          </w:p>
        </w:tc>
      </w:tr>
      <w:tr w14:paraId="6CF5E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8" w:hRule="atLeast"/>
        </w:trPr>
        <w:tc>
          <w:tcPr>
            <w:tcW w:w="4598" w:type="dxa"/>
            <w:tcBorders>
              <w:left w:val="single" w:color="000000" w:sz="4" w:space="0"/>
              <w:right w:val="single" w:color="000000" w:sz="4" w:space="0"/>
            </w:tcBorders>
          </w:tcPr>
          <w:p w14:paraId="4E82DB7C">
            <w:pP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法定代表人（签字）：</w:t>
            </w:r>
          </w:p>
          <w:p w14:paraId="65812996">
            <w:pPr>
              <w:rPr>
                <w:rFonts w:ascii="宋体" w:hAnsi="宋体" w:cs="宋体"/>
                <w:color w:val="000000" w:themeColor="text1"/>
                <w:sz w:val="24"/>
                <w:highlight w:val="none"/>
                <w14:textFill>
                  <w14:solidFill>
                    <w14:schemeClr w14:val="tx1"/>
                  </w14:solidFill>
                </w14:textFill>
              </w:rPr>
            </w:pPr>
          </w:p>
          <w:p w14:paraId="1AAA90C1">
            <w:pP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经办人（签字）：</w:t>
            </w:r>
          </w:p>
        </w:tc>
        <w:tc>
          <w:tcPr>
            <w:tcW w:w="4467" w:type="dxa"/>
            <w:tcBorders>
              <w:left w:val="single" w:color="000000" w:sz="4" w:space="0"/>
              <w:right w:val="single" w:color="000000" w:sz="4" w:space="0"/>
            </w:tcBorders>
          </w:tcPr>
          <w:p w14:paraId="28420DCF">
            <w:pP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法定代表人（签字）：</w:t>
            </w:r>
          </w:p>
          <w:p w14:paraId="7BF5688B">
            <w:pPr>
              <w:rPr>
                <w:rFonts w:ascii="宋体" w:hAnsi="宋体" w:cs="宋体"/>
                <w:color w:val="000000" w:themeColor="text1"/>
                <w:sz w:val="24"/>
                <w:highlight w:val="none"/>
                <w14:textFill>
                  <w14:solidFill>
                    <w14:schemeClr w14:val="tx1"/>
                  </w14:solidFill>
                </w14:textFill>
              </w:rPr>
            </w:pPr>
          </w:p>
          <w:p w14:paraId="59BDBB82">
            <w:pP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经办人（签字）：</w:t>
            </w:r>
          </w:p>
        </w:tc>
      </w:tr>
      <w:tr w14:paraId="4AC1E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4598" w:type="dxa"/>
            <w:tcBorders>
              <w:left w:val="single" w:color="000000" w:sz="4" w:space="0"/>
              <w:right w:val="single" w:color="000000" w:sz="4" w:space="0"/>
            </w:tcBorders>
          </w:tcPr>
          <w:p w14:paraId="49D279C7">
            <w:pP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统一社会信用代码（纳税人识别号）：12450000499108642Q</w:t>
            </w:r>
          </w:p>
        </w:tc>
        <w:tc>
          <w:tcPr>
            <w:tcW w:w="4467" w:type="dxa"/>
            <w:tcBorders>
              <w:left w:val="single" w:color="000000" w:sz="4" w:space="0"/>
              <w:right w:val="single" w:color="000000" w:sz="4" w:space="0"/>
            </w:tcBorders>
          </w:tcPr>
          <w:p w14:paraId="0FA4BE23">
            <w:pP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统一社会信用代码（纳税人识别号）：</w:t>
            </w:r>
          </w:p>
        </w:tc>
      </w:tr>
      <w:tr w14:paraId="39C79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trPr>
        <w:tc>
          <w:tcPr>
            <w:tcW w:w="4598" w:type="dxa"/>
            <w:tcBorders>
              <w:left w:val="single" w:color="000000" w:sz="4" w:space="0"/>
              <w:right w:val="single" w:color="000000" w:sz="4" w:space="0"/>
            </w:tcBorders>
          </w:tcPr>
          <w:p w14:paraId="1AA178EA">
            <w:pP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地址及电话：广西金秀县金秀镇解放路171号0772-6358466</w:t>
            </w:r>
          </w:p>
        </w:tc>
        <w:tc>
          <w:tcPr>
            <w:tcW w:w="4467" w:type="dxa"/>
            <w:tcBorders>
              <w:left w:val="single" w:color="000000" w:sz="4" w:space="0"/>
              <w:right w:val="single" w:color="000000" w:sz="4" w:space="0"/>
            </w:tcBorders>
          </w:tcPr>
          <w:p w14:paraId="34588E37">
            <w:pP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地址及电话：</w:t>
            </w:r>
          </w:p>
        </w:tc>
      </w:tr>
      <w:tr w14:paraId="298E5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trPr>
        <w:tc>
          <w:tcPr>
            <w:tcW w:w="4598" w:type="dxa"/>
            <w:tcBorders>
              <w:left w:val="single" w:color="000000" w:sz="4" w:space="0"/>
              <w:right w:val="single" w:color="000000" w:sz="4" w:space="0"/>
            </w:tcBorders>
          </w:tcPr>
          <w:p w14:paraId="0BEFEE26">
            <w:pP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开户行及账号：中国农业银行股份有限公司金秀桐木支行20170601040003757</w:t>
            </w:r>
          </w:p>
        </w:tc>
        <w:tc>
          <w:tcPr>
            <w:tcW w:w="4467" w:type="dxa"/>
            <w:tcBorders>
              <w:left w:val="single" w:color="000000" w:sz="4" w:space="0"/>
              <w:right w:val="single" w:color="000000" w:sz="4" w:space="0"/>
            </w:tcBorders>
          </w:tcPr>
          <w:p w14:paraId="32E8F6A4">
            <w:pP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开户行及账号：</w:t>
            </w:r>
          </w:p>
        </w:tc>
      </w:tr>
      <w:tr w14:paraId="0289C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4598" w:type="dxa"/>
            <w:tcBorders>
              <w:left w:val="single" w:color="000000" w:sz="4" w:space="0"/>
              <w:bottom w:val="single" w:color="000000" w:sz="4" w:space="0"/>
              <w:right w:val="single" w:color="000000" w:sz="4" w:space="0"/>
            </w:tcBorders>
          </w:tcPr>
          <w:p w14:paraId="552EE972">
            <w:pP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签订日期：2026年     月     日</w:t>
            </w:r>
          </w:p>
        </w:tc>
        <w:tc>
          <w:tcPr>
            <w:tcW w:w="4467" w:type="dxa"/>
            <w:tcBorders>
              <w:left w:val="single" w:color="000000" w:sz="4" w:space="0"/>
              <w:bottom w:val="single" w:color="000000" w:sz="4" w:space="0"/>
              <w:right w:val="single" w:color="000000" w:sz="4" w:space="0"/>
            </w:tcBorders>
          </w:tcPr>
          <w:p w14:paraId="5DC3C735">
            <w:pP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签订日期：2026年     月     日</w:t>
            </w:r>
          </w:p>
        </w:tc>
      </w:tr>
    </w:tbl>
    <w:p w14:paraId="055135A6">
      <w:pPr>
        <w:spacing w:before="116" w:line="360" w:lineRule="auto"/>
        <w:ind w:firstLine="444"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pacing w:val="-9"/>
          <w:sz w:val="24"/>
          <w:szCs w:val="24"/>
          <w:highlight w:val="none"/>
          <w14:textFill>
            <w14:solidFill>
              <w14:schemeClr w14:val="tx1"/>
            </w14:solidFill>
          </w14:textFill>
        </w:rPr>
        <w:t xml:space="preserve">   </w:t>
      </w:r>
    </w:p>
    <w:p w14:paraId="7C0E5F43">
      <w:pPr>
        <w:spacing w:before="117" w:line="360" w:lineRule="auto"/>
        <w:ind w:left="498"/>
        <w:rPr>
          <w:rFonts w:ascii="宋体" w:hAnsi="宋体" w:cs="宋体"/>
          <w:color w:val="000000" w:themeColor="text1"/>
          <w:spacing w:val="-2"/>
          <w:sz w:val="24"/>
          <w:szCs w:val="24"/>
          <w:highlight w:val="none"/>
          <w14:textFill>
            <w14:solidFill>
              <w14:schemeClr w14:val="tx1"/>
            </w14:solidFill>
          </w14:textFill>
        </w:rPr>
      </w:pPr>
    </w:p>
    <w:p w14:paraId="1BFB532F">
      <w:pPr>
        <w:spacing w:before="117" w:line="360" w:lineRule="auto"/>
        <w:ind w:left="498"/>
        <w:rPr>
          <w:rFonts w:ascii="宋体" w:hAnsi="宋体" w:cs="宋体"/>
          <w:color w:val="000000" w:themeColor="text1"/>
          <w:spacing w:val="-2"/>
          <w:sz w:val="24"/>
          <w:szCs w:val="24"/>
          <w:highlight w:val="none"/>
          <w14:textFill>
            <w14:solidFill>
              <w14:schemeClr w14:val="tx1"/>
            </w14:solidFill>
          </w14:textFill>
        </w:rPr>
      </w:pPr>
    </w:p>
    <w:p w14:paraId="5AA83D11">
      <w:pPr>
        <w:spacing w:line="184" w:lineRule="auto"/>
        <w:rPr>
          <w:rFonts w:ascii="宋体" w:hAnsi="宋体" w:cs="宋体"/>
          <w:color w:val="000000" w:themeColor="text1"/>
          <w:sz w:val="24"/>
          <w:szCs w:val="24"/>
          <w:highlight w:val="none"/>
          <w14:textFill>
            <w14:solidFill>
              <w14:schemeClr w14:val="tx1"/>
            </w14:solidFill>
          </w14:textFill>
        </w:rPr>
      </w:pPr>
    </w:p>
    <w:p w14:paraId="16860E5A">
      <w:pPr>
        <w:spacing w:line="360" w:lineRule="auto"/>
        <w:rPr>
          <w:rFonts w:ascii="宋体" w:hAnsi="宋体" w:cs="宋体"/>
          <w:color w:val="000000" w:themeColor="text1"/>
          <w:sz w:val="30"/>
          <w:szCs w:val="30"/>
          <w:highlight w:val="none"/>
          <w14:textFill>
            <w14:solidFill>
              <w14:schemeClr w14:val="tx1"/>
            </w14:solidFill>
          </w14:textFill>
        </w:rPr>
      </w:pPr>
      <w:r>
        <w:rPr>
          <w:rFonts w:hint="eastAsia" w:ascii="宋体" w:hAnsi="宋体" w:cs="宋体"/>
          <w:color w:val="000000" w:themeColor="text1"/>
          <w:sz w:val="30"/>
          <w:szCs w:val="30"/>
          <w:highlight w:val="none"/>
          <w14:textFill>
            <w14:solidFill>
              <w14:schemeClr w14:val="tx1"/>
            </w14:solidFill>
          </w14:textFill>
        </w:rPr>
        <w:t>附件二</w:t>
      </w:r>
    </w:p>
    <w:p w14:paraId="7C69FC28">
      <w:pPr>
        <w:spacing w:before="270" w:line="219" w:lineRule="auto"/>
        <w:ind w:firstLine="2556" w:firstLineChars="600"/>
        <w:rPr>
          <w:color w:val="000000" w:themeColor="text1"/>
          <w:sz w:val="44"/>
          <w:szCs w:val="44"/>
          <w:highlight w:val="none"/>
          <w14:textFill>
            <w14:solidFill>
              <w14:schemeClr w14:val="tx1"/>
            </w14:solidFill>
          </w14:textFill>
        </w:rPr>
      </w:pPr>
      <w:r>
        <w:rPr>
          <w:rFonts w:ascii="宋体" w:hAnsi="宋体" w:cs="宋体"/>
          <w:color w:val="000000" w:themeColor="text1"/>
          <w:spacing w:val="-7"/>
          <w:sz w:val="44"/>
          <w:szCs w:val="44"/>
          <w:highlight w:val="none"/>
          <w14:textFill>
            <w14:solidFill>
              <w14:schemeClr w14:val="tx1"/>
            </w14:solidFill>
          </w14:textFill>
        </w:rPr>
        <w:t>廉</w:t>
      </w:r>
      <w:r>
        <w:rPr>
          <w:rFonts w:ascii="宋体" w:hAnsi="宋体" w:cs="宋体"/>
          <w:color w:val="000000" w:themeColor="text1"/>
          <w:spacing w:val="8"/>
          <w:sz w:val="44"/>
          <w:szCs w:val="44"/>
          <w:highlight w:val="none"/>
          <w14:textFill>
            <w14:solidFill>
              <w14:schemeClr w14:val="tx1"/>
            </w14:solidFill>
          </w14:textFill>
        </w:rPr>
        <w:t xml:space="preserve"> </w:t>
      </w:r>
      <w:r>
        <w:rPr>
          <w:rFonts w:ascii="宋体" w:hAnsi="宋体" w:cs="宋体"/>
          <w:color w:val="000000" w:themeColor="text1"/>
          <w:spacing w:val="-7"/>
          <w:sz w:val="44"/>
          <w:szCs w:val="44"/>
          <w:highlight w:val="none"/>
          <w14:textFill>
            <w14:solidFill>
              <w14:schemeClr w14:val="tx1"/>
            </w14:solidFill>
          </w14:textFill>
        </w:rPr>
        <w:t>政</w:t>
      </w:r>
      <w:r>
        <w:rPr>
          <w:rFonts w:ascii="宋体" w:hAnsi="宋体" w:cs="宋体"/>
          <w:color w:val="000000" w:themeColor="text1"/>
          <w:spacing w:val="10"/>
          <w:sz w:val="44"/>
          <w:szCs w:val="44"/>
          <w:highlight w:val="none"/>
          <w14:textFill>
            <w14:solidFill>
              <w14:schemeClr w14:val="tx1"/>
            </w14:solidFill>
          </w14:textFill>
        </w:rPr>
        <w:t xml:space="preserve"> </w:t>
      </w:r>
      <w:r>
        <w:rPr>
          <w:rFonts w:ascii="宋体" w:hAnsi="宋体" w:cs="宋体"/>
          <w:color w:val="000000" w:themeColor="text1"/>
          <w:spacing w:val="-7"/>
          <w:sz w:val="44"/>
          <w:szCs w:val="44"/>
          <w:highlight w:val="none"/>
          <w14:textFill>
            <w14:solidFill>
              <w14:schemeClr w14:val="tx1"/>
            </w14:solidFill>
          </w14:textFill>
        </w:rPr>
        <w:t>合</w:t>
      </w:r>
      <w:r>
        <w:rPr>
          <w:rFonts w:ascii="宋体" w:hAnsi="宋体" w:cs="宋体"/>
          <w:color w:val="000000" w:themeColor="text1"/>
          <w:spacing w:val="33"/>
          <w:sz w:val="44"/>
          <w:szCs w:val="44"/>
          <w:highlight w:val="none"/>
          <w14:textFill>
            <w14:solidFill>
              <w14:schemeClr w14:val="tx1"/>
            </w14:solidFill>
          </w14:textFill>
        </w:rPr>
        <w:t xml:space="preserve"> </w:t>
      </w:r>
      <w:r>
        <w:rPr>
          <w:rFonts w:ascii="宋体" w:hAnsi="宋体" w:cs="宋体"/>
          <w:color w:val="000000" w:themeColor="text1"/>
          <w:spacing w:val="-7"/>
          <w:sz w:val="44"/>
          <w:szCs w:val="44"/>
          <w:highlight w:val="none"/>
          <w14:textFill>
            <w14:solidFill>
              <w14:schemeClr w14:val="tx1"/>
            </w14:solidFill>
          </w14:textFill>
        </w:rPr>
        <w:t>同</w:t>
      </w:r>
    </w:p>
    <w:p w14:paraId="13666D12">
      <w:pPr>
        <w:spacing w:before="78" w:line="360" w:lineRule="auto"/>
        <w:ind w:left="4" w:right="25" w:firstLine="476"/>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pacing w:val="1"/>
          <w:sz w:val="24"/>
          <w:szCs w:val="24"/>
          <w:highlight w:val="none"/>
          <w14:textFill>
            <w14:solidFill>
              <w14:schemeClr w14:val="tx1"/>
            </w14:solidFill>
          </w14:textFill>
        </w:rPr>
        <w:t>根据国家以及地方有关廉政建设的规定，为做好公路养护</w:t>
      </w:r>
      <w:r>
        <w:rPr>
          <w:rFonts w:hint="eastAsia" w:ascii="宋体" w:hAnsi="宋体" w:cs="宋体"/>
          <w:color w:val="000000" w:themeColor="text1"/>
          <w:sz w:val="24"/>
          <w:szCs w:val="24"/>
          <w:highlight w:val="none"/>
          <w14:textFill>
            <w14:solidFill>
              <w14:schemeClr w14:val="tx1"/>
            </w14:solidFill>
          </w14:textFill>
        </w:rPr>
        <w:t>项目中的党风廉政建</w:t>
      </w:r>
      <w:r>
        <w:rPr>
          <w:rFonts w:hint="eastAsia" w:ascii="宋体" w:hAnsi="宋体" w:cs="宋体"/>
          <w:color w:val="000000" w:themeColor="text1"/>
          <w:spacing w:val="2"/>
          <w:sz w:val="24"/>
          <w:szCs w:val="24"/>
          <w:highlight w:val="none"/>
          <w14:textFill>
            <w14:solidFill>
              <w14:schemeClr w14:val="tx1"/>
            </w14:solidFill>
          </w14:textFill>
        </w:rPr>
        <w:t>设，保证养护质量高效优质，保证养护资金的安全和有效使用</w:t>
      </w:r>
      <w:r>
        <w:rPr>
          <w:rFonts w:hint="eastAsia" w:ascii="宋体" w:hAnsi="宋体" w:cs="宋体"/>
          <w:color w:val="000000" w:themeColor="text1"/>
          <w:spacing w:val="-32"/>
          <w:sz w:val="24"/>
          <w:szCs w:val="24"/>
          <w:highlight w:val="none"/>
          <w14:textFill>
            <w14:solidFill>
              <w14:schemeClr w14:val="tx1"/>
            </w14:solidFill>
          </w14:textFill>
        </w:rPr>
        <w:t>，</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pacing w:val="-32"/>
          <w:sz w:val="24"/>
          <w:szCs w:val="24"/>
          <w:highlight w:val="none"/>
          <w14:textFill>
            <w14:solidFill>
              <w14:schemeClr w14:val="tx1"/>
            </w14:solidFill>
          </w14:textFill>
        </w:rPr>
        <w:t>（</w:t>
      </w:r>
      <w:r>
        <w:rPr>
          <w:rFonts w:hint="eastAsia" w:ascii="宋体" w:hAnsi="宋体" w:cs="宋体"/>
          <w:color w:val="000000" w:themeColor="text1"/>
          <w:spacing w:val="2"/>
          <w:sz w:val="24"/>
          <w:szCs w:val="24"/>
          <w:highlight w:val="none"/>
          <w14:textFill>
            <w14:solidFill>
              <w14:schemeClr w14:val="tx1"/>
            </w14:solidFill>
          </w14:textFill>
        </w:rPr>
        <w:t>项目名称）</w:t>
      </w:r>
      <w:r>
        <w:rPr>
          <w:rFonts w:hint="eastAsia" w:ascii="宋体" w:hAnsi="宋体" w:cs="宋体"/>
          <w:color w:val="000000" w:themeColor="text1"/>
          <w:sz w:val="24"/>
          <w:szCs w:val="24"/>
          <w:highlight w:val="none"/>
          <w14:textFill>
            <w14:solidFill>
              <w14:schemeClr w14:val="tx1"/>
            </w14:solidFill>
          </w14:textFill>
        </w:rPr>
        <w:t>的发包人</w:t>
      </w:r>
      <w:r>
        <w:rPr>
          <w:rFonts w:hint="eastAsia" w:ascii="宋体" w:hAnsi="宋体" w:cs="宋体"/>
          <w:color w:val="000000" w:themeColor="text1"/>
          <w:spacing w:val="-118"/>
          <w:sz w:val="24"/>
          <w:szCs w:val="24"/>
          <w:highlight w:val="none"/>
          <w14:textFill>
            <w14:solidFill>
              <w14:schemeClr w14:val="tx1"/>
            </w14:solidFill>
          </w14:textFill>
        </w:rPr>
        <w:t xml:space="preserve"> </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（发包人名称，以下简称“</w:t>
      </w:r>
      <w:r>
        <w:rPr>
          <w:rFonts w:hint="eastAsia" w:ascii="宋体" w:hAnsi="宋体" w:cs="宋体"/>
          <w:color w:val="000000" w:themeColor="text1"/>
          <w:spacing w:val="-1"/>
          <w:sz w:val="24"/>
          <w:szCs w:val="24"/>
          <w:highlight w:val="none"/>
          <w14:textFill>
            <w14:solidFill>
              <w14:schemeClr w14:val="tx1"/>
            </w14:solidFill>
          </w14:textFill>
        </w:rPr>
        <w:t>发包人</w:t>
      </w:r>
      <w:r>
        <w:rPr>
          <w:rFonts w:hint="eastAsia" w:ascii="宋体" w:hAnsi="宋体" w:cs="宋体"/>
          <w:color w:val="000000" w:themeColor="text1"/>
          <w:spacing w:val="-83"/>
          <w:sz w:val="24"/>
          <w:szCs w:val="24"/>
          <w:highlight w:val="none"/>
          <w14:textFill>
            <w14:solidFill>
              <w14:schemeClr w14:val="tx1"/>
            </w14:solidFill>
          </w14:textFill>
        </w:rPr>
        <w:t xml:space="preserve"> </w:t>
      </w:r>
      <w:r>
        <w:rPr>
          <w:rFonts w:hint="eastAsia" w:ascii="宋体" w:hAnsi="宋体" w:cs="宋体"/>
          <w:color w:val="000000" w:themeColor="text1"/>
          <w:spacing w:val="-1"/>
          <w:sz w:val="24"/>
          <w:szCs w:val="24"/>
          <w:highlight w:val="none"/>
          <w14:textFill>
            <w14:solidFill>
              <w14:schemeClr w14:val="tx1"/>
            </w14:solidFill>
          </w14:textFill>
        </w:rPr>
        <w:t>”）与承包人</w:t>
      </w:r>
      <w:r>
        <w:rPr>
          <w:rFonts w:hint="eastAsia" w:ascii="宋体" w:hAnsi="宋体" w:cs="宋体"/>
          <w:color w:val="000000" w:themeColor="text1"/>
          <w:spacing w:val="-118"/>
          <w:sz w:val="24"/>
          <w:szCs w:val="24"/>
          <w:highlight w:val="none"/>
          <w14:textFill>
            <w14:solidFill>
              <w14:schemeClr w14:val="tx1"/>
            </w14:solidFill>
          </w14:textFill>
        </w:rPr>
        <w:t xml:space="preserve"> </w:t>
      </w:r>
      <w:r>
        <w:rPr>
          <w:rFonts w:hint="eastAsia" w:ascii="宋体" w:hAnsi="宋体" w:cs="宋体"/>
          <w:color w:val="000000" w:themeColor="text1"/>
          <w:spacing w:val="-1"/>
          <w:sz w:val="24"/>
          <w:szCs w:val="24"/>
          <w:highlight w:val="none"/>
          <w:u w:val="single"/>
          <w14:textFill>
            <w14:solidFill>
              <w14:schemeClr w14:val="tx1"/>
            </w14:solidFill>
          </w14:textFill>
        </w:rPr>
        <w:t xml:space="preserve">    </w:t>
      </w:r>
      <w:r>
        <w:rPr>
          <w:rFonts w:hint="eastAsia" w:ascii="宋体" w:hAnsi="宋体" w:cs="宋体"/>
          <w:color w:val="000000" w:themeColor="text1"/>
          <w:spacing w:val="-1"/>
          <w:sz w:val="24"/>
          <w:szCs w:val="24"/>
          <w:highlight w:val="none"/>
          <w14:textFill>
            <w14:solidFill>
              <w14:schemeClr w14:val="tx1"/>
            </w14:solidFill>
          </w14:textFill>
        </w:rPr>
        <w:t>（承包人名称，</w:t>
      </w:r>
      <w:r>
        <w:rPr>
          <w:rFonts w:hint="eastAsia" w:ascii="宋体" w:hAnsi="宋体" w:cs="宋体"/>
          <w:color w:val="000000" w:themeColor="text1"/>
          <w:spacing w:val="-4"/>
          <w:sz w:val="24"/>
          <w:szCs w:val="24"/>
          <w:highlight w:val="none"/>
          <w14:textFill>
            <w14:solidFill>
              <w14:schemeClr w14:val="tx1"/>
            </w14:solidFill>
          </w14:textFill>
        </w:rPr>
        <w:t>以下简称“承包人</w:t>
      </w:r>
      <w:r>
        <w:rPr>
          <w:rFonts w:hint="eastAsia" w:ascii="宋体" w:hAnsi="宋体" w:cs="宋体"/>
          <w:color w:val="000000" w:themeColor="text1"/>
          <w:spacing w:val="-85"/>
          <w:sz w:val="24"/>
          <w:szCs w:val="24"/>
          <w:highlight w:val="none"/>
          <w14:textFill>
            <w14:solidFill>
              <w14:schemeClr w14:val="tx1"/>
            </w14:solidFill>
          </w14:textFill>
        </w:rPr>
        <w:t xml:space="preserve"> </w:t>
      </w:r>
      <w:r>
        <w:rPr>
          <w:rFonts w:hint="eastAsia" w:ascii="宋体" w:hAnsi="宋体" w:cs="宋体"/>
          <w:color w:val="000000" w:themeColor="text1"/>
          <w:spacing w:val="-4"/>
          <w:sz w:val="24"/>
          <w:szCs w:val="24"/>
          <w:highlight w:val="none"/>
          <w14:textFill>
            <w14:solidFill>
              <w14:schemeClr w14:val="tx1"/>
            </w14:solidFill>
          </w14:textFill>
        </w:rPr>
        <w:t>”</w:t>
      </w:r>
      <w:r>
        <w:rPr>
          <w:rFonts w:hint="eastAsia" w:ascii="宋体" w:hAnsi="宋体" w:cs="宋体"/>
          <w:color w:val="000000" w:themeColor="text1"/>
          <w:spacing w:val="-46"/>
          <w:w w:val="73"/>
          <w:sz w:val="24"/>
          <w:szCs w:val="24"/>
          <w:highlight w:val="none"/>
          <w14:textFill>
            <w14:solidFill>
              <w14:schemeClr w14:val="tx1"/>
            </w14:solidFill>
          </w14:textFill>
        </w:rPr>
        <w:t>），</w:t>
      </w:r>
      <w:r>
        <w:rPr>
          <w:rFonts w:hint="eastAsia" w:ascii="宋体" w:hAnsi="宋体" w:cs="宋体"/>
          <w:color w:val="000000" w:themeColor="text1"/>
          <w:spacing w:val="-4"/>
          <w:sz w:val="24"/>
          <w:szCs w:val="24"/>
          <w:highlight w:val="none"/>
          <w14:textFill>
            <w14:solidFill>
              <w14:schemeClr w14:val="tx1"/>
            </w14:solidFill>
          </w14:textFill>
        </w:rPr>
        <w:t>特订立如下合同。</w:t>
      </w:r>
    </w:p>
    <w:p w14:paraId="5B2E7341">
      <w:pPr>
        <w:spacing w:line="360" w:lineRule="auto"/>
        <w:ind w:left="499"/>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pacing w:val="-2"/>
          <w:sz w:val="24"/>
          <w:szCs w:val="24"/>
          <w:highlight w:val="none"/>
          <w14:textFill>
            <w14:solidFill>
              <w14:schemeClr w14:val="tx1"/>
            </w14:solidFill>
          </w14:textFill>
        </w:rPr>
        <w:t>1.  发包人和承包人双方的权利和义务</w:t>
      </w:r>
    </w:p>
    <w:p w14:paraId="3824F424">
      <w:pPr>
        <w:spacing w:before="116" w:line="360" w:lineRule="auto"/>
        <w:ind w:left="492"/>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pacing w:val="-1"/>
          <w:sz w:val="24"/>
          <w:szCs w:val="24"/>
          <w:highlight w:val="none"/>
          <w14:textFill>
            <w14:solidFill>
              <w14:schemeClr w14:val="tx1"/>
            </w14:solidFill>
          </w14:textFill>
        </w:rPr>
        <w:t>（1）严格遵守党的政策规定和国家有关法律法规及交通运输部的有关规定。</w:t>
      </w:r>
    </w:p>
    <w:p w14:paraId="61DA6B9F">
      <w:pPr>
        <w:spacing w:before="116" w:line="360" w:lineRule="auto"/>
        <w:ind w:left="492"/>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pacing w:val="-2"/>
          <w:sz w:val="24"/>
          <w:szCs w:val="24"/>
          <w:highlight w:val="none"/>
          <w14:textFill>
            <w14:solidFill>
              <w14:schemeClr w14:val="tx1"/>
            </w14:solidFill>
          </w14:textFill>
        </w:rPr>
        <w:t>（2）严格执行</w:t>
      </w:r>
      <w:r>
        <w:rPr>
          <w:rFonts w:hint="eastAsia" w:ascii="宋体" w:hAnsi="宋体" w:cs="宋体"/>
          <w:color w:val="000000" w:themeColor="text1"/>
          <w:spacing w:val="-2"/>
          <w:sz w:val="24"/>
          <w:szCs w:val="24"/>
          <w:highlight w:val="none"/>
          <w:u w:val="single"/>
          <w14:textFill>
            <w14:solidFill>
              <w14:schemeClr w14:val="tx1"/>
            </w14:solidFill>
          </w14:textFill>
        </w:rPr>
        <w:t xml:space="preserve">         </w:t>
      </w:r>
      <w:r>
        <w:rPr>
          <w:rFonts w:hint="eastAsia" w:ascii="宋体" w:hAnsi="宋体" w:cs="宋体"/>
          <w:color w:val="000000" w:themeColor="text1"/>
          <w:spacing w:val="-2"/>
          <w:sz w:val="24"/>
          <w:szCs w:val="24"/>
          <w:highlight w:val="none"/>
          <w14:textFill>
            <w14:solidFill>
              <w14:schemeClr w14:val="tx1"/>
            </w14:solidFill>
          </w14:textFill>
        </w:rPr>
        <w:t>（项目名称）养护合同文件，</w:t>
      </w:r>
      <w:r>
        <w:rPr>
          <w:rFonts w:hint="eastAsia" w:ascii="宋体" w:hAnsi="宋体" w:cs="宋体"/>
          <w:color w:val="000000" w:themeColor="text1"/>
          <w:spacing w:val="-68"/>
          <w:sz w:val="24"/>
          <w:szCs w:val="24"/>
          <w:highlight w:val="none"/>
          <w14:textFill>
            <w14:solidFill>
              <w14:schemeClr w14:val="tx1"/>
            </w14:solidFill>
          </w14:textFill>
        </w:rPr>
        <w:t xml:space="preserve"> </w:t>
      </w:r>
      <w:r>
        <w:rPr>
          <w:rFonts w:hint="eastAsia" w:ascii="宋体" w:hAnsi="宋体" w:cs="宋体"/>
          <w:color w:val="000000" w:themeColor="text1"/>
          <w:spacing w:val="-2"/>
          <w:sz w:val="24"/>
          <w:szCs w:val="24"/>
          <w:highlight w:val="none"/>
          <w14:textFill>
            <w14:solidFill>
              <w14:schemeClr w14:val="tx1"/>
            </w14:solidFill>
          </w14:textFill>
        </w:rPr>
        <w:t>自觉按合同办事。</w:t>
      </w:r>
    </w:p>
    <w:p w14:paraId="3812928A">
      <w:pPr>
        <w:spacing w:before="115" w:line="360" w:lineRule="auto"/>
        <w:ind w:right="25" w:firstLine="492"/>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pacing w:val="4"/>
          <w:sz w:val="24"/>
          <w:szCs w:val="24"/>
          <w:highlight w:val="none"/>
          <w14:textFill>
            <w14:solidFill>
              <w14:schemeClr w14:val="tx1"/>
            </w14:solidFill>
          </w14:textFill>
        </w:rPr>
        <w:t>（3）双方的业务活动坚持公开、公正、诚信、透明的原则（法律认定的</w:t>
      </w:r>
      <w:r>
        <w:rPr>
          <w:rFonts w:hint="eastAsia" w:ascii="宋体" w:hAnsi="宋体" w:cs="宋体"/>
          <w:color w:val="000000" w:themeColor="text1"/>
          <w:spacing w:val="3"/>
          <w:sz w:val="24"/>
          <w:szCs w:val="24"/>
          <w:highlight w:val="none"/>
          <w14:textFill>
            <w14:solidFill>
              <w14:schemeClr w14:val="tx1"/>
            </w14:solidFill>
          </w14:textFill>
        </w:rPr>
        <w:t>商业秘密和合同文件另有规定除外</w:t>
      </w:r>
      <w:r>
        <w:rPr>
          <w:rFonts w:hint="eastAsia" w:ascii="宋体" w:hAnsi="宋体" w:cs="宋体"/>
          <w:color w:val="000000" w:themeColor="text1"/>
          <w:spacing w:val="-39"/>
          <w:sz w:val="24"/>
          <w:szCs w:val="24"/>
          <w:highlight w:val="none"/>
          <w14:textFill>
            <w14:solidFill>
              <w14:schemeClr w14:val="tx1"/>
            </w14:solidFill>
          </w14:textFill>
        </w:rPr>
        <w:t>），</w:t>
      </w:r>
      <w:r>
        <w:rPr>
          <w:rFonts w:hint="eastAsia" w:ascii="宋体" w:hAnsi="宋体" w:cs="宋体"/>
          <w:color w:val="000000" w:themeColor="text1"/>
          <w:spacing w:val="3"/>
          <w:sz w:val="24"/>
          <w:szCs w:val="24"/>
          <w:highlight w:val="none"/>
          <w14:textFill>
            <w14:solidFill>
              <w14:schemeClr w14:val="tx1"/>
            </w14:solidFill>
          </w14:textFill>
        </w:rPr>
        <w:t>不得损害国家和集体利益，不得违反养护相关的</w:t>
      </w:r>
      <w:r>
        <w:rPr>
          <w:rFonts w:hint="eastAsia" w:ascii="宋体" w:hAnsi="宋体" w:cs="宋体"/>
          <w:color w:val="000000" w:themeColor="text1"/>
          <w:spacing w:val="-2"/>
          <w:sz w:val="24"/>
          <w:szCs w:val="24"/>
          <w:highlight w:val="none"/>
          <w14:textFill>
            <w14:solidFill>
              <w14:schemeClr w14:val="tx1"/>
            </w14:solidFill>
          </w14:textFill>
        </w:rPr>
        <w:t>管理规章制度。</w:t>
      </w:r>
    </w:p>
    <w:p w14:paraId="331F9F20">
      <w:pPr>
        <w:spacing w:before="114" w:line="360" w:lineRule="auto"/>
        <w:ind w:left="1" w:right="84" w:firstLine="49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pacing w:val="2"/>
          <w:sz w:val="24"/>
          <w:szCs w:val="24"/>
          <w:highlight w:val="none"/>
          <w14:textFill>
            <w14:solidFill>
              <w14:schemeClr w14:val="tx1"/>
            </w14:solidFill>
          </w14:textFill>
        </w:rPr>
        <w:t>（4）建立健全廉政制度，开展廉政教育，设立廉政告示牌，公布举报电话，</w:t>
      </w:r>
      <w:r>
        <w:rPr>
          <w:rFonts w:hint="eastAsia" w:ascii="宋体" w:hAnsi="宋体" w:cs="宋体"/>
          <w:color w:val="000000" w:themeColor="text1"/>
          <w:spacing w:val="-1"/>
          <w:sz w:val="24"/>
          <w:szCs w:val="24"/>
          <w:highlight w:val="none"/>
          <w14:textFill>
            <w14:solidFill>
              <w14:schemeClr w14:val="tx1"/>
            </w14:solidFill>
          </w14:textFill>
        </w:rPr>
        <w:t>监督并认真查处违法违纪行为。</w:t>
      </w:r>
    </w:p>
    <w:p w14:paraId="0CA54DD1">
      <w:pPr>
        <w:spacing w:before="115" w:line="360" w:lineRule="auto"/>
        <w:ind w:right="25" w:firstLine="492"/>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pacing w:val="4"/>
          <w:sz w:val="24"/>
          <w:szCs w:val="24"/>
          <w:highlight w:val="none"/>
          <w14:textFill>
            <w14:solidFill>
              <w14:schemeClr w14:val="tx1"/>
            </w14:solidFill>
          </w14:textFill>
        </w:rPr>
        <w:t>（5）发现对方在业务活动中有违反廉政规定的行为，有及时提醒对方纠</w:t>
      </w:r>
      <w:r>
        <w:rPr>
          <w:rFonts w:hint="eastAsia" w:ascii="宋体" w:hAnsi="宋体" w:cs="宋体"/>
          <w:color w:val="000000" w:themeColor="text1"/>
          <w:spacing w:val="3"/>
          <w:sz w:val="24"/>
          <w:szCs w:val="24"/>
          <w:highlight w:val="none"/>
          <w14:textFill>
            <w14:solidFill>
              <w14:schemeClr w14:val="tx1"/>
            </w14:solidFill>
          </w14:textFill>
        </w:rPr>
        <w:t>正的</w:t>
      </w:r>
      <w:r>
        <w:rPr>
          <w:rFonts w:hint="eastAsia" w:ascii="宋体" w:hAnsi="宋体" w:cs="宋体"/>
          <w:color w:val="000000" w:themeColor="text1"/>
          <w:spacing w:val="-2"/>
          <w:sz w:val="24"/>
          <w:szCs w:val="24"/>
          <w:highlight w:val="none"/>
          <w14:textFill>
            <w14:solidFill>
              <w14:schemeClr w14:val="tx1"/>
            </w14:solidFill>
          </w14:textFill>
        </w:rPr>
        <w:t>权利和义务。</w:t>
      </w:r>
    </w:p>
    <w:p w14:paraId="09A149F0">
      <w:pPr>
        <w:spacing w:before="116" w:line="360" w:lineRule="auto"/>
        <w:ind w:left="3" w:right="65" w:firstLine="488"/>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pacing w:val="3"/>
          <w:sz w:val="24"/>
          <w:szCs w:val="24"/>
          <w:highlight w:val="none"/>
          <w14:textFill>
            <w14:solidFill>
              <w14:schemeClr w14:val="tx1"/>
            </w14:solidFill>
          </w14:textFill>
        </w:rPr>
        <w:t>（6）发现对方严重违反本合同义务条款的行为，有向其上</w:t>
      </w:r>
      <w:r>
        <w:rPr>
          <w:rFonts w:hint="eastAsia" w:ascii="宋体" w:hAnsi="宋体" w:cs="宋体"/>
          <w:color w:val="000000" w:themeColor="text1"/>
          <w:spacing w:val="2"/>
          <w:sz w:val="24"/>
          <w:szCs w:val="24"/>
          <w:highlight w:val="none"/>
          <w14:textFill>
            <w14:solidFill>
              <w14:schemeClr w14:val="tx1"/>
            </w14:solidFill>
          </w14:textFill>
        </w:rPr>
        <w:t>级有关部门举报、</w:t>
      </w:r>
      <w:r>
        <w:rPr>
          <w:rFonts w:hint="eastAsia" w:ascii="宋体" w:hAnsi="宋体" w:cs="宋体"/>
          <w:color w:val="000000" w:themeColor="text1"/>
          <w:spacing w:val="-1"/>
          <w:sz w:val="24"/>
          <w:szCs w:val="24"/>
          <w:highlight w:val="none"/>
          <w14:textFill>
            <w14:solidFill>
              <w14:schemeClr w14:val="tx1"/>
            </w14:solidFill>
          </w14:textFill>
        </w:rPr>
        <w:t>建议给予处理并要求告知处理结果的权利。</w:t>
      </w:r>
    </w:p>
    <w:p w14:paraId="6CEFC097">
      <w:pPr>
        <w:spacing w:before="116" w:line="360" w:lineRule="auto"/>
        <w:ind w:left="476"/>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pacing w:val="-1"/>
          <w:sz w:val="24"/>
          <w:szCs w:val="24"/>
          <w:highlight w:val="none"/>
          <w14:textFill>
            <w14:solidFill>
              <w14:schemeClr w14:val="tx1"/>
            </w14:solidFill>
          </w14:textFill>
        </w:rPr>
        <w:t>2.  发包人的义务</w:t>
      </w:r>
    </w:p>
    <w:p w14:paraId="600912F7">
      <w:pPr>
        <w:spacing w:before="115" w:line="360" w:lineRule="auto"/>
        <w:ind w:left="20" w:right="25" w:firstLine="471"/>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pacing w:val="4"/>
          <w:sz w:val="24"/>
          <w:szCs w:val="24"/>
          <w:highlight w:val="none"/>
          <w14:textFill>
            <w14:solidFill>
              <w14:schemeClr w14:val="tx1"/>
            </w14:solidFill>
          </w14:textFill>
        </w:rPr>
        <w:t>（1）发包人及其工作人员不得索要或接受承包人的礼金、有价证券和贵</w:t>
      </w:r>
      <w:r>
        <w:rPr>
          <w:rFonts w:hint="eastAsia" w:ascii="宋体" w:hAnsi="宋体" w:cs="宋体"/>
          <w:color w:val="000000" w:themeColor="text1"/>
          <w:spacing w:val="3"/>
          <w:sz w:val="24"/>
          <w:szCs w:val="24"/>
          <w:highlight w:val="none"/>
          <w14:textFill>
            <w14:solidFill>
              <w14:schemeClr w14:val="tx1"/>
            </w14:solidFill>
          </w14:textFill>
        </w:rPr>
        <w:t>重物</w:t>
      </w:r>
      <w:r>
        <w:rPr>
          <w:rFonts w:hint="eastAsia" w:ascii="宋体" w:hAnsi="宋体" w:cs="宋体"/>
          <w:color w:val="000000" w:themeColor="text1"/>
          <w:spacing w:val="-1"/>
          <w:sz w:val="24"/>
          <w:szCs w:val="24"/>
          <w:highlight w:val="none"/>
          <w14:textFill>
            <w14:solidFill>
              <w14:schemeClr w14:val="tx1"/>
            </w14:solidFill>
          </w14:textFill>
        </w:rPr>
        <w:t>品，不得让承包人报销任何应由发包人或发包人工作人员个人支付的费用等。</w:t>
      </w:r>
    </w:p>
    <w:p w14:paraId="691E77B2">
      <w:pPr>
        <w:spacing w:before="114" w:line="360" w:lineRule="auto"/>
        <w:ind w:left="5" w:right="25" w:firstLine="486"/>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pacing w:val="4"/>
          <w:sz w:val="24"/>
          <w:szCs w:val="24"/>
          <w:highlight w:val="none"/>
          <w14:textFill>
            <w14:solidFill>
              <w14:schemeClr w14:val="tx1"/>
            </w14:solidFill>
          </w14:textFill>
        </w:rPr>
        <w:t>（2）发包人工作人员不得参加承包人安排的超标准宴请和娱乐活动；不</w:t>
      </w:r>
      <w:r>
        <w:rPr>
          <w:rFonts w:hint="eastAsia" w:ascii="宋体" w:hAnsi="宋体" w:cs="宋体"/>
          <w:color w:val="000000" w:themeColor="text1"/>
          <w:spacing w:val="3"/>
          <w:sz w:val="24"/>
          <w:szCs w:val="24"/>
          <w:highlight w:val="none"/>
          <w14:textFill>
            <w14:solidFill>
              <w14:schemeClr w14:val="tx1"/>
            </w14:solidFill>
          </w14:textFill>
        </w:rPr>
        <w:t>得接</w:t>
      </w:r>
      <w:r>
        <w:rPr>
          <w:rFonts w:hint="eastAsia" w:ascii="宋体" w:hAnsi="宋体" w:cs="宋体"/>
          <w:color w:val="000000" w:themeColor="text1"/>
          <w:spacing w:val="-1"/>
          <w:sz w:val="24"/>
          <w:szCs w:val="24"/>
          <w:highlight w:val="none"/>
          <w14:textFill>
            <w14:solidFill>
              <w14:schemeClr w14:val="tx1"/>
            </w14:solidFill>
          </w14:textFill>
        </w:rPr>
        <w:t>受承包人提供的通信工具、交通工具和高档办公用品等。</w:t>
      </w:r>
    </w:p>
    <w:p w14:paraId="1EE5867E">
      <w:pPr>
        <w:spacing w:before="116" w:line="360" w:lineRule="auto"/>
        <w:ind w:left="4" w:right="25" w:firstLine="487"/>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pacing w:val="4"/>
          <w:sz w:val="24"/>
          <w:szCs w:val="24"/>
          <w:highlight w:val="none"/>
          <w14:textFill>
            <w14:solidFill>
              <w14:schemeClr w14:val="tx1"/>
            </w14:solidFill>
          </w14:textFill>
        </w:rPr>
        <w:t>（3）发包人及其工作人员不得要求或者接受承包人为其住房装修、婚丧</w:t>
      </w:r>
      <w:r>
        <w:rPr>
          <w:rFonts w:hint="eastAsia" w:ascii="宋体" w:hAnsi="宋体" w:cs="宋体"/>
          <w:color w:val="000000" w:themeColor="text1"/>
          <w:spacing w:val="3"/>
          <w:sz w:val="24"/>
          <w:szCs w:val="24"/>
          <w:highlight w:val="none"/>
          <w14:textFill>
            <w14:solidFill>
              <w14:schemeClr w14:val="tx1"/>
            </w14:solidFill>
          </w14:textFill>
        </w:rPr>
        <w:t>嫁娶</w:t>
      </w:r>
      <w:r>
        <w:rPr>
          <w:rFonts w:hint="eastAsia" w:ascii="宋体" w:hAnsi="宋体" w:cs="宋体"/>
          <w:color w:val="000000" w:themeColor="text1"/>
          <w:spacing w:val="-1"/>
          <w:sz w:val="24"/>
          <w:szCs w:val="24"/>
          <w:highlight w:val="none"/>
          <w14:textFill>
            <w14:solidFill>
              <w14:schemeClr w14:val="tx1"/>
            </w14:solidFill>
          </w14:textFill>
        </w:rPr>
        <w:t>活动、配偶子女的工作安排以及出国出境、旅游等提供方便等。</w:t>
      </w:r>
    </w:p>
    <w:p w14:paraId="1C8F1A4C">
      <w:pPr>
        <w:spacing w:before="118" w:line="360" w:lineRule="auto"/>
        <w:ind w:left="4" w:right="25" w:firstLine="487"/>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pacing w:val="4"/>
          <w:sz w:val="24"/>
          <w:szCs w:val="24"/>
          <w:highlight w:val="none"/>
          <w14:textFill>
            <w14:solidFill>
              <w14:schemeClr w14:val="tx1"/>
            </w14:solidFill>
          </w14:textFill>
        </w:rPr>
        <w:t>（4）发包人工作人员及其配偶、子女不得从事与发包人养护项目有关的</w:t>
      </w:r>
      <w:r>
        <w:rPr>
          <w:rFonts w:hint="eastAsia" w:ascii="宋体" w:hAnsi="宋体" w:cs="宋体"/>
          <w:color w:val="000000" w:themeColor="text1"/>
          <w:spacing w:val="3"/>
          <w:sz w:val="24"/>
          <w:szCs w:val="24"/>
          <w:highlight w:val="none"/>
          <w14:textFill>
            <w14:solidFill>
              <w14:schemeClr w14:val="tx1"/>
            </w14:solidFill>
          </w14:textFill>
        </w:rPr>
        <w:t>材料</w:t>
      </w:r>
      <w:r>
        <w:rPr>
          <w:rFonts w:hint="eastAsia" w:ascii="宋体" w:hAnsi="宋体" w:cs="宋体"/>
          <w:color w:val="000000" w:themeColor="text1"/>
          <w:spacing w:val="-1"/>
          <w:sz w:val="24"/>
          <w:szCs w:val="24"/>
          <w:highlight w:val="none"/>
          <w14:textFill>
            <w14:solidFill>
              <w14:schemeClr w14:val="tx1"/>
            </w14:solidFill>
          </w14:textFill>
        </w:rPr>
        <w:t>设备供应、分包、劳务等经济活动等。</w:t>
      </w:r>
    </w:p>
    <w:p w14:paraId="2DEC3B70">
      <w:pPr>
        <w:spacing w:before="115" w:line="360" w:lineRule="auto"/>
        <w:ind w:left="4" w:firstLine="487"/>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pacing w:val="-2"/>
          <w:sz w:val="24"/>
          <w:szCs w:val="24"/>
          <w:highlight w:val="none"/>
          <w14:textFill>
            <w14:solidFill>
              <w14:schemeClr w14:val="tx1"/>
            </w14:solidFill>
          </w14:textFill>
        </w:rPr>
        <w:t>（5）发包人及其工作人员不得以任何理由向承包人推</w:t>
      </w:r>
      <w:r>
        <w:rPr>
          <w:rFonts w:hint="eastAsia" w:ascii="宋体" w:hAnsi="宋体" w:cs="宋体"/>
          <w:color w:val="000000" w:themeColor="text1"/>
          <w:spacing w:val="-3"/>
          <w:sz w:val="24"/>
          <w:szCs w:val="24"/>
          <w:highlight w:val="none"/>
          <w14:textFill>
            <w14:solidFill>
              <w14:schemeClr w14:val="tx1"/>
            </w14:solidFill>
          </w14:textFill>
        </w:rPr>
        <w:t>荐分包单位或推销材料，</w:t>
      </w:r>
      <w:r>
        <w:rPr>
          <w:rFonts w:hint="eastAsia" w:ascii="宋体" w:hAnsi="宋体" w:cs="宋体"/>
          <w:color w:val="000000" w:themeColor="text1"/>
          <w:spacing w:val="-1"/>
          <w:sz w:val="24"/>
          <w:szCs w:val="24"/>
          <w:highlight w:val="none"/>
          <w14:textFill>
            <w14:solidFill>
              <w14:schemeClr w14:val="tx1"/>
            </w14:solidFill>
          </w14:textFill>
        </w:rPr>
        <w:t>不得要求承包人购买合同约定外的材料和设备。</w:t>
      </w:r>
    </w:p>
    <w:p w14:paraId="6FF9216E">
      <w:pPr>
        <w:spacing w:before="115" w:line="360" w:lineRule="auto"/>
        <w:ind w:left="2" w:right="25" w:firstLine="489"/>
        <w:rPr>
          <w:rFonts w:ascii="宋体" w:hAnsi="宋体" w:cs="宋体"/>
          <w:color w:val="000000" w:themeColor="text1"/>
          <w:spacing w:val="-1"/>
          <w:sz w:val="24"/>
          <w:szCs w:val="24"/>
          <w:highlight w:val="none"/>
          <w14:textFill>
            <w14:solidFill>
              <w14:schemeClr w14:val="tx1"/>
            </w14:solidFill>
          </w14:textFill>
        </w:rPr>
      </w:pPr>
      <w:r>
        <w:rPr>
          <w:rFonts w:hint="eastAsia" w:ascii="宋体" w:hAnsi="宋体" w:cs="宋体"/>
          <w:color w:val="000000" w:themeColor="text1"/>
          <w:spacing w:val="4"/>
          <w:sz w:val="24"/>
          <w:szCs w:val="24"/>
          <w:highlight w:val="none"/>
          <w14:textFill>
            <w14:solidFill>
              <w14:schemeClr w14:val="tx1"/>
            </w14:solidFill>
          </w14:textFill>
        </w:rPr>
        <w:t>（6）发包人工作人员要秉公办事，不准营私舞弊，不准利用职权从事各</w:t>
      </w:r>
      <w:r>
        <w:rPr>
          <w:rFonts w:hint="eastAsia" w:ascii="宋体" w:hAnsi="宋体" w:cs="宋体"/>
          <w:color w:val="000000" w:themeColor="text1"/>
          <w:spacing w:val="3"/>
          <w:sz w:val="24"/>
          <w:szCs w:val="24"/>
          <w:highlight w:val="none"/>
          <w14:textFill>
            <w14:solidFill>
              <w14:schemeClr w14:val="tx1"/>
            </w14:solidFill>
          </w14:textFill>
        </w:rPr>
        <w:t>种个</w:t>
      </w:r>
      <w:r>
        <w:rPr>
          <w:rFonts w:hint="eastAsia" w:ascii="宋体" w:hAnsi="宋体" w:cs="宋体"/>
          <w:color w:val="000000" w:themeColor="text1"/>
          <w:spacing w:val="-1"/>
          <w:sz w:val="24"/>
          <w:szCs w:val="24"/>
          <w:highlight w:val="none"/>
          <w14:textFill>
            <w14:solidFill>
              <w14:schemeClr w14:val="tx1"/>
            </w14:solidFill>
          </w14:textFill>
        </w:rPr>
        <w:t>人有偿中介活动和安排个人施工队伍。</w:t>
      </w:r>
    </w:p>
    <w:p w14:paraId="175A06F9">
      <w:pPr>
        <w:spacing w:before="78" w:line="360" w:lineRule="auto"/>
        <w:ind w:left="481"/>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pacing w:val="-1"/>
          <w:sz w:val="24"/>
          <w:szCs w:val="24"/>
          <w:highlight w:val="none"/>
          <w14:textFill>
            <w14:solidFill>
              <w14:schemeClr w14:val="tx1"/>
            </w14:solidFill>
          </w14:textFill>
        </w:rPr>
        <w:t>3.  承包人的义务</w:t>
      </w:r>
    </w:p>
    <w:p w14:paraId="791C442B">
      <w:pPr>
        <w:spacing w:before="115" w:line="360" w:lineRule="auto"/>
        <w:ind w:right="164" w:firstLine="492"/>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pacing w:val="4"/>
          <w:sz w:val="24"/>
          <w:szCs w:val="24"/>
          <w:highlight w:val="none"/>
          <w14:textFill>
            <w14:solidFill>
              <w14:schemeClr w14:val="tx1"/>
            </w14:solidFill>
          </w14:textFill>
        </w:rPr>
        <w:t>（1）承包人不得以任何理由向发包人及其工作人员行贿或馈赠礼金、有</w:t>
      </w:r>
      <w:r>
        <w:rPr>
          <w:rFonts w:hint="eastAsia" w:ascii="宋体" w:hAnsi="宋体" w:cs="宋体"/>
          <w:color w:val="000000" w:themeColor="text1"/>
          <w:spacing w:val="3"/>
          <w:sz w:val="24"/>
          <w:szCs w:val="24"/>
          <w:highlight w:val="none"/>
          <w14:textFill>
            <w14:solidFill>
              <w14:schemeClr w14:val="tx1"/>
            </w14:solidFill>
          </w14:textFill>
        </w:rPr>
        <w:t>价证</w:t>
      </w:r>
      <w:r>
        <w:rPr>
          <w:rFonts w:hint="eastAsia" w:ascii="宋体" w:hAnsi="宋体" w:cs="宋体"/>
          <w:color w:val="000000" w:themeColor="text1"/>
          <w:spacing w:val="-2"/>
          <w:sz w:val="24"/>
          <w:szCs w:val="24"/>
          <w:highlight w:val="none"/>
          <w14:textFill>
            <w14:solidFill>
              <w14:schemeClr w14:val="tx1"/>
            </w14:solidFill>
          </w14:textFill>
        </w:rPr>
        <w:t>券、贵重礼品。</w:t>
      </w:r>
    </w:p>
    <w:p w14:paraId="71452AB6">
      <w:pPr>
        <w:spacing w:before="115" w:line="360" w:lineRule="auto"/>
        <w:ind w:left="2" w:right="164" w:firstLine="489"/>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pacing w:val="4"/>
          <w:sz w:val="24"/>
          <w:szCs w:val="24"/>
          <w:highlight w:val="none"/>
          <w14:textFill>
            <w14:solidFill>
              <w14:schemeClr w14:val="tx1"/>
            </w14:solidFill>
          </w14:textFill>
        </w:rPr>
        <w:t>（2）承包人不得以任何名义为发包人及其工作人员报销应由发包人单位</w:t>
      </w:r>
      <w:r>
        <w:rPr>
          <w:rFonts w:hint="eastAsia" w:ascii="宋体" w:hAnsi="宋体" w:cs="宋体"/>
          <w:color w:val="000000" w:themeColor="text1"/>
          <w:spacing w:val="3"/>
          <w:sz w:val="24"/>
          <w:szCs w:val="24"/>
          <w:highlight w:val="none"/>
          <w14:textFill>
            <w14:solidFill>
              <w14:schemeClr w14:val="tx1"/>
            </w14:solidFill>
          </w14:textFill>
        </w:rPr>
        <w:t>或个</w:t>
      </w:r>
      <w:r>
        <w:rPr>
          <w:rFonts w:hint="eastAsia" w:ascii="宋体" w:hAnsi="宋体" w:cs="宋体"/>
          <w:color w:val="000000" w:themeColor="text1"/>
          <w:spacing w:val="-2"/>
          <w:sz w:val="24"/>
          <w:szCs w:val="24"/>
          <w:highlight w:val="none"/>
          <w14:textFill>
            <w14:solidFill>
              <w14:schemeClr w14:val="tx1"/>
            </w14:solidFill>
          </w14:textFill>
        </w:rPr>
        <w:t>人支付的任何费用。</w:t>
      </w:r>
    </w:p>
    <w:p w14:paraId="7B32E277">
      <w:pPr>
        <w:spacing w:before="113" w:line="360" w:lineRule="auto"/>
        <w:ind w:left="492"/>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pacing w:val="-1"/>
          <w:sz w:val="24"/>
          <w:szCs w:val="24"/>
          <w:highlight w:val="none"/>
          <w14:textFill>
            <w14:solidFill>
              <w14:schemeClr w14:val="tx1"/>
            </w14:solidFill>
          </w14:textFill>
        </w:rPr>
        <w:t>（3）承包人不得以任何理由安排发包人工作人员参加超标准宴请及娱乐活动。</w:t>
      </w:r>
    </w:p>
    <w:p w14:paraId="1DA52074">
      <w:pPr>
        <w:spacing w:before="115" w:line="360" w:lineRule="auto"/>
        <w:ind w:left="5" w:right="164" w:firstLine="486"/>
        <w:rPr>
          <w:rFonts w:ascii="宋体" w:hAnsi="宋体" w:cs="宋体"/>
          <w:color w:val="000000" w:themeColor="text1"/>
          <w:spacing w:val="-3"/>
          <w:sz w:val="24"/>
          <w:szCs w:val="24"/>
          <w:highlight w:val="none"/>
          <w14:textFill>
            <w14:solidFill>
              <w14:schemeClr w14:val="tx1"/>
            </w14:solidFill>
          </w14:textFill>
        </w:rPr>
      </w:pPr>
      <w:r>
        <w:rPr>
          <w:rFonts w:hint="eastAsia" w:ascii="宋体" w:hAnsi="宋体" w:cs="宋体"/>
          <w:color w:val="000000" w:themeColor="text1"/>
          <w:spacing w:val="4"/>
          <w:sz w:val="24"/>
          <w:szCs w:val="24"/>
          <w:highlight w:val="none"/>
          <w14:textFill>
            <w14:solidFill>
              <w14:schemeClr w14:val="tx1"/>
            </w14:solidFill>
          </w14:textFill>
        </w:rPr>
        <w:t>（4）承包人不得为发包人单位和个人购置或提供通信工具、交通工具和</w:t>
      </w:r>
      <w:r>
        <w:rPr>
          <w:rFonts w:hint="eastAsia" w:ascii="宋体" w:hAnsi="宋体" w:cs="宋体"/>
          <w:color w:val="000000" w:themeColor="text1"/>
          <w:spacing w:val="3"/>
          <w:sz w:val="24"/>
          <w:szCs w:val="24"/>
          <w:highlight w:val="none"/>
          <w14:textFill>
            <w14:solidFill>
              <w14:schemeClr w14:val="tx1"/>
            </w14:solidFill>
          </w14:textFill>
        </w:rPr>
        <w:t>高档</w:t>
      </w:r>
      <w:r>
        <w:rPr>
          <w:rFonts w:hint="eastAsia" w:ascii="宋体" w:hAnsi="宋体" w:cs="宋体"/>
          <w:color w:val="000000" w:themeColor="text1"/>
          <w:spacing w:val="-3"/>
          <w:sz w:val="24"/>
          <w:szCs w:val="24"/>
          <w:highlight w:val="none"/>
          <w14:textFill>
            <w14:solidFill>
              <w14:schemeClr w14:val="tx1"/>
            </w14:solidFill>
          </w14:textFill>
        </w:rPr>
        <w:t>办公用品等。</w:t>
      </w:r>
    </w:p>
    <w:p w14:paraId="20FF9D9A">
      <w:pPr>
        <w:spacing w:before="113" w:line="360" w:lineRule="auto"/>
        <w:ind w:left="475"/>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pacing w:val="-1"/>
          <w:sz w:val="24"/>
          <w:szCs w:val="24"/>
          <w:highlight w:val="none"/>
          <w14:textFill>
            <w14:solidFill>
              <w14:schemeClr w14:val="tx1"/>
            </w14:solidFill>
          </w14:textFill>
        </w:rPr>
        <w:t>4.  违约责任</w:t>
      </w:r>
    </w:p>
    <w:p w14:paraId="5BBA6358">
      <w:pPr>
        <w:spacing w:before="116" w:line="360" w:lineRule="auto"/>
        <w:ind w:left="1" w:right="164" w:firstLine="49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pacing w:val="-1"/>
          <w:sz w:val="24"/>
          <w:szCs w:val="24"/>
          <w:highlight w:val="none"/>
          <w14:textFill>
            <w14:solidFill>
              <w14:schemeClr w14:val="tx1"/>
            </w14:solidFill>
          </w14:textFill>
        </w:rPr>
        <w:t>（1）发包人及其工作人员违反本合同第</w:t>
      </w:r>
      <w:r>
        <w:rPr>
          <w:rFonts w:hint="eastAsia" w:ascii="宋体" w:hAnsi="宋体" w:cs="宋体"/>
          <w:color w:val="000000" w:themeColor="text1"/>
          <w:spacing w:val="-32"/>
          <w:sz w:val="24"/>
          <w:szCs w:val="24"/>
          <w:highlight w:val="none"/>
          <w14:textFill>
            <w14:solidFill>
              <w14:schemeClr w14:val="tx1"/>
            </w14:solidFill>
          </w14:textFill>
        </w:rPr>
        <w:t xml:space="preserve"> </w:t>
      </w:r>
      <w:r>
        <w:rPr>
          <w:rFonts w:hint="eastAsia" w:ascii="宋体" w:hAnsi="宋体" w:cs="宋体"/>
          <w:color w:val="000000" w:themeColor="text1"/>
          <w:spacing w:val="-1"/>
          <w:sz w:val="24"/>
          <w:szCs w:val="24"/>
          <w:highlight w:val="none"/>
          <w14:textFill>
            <w14:solidFill>
              <w14:schemeClr w14:val="tx1"/>
            </w14:solidFill>
          </w14:textFill>
        </w:rPr>
        <w:t>1</w:t>
      </w:r>
      <w:r>
        <w:rPr>
          <w:rFonts w:hint="eastAsia" w:ascii="宋体" w:hAnsi="宋体" w:cs="宋体"/>
          <w:color w:val="000000" w:themeColor="text1"/>
          <w:spacing w:val="-31"/>
          <w:sz w:val="24"/>
          <w:szCs w:val="24"/>
          <w:highlight w:val="none"/>
          <w14:textFill>
            <w14:solidFill>
              <w14:schemeClr w14:val="tx1"/>
            </w14:solidFill>
          </w14:textFill>
        </w:rPr>
        <w:t xml:space="preserve"> </w:t>
      </w:r>
      <w:r>
        <w:rPr>
          <w:rFonts w:hint="eastAsia" w:ascii="宋体" w:hAnsi="宋体" w:cs="宋体"/>
          <w:color w:val="000000" w:themeColor="text1"/>
          <w:spacing w:val="-1"/>
          <w:sz w:val="24"/>
          <w:szCs w:val="24"/>
          <w:highlight w:val="none"/>
          <w14:textFill>
            <w14:solidFill>
              <w14:schemeClr w14:val="tx1"/>
            </w14:solidFill>
          </w14:textFill>
        </w:rPr>
        <w:t>、2 条，按管理权限</w:t>
      </w:r>
      <w:r>
        <w:rPr>
          <w:rFonts w:hint="eastAsia" w:ascii="宋体" w:hAnsi="宋体" w:cs="宋体"/>
          <w:color w:val="000000" w:themeColor="text1"/>
          <w:spacing w:val="-2"/>
          <w:sz w:val="24"/>
          <w:szCs w:val="24"/>
          <w:highlight w:val="none"/>
          <w14:textFill>
            <w14:solidFill>
              <w14:schemeClr w14:val="tx1"/>
            </w14:solidFill>
          </w14:textFill>
        </w:rPr>
        <w:t>，依据有关规定</w:t>
      </w:r>
      <w:r>
        <w:rPr>
          <w:rFonts w:hint="eastAsia" w:ascii="宋体" w:hAnsi="宋体" w:cs="宋体"/>
          <w:color w:val="000000" w:themeColor="text1"/>
          <w:spacing w:val="1"/>
          <w:sz w:val="24"/>
          <w:szCs w:val="24"/>
          <w:highlight w:val="none"/>
          <w14:textFill>
            <w14:solidFill>
              <w14:schemeClr w14:val="tx1"/>
            </w14:solidFill>
          </w14:textFill>
        </w:rPr>
        <w:t>给予党纪、政纪或组织处理；涉嫌犯罪的，移交司法机</w:t>
      </w:r>
      <w:r>
        <w:rPr>
          <w:rFonts w:hint="eastAsia" w:ascii="宋体" w:hAnsi="宋体" w:cs="宋体"/>
          <w:color w:val="000000" w:themeColor="text1"/>
          <w:sz w:val="24"/>
          <w:szCs w:val="24"/>
          <w:highlight w:val="none"/>
          <w14:textFill>
            <w14:solidFill>
              <w14:schemeClr w14:val="tx1"/>
            </w14:solidFill>
          </w14:textFill>
        </w:rPr>
        <w:t>关追究刑事责任；给承包人</w:t>
      </w:r>
      <w:r>
        <w:rPr>
          <w:rFonts w:hint="eastAsia" w:ascii="宋体" w:hAnsi="宋体" w:cs="宋体"/>
          <w:color w:val="000000" w:themeColor="text1"/>
          <w:spacing w:val="-1"/>
          <w:sz w:val="24"/>
          <w:szCs w:val="24"/>
          <w:highlight w:val="none"/>
          <w14:textFill>
            <w14:solidFill>
              <w14:schemeClr w14:val="tx1"/>
            </w14:solidFill>
          </w14:textFill>
        </w:rPr>
        <w:t>单位造成经济损失的，应予以赔偿。</w:t>
      </w:r>
    </w:p>
    <w:p w14:paraId="31B4B907">
      <w:pPr>
        <w:spacing w:before="113" w:line="360" w:lineRule="auto"/>
        <w:ind w:left="1" w:right="164" w:firstLine="49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pacing w:val="-1"/>
          <w:sz w:val="24"/>
          <w:szCs w:val="24"/>
          <w:highlight w:val="none"/>
          <w14:textFill>
            <w14:solidFill>
              <w14:schemeClr w14:val="tx1"/>
            </w14:solidFill>
          </w14:textFill>
        </w:rPr>
        <w:t>（2）承包人及其工作人员违反本合同第</w:t>
      </w:r>
      <w:r>
        <w:rPr>
          <w:rFonts w:hint="eastAsia" w:ascii="宋体" w:hAnsi="宋体" w:cs="宋体"/>
          <w:color w:val="000000" w:themeColor="text1"/>
          <w:spacing w:val="-32"/>
          <w:sz w:val="24"/>
          <w:szCs w:val="24"/>
          <w:highlight w:val="none"/>
          <w14:textFill>
            <w14:solidFill>
              <w14:schemeClr w14:val="tx1"/>
            </w14:solidFill>
          </w14:textFill>
        </w:rPr>
        <w:t xml:space="preserve"> </w:t>
      </w:r>
      <w:r>
        <w:rPr>
          <w:rFonts w:hint="eastAsia" w:ascii="宋体" w:hAnsi="宋体" w:cs="宋体"/>
          <w:color w:val="000000" w:themeColor="text1"/>
          <w:spacing w:val="-1"/>
          <w:sz w:val="24"/>
          <w:szCs w:val="24"/>
          <w:highlight w:val="none"/>
          <w14:textFill>
            <w14:solidFill>
              <w14:schemeClr w14:val="tx1"/>
            </w14:solidFill>
          </w14:textFill>
        </w:rPr>
        <w:t>1</w:t>
      </w:r>
      <w:r>
        <w:rPr>
          <w:rFonts w:hint="eastAsia" w:ascii="宋体" w:hAnsi="宋体" w:cs="宋体"/>
          <w:color w:val="000000" w:themeColor="text1"/>
          <w:spacing w:val="-31"/>
          <w:sz w:val="24"/>
          <w:szCs w:val="24"/>
          <w:highlight w:val="none"/>
          <w14:textFill>
            <w14:solidFill>
              <w14:schemeClr w14:val="tx1"/>
            </w14:solidFill>
          </w14:textFill>
        </w:rPr>
        <w:t xml:space="preserve"> </w:t>
      </w:r>
      <w:r>
        <w:rPr>
          <w:rFonts w:hint="eastAsia" w:ascii="宋体" w:hAnsi="宋体" w:cs="宋体"/>
          <w:color w:val="000000" w:themeColor="text1"/>
          <w:spacing w:val="-1"/>
          <w:sz w:val="24"/>
          <w:szCs w:val="24"/>
          <w:highlight w:val="none"/>
          <w14:textFill>
            <w14:solidFill>
              <w14:schemeClr w14:val="tx1"/>
            </w14:solidFill>
          </w14:textFill>
        </w:rPr>
        <w:t>、3 条，按管理权限</w:t>
      </w:r>
      <w:r>
        <w:rPr>
          <w:rFonts w:hint="eastAsia" w:ascii="宋体" w:hAnsi="宋体" w:cs="宋体"/>
          <w:color w:val="000000" w:themeColor="text1"/>
          <w:spacing w:val="-2"/>
          <w:sz w:val="24"/>
          <w:szCs w:val="24"/>
          <w:highlight w:val="none"/>
          <w14:textFill>
            <w14:solidFill>
              <w14:schemeClr w14:val="tx1"/>
            </w14:solidFill>
          </w14:textFill>
        </w:rPr>
        <w:t>，依据有关规定</w:t>
      </w:r>
      <w:r>
        <w:rPr>
          <w:rFonts w:hint="eastAsia" w:ascii="宋体" w:hAnsi="宋体" w:cs="宋体"/>
          <w:color w:val="000000" w:themeColor="text1"/>
          <w:spacing w:val="1"/>
          <w:sz w:val="24"/>
          <w:szCs w:val="24"/>
          <w:highlight w:val="none"/>
          <w14:textFill>
            <w14:solidFill>
              <w14:schemeClr w14:val="tx1"/>
            </w14:solidFill>
          </w14:textFill>
        </w:rPr>
        <w:t>给予党纪、政纪或组织处理；给发包人单位造成经济损</w:t>
      </w:r>
      <w:r>
        <w:rPr>
          <w:rFonts w:hint="eastAsia" w:ascii="宋体" w:hAnsi="宋体" w:cs="宋体"/>
          <w:color w:val="000000" w:themeColor="text1"/>
          <w:sz w:val="24"/>
          <w:szCs w:val="24"/>
          <w:highlight w:val="none"/>
          <w14:textFill>
            <w14:solidFill>
              <w14:schemeClr w14:val="tx1"/>
            </w14:solidFill>
          </w14:textFill>
        </w:rPr>
        <w:t>失的，应予以赔偿；情节严</w:t>
      </w:r>
      <w:r>
        <w:rPr>
          <w:rFonts w:hint="eastAsia" w:ascii="宋体" w:hAnsi="宋体" w:cs="宋体"/>
          <w:color w:val="000000" w:themeColor="text1"/>
          <w:spacing w:val="1"/>
          <w:sz w:val="24"/>
          <w:szCs w:val="24"/>
          <w:highlight w:val="none"/>
          <w14:textFill>
            <w14:solidFill>
              <w14:schemeClr w14:val="tx1"/>
            </w14:solidFill>
          </w14:textFill>
        </w:rPr>
        <w:t>重的，发包人建议交通运输主管部门给予承包人一至三</w:t>
      </w:r>
      <w:r>
        <w:rPr>
          <w:rFonts w:hint="eastAsia" w:ascii="宋体" w:hAnsi="宋体" w:cs="宋体"/>
          <w:color w:val="000000" w:themeColor="text1"/>
          <w:sz w:val="24"/>
          <w:szCs w:val="24"/>
          <w:highlight w:val="none"/>
          <w14:textFill>
            <w14:solidFill>
              <w14:schemeClr w14:val="tx1"/>
            </w14:solidFill>
          </w14:textFill>
        </w:rPr>
        <w:t>年内不得进入其主管的公路</w:t>
      </w:r>
      <w:r>
        <w:rPr>
          <w:rFonts w:hint="eastAsia" w:ascii="宋体" w:hAnsi="宋体" w:cs="宋体"/>
          <w:color w:val="000000" w:themeColor="text1"/>
          <w:spacing w:val="-2"/>
          <w:sz w:val="24"/>
          <w:szCs w:val="24"/>
          <w:highlight w:val="none"/>
          <w14:textFill>
            <w14:solidFill>
              <w14:schemeClr w14:val="tx1"/>
            </w14:solidFill>
          </w14:textFill>
        </w:rPr>
        <w:t>养护市场的处罚。</w:t>
      </w:r>
    </w:p>
    <w:p w14:paraId="753B5171">
      <w:pPr>
        <w:spacing w:before="115" w:line="360" w:lineRule="auto"/>
        <w:ind w:left="3" w:right="164" w:firstLine="479"/>
        <w:rPr>
          <w:rFonts w:ascii="宋体" w:hAnsi="宋体" w:cs="宋体"/>
          <w:color w:val="000000" w:themeColor="text1"/>
          <w:spacing w:val="-1"/>
          <w:sz w:val="24"/>
          <w:szCs w:val="24"/>
          <w:highlight w:val="none"/>
          <w14:textFill>
            <w14:solidFill>
              <w14:schemeClr w14:val="tx1"/>
            </w14:solidFill>
          </w14:textFill>
        </w:rPr>
      </w:pPr>
      <w:r>
        <w:rPr>
          <w:rFonts w:hint="eastAsia" w:ascii="宋体" w:hAnsi="宋体" w:cs="宋体"/>
          <w:color w:val="000000" w:themeColor="text1"/>
          <w:spacing w:val="6"/>
          <w:sz w:val="24"/>
          <w:szCs w:val="24"/>
          <w:highlight w:val="none"/>
          <w14:textFill>
            <w14:solidFill>
              <w14:schemeClr w14:val="tx1"/>
            </w14:solidFill>
          </w14:textFill>
        </w:rPr>
        <w:t>5.  双方约定：本合同由双方或双方上级单位的</w:t>
      </w:r>
      <w:r>
        <w:rPr>
          <w:rFonts w:hint="eastAsia" w:ascii="宋体" w:hAnsi="宋体" w:cs="宋体"/>
          <w:color w:val="000000" w:themeColor="text1"/>
          <w:spacing w:val="5"/>
          <w:sz w:val="24"/>
          <w:szCs w:val="24"/>
          <w:highlight w:val="none"/>
          <w14:textFill>
            <w14:solidFill>
              <w14:schemeClr w14:val="tx1"/>
            </w14:solidFill>
          </w14:textFill>
        </w:rPr>
        <w:t>纪检监察部门负责监督执行。</w:t>
      </w:r>
      <w:r>
        <w:rPr>
          <w:rFonts w:hint="eastAsia" w:ascii="宋体" w:hAnsi="宋体" w:cs="宋体"/>
          <w:color w:val="000000" w:themeColor="text1"/>
          <w:spacing w:val="1"/>
          <w:sz w:val="24"/>
          <w:szCs w:val="24"/>
          <w:highlight w:val="none"/>
          <w14:textFill>
            <w14:solidFill>
              <w14:schemeClr w14:val="tx1"/>
            </w14:solidFill>
          </w14:textFill>
        </w:rPr>
        <w:t>由发包人或发包人上级单位的纪检监察部门约请承</w:t>
      </w:r>
      <w:r>
        <w:rPr>
          <w:rFonts w:hint="eastAsia" w:ascii="宋体" w:hAnsi="宋体" w:cs="宋体"/>
          <w:color w:val="000000" w:themeColor="text1"/>
          <w:sz w:val="24"/>
          <w:szCs w:val="24"/>
          <w:highlight w:val="none"/>
          <w14:textFill>
            <w14:solidFill>
              <w14:schemeClr w14:val="tx1"/>
            </w14:solidFill>
          </w14:textFill>
        </w:rPr>
        <w:t>包人或承包人上级单位纪检监察</w:t>
      </w:r>
      <w:r>
        <w:rPr>
          <w:rFonts w:hint="eastAsia" w:ascii="宋体" w:hAnsi="宋体" w:cs="宋体"/>
          <w:color w:val="000000" w:themeColor="text1"/>
          <w:spacing w:val="-1"/>
          <w:sz w:val="24"/>
          <w:szCs w:val="24"/>
          <w:highlight w:val="none"/>
          <w14:textFill>
            <w14:solidFill>
              <w14:schemeClr w14:val="tx1"/>
            </w14:solidFill>
          </w14:textFill>
        </w:rPr>
        <w:t>部门对本合同执行情况进行检查，提出在本合同约定范围内的裁定意见。</w:t>
      </w:r>
    </w:p>
    <w:p w14:paraId="1A9B3D0A">
      <w:pPr>
        <w:spacing w:before="116" w:line="360" w:lineRule="auto"/>
        <w:ind w:left="481"/>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pacing w:val="-1"/>
          <w:sz w:val="24"/>
          <w:szCs w:val="24"/>
          <w:highlight w:val="none"/>
          <w14:textFill>
            <w14:solidFill>
              <w14:schemeClr w14:val="tx1"/>
            </w14:solidFill>
          </w14:textFill>
        </w:rPr>
        <w:t>6.  本合同自发包人和承包人签署之日起生效。</w:t>
      </w:r>
    </w:p>
    <w:p w14:paraId="65943F0E">
      <w:pPr>
        <w:spacing w:before="116" w:line="360" w:lineRule="auto"/>
        <w:ind w:left="5" w:right="166" w:firstLine="480"/>
        <w:rPr>
          <w:rFonts w:ascii="宋体" w:hAnsi="宋体" w:cs="宋体"/>
          <w:color w:val="000000" w:themeColor="text1"/>
          <w:spacing w:val="-3"/>
          <w:sz w:val="24"/>
          <w:szCs w:val="24"/>
          <w:highlight w:val="none"/>
          <w14:textFill>
            <w14:solidFill>
              <w14:schemeClr w14:val="tx1"/>
            </w14:solidFill>
          </w14:textFill>
        </w:rPr>
      </w:pPr>
      <w:r>
        <w:rPr>
          <w:rFonts w:hint="eastAsia" w:ascii="宋体" w:hAnsi="宋体" w:cs="宋体"/>
          <w:color w:val="000000" w:themeColor="text1"/>
          <w:spacing w:val="2"/>
          <w:sz w:val="24"/>
          <w:szCs w:val="24"/>
          <w:highlight w:val="none"/>
          <w14:textFill>
            <w14:solidFill>
              <w14:schemeClr w14:val="tx1"/>
            </w14:solidFill>
          </w14:textFill>
        </w:rPr>
        <w:t>7.  本合同作为</w:t>
      </w:r>
      <w:r>
        <w:rPr>
          <w:rFonts w:hint="eastAsia" w:ascii="宋体" w:hAnsi="宋体" w:cs="宋体"/>
          <w:color w:val="000000" w:themeColor="text1"/>
          <w:spacing w:val="-117"/>
          <w:sz w:val="24"/>
          <w:szCs w:val="24"/>
          <w:highlight w:val="none"/>
          <w14:textFill>
            <w14:solidFill>
              <w14:schemeClr w14:val="tx1"/>
            </w14:solidFill>
          </w14:textFill>
        </w:rPr>
        <w:t xml:space="preserve"> </w:t>
      </w:r>
      <w:r>
        <w:rPr>
          <w:rFonts w:hint="eastAsia" w:ascii="宋体" w:hAnsi="宋体" w:cs="宋体"/>
          <w:color w:val="000000" w:themeColor="text1"/>
          <w:spacing w:val="2"/>
          <w:sz w:val="24"/>
          <w:szCs w:val="24"/>
          <w:highlight w:val="none"/>
          <w:u w:val="single"/>
          <w14:textFill>
            <w14:solidFill>
              <w14:schemeClr w14:val="tx1"/>
            </w14:solidFill>
          </w14:textFill>
        </w:rPr>
        <w:t xml:space="preserve">         </w:t>
      </w:r>
      <w:r>
        <w:rPr>
          <w:rFonts w:hint="eastAsia" w:ascii="宋体" w:hAnsi="宋体" w:cs="宋体"/>
          <w:color w:val="000000" w:themeColor="text1"/>
          <w:spacing w:val="2"/>
          <w:sz w:val="24"/>
          <w:szCs w:val="24"/>
          <w:highlight w:val="none"/>
          <w14:textFill>
            <w14:solidFill>
              <w14:schemeClr w14:val="tx1"/>
            </w14:solidFill>
          </w14:textFill>
        </w:rPr>
        <w:t>（项目名称）养护合同的附件，与养护合同具有同等</w:t>
      </w:r>
      <w:r>
        <w:rPr>
          <w:rFonts w:hint="eastAsia" w:ascii="宋体" w:hAnsi="宋体" w:cs="宋体"/>
          <w:color w:val="000000" w:themeColor="text1"/>
          <w:spacing w:val="-3"/>
          <w:sz w:val="24"/>
          <w:szCs w:val="24"/>
          <w:highlight w:val="none"/>
          <w14:textFill>
            <w14:solidFill>
              <w14:schemeClr w14:val="tx1"/>
            </w14:solidFill>
          </w14:textFill>
        </w:rPr>
        <w:t>的法律效力，</w:t>
      </w:r>
      <w:r>
        <w:rPr>
          <w:rFonts w:hint="eastAsia" w:ascii="宋体" w:hAnsi="宋体" w:cs="宋体"/>
          <w:color w:val="000000" w:themeColor="text1"/>
          <w:spacing w:val="-71"/>
          <w:sz w:val="24"/>
          <w:szCs w:val="24"/>
          <w:highlight w:val="none"/>
          <w14:textFill>
            <w14:solidFill>
              <w14:schemeClr w14:val="tx1"/>
            </w14:solidFill>
          </w14:textFill>
        </w:rPr>
        <w:t xml:space="preserve"> </w:t>
      </w:r>
      <w:r>
        <w:rPr>
          <w:rFonts w:hint="eastAsia" w:ascii="宋体" w:hAnsi="宋体" w:cs="宋体"/>
          <w:color w:val="000000" w:themeColor="text1"/>
          <w:spacing w:val="-3"/>
          <w:sz w:val="24"/>
          <w:szCs w:val="24"/>
          <w:highlight w:val="none"/>
          <w14:textFill>
            <w14:solidFill>
              <w14:schemeClr w14:val="tx1"/>
            </w14:solidFill>
          </w14:textFill>
        </w:rPr>
        <w:t>自合同双方法定代表人或其委托代理人签名并加盖单</w:t>
      </w:r>
      <w:r>
        <w:rPr>
          <w:rFonts w:hint="eastAsia" w:ascii="宋体" w:hAnsi="宋体" w:cs="宋体"/>
          <w:color w:val="000000" w:themeColor="text1"/>
          <w:spacing w:val="-4"/>
          <w:sz w:val="24"/>
          <w:szCs w:val="24"/>
          <w:highlight w:val="none"/>
          <w14:textFill>
            <w14:solidFill>
              <w14:schemeClr w14:val="tx1"/>
            </w14:solidFill>
          </w14:textFill>
        </w:rPr>
        <w:t>位章之日起生效。</w:t>
      </w:r>
      <w:bookmarkStart w:id="253" w:name="bookmark234"/>
      <w:bookmarkEnd w:id="253"/>
      <w:r>
        <w:rPr>
          <w:rFonts w:hint="eastAsia" w:ascii="宋体" w:hAnsi="宋体" w:cs="宋体"/>
          <w:color w:val="000000" w:themeColor="text1"/>
          <w:spacing w:val="-4"/>
          <w:sz w:val="24"/>
          <w:szCs w:val="24"/>
          <w:highlight w:val="none"/>
          <w14:textFill>
            <w14:solidFill>
              <w14:schemeClr w14:val="tx1"/>
            </w14:solidFill>
          </w14:textFill>
        </w:rPr>
        <w:t xml:space="preserve">     </w:t>
      </w:r>
      <w:r>
        <w:rPr>
          <w:rFonts w:hint="eastAsia" w:ascii="宋体" w:hAnsi="宋体" w:cs="宋体"/>
          <w:color w:val="000000" w:themeColor="text1"/>
          <w:spacing w:val="5"/>
          <w:sz w:val="24"/>
          <w:szCs w:val="24"/>
          <w:highlight w:val="none"/>
          <w14:textFill>
            <w14:solidFill>
              <w14:schemeClr w14:val="tx1"/>
            </w14:solidFill>
          </w14:textFill>
        </w:rPr>
        <w:t>8.  本合同一式四份，由发包人和承包人各执一份，送交发包人和承包人的监</w:t>
      </w:r>
      <w:r>
        <w:rPr>
          <w:rFonts w:hint="eastAsia" w:ascii="宋体" w:hAnsi="宋体" w:cs="宋体"/>
          <w:color w:val="000000" w:themeColor="text1"/>
          <w:spacing w:val="-3"/>
          <w:sz w:val="24"/>
          <w:szCs w:val="24"/>
          <w:highlight w:val="none"/>
          <w14:textFill>
            <w14:solidFill>
              <w14:schemeClr w14:val="tx1"/>
            </w14:solidFill>
          </w14:textFill>
        </w:rPr>
        <w:t>督单位各一份。</w:t>
      </w:r>
    </w:p>
    <w:tbl>
      <w:tblPr>
        <w:tblStyle w:val="5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19"/>
        <w:gridCol w:w="4530"/>
      </w:tblGrid>
      <w:tr w14:paraId="6D486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4927" w:type="dxa"/>
          </w:tcPr>
          <w:p w14:paraId="22894888">
            <w:pPr>
              <w:pStyle w:val="471"/>
              <w:spacing w:line="220" w:lineRule="auto"/>
              <w:ind w:left="2"/>
              <w:rPr>
                <w:color w:val="000000" w:themeColor="text1"/>
                <w:sz w:val="21"/>
                <w:szCs w:val="21"/>
                <w:highlight w:val="none"/>
                <w14:textFill>
                  <w14:solidFill>
                    <w14:schemeClr w14:val="tx1"/>
                  </w14:solidFill>
                </w14:textFill>
              </w:rPr>
            </w:pPr>
            <w:r>
              <w:rPr>
                <w:color w:val="000000" w:themeColor="text1"/>
                <w:spacing w:val="13"/>
                <w:sz w:val="21"/>
                <w:szCs w:val="21"/>
                <w:highlight w:val="none"/>
                <w14:textFill>
                  <w14:solidFill>
                    <w14:schemeClr w14:val="tx1"/>
                  </w14:solidFill>
                </w14:textFill>
              </w:rPr>
              <w:t>发包人</w:t>
            </w:r>
            <w:r>
              <w:rPr>
                <w:color w:val="000000" w:themeColor="text1"/>
                <w:spacing w:val="-4"/>
                <w:sz w:val="21"/>
                <w:szCs w:val="21"/>
                <w:highlight w:val="none"/>
                <w14:textFill>
                  <w14:solidFill>
                    <w14:schemeClr w14:val="tx1"/>
                  </w14:solidFill>
                </w14:textFill>
              </w:rPr>
              <w:t>（盖单位章）</w:t>
            </w:r>
            <w:r>
              <w:rPr>
                <w:color w:val="000000" w:themeColor="text1"/>
                <w:spacing w:val="13"/>
                <w:sz w:val="21"/>
                <w:szCs w:val="21"/>
                <w:highlight w:val="none"/>
                <w14:textFill>
                  <w14:solidFill>
                    <w14:schemeClr w14:val="tx1"/>
                  </w14:solidFill>
                </w14:textFill>
              </w:rPr>
              <w:t>：</w:t>
            </w:r>
          </w:p>
          <w:p w14:paraId="5CB88C75">
            <w:pPr>
              <w:spacing w:before="17"/>
              <w:rPr>
                <w:rFonts w:ascii="Calibri" w:hAnsi="Calibri"/>
                <w:color w:val="000000" w:themeColor="text1"/>
                <w:highlight w:val="none"/>
                <w14:textFill>
                  <w14:solidFill>
                    <w14:schemeClr w14:val="tx1"/>
                  </w14:solidFill>
                </w14:textFill>
              </w:rPr>
            </w:pPr>
          </w:p>
        </w:tc>
        <w:tc>
          <w:tcPr>
            <w:tcW w:w="4927" w:type="dxa"/>
          </w:tcPr>
          <w:p w14:paraId="11431B37">
            <w:pPr>
              <w:pStyle w:val="471"/>
              <w:spacing w:line="219" w:lineRule="auto"/>
              <w:ind w:left="120"/>
              <w:rPr>
                <w:color w:val="000000" w:themeColor="text1"/>
                <w:sz w:val="21"/>
                <w:szCs w:val="21"/>
                <w:highlight w:val="none"/>
                <w14:textFill>
                  <w14:solidFill>
                    <w14:schemeClr w14:val="tx1"/>
                  </w14:solidFill>
                </w14:textFill>
              </w:rPr>
            </w:pPr>
            <w:r>
              <w:rPr>
                <w:color w:val="000000" w:themeColor="text1"/>
                <w:spacing w:val="14"/>
                <w:sz w:val="21"/>
                <w:szCs w:val="21"/>
                <w:highlight w:val="none"/>
                <w14:textFill>
                  <w14:solidFill>
                    <w14:schemeClr w14:val="tx1"/>
                  </w14:solidFill>
                </w14:textFill>
              </w:rPr>
              <w:t>承包人</w:t>
            </w:r>
            <w:r>
              <w:rPr>
                <w:color w:val="000000" w:themeColor="text1"/>
                <w:spacing w:val="-4"/>
                <w:sz w:val="21"/>
                <w:szCs w:val="21"/>
                <w:highlight w:val="none"/>
                <w14:textFill>
                  <w14:solidFill>
                    <w14:schemeClr w14:val="tx1"/>
                  </w14:solidFill>
                </w14:textFill>
              </w:rPr>
              <w:t>（盖单位章）</w:t>
            </w:r>
            <w:r>
              <w:rPr>
                <w:color w:val="000000" w:themeColor="text1"/>
                <w:spacing w:val="14"/>
                <w:sz w:val="21"/>
                <w:szCs w:val="21"/>
                <w:highlight w:val="none"/>
                <w14:textFill>
                  <w14:solidFill>
                    <w14:schemeClr w14:val="tx1"/>
                  </w14:solidFill>
                </w14:textFill>
              </w:rPr>
              <w:t>：</w:t>
            </w:r>
          </w:p>
          <w:p w14:paraId="12F0B0C1">
            <w:pPr>
              <w:spacing w:before="17"/>
              <w:rPr>
                <w:rFonts w:ascii="Calibri" w:hAnsi="Calibri"/>
                <w:color w:val="000000" w:themeColor="text1"/>
                <w:highlight w:val="none"/>
                <w14:textFill>
                  <w14:solidFill>
                    <w14:schemeClr w14:val="tx1"/>
                  </w14:solidFill>
                </w14:textFill>
              </w:rPr>
            </w:pPr>
          </w:p>
        </w:tc>
      </w:tr>
      <w:tr w14:paraId="36A71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trPr>
        <w:tc>
          <w:tcPr>
            <w:tcW w:w="4927" w:type="dxa"/>
          </w:tcPr>
          <w:p w14:paraId="497D3556">
            <w:pPr>
              <w:pStyle w:val="471"/>
              <w:spacing w:before="112" w:line="219" w:lineRule="auto"/>
              <w:rPr>
                <w:color w:val="000000" w:themeColor="text1"/>
                <w:sz w:val="21"/>
                <w:szCs w:val="21"/>
                <w:highlight w:val="none"/>
                <w:lang w:eastAsia="zh-CN"/>
                <w14:textFill>
                  <w14:solidFill>
                    <w14:schemeClr w14:val="tx1"/>
                  </w14:solidFill>
                </w14:textFill>
              </w:rPr>
            </w:pPr>
            <w:r>
              <w:rPr>
                <w:color w:val="000000" w:themeColor="text1"/>
                <w:spacing w:val="-3"/>
                <w:sz w:val="21"/>
                <w:szCs w:val="21"/>
                <w:highlight w:val="none"/>
                <w:lang w:eastAsia="zh-CN"/>
                <w14:textFill>
                  <w14:solidFill>
                    <w14:schemeClr w14:val="tx1"/>
                  </w14:solidFill>
                </w14:textFill>
              </w:rPr>
              <w:t>法定代表人</w:t>
            </w:r>
          </w:p>
          <w:p w14:paraId="14DD5802">
            <w:pPr>
              <w:spacing w:before="17"/>
              <w:rPr>
                <w:rFonts w:ascii="Calibri" w:hAnsi="Calibri"/>
                <w:color w:val="000000" w:themeColor="text1"/>
                <w:highlight w:val="none"/>
                <w14:textFill>
                  <w14:solidFill>
                    <w14:schemeClr w14:val="tx1"/>
                  </w14:solidFill>
                </w14:textFill>
              </w:rPr>
            </w:pPr>
            <w:r>
              <w:rPr>
                <w:rFonts w:ascii="Calibri" w:hAnsi="Calibri"/>
                <w:color w:val="000000" w:themeColor="text1"/>
                <w:spacing w:val="8"/>
                <w:highlight w:val="none"/>
                <w14:textFill>
                  <w14:solidFill>
                    <w14:schemeClr w14:val="tx1"/>
                  </w14:solidFill>
                </w14:textFill>
              </w:rPr>
              <w:t>或其委托代理人</w:t>
            </w:r>
            <w:r>
              <w:rPr>
                <w:rFonts w:ascii="Calibri" w:hAnsi="Calibri"/>
                <w:color w:val="000000" w:themeColor="text1"/>
                <w:spacing w:val="1"/>
                <w:highlight w:val="none"/>
                <w14:textFill>
                  <w14:solidFill>
                    <w14:schemeClr w14:val="tx1"/>
                  </w14:solidFill>
                </w14:textFill>
              </w:rPr>
              <w:t>（签名）</w:t>
            </w:r>
            <w:r>
              <w:rPr>
                <w:rFonts w:ascii="Calibri" w:hAnsi="Calibri"/>
                <w:color w:val="000000" w:themeColor="text1"/>
                <w:spacing w:val="8"/>
                <w:highlight w:val="none"/>
                <w14:textFill>
                  <w14:solidFill>
                    <w14:schemeClr w14:val="tx1"/>
                  </w14:solidFill>
                </w14:textFill>
              </w:rPr>
              <w:t>：</w:t>
            </w:r>
          </w:p>
        </w:tc>
        <w:tc>
          <w:tcPr>
            <w:tcW w:w="4927" w:type="dxa"/>
          </w:tcPr>
          <w:p w14:paraId="28A23C05">
            <w:pPr>
              <w:pStyle w:val="471"/>
              <w:spacing w:before="113" w:line="219" w:lineRule="auto"/>
              <w:rPr>
                <w:color w:val="000000" w:themeColor="text1"/>
                <w:sz w:val="21"/>
                <w:szCs w:val="21"/>
                <w:highlight w:val="none"/>
                <w:lang w:eastAsia="zh-CN"/>
                <w14:textFill>
                  <w14:solidFill>
                    <w14:schemeClr w14:val="tx1"/>
                  </w14:solidFill>
                </w14:textFill>
              </w:rPr>
            </w:pPr>
            <w:r>
              <w:rPr>
                <w:color w:val="000000" w:themeColor="text1"/>
                <w:spacing w:val="-3"/>
                <w:sz w:val="21"/>
                <w:szCs w:val="21"/>
                <w:highlight w:val="none"/>
                <w:lang w:eastAsia="zh-CN"/>
                <w14:textFill>
                  <w14:solidFill>
                    <w14:schemeClr w14:val="tx1"/>
                  </w14:solidFill>
                </w14:textFill>
              </w:rPr>
              <w:t>法定代表人</w:t>
            </w:r>
          </w:p>
          <w:p w14:paraId="29AD3FA9">
            <w:pPr>
              <w:spacing w:before="17"/>
              <w:rPr>
                <w:rFonts w:ascii="Calibri" w:hAnsi="Calibri"/>
                <w:color w:val="000000" w:themeColor="text1"/>
                <w:highlight w:val="none"/>
                <w14:textFill>
                  <w14:solidFill>
                    <w14:schemeClr w14:val="tx1"/>
                  </w14:solidFill>
                </w14:textFill>
              </w:rPr>
            </w:pPr>
            <w:r>
              <w:rPr>
                <w:rFonts w:ascii="Calibri" w:hAnsi="Calibri"/>
                <w:color w:val="000000" w:themeColor="text1"/>
                <w:spacing w:val="8"/>
                <w:highlight w:val="none"/>
                <w14:textFill>
                  <w14:solidFill>
                    <w14:schemeClr w14:val="tx1"/>
                  </w14:solidFill>
                </w14:textFill>
              </w:rPr>
              <w:t>或其委托代理人</w:t>
            </w:r>
            <w:r>
              <w:rPr>
                <w:rFonts w:ascii="Calibri" w:hAnsi="Calibri"/>
                <w:color w:val="000000" w:themeColor="text1"/>
                <w:spacing w:val="1"/>
                <w:highlight w:val="none"/>
                <w14:textFill>
                  <w14:solidFill>
                    <w14:schemeClr w14:val="tx1"/>
                  </w14:solidFill>
                </w14:textFill>
              </w:rPr>
              <w:t>（签名）</w:t>
            </w:r>
            <w:r>
              <w:rPr>
                <w:rFonts w:ascii="Calibri" w:hAnsi="Calibri"/>
                <w:color w:val="000000" w:themeColor="text1"/>
                <w:spacing w:val="8"/>
                <w:highlight w:val="none"/>
                <w14:textFill>
                  <w14:solidFill>
                    <w14:schemeClr w14:val="tx1"/>
                  </w14:solidFill>
                </w14:textFill>
              </w:rPr>
              <w:t>：</w:t>
            </w:r>
          </w:p>
        </w:tc>
      </w:tr>
      <w:tr w14:paraId="1CCA4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7" w:hRule="atLeast"/>
        </w:trPr>
        <w:tc>
          <w:tcPr>
            <w:tcW w:w="4927" w:type="dxa"/>
          </w:tcPr>
          <w:p w14:paraId="51244552">
            <w:pPr>
              <w:spacing w:before="17"/>
              <w:rPr>
                <w:rFonts w:ascii="Calibri" w:hAnsi="Calibri"/>
                <w:color w:val="000000" w:themeColor="text1"/>
                <w:spacing w:val="8"/>
                <w:highlight w:val="none"/>
                <w14:textFill>
                  <w14:solidFill>
                    <w14:schemeClr w14:val="tx1"/>
                  </w14:solidFill>
                </w14:textFill>
              </w:rPr>
            </w:pPr>
            <w:r>
              <w:rPr>
                <w:rFonts w:ascii="Calibri" w:hAnsi="Calibri"/>
                <w:color w:val="000000" w:themeColor="text1"/>
                <w:spacing w:val="3"/>
                <w:highlight w:val="none"/>
                <w14:textFill>
                  <w14:solidFill>
                    <w14:schemeClr w14:val="tx1"/>
                  </w14:solidFill>
                </w14:textFill>
              </w:rPr>
              <w:t>发包人监督单位</w:t>
            </w:r>
            <w:r>
              <w:rPr>
                <w:rFonts w:ascii="Calibri" w:hAnsi="Calibri"/>
                <w:color w:val="000000" w:themeColor="text1"/>
                <w:spacing w:val="-4"/>
                <w:highlight w:val="none"/>
                <w14:textFill>
                  <w14:solidFill>
                    <w14:schemeClr w14:val="tx1"/>
                  </w14:solidFill>
                </w14:textFill>
              </w:rPr>
              <w:t>（盖单位章）</w:t>
            </w:r>
            <w:r>
              <w:rPr>
                <w:rFonts w:ascii="Calibri" w:hAnsi="Calibri"/>
                <w:color w:val="000000" w:themeColor="text1"/>
                <w:spacing w:val="3"/>
                <w:highlight w:val="none"/>
                <w14:textFill>
                  <w14:solidFill>
                    <w14:schemeClr w14:val="tx1"/>
                  </w14:solidFill>
                </w14:textFill>
              </w:rPr>
              <w:t>：</w:t>
            </w:r>
          </w:p>
        </w:tc>
        <w:tc>
          <w:tcPr>
            <w:tcW w:w="4927" w:type="dxa"/>
          </w:tcPr>
          <w:p w14:paraId="1D36B531">
            <w:pPr>
              <w:spacing w:before="17"/>
              <w:rPr>
                <w:rFonts w:ascii="Calibri" w:hAnsi="Calibri"/>
                <w:color w:val="000000" w:themeColor="text1"/>
                <w:highlight w:val="none"/>
                <w14:textFill>
                  <w14:solidFill>
                    <w14:schemeClr w14:val="tx1"/>
                  </w14:solidFill>
                </w14:textFill>
              </w:rPr>
            </w:pPr>
            <w:r>
              <w:rPr>
                <w:rFonts w:ascii="Calibri" w:hAnsi="Calibri"/>
                <w:color w:val="000000" w:themeColor="text1"/>
                <w:spacing w:val="3"/>
                <w:highlight w:val="none"/>
                <w14:textFill>
                  <w14:solidFill>
                    <w14:schemeClr w14:val="tx1"/>
                  </w14:solidFill>
                </w14:textFill>
              </w:rPr>
              <w:t>承包人监督单位</w:t>
            </w:r>
            <w:r>
              <w:rPr>
                <w:rFonts w:ascii="Calibri" w:hAnsi="Calibri"/>
                <w:color w:val="000000" w:themeColor="text1"/>
                <w:spacing w:val="-4"/>
                <w:highlight w:val="none"/>
                <w14:textFill>
                  <w14:solidFill>
                    <w14:schemeClr w14:val="tx1"/>
                  </w14:solidFill>
                </w14:textFill>
              </w:rPr>
              <w:t>（盖单位章）</w:t>
            </w:r>
            <w:r>
              <w:rPr>
                <w:rFonts w:ascii="Calibri" w:hAnsi="Calibri"/>
                <w:color w:val="000000" w:themeColor="text1"/>
                <w:spacing w:val="3"/>
                <w:highlight w:val="none"/>
                <w14:textFill>
                  <w14:solidFill>
                    <w14:schemeClr w14:val="tx1"/>
                  </w14:solidFill>
                </w14:textFill>
              </w:rPr>
              <w:t>：</w:t>
            </w:r>
          </w:p>
        </w:tc>
      </w:tr>
    </w:tbl>
    <w:p w14:paraId="36CA13EC">
      <w:pPr>
        <w:spacing w:before="116" w:line="360" w:lineRule="auto"/>
        <w:ind w:left="5" w:right="166" w:firstLine="480"/>
        <w:rPr>
          <w:rFonts w:ascii="宋体" w:hAnsi="宋体" w:cs="宋体"/>
          <w:color w:val="000000" w:themeColor="text1"/>
          <w:spacing w:val="-3"/>
          <w:sz w:val="24"/>
          <w:szCs w:val="24"/>
          <w:highlight w:val="none"/>
          <w14:textFill>
            <w14:solidFill>
              <w14:schemeClr w14:val="tx1"/>
            </w14:solidFill>
          </w14:textFill>
        </w:rPr>
      </w:pPr>
    </w:p>
    <w:p w14:paraId="246E22A6">
      <w:pPr>
        <w:spacing w:before="116" w:line="360" w:lineRule="auto"/>
        <w:ind w:left="5" w:right="166" w:firstLine="480"/>
        <w:rPr>
          <w:rFonts w:ascii="宋体" w:hAnsi="宋体" w:cs="宋体"/>
          <w:color w:val="000000" w:themeColor="text1"/>
          <w:spacing w:val="-3"/>
          <w:sz w:val="24"/>
          <w:szCs w:val="24"/>
          <w:highlight w:val="none"/>
          <w14:textFill>
            <w14:solidFill>
              <w14:schemeClr w14:val="tx1"/>
            </w14:solidFill>
          </w14:textFill>
        </w:rPr>
      </w:pPr>
    </w:p>
    <w:p w14:paraId="51D86926">
      <w:pPr>
        <w:spacing w:before="116" w:line="360" w:lineRule="auto"/>
        <w:ind w:left="5" w:right="166" w:firstLine="480"/>
        <w:rPr>
          <w:rFonts w:ascii="宋体" w:hAnsi="宋体" w:cs="宋体"/>
          <w:color w:val="000000" w:themeColor="text1"/>
          <w:spacing w:val="-3"/>
          <w:sz w:val="24"/>
          <w:szCs w:val="24"/>
          <w:highlight w:val="none"/>
          <w14:textFill>
            <w14:solidFill>
              <w14:schemeClr w14:val="tx1"/>
            </w14:solidFill>
          </w14:textFill>
        </w:rPr>
      </w:pPr>
    </w:p>
    <w:p w14:paraId="06B07241">
      <w:pPr>
        <w:spacing w:before="116" w:line="360" w:lineRule="auto"/>
        <w:ind w:left="5" w:right="166" w:firstLine="480"/>
        <w:rPr>
          <w:rFonts w:ascii="宋体" w:hAnsi="宋体" w:cs="宋体"/>
          <w:color w:val="000000" w:themeColor="text1"/>
          <w:spacing w:val="-3"/>
          <w:sz w:val="24"/>
          <w:szCs w:val="24"/>
          <w:highlight w:val="none"/>
          <w14:textFill>
            <w14:solidFill>
              <w14:schemeClr w14:val="tx1"/>
            </w14:solidFill>
          </w14:textFill>
        </w:rPr>
      </w:pPr>
    </w:p>
    <w:p w14:paraId="424F3A01">
      <w:pPr>
        <w:spacing w:before="116" w:line="360" w:lineRule="auto"/>
        <w:ind w:left="5" w:right="166" w:firstLine="480"/>
        <w:rPr>
          <w:rFonts w:ascii="宋体" w:hAnsi="宋体" w:cs="宋体"/>
          <w:color w:val="000000" w:themeColor="text1"/>
          <w:spacing w:val="-3"/>
          <w:sz w:val="24"/>
          <w:szCs w:val="24"/>
          <w:highlight w:val="none"/>
          <w14:textFill>
            <w14:solidFill>
              <w14:schemeClr w14:val="tx1"/>
            </w14:solidFill>
          </w14:textFill>
        </w:rPr>
      </w:pPr>
    </w:p>
    <w:p w14:paraId="5234C616">
      <w:pPr>
        <w:pStyle w:val="21"/>
        <w:rPr>
          <w:color w:val="000000" w:themeColor="text1"/>
          <w:highlight w:val="none"/>
          <w14:textFill>
            <w14:solidFill>
              <w14:schemeClr w14:val="tx1"/>
            </w14:solidFill>
          </w14:textFill>
        </w:rPr>
      </w:pPr>
    </w:p>
    <w:p w14:paraId="0BA6E5E5">
      <w:pPr>
        <w:rPr>
          <w:color w:val="000000" w:themeColor="text1"/>
          <w:highlight w:val="none"/>
          <w14:textFill>
            <w14:solidFill>
              <w14:schemeClr w14:val="tx1"/>
            </w14:solidFill>
          </w14:textFill>
        </w:rPr>
        <w:sectPr>
          <w:headerReference r:id="rId20" w:type="default"/>
          <w:footerReference r:id="rId21" w:type="default"/>
          <w:pgSz w:w="11907" w:h="16840"/>
          <w:pgMar w:top="1134" w:right="1422" w:bottom="1195" w:left="1652" w:header="0" w:footer="1017" w:gutter="0"/>
          <w:cols w:space="720" w:num="1"/>
        </w:sectPr>
      </w:pPr>
    </w:p>
    <w:p w14:paraId="195FF594">
      <w:pPr>
        <w:pStyle w:val="21"/>
        <w:spacing w:line="285" w:lineRule="auto"/>
        <w:rPr>
          <w:color w:val="000000" w:themeColor="text1"/>
          <w:highlight w:val="none"/>
          <w14:textFill>
            <w14:solidFill>
              <w14:schemeClr w14:val="tx1"/>
            </w14:solidFill>
          </w14:textFill>
        </w:rPr>
      </w:pPr>
    </w:p>
    <w:p w14:paraId="7F4B6466">
      <w:pPr>
        <w:spacing w:before="78" w:line="219" w:lineRule="auto"/>
        <w:ind w:left="19"/>
        <w:outlineLvl w:val="2"/>
        <w:rPr>
          <w:rFonts w:ascii="宋体" w:hAnsi="宋体" w:cs="宋体"/>
          <w:color w:val="000000" w:themeColor="text1"/>
          <w:sz w:val="24"/>
          <w:szCs w:val="24"/>
          <w:highlight w:val="none"/>
          <w14:textFill>
            <w14:solidFill>
              <w14:schemeClr w14:val="tx1"/>
            </w14:solidFill>
          </w14:textFill>
        </w:rPr>
      </w:pPr>
      <w:bookmarkStart w:id="254" w:name="bookmark59"/>
      <w:bookmarkEnd w:id="254"/>
      <w:bookmarkStart w:id="255" w:name="bookmark60"/>
      <w:bookmarkEnd w:id="255"/>
      <w:bookmarkStart w:id="256" w:name="_Toc31722"/>
      <w:r>
        <w:rPr>
          <w:rFonts w:ascii="宋体" w:hAnsi="宋体" w:cs="宋体"/>
          <w:b/>
          <w:bCs/>
          <w:color w:val="000000" w:themeColor="text1"/>
          <w:spacing w:val="-4"/>
          <w:sz w:val="24"/>
          <w:szCs w:val="24"/>
          <w:highlight w:val="none"/>
          <w14:textFill>
            <w14:solidFill>
              <w14:schemeClr w14:val="tx1"/>
            </w14:solidFill>
          </w14:textFill>
        </w:rPr>
        <w:t>附件</w:t>
      </w:r>
      <w:r>
        <w:rPr>
          <w:rFonts w:hint="eastAsia" w:ascii="宋体" w:hAnsi="宋体" w:cs="宋体"/>
          <w:b/>
          <w:bCs/>
          <w:color w:val="000000" w:themeColor="text1"/>
          <w:spacing w:val="-4"/>
          <w:sz w:val="24"/>
          <w:szCs w:val="24"/>
          <w:highlight w:val="none"/>
          <w14:textFill>
            <w14:solidFill>
              <w14:schemeClr w14:val="tx1"/>
            </w14:solidFill>
          </w14:textFill>
        </w:rPr>
        <w:t>三</w:t>
      </w:r>
      <w:r>
        <w:rPr>
          <w:rFonts w:ascii="宋体" w:hAnsi="宋体" w:cs="宋体"/>
          <w:color w:val="000000" w:themeColor="text1"/>
          <w:spacing w:val="-4"/>
          <w:sz w:val="24"/>
          <w:szCs w:val="24"/>
          <w:highlight w:val="none"/>
          <w14:textFill>
            <w14:solidFill>
              <w14:schemeClr w14:val="tx1"/>
            </w14:solidFill>
          </w14:textFill>
        </w:rPr>
        <w:t xml:space="preserve">  </w:t>
      </w:r>
      <w:r>
        <w:rPr>
          <w:rFonts w:ascii="宋体" w:hAnsi="宋体" w:cs="宋体"/>
          <w:b/>
          <w:bCs/>
          <w:color w:val="000000" w:themeColor="text1"/>
          <w:spacing w:val="-4"/>
          <w:sz w:val="24"/>
          <w:szCs w:val="24"/>
          <w:highlight w:val="none"/>
          <w14:textFill>
            <w14:solidFill>
              <w14:schemeClr w14:val="tx1"/>
            </w14:solidFill>
          </w14:textFill>
        </w:rPr>
        <w:t>安全生产合同</w:t>
      </w:r>
      <w:bookmarkEnd w:id="256"/>
    </w:p>
    <w:p w14:paraId="41A31AE0">
      <w:pPr>
        <w:spacing w:before="270" w:line="219" w:lineRule="auto"/>
        <w:ind w:firstLine="3038" w:firstLineChars="700"/>
        <w:rPr>
          <w:rFonts w:ascii="宋体" w:hAnsi="宋体" w:cs="宋体"/>
          <w:color w:val="000000" w:themeColor="text1"/>
          <w:sz w:val="44"/>
          <w:szCs w:val="44"/>
          <w:highlight w:val="none"/>
          <w14:textFill>
            <w14:solidFill>
              <w14:schemeClr w14:val="tx1"/>
            </w14:solidFill>
          </w14:textFill>
        </w:rPr>
      </w:pPr>
      <w:r>
        <w:rPr>
          <w:rFonts w:hint="eastAsia" w:ascii="宋体" w:hAnsi="宋体" w:cs="宋体"/>
          <w:color w:val="000000" w:themeColor="text1"/>
          <w:spacing w:val="-3"/>
          <w:sz w:val="44"/>
          <w:szCs w:val="44"/>
          <w:highlight w:val="none"/>
          <w14:textFill>
            <w14:solidFill>
              <w14:schemeClr w14:val="tx1"/>
            </w14:solidFill>
          </w14:textFill>
        </w:rPr>
        <w:t>安全生产合同</w:t>
      </w:r>
    </w:p>
    <w:p w14:paraId="64FF0C9C">
      <w:pPr>
        <w:pStyle w:val="21"/>
        <w:spacing w:line="437" w:lineRule="auto"/>
        <w:rPr>
          <w:color w:val="000000" w:themeColor="text1"/>
          <w:highlight w:val="none"/>
          <w14:textFill>
            <w14:solidFill>
              <w14:schemeClr w14:val="tx1"/>
            </w14:solidFill>
          </w14:textFill>
        </w:rPr>
      </w:pPr>
    </w:p>
    <w:p w14:paraId="744A46B7">
      <w:pPr>
        <w:spacing w:before="78" w:line="307" w:lineRule="auto"/>
        <w:ind w:right="87" w:firstLine="483"/>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pacing w:val="4"/>
          <w:sz w:val="24"/>
          <w:szCs w:val="24"/>
          <w:highlight w:val="none"/>
          <w14:textFill>
            <w14:solidFill>
              <w14:schemeClr w14:val="tx1"/>
            </w14:solidFill>
          </w14:textFill>
        </w:rPr>
        <w:t>为在</w:t>
      </w:r>
      <w:r>
        <w:rPr>
          <w:rFonts w:hint="eastAsia" w:ascii="宋体" w:hAnsi="宋体" w:cs="宋体"/>
          <w:color w:val="000000" w:themeColor="text1"/>
          <w:spacing w:val="-118"/>
          <w:sz w:val="24"/>
          <w:szCs w:val="24"/>
          <w:highlight w:val="none"/>
          <w14:textFill>
            <w14:solidFill>
              <w14:schemeClr w14:val="tx1"/>
            </w14:solidFill>
          </w14:textFill>
        </w:rPr>
        <w:t xml:space="preserve"> </w:t>
      </w:r>
      <w:r>
        <w:rPr>
          <w:rFonts w:hint="eastAsia" w:ascii="宋体" w:hAnsi="宋体" w:cs="宋体"/>
          <w:color w:val="000000" w:themeColor="text1"/>
          <w:spacing w:val="4"/>
          <w:sz w:val="24"/>
          <w:szCs w:val="24"/>
          <w:highlight w:val="none"/>
          <w:u w:val="single"/>
          <w14:textFill>
            <w14:solidFill>
              <w14:schemeClr w14:val="tx1"/>
            </w14:solidFill>
          </w14:textFill>
        </w:rPr>
        <w:t xml:space="preserve">         </w:t>
      </w:r>
      <w:r>
        <w:rPr>
          <w:rFonts w:hint="eastAsia" w:ascii="宋体" w:hAnsi="宋体" w:cs="宋体"/>
          <w:color w:val="000000" w:themeColor="text1"/>
          <w:spacing w:val="4"/>
          <w:sz w:val="24"/>
          <w:szCs w:val="24"/>
          <w:highlight w:val="none"/>
          <w14:textFill>
            <w14:solidFill>
              <w14:schemeClr w14:val="tx1"/>
            </w14:solidFill>
          </w14:textFill>
        </w:rPr>
        <w:t>（项目名称）养护合同的实施</w:t>
      </w:r>
      <w:r>
        <w:rPr>
          <w:rFonts w:hint="eastAsia" w:ascii="宋体" w:hAnsi="宋体" w:cs="宋体"/>
          <w:color w:val="000000" w:themeColor="text1"/>
          <w:spacing w:val="3"/>
          <w:sz w:val="24"/>
          <w:szCs w:val="24"/>
          <w:highlight w:val="none"/>
          <w14:textFill>
            <w14:solidFill>
              <w14:schemeClr w14:val="tx1"/>
            </w14:solidFill>
          </w14:textFill>
        </w:rPr>
        <w:t>过程中创造安全、高效的养护作</w:t>
      </w:r>
      <w:r>
        <w:rPr>
          <w:rFonts w:hint="eastAsia" w:ascii="宋体" w:hAnsi="宋体" w:cs="宋体"/>
          <w:color w:val="000000" w:themeColor="text1"/>
          <w:spacing w:val="-2"/>
          <w:sz w:val="24"/>
          <w:szCs w:val="24"/>
          <w:highlight w:val="none"/>
          <w14:textFill>
            <w14:solidFill>
              <w14:schemeClr w14:val="tx1"/>
            </w14:solidFill>
          </w14:textFill>
        </w:rPr>
        <w:t>业环境，切实做好本项目的安全管理工作，本项目发包人</w:t>
      </w:r>
      <w:r>
        <w:rPr>
          <w:rFonts w:hint="eastAsia" w:ascii="宋体" w:hAnsi="宋体" w:cs="宋体"/>
          <w:color w:val="000000" w:themeColor="text1"/>
          <w:spacing w:val="-106"/>
          <w:sz w:val="24"/>
          <w:szCs w:val="24"/>
          <w:highlight w:val="none"/>
          <w14:textFill>
            <w14:solidFill>
              <w14:schemeClr w14:val="tx1"/>
            </w14:solidFill>
          </w14:textFill>
        </w:rPr>
        <w:t xml:space="preserve"> </w:t>
      </w:r>
      <w:r>
        <w:rPr>
          <w:rFonts w:hint="eastAsia" w:ascii="宋体" w:hAnsi="宋体" w:cs="宋体"/>
          <w:color w:val="000000" w:themeColor="text1"/>
          <w:spacing w:val="-2"/>
          <w:sz w:val="24"/>
          <w:szCs w:val="24"/>
          <w:highlight w:val="none"/>
          <w:u w:val="single"/>
          <w14:textFill>
            <w14:solidFill>
              <w14:schemeClr w14:val="tx1"/>
            </w14:solidFill>
          </w14:textFill>
        </w:rPr>
        <w:t xml:space="preserve">         </w:t>
      </w:r>
      <w:r>
        <w:rPr>
          <w:rFonts w:hint="eastAsia" w:ascii="宋体" w:hAnsi="宋体" w:cs="宋体"/>
          <w:color w:val="000000" w:themeColor="text1"/>
          <w:spacing w:val="-2"/>
          <w:sz w:val="24"/>
          <w:szCs w:val="24"/>
          <w:highlight w:val="none"/>
          <w14:textFill>
            <w14:solidFill>
              <w14:schemeClr w14:val="tx1"/>
            </w14:solidFill>
          </w14:textFill>
        </w:rPr>
        <w:t>（发包人名称，</w:t>
      </w:r>
      <w:r>
        <w:rPr>
          <w:rFonts w:hint="eastAsia" w:ascii="宋体" w:hAnsi="宋体" w:cs="宋体"/>
          <w:color w:val="000000" w:themeColor="text1"/>
          <w:spacing w:val="-4"/>
          <w:sz w:val="24"/>
          <w:szCs w:val="24"/>
          <w:highlight w:val="none"/>
          <w14:textFill>
            <w14:solidFill>
              <w14:schemeClr w14:val="tx1"/>
            </w14:solidFill>
          </w14:textFill>
        </w:rPr>
        <w:t>以下简称“发包人</w:t>
      </w:r>
      <w:r>
        <w:rPr>
          <w:rFonts w:hint="eastAsia" w:ascii="宋体" w:hAnsi="宋体" w:cs="宋体"/>
          <w:color w:val="000000" w:themeColor="text1"/>
          <w:spacing w:val="-84"/>
          <w:sz w:val="24"/>
          <w:szCs w:val="24"/>
          <w:highlight w:val="none"/>
          <w14:textFill>
            <w14:solidFill>
              <w14:schemeClr w14:val="tx1"/>
            </w14:solidFill>
          </w14:textFill>
        </w:rPr>
        <w:t xml:space="preserve"> </w:t>
      </w:r>
      <w:r>
        <w:rPr>
          <w:rFonts w:hint="eastAsia" w:ascii="宋体" w:hAnsi="宋体" w:cs="宋体"/>
          <w:color w:val="000000" w:themeColor="text1"/>
          <w:spacing w:val="-4"/>
          <w:sz w:val="24"/>
          <w:szCs w:val="24"/>
          <w:highlight w:val="none"/>
          <w14:textFill>
            <w14:solidFill>
              <w14:schemeClr w14:val="tx1"/>
            </w14:solidFill>
          </w14:textFill>
        </w:rPr>
        <w:t>”）与承包人</w:t>
      </w:r>
      <w:r>
        <w:rPr>
          <w:rFonts w:hint="eastAsia" w:ascii="宋体" w:hAnsi="宋体" w:cs="宋体"/>
          <w:color w:val="000000" w:themeColor="text1"/>
          <w:spacing w:val="-116"/>
          <w:sz w:val="24"/>
          <w:szCs w:val="24"/>
          <w:highlight w:val="none"/>
          <w14:textFill>
            <w14:solidFill>
              <w14:schemeClr w14:val="tx1"/>
            </w14:solidFill>
          </w14:textFill>
        </w:rPr>
        <w:t xml:space="preserve"> </w:t>
      </w:r>
      <w:r>
        <w:rPr>
          <w:rFonts w:hint="eastAsia" w:ascii="宋体" w:hAnsi="宋体" w:cs="宋体"/>
          <w:color w:val="000000" w:themeColor="text1"/>
          <w:spacing w:val="-4"/>
          <w:sz w:val="24"/>
          <w:szCs w:val="24"/>
          <w:highlight w:val="none"/>
          <w:u w:val="single"/>
          <w14:textFill>
            <w14:solidFill>
              <w14:schemeClr w14:val="tx1"/>
            </w14:solidFill>
          </w14:textFill>
        </w:rPr>
        <w:t xml:space="preserve">         </w:t>
      </w:r>
      <w:r>
        <w:rPr>
          <w:rFonts w:hint="eastAsia" w:ascii="宋体" w:hAnsi="宋体" w:cs="宋体"/>
          <w:color w:val="000000" w:themeColor="text1"/>
          <w:spacing w:val="-4"/>
          <w:sz w:val="24"/>
          <w:szCs w:val="24"/>
          <w:highlight w:val="none"/>
          <w14:textFill>
            <w14:solidFill>
              <w14:schemeClr w14:val="tx1"/>
            </w14:solidFill>
          </w14:textFill>
        </w:rPr>
        <w:t>（承包人名称，以下简称</w:t>
      </w:r>
      <w:r>
        <w:rPr>
          <w:rFonts w:hint="eastAsia" w:ascii="宋体" w:hAnsi="宋体" w:cs="宋体"/>
          <w:color w:val="000000" w:themeColor="text1"/>
          <w:spacing w:val="-5"/>
          <w:sz w:val="24"/>
          <w:szCs w:val="24"/>
          <w:highlight w:val="none"/>
          <w14:textFill>
            <w14:solidFill>
              <w14:schemeClr w14:val="tx1"/>
            </w14:solidFill>
          </w14:textFill>
        </w:rPr>
        <w:t>“承包人</w:t>
      </w:r>
      <w:r>
        <w:rPr>
          <w:rFonts w:hint="eastAsia" w:ascii="宋体" w:hAnsi="宋体" w:cs="宋体"/>
          <w:color w:val="000000" w:themeColor="text1"/>
          <w:spacing w:val="-83"/>
          <w:sz w:val="24"/>
          <w:szCs w:val="24"/>
          <w:highlight w:val="none"/>
          <w14:textFill>
            <w14:solidFill>
              <w14:schemeClr w14:val="tx1"/>
            </w14:solidFill>
          </w14:textFill>
        </w:rPr>
        <w:t xml:space="preserve"> </w:t>
      </w:r>
      <w:r>
        <w:rPr>
          <w:rFonts w:hint="eastAsia" w:ascii="宋体" w:hAnsi="宋体" w:cs="宋体"/>
          <w:color w:val="000000" w:themeColor="text1"/>
          <w:spacing w:val="-5"/>
          <w:sz w:val="24"/>
          <w:szCs w:val="24"/>
          <w:highlight w:val="none"/>
          <w14:textFill>
            <w14:solidFill>
              <w14:schemeClr w14:val="tx1"/>
            </w14:solidFill>
          </w14:textFill>
        </w:rPr>
        <w:t>”）特</w:t>
      </w:r>
      <w:r>
        <w:rPr>
          <w:rFonts w:hint="eastAsia" w:ascii="宋体" w:hAnsi="宋体" w:cs="宋体"/>
          <w:color w:val="000000" w:themeColor="text1"/>
          <w:spacing w:val="-1"/>
          <w:sz w:val="24"/>
          <w:szCs w:val="24"/>
          <w:highlight w:val="none"/>
          <w14:textFill>
            <w14:solidFill>
              <w14:schemeClr w14:val="tx1"/>
            </w14:solidFill>
          </w14:textFill>
        </w:rPr>
        <w:t>此签订安全生产合同。</w:t>
      </w:r>
    </w:p>
    <w:p w14:paraId="42430EEE">
      <w:pPr>
        <w:spacing w:line="220" w:lineRule="auto"/>
        <w:ind w:left="499"/>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pacing w:val="-5"/>
          <w:sz w:val="24"/>
          <w:szCs w:val="24"/>
          <w:highlight w:val="none"/>
          <w14:textFill>
            <w14:solidFill>
              <w14:schemeClr w14:val="tx1"/>
            </w14:solidFill>
          </w14:textFill>
        </w:rPr>
        <w:t>1.发包人职责</w:t>
      </w:r>
    </w:p>
    <w:p w14:paraId="3243C914">
      <w:pPr>
        <w:spacing w:before="115" w:line="264" w:lineRule="auto"/>
        <w:ind w:left="4" w:right="112" w:firstLine="487"/>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pacing w:val="4"/>
          <w:sz w:val="24"/>
          <w:szCs w:val="24"/>
          <w:highlight w:val="none"/>
          <w14:textFill>
            <w14:solidFill>
              <w14:schemeClr w14:val="tx1"/>
            </w14:solidFill>
          </w14:textFill>
        </w:rPr>
        <w:t>（1）严格遵守国家有关安全生产的法律法规，认真执行养护项目合同中</w:t>
      </w:r>
      <w:r>
        <w:rPr>
          <w:rFonts w:hint="eastAsia" w:ascii="宋体" w:hAnsi="宋体" w:cs="宋体"/>
          <w:color w:val="000000" w:themeColor="text1"/>
          <w:spacing w:val="3"/>
          <w:sz w:val="24"/>
          <w:szCs w:val="24"/>
          <w:highlight w:val="none"/>
          <w14:textFill>
            <w14:solidFill>
              <w14:schemeClr w14:val="tx1"/>
            </w14:solidFill>
          </w14:textFill>
        </w:rPr>
        <w:t>的有</w:t>
      </w:r>
      <w:r>
        <w:rPr>
          <w:rFonts w:hint="eastAsia" w:ascii="宋体" w:hAnsi="宋体" w:cs="宋体"/>
          <w:color w:val="000000" w:themeColor="text1"/>
          <w:spacing w:val="-3"/>
          <w:sz w:val="24"/>
          <w:szCs w:val="24"/>
          <w:highlight w:val="none"/>
          <w14:textFill>
            <w14:solidFill>
              <w14:schemeClr w14:val="tx1"/>
            </w14:solidFill>
          </w14:textFill>
        </w:rPr>
        <w:t>关安全要求。</w:t>
      </w:r>
    </w:p>
    <w:p w14:paraId="68271E16">
      <w:pPr>
        <w:spacing w:before="110" w:line="283" w:lineRule="auto"/>
        <w:ind w:left="20" w:firstLine="471"/>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pacing w:val="5"/>
          <w:sz w:val="24"/>
          <w:szCs w:val="24"/>
          <w:highlight w:val="none"/>
          <w14:textFill>
            <w14:solidFill>
              <w14:schemeClr w14:val="tx1"/>
            </w14:solidFill>
          </w14:textFill>
        </w:rPr>
        <w:t>（2）按照“安全第一、预防为主、综合治理</w:t>
      </w:r>
      <w:r>
        <w:rPr>
          <w:rFonts w:hint="eastAsia" w:ascii="宋体" w:hAnsi="宋体" w:cs="宋体"/>
          <w:color w:val="000000" w:themeColor="text1"/>
          <w:spacing w:val="-78"/>
          <w:sz w:val="24"/>
          <w:szCs w:val="24"/>
          <w:highlight w:val="none"/>
          <w14:textFill>
            <w14:solidFill>
              <w14:schemeClr w14:val="tx1"/>
            </w14:solidFill>
          </w14:textFill>
        </w:rPr>
        <w:t xml:space="preserve"> </w:t>
      </w:r>
      <w:r>
        <w:rPr>
          <w:rFonts w:hint="eastAsia" w:ascii="宋体" w:hAnsi="宋体" w:cs="宋体"/>
          <w:color w:val="000000" w:themeColor="text1"/>
          <w:spacing w:val="5"/>
          <w:sz w:val="24"/>
          <w:szCs w:val="24"/>
          <w:highlight w:val="none"/>
          <w14:textFill>
            <w14:solidFill>
              <w14:schemeClr w14:val="tx1"/>
            </w14:solidFill>
          </w14:textFill>
        </w:rPr>
        <w:t>”和坚持“管生产必须管安全</w:t>
      </w:r>
      <w:r>
        <w:rPr>
          <w:rFonts w:hint="eastAsia" w:ascii="宋体" w:hAnsi="宋体" w:cs="宋体"/>
          <w:color w:val="000000" w:themeColor="text1"/>
          <w:spacing w:val="-86"/>
          <w:sz w:val="24"/>
          <w:szCs w:val="24"/>
          <w:highlight w:val="none"/>
          <w14:textFill>
            <w14:solidFill>
              <w14:schemeClr w14:val="tx1"/>
            </w14:solidFill>
          </w14:textFill>
        </w:rPr>
        <w:t xml:space="preserve"> </w:t>
      </w:r>
      <w:r>
        <w:rPr>
          <w:rFonts w:hint="eastAsia" w:ascii="宋体" w:hAnsi="宋体" w:cs="宋体"/>
          <w:color w:val="000000" w:themeColor="text1"/>
          <w:spacing w:val="5"/>
          <w:sz w:val="24"/>
          <w:szCs w:val="24"/>
          <w:highlight w:val="none"/>
          <w14:textFill>
            <w14:solidFill>
              <w14:schemeClr w14:val="tx1"/>
            </w14:solidFill>
          </w14:textFill>
        </w:rPr>
        <w:t>”</w:t>
      </w:r>
      <w:r>
        <w:rPr>
          <w:rFonts w:hint="eastAsia" w:ascii="宋体" w:hAnsi="宋体" w:cs="宋体"/>
          <w:color w:val="000000" w:themeColor="text1"/>
          <w:sz w:val="24"/>
          <w:szCs w:val="24"/>
          <w:highlight w:val="none"/>
          <w14:textFill>
            <w14:solidFill>
              <w14:schemeClr w14:val="tx1"/>
            </w14:solidFill>
          </w14:textFill>
        </w:rPr>
        <w:t>的原则进行安全生产管理，做到生产与安全工作同时计划、布置、检查、总结和评</w:t>
      </w:r>
      <w:r>
        <w:rPr>
          <w:rFonts w:hint="eastAsia" w:ascii="宋体" w:hAnsi="宋体" w:cs="宋体"/>
          <w:color w:val="000000" w:themeColor="text1"/>
          <w:spacing w:val="-15"/>
          <w:sz w:val="24"/>
          <w:szCs w:val="24"/>
          <w:highlight w:val="none"/>
          <w14:textFill>
            <w14:solidFill>
              <w14:schemeClr w14:val="tx1"/>
            </w14:solidFill>
          </w14:textFill>
        </w:rPr>
        <w:t>比。</w:t>
      </w:r>
    </w:p>
    <w:p w14:paraId="091B45E2">
      <w:pPr>
        <w:spacing w:before="98" w:line="219" w:lineRule="auto"/>
        <w:ind w:left="492"/>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pacing w:val="-1"/>
          <w:sz w:val="24"/>
          <w:szCs w:val="24"/>
          <w:highlight w:val="none"/>
          <w14:textFill>
            <w14:solidFill>
              <w14:schemeClr w14:val="tx1"/>
            </w14:solidFill>
          </w14:textFill>
        </w:rPr>
        <w:t>（3）重要的安全设施必须坚持与养护作业设备同时投入使用。</w:t>
      </w:r>
    </w:p>
    <w:p w14:paraId="24745279">
      <w:pPr>
        <w:spacing w:before="116" w:line="219" w:lineRule="auto"/>
        <w:ind w:left="492"/>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pacing w:val="-1"/>
          <w:sz w:val="24"/>
          <w:szCs w:val="24"/>
          <w:highlight w:val="none"/>
          <w14:textFill>
            <w14:solidFill>
              <w14:schemeClr w14:val="tx1"/>
            </w14:solidFill>
          </w14:textFill>
        </w:rPr>
        <w:t>（4）定期召开安全生产调度会，及时传达中央及地方有关安全生产的精神。</w:t>
      </w:r>
    </w:p>
    <w:p w14:paraId="7D1D4C26">
      <w:pPr>
        <w:spacing w:before="117" w:line="263" w:lineRule="auto"/>
        <w:ind w:left="2" w:right="112" w:firstLine="489"/>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pacing w:val="4"/>
          <w:sz w:val="24"/>
          <w:szCs w:val="24"/>
          <w:highlight w:val="none"/>
          <w14:textFill>
            <w14:solidFill>
              <w14:schemeClr w14:val="tx1"/>
            </w14:solidFill>
          </w14:textFill>
        </w:rPr>
        <w:t>（5）组织对承包人养护作业场地进行安全生产检查，监督承包人及时处</w:t>
      </w:r>
      <w:r>
        <w:rPr>
          <w:rFonts w:hint="eastAsia" w:ascii="宋体" w:hAnsi="宋体" w:cs="宋体"/>
          <w:color w:val="000000" w:themeColor="text1"/>
          <w:spacing w:val="3"/>
          <w:sz w:val="24"/>
          <w:szCs w:val="24"/>
          <w:highlight w:val="none"/>
          <w14:textFill>
            <w14:solidFill>
              <w14:schemeClr w14:val="tx1"/>
            </w14:solidFill>
          </w14:textFill>
        </w:rPr>
        <w:t>理发</w:t>
      </w:r>
      <w:r>
        <w:rPr>
          <w:rFonts w:hint="eastAsia" w:ascii="宋体" w:hAnsi="宋体" w:cs="宋体"/>
          <w:color w:val="000000" w:themeColor="text1"/>
          <w:spacing w:val="-2"/>
          <w:sz w:val="24"/>
          <w:szCs w:val="24"/>
          <w:highlight w:val="none"/>
          <w14:textFill>
            <w14:solidFill>
              <w14:schemeClr w14:val="tx1"/>
            </w14:solidFill>
          </w14:textFill>
        </w:rPr>
        <w:t>现的各种安全隐患。</w:t>
      </w:r>
    </w:p>
    <w:p w14:paraId="13440ECE">
      <w:pPr>
        <w:spacing w:before="115" w:line="219" w:lineRule="auto"/>
        <w:ind w:left="476"/>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pacing w:val="-1"/>
          <w:sz w:val="24"/>
          <w:szCs w:val="24"/>
          <w:highlight w:val="none"/>
          <w14:textFill>
            <w14:solidFill>
              <w14:schemeClr w14:val="tx1"/>
            </w14:solidFill>
          </w14:textFill>
        </w:rPr>
        <w:t>2.承包人职责</w:t>
      </w:r>
    </w:p>
    <w:p w14:paraId="299784D8">
      <w:pPr>
        <w:spacing w:before="115" w:line="286" w:lineRule="auto"/>
        <w:ind w:left="1" w:right="112" w:firstLine="49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pacing w:val="4"/>
          <w:sz w:val="24"/>
          <w:szCs w:val="24"/>
          <w:highlight w:val="none"/>
          <w14:textFill>
            <w14:solidFill>
              <w14:schemeClr w14:val="tx1"/>
            </w14:solidFill>
          </w14:textFill>
        </w:rPr>
        <w:t>（1）严格遵守《中华人民共和国安全生产法》等国家有关安全生产的法</w:t>
      </w:r>
      <w:r>
        <w:rPr>
          <w:rFonts w:hint="eastAsia" w:ascii="宋体" w:hAnsi="宋体" w:cs="宋体"/>
          <w:color w:val="000000" w:themeColor="text1"/>
          <w:spacing w:val="3"/>
          <w:sz w:val="24"/>
          <w:szCs w:val="24"/>
          <w:highlight w:val="none"/>
          <w14:textFill>
            <w14:solidFill>
              <w14:schemeClr w14:val="tx1"/>
            </w14:solidFill>
          </w14:textFill>
        </w:rPr>
        <w:t>律法</w:t>
      </w:r>
      <w:r>
        <w:rPr>
          <w:rFonts w:hint="eastAsia" w:ascii="宋体" w:hAnsi="宋体" w:cs="宋体"/>
          <w:color w:val="000000" w:themeColor="text1"/>
          <w:spacing w:val="-6"/>
          <w:sz w:val="24"/>
          <w:szCs w:val="24"/>
          <w:highlight w:val="none"/>
          <w14:textFill>
            <w14:solidFill>
              <w14:schemeClr w14:val="tx1"/>
            </w14:solidFill>
          </w14:textFill>
        </w:rPr>
        <w:t>规、《公路水运工程安全生产监督管理办法》、《公路养护安全作业规程》和《公路</w:t>
      </w:r>
      <w:r>
        <w:rPr>
          <w:rFonts w:hint="eastAsia" w:ascii="宋体" w:hAnsi="宋体" w:cs="宋体"/>
          <w:color w:val="000000" w:themeColor="text1"/>
          <w:spacing w:val="1"/>
          <w:sz w:val="24"/>
          <w:szCs w:val="24"/>
          <w:highlight w:val="none"/>
          <w14:textFill>
            <w14:solidFill>
              <w14:schemeClr w14:val="tx1"/>
            </w14:solidFill>
          </w14:textFill>
        </w:rPr>
        <w:t>工程施工安全技术规范》等有关安全生产的规定。认真</w:t>
      </w:r>
      <w:r>
        <w:rPr>
          <w:rFonts w:hint="eastAsia" w:ascii="宋体" w:hAnsi="宋体" w:cs="宋体"/>
          <w:color w:val="000000" w:themeColor="text1"/>
          <w:sz w:val="24"/>
          <w:szCs w:val="24"/>
          <w:highlight w:val="none"/>
          <w14:textFill>
            <w14:solidFill>
              <w14:schemeClr w14:val="tx1"/>
            </w14:solidFill>
          </w14:textFill>
        </w:rPr>
        <w:t>执行养护合同中的有关安全</w:t>
      </w:r>
      <w:r>
        <w:rPr>
          <w:rFonts w:hint="eastAsia" w:ascii="宋体" w:hAnsi="宋体" w:cs="宋体"/>
          <w:color w:val="000000" w:themeColor="text1"/>
          <w:spacing w:val="-4"/>
          <w:sz w:val="24"/>
          <w:szCs w:val="24"/>
          <w:highlight w:val="none"/>
          <w14:textFill>
            <w14:solidFill>
              <w14:schemeClr w14:val="tx1"/>
            </w14:solidFill>
          </w14:textFill>
        </w:rPr>
        <w:t>要求。</w:t>
      </w:r>
    </w:p>
    <w:p w14:paraId="1F2B8C04">
      <w:pPr>
        <w:spacing w:before="114" w:line="293" w:lineRule="auto"/>
        <w:ind w:left="1" w:right="112" w:firstLine="49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pacing w:val="2"/>
          <w:sz w:val="24"/>
          <w:szCs w:val="24"/>
          <w:highlight w:val="none"/>
          <w14:textFill>
            <w14:solidFill>
              <w14:schemeClr w14:val="tx1"/>
            </w14:solidFill>
          </w14:textFill>
        </w:rPr>
        <w:t>（2）坚持“安全第一、预防为主、综合治理</w:t>
      </w:r>
      <w:r>
        <w:rPr>
          <w:rFonts w:hint="eastAsia" w:ascii="宋体" w:hAnsi="宋体" w:cs="宋体"/>
          <w:color w:val="000000" w:themeColor="text1"/>
          <w:spacing w:val="-83"/>
          <w:sz w:val="24"/>
          <w:szCs w:val="24"/>
          <w:highlight w:val="none"/>
          <w14:textFill>
            <w14:solidFill>
              <w14:schemeClr w14:val="tx1"/>
            </w14:solidFill>
          </w14:textFill>
        </w:rPr>
        <w:t xml:space="preserve"> </w:t>
      </w:r>
      <w:r>
        <w:rPr>
          <w:rFonts w:hint="eastAsia" w:ascii="宋体" w:hAnsi="宋体" w:cs="宋体"/>
          <w:color w:val="000000" w:themeColor="text1"/>
          <w:spacing w:val="2"/>
          <w:sz w:val="24"/>
          <w:szCs w:val="24"/>
          <w:highlight w:val="none"/>
          <w14:textFill>
            <w14:solidFill>
              <w14:schemeClr w14:val="tx1"/>
            </w14:solidFill>
          </w14:textFill>
        </w:rPr>
        <w:t>”和“管生产</w:t>
      </w:r>
      <w:r>
        <w:rPr>
          <w:rFonts w:hint="eastAsia" w:ascii="宋体" w:hAnsi="宋体" w:cs="宋体"/>
          <w:color w:val="000000" w:themeColor="text1"/>
          <w:spacing w:val="1"/>
          <w:sz w:val="24"/>
          <w:szCs w:val="24"/>
          <w:highlight w:val="none"/>
          <w14:textFill>
            <w14:solidFill>
              <w14:schemeClr w14:val="tx1"/>
            </w14:solidFill>
          </w14:textFill>
        </w:rPr>
        <w:t>必须管安全</w:t>
      </w:r>
      <w:r>
        <w:rPr>
          <w:rFonts w:hint="eastAsia" w:ascii="宋体" w:hAnsi="宋体" w:cs="宋体"/>
          <w:color w:val="000000" w:themeColor="text1"/>
          <w:spacing w:val="-86"/>
          <w:sz w:val="24"/>
          <w:szCs w:val="24"/>
          <w:highlight w:val="none"/>
          <w14:textFill>
            <w14:solidFill>
              <w14:schemeClr w14:val="tx1"/>
            </w14:solidFill>
          </w14:textFill>
        </w:rPr>
        <w:t xml:space="preserve"> </w:t>
      </w:r>
      <w:r>
        <w:rPr>
          <w:rFonts w:hint="eastAsia" w:ascii="宋体" w:hAnsi="宋体" w:cs="宋体"/>
          <w:color w:val="000000" w:themeColor="text1"/>
          <w:spacing w:val="1"/>
          <w:sz w:val="24"/>
          <w:szCs w:val="24"/>
          <w:highlight w:val="none"/>
          <w14:textFill>
            <w14:solidFill>
              <w14:schemeClr w14:val="tx1"/>
            </w14:solidFill>
          </w14:textFill>
        </w:rPr>
        <w:t>”的原则，加强安全生产宣传教育，增强全员安全生产意识，</w:t>
      </w:r>
      <w:r>
        <w:rPr>
          <w:rFonts w:hint="eastAsia" w:ascii="宋体" w:hAnsi="宋体" w:cs="宋体"/>
          <w:color w:val="000000" w:themeColor="text1"/>
          <w:sz w:val="24"/>
          <w:szCs w:val="24"/>
          <w:highlight w:val="none"/>
          <w14:textFill>
            <w14:solidFill>
              <w14:schemeClr w14:val="tx1"/>
            </w14:solidFill>
          </w14:textFill>
        </w:rPr>
        <w:t>建立健全各项安全生产的管</w:t>
      </w:r>
      <w:r>
        <w:rPr>
          <w:rFonts w:hint="eastAsia" w:ascii="宋体" w:hAnsi="宋体" w:cs="宋体"/>
          <w:color w:val="000000" w:themeColor="text1"/>
          <w:spacing w:val="1"/>
          <w:sz w:val="24"/>
          <w:szCs w:val="24"/>
          <w:highlight w:val="none"/>
          <w14:textFill>
            <w14:solidFill>
              <w14:schemeClr w14:val="tx1"/>
            </w14:solidFill>
          </w14:textFill>
        </w:rPr>
        <w:t>理机构和安全生产管理制度，配备专职及兼职安全生产</w:t>
      </w:r>
      <w:r>
        <w:rPr>
          <w:rFonts w:hint="eastAsia" w:ascii="宋体" w:hAnsi="宋体" w:cs="宋体"/>
          <w:color w:val="000000" w:themeColor="text1"/>
          <w:sz w:val="24"/>
          <w:szCs w:val="24"/>
          <w:highlight w:val="none"/>
          <w14:textFill>
            <w14:solidFill>
              <w14:schemeClr w14:val="tx1"/>
            </w14:solidFill>
          </w14:textFill>
        </w:rPr>
        <w:t>检查人员，有组织有领导地</w:t>
      </w:r>
      <w:r>
        <w:rPr>
          <w:rFonts w:hint="eastAsia" w:ascii="宋体" w:hAnsi="宋体" w:cs="宋体"/>
          <w:color w:val="000000" w:themeColor="text1"/>
          <w:spacing w:val="1"/>
          <w:sz w:val="24"/>
          <w:szCs w:val="24"/>
          <w:highlight w:val="none"/>
          <w14:textFill>
            <w14:solidFill>
              <w14:schemeClr w14:val="tx1"/>
            </w14:solidFill>
          </w14:textFill>
        </w:rPr>
        <w:t>开展安全生产活动。各级领导、养护技术人员、生产管</w:t>
      </w:r>
      <w:r>
        <w:rPr>
          <w:rFonts w:hint="eastAsia" w:ascii="宋体" w:hAnsi="宋体" w:cs="宋体"/>
          <w:color w:val="000000" w:themeColor="text1"/>
          <w:sz w:val="24"/>
          <w:szCs w:val="24"/>
          <w:highlight w:val="none"/>
          <w14:textFill>
            <w14:solidFill>
              <w14:schemeClr w14:val="tx1"/>
            </w14:solidFill>
          </w14:textFill>
        </w:rPr>
        <w:t>理人员和具体操作人员，必</w:t>
      </w:r>
      <w:r>
        <w:rPr>
          <w:rFonts w:hint="eastAsia" w:ascii="宋体" w:hAnsi="宋体" w:cs="宋体"/>
          <w:color w:val="000000" w:themeColor="text1"/>
          <w:spacing w:val="1"/>
          <w:sz w:val="24"/>
          <w:szCs w:val="24"/>
          <w:highlight w:val="none"/>
          <w14:textFill>
            <w14:solidFill>
              <w14:schemeClr w14:val="tx1"/>
            </w14:solidFill>
          </w14:textFill>
        </w:rPr>
        <w:t>须熟悉和遵守本合同的各项约定，做到生产与安全工作</w:t>
      </w:r>
      <w:r>
        <w:rPr>
          <w:rFonts w:hint="eastAsia" w:ascii="宋体" w:hAnsi="宋体" w:cs="宋体"/>
          <w:color w:val="000000" w:themeColor="text1"/>
          <w:sz w:val="24"/>
          <w:szCs w:val="24"/>
          <w:highlight w:val="none"/>
          <w14:textFill>
            <w14:solidFill>
              <w14:schemeClr w14:val="tx1"/>
            </w14:solidFill>
          </w14:textFill>
        </w:rPr>
        <w:t>同时计划、布置、检查、总</w:t>
      </w:r>
      <w:r>
        <w:rPr>
          <w:rFonts w:hint="eastAsia" w:ascii="宋体" w:hAnsi="宋体" w:cs="宋体"/>
          <w:color w:val="000000" w:themeColor="text1"/>
          <w:spacing w:val="-3"/>
          <w:sz w:val="24"/>
          <w:szCs w:val="24"/>
          <w:highlight w:val="none"/>
          <w14:textFill>
            <w14:solidFill>
              <w14:schemeClr w14:val="tx1"/>
            </w14:solidFill>
          </w14:textFill>
        </w:rPr>
        <w:t>结和评比。</w:t>
      </w:r>
    </w:p>
    <w:p w14:paraId="0BD9264D">
      <w:pPr>
        <w:spacing w:before="113" w:line="293" w:lineRule="auto"/>
        <w:ind w:right="112" w:firstLine="491"/>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pacing w:val="4"/>
          <w:sz w:val="24"/>
          <w:szCs w:val="24"/>
          <w:highlight w:val="none"/>
          <w14:textFill>
            <w14:solidFill>
              <w14:schemeClr w14:val="tx1"/>
            </w14:solidFill>
          </w14:textFill>
        </w:rPr>
        <w:t>（3）建立健全安全生产责任制。从派往项目实施的项目经理到生产工人</w:t>
      </w:r>
      <w:r>
        <w:rPr>
          <w:rFonts w:hint="eastAsia" w:ascii="宋体" w:hAnsi="宋体" w:cs="宋体"/>
          <w:color w:val="000000" w:themeColor="text1"/>
          <w:spacing w:val="3"/>
          <w:sz w:val="24"/>
          <w:szCs w:val="24"/>
          <w:highlight w:val="none"/>
          <w14:textFill>
            <w14:solidFill>
              <w14:schemeClr w14:val="tx1"/>
            </w14:solidFill>
          </w14:textFill>
        </w:rPr>
        <w:t>（包</w:t>
      </w:r>
      <w:r>
        <w:rPr>
          <w:rFonts w:hint="eastAsia" w:ascii="宋体" w:hAnsi="宋体" w:cs="宋体"/>
          <w:color w:val="000000" w:themeColor="text1"/>
          <w:spacing w:val="1"/>
          <w:sz w:val="24"/>
          <w:szCs w:val="24"/>
          <w:highlight w:val="none"/>
          <w14:textFill>
            <w14:solidFill>
              <w14:schemeClr w14:val="tx1"/>
            </w14:solidFill>
          </w14:textFill>
        </w:rPr>
        <w:t>括临时雇请的农民工）的安全生产管理系统必须做到纵向</w:t>
      </w:r>
      <w:r>
        <w:rPr>
          <w:rFonts w:hint="eastAsia" w:ascii="宋体" w:hAnsi="宋体" w:cs="宋体"/>
          <w:color w:val="000000" w:themeColor="text1"/>
          <w:sz w:val="24"/>
          <w:szCs w:val="24"/>
          <w:highlight w:val="none"/>
          <w14:textFill>
            <w14:solidFill>
              <w14:schemeClr w14:val="tx1"/>
            </w14:solidFill>
          </w14:textFill>
        </w:rPr>
        <w:t>到底，一环不漏；各职能</w:t>
      </w:r>
      <w:r>
        <w:rPr>
          <w:rFonts w:hint="eastAsia" w:ascii="宋体" w:hAnsi="宋体" w:cs="宋体"/>
          <w:color w:val="000000" w:themeColor="text1"/>
          <w:spacing w:val="1"/>
          <w:sz w:val="24"/>
          <w:szCs w:val="24"/>
          <w:highlight w:val="none"/>
          <w14:textFill>
            <w14:solidFill>
              <w14:schemeClr w14:val="tx1"/>
            </w14:solidFill>
          </w14:textFill>
        </w:rPr>
        <w:t>部门、人员的安全生产责任制做到横向到边，人人有责。</w:t>
      </w:r>
      <w:r>
        <w:rPr>
          <w:rFonts w:hint="eastAsia" w:ascii="宋体" w:hAnsi="宋体" w:cs="宋体"/>
          <w:color w:val="000000" w:themeColor="text1"/>
          <w:sz w:val="24"/>
          <w:szCs w:val="24"/>
          <w:highlight w:val="none"/>
          <w14:textFill>
            <w14:solidFill>
              <w14:schemeClr w14:val="tx1"/>
            </w14:solidFill>
          </w14:textFill>
        </w:rPr>
        <w:t>项目经理是安全生产的第</w:t>
      </w:r>
      <w:r>
        <w:rPr>
          <w:rFonts w:hint="eastAsia" w:ascii="宋体" w:hAnsi="宋体" w:cs="宋体"/>
          <w:color w:val="000000" w:themeColor="text1"/>
          <w:spacing w:val="1"/>
          <w:sz w:val="24"/>
          <w:szCs w:val="24"/>
          <w:highlight w:val="none"/>
          <w14:textFill>
            <w14:solidFill>
              <w14:schemeClr w14:val="tx1"/>
            </w14:solidFill>
          </w14:textFill>
        </w:rPr>
        <w:t>一责任人。现场设置的安全机构，应按养护合同约定配备</w:t>
      </w:r>
      <w:r>
        <w:rPr>
          <w:rFonts w:hint="eastAsia" w:ascii="宋体" w:hAnsi="宋体" w:cs="宋体"/>
          <w:color w:val="000000" w:themeColor="text1"/>
          <w:sz w:val="24"/>
          <w:szCs w:val="24"/>
          <w:highlight w:val="none"/>
          <w14:textFill>
            <w14:solidFill>
              <w14:schemeClr w14:val="tx1"/>
            </w14:solidFill>
          </w14:textFill>
        </w:rPr>
        <w:t>专职安全生产管理人员，</w:t>
      </w:r>
      <w:r>
        <w:rPr>
          <w:rFonts w:hint="eastAsia" w:ascii="宋体" w:hAnsi="宋体" w:cs="宋体"/>
          <w:color w:val="000000" w:themeColor="text1"/>
          <w:spacing w:val="1"/>
          <w:sz w:val="24"/>
          <w:szCs w:val="24"/>
          <w:highlight w:val="none"/>
          <w14:textFill>
            <w14:solidFill>
              <w14:schemeClr w14:val="tx1"/>
            </w14:solidFill>
          </w14:textFill>
        </w:rPr>
        <w:t>专职负责所有员工的安全和治安保卫工作及预防事故的发</w:t>
      </w:r>
      <w:r>
        <w:rPr>
          <w:rFonts w:hint="eastAsia" w:ascii="宋体" w:hAnsi="宋体" w:cs="宋体"/>
          <w:color w:val="000000" w:themeColor="text1"/>
          <w:sz w:val="24"/>
          <w:szCs w:val="24"/>
          <w:highlight w:val="none"/>
          <w14:textFill>
            <w14:solidFill>
              <w14:schemeClr w14:val="tx1"/>
            </w14:solidFill>
          </w14:textFill>
        </w:rPr>
        <w:t>生。安全机构人员有权按</w:t>
      </w:r>
      <w:r>
        <w:rPr>
          <w:rFonts w:hint="eastAsia" w:ascii="宋体" w:hAnsi="宋体" w:cs="宋体"/>
          <w:color w:val="000000" w:themeColor="text1"/>
          <w:spacing w:val="-1"/>
          <w:sz w:val="24"/>
          <w:szCs w:val="24"/>
          <w:highlight w:val="none"/>
          <w14:textFill>
            <w14:solidFill>
              <w14:schemeClr w14:val="tx1"/>
            </w14:solidFill>
          </w14:textFill>
        </w:rPr>
        <w:t>有关规定发布指令，并采取保护性措施防止事故发生。</w:t>
      </w:r>
    </w:p>
    <w:p w14:paraId="1C56748A">
      <w:pPr>
        <w:spacing w:before="78" w:line="263" w:lineRule="auto"/>
        <w:ind w:right="145" w:firstLine="491"/>
        <w:rPr>
          <w:rFonts w:ascii="宋体" w:hAnsi="宋体" w:cs="宋体"/>
          <w:color w:val="000000" w:themeColor="text1"/>
          <w:sz w:val="24"/>
          <w:szCs w:val="24"/>
          <w:highlight w:val="none"/>
          <w14:textFill>
            <w14:solidFill>
              <w14:schemeClr w14:val="tx1"/>
            </w14:solidFill>
          </w14:textFill>
        </w:rPr>
      </w:pPr>
      <w:bookmarkStart w:id="257" w:name="bookmark235"/>
      <w:bookmarkEnd w:id="257"/>
      <w:r>
        <w:rPr>
          <w:rFonts w:hint="eastAsia" w:ascii="宋体" w:hAnsi="宋体" w:cs="宋体"/>
          <w:color w:val="000000" w:themeColor="text1"/>
          <w:spacing w:val="4"/>
          <w:sz w:val="24"/>
          <w:szCs w:val="24"/>
          <w:highlight w:val="none"/>
          <w14:textFill>
            <w14:solidFill>
              <w14:schemeClr w14:val="tx1"/>
            </w14:solidFill>
          </w14:textFill>
        </w:rPr>
        <w:t>（4）承包人在任何时候都应采取各种合理的预防措施，防止其员工发生</w:t>
      </w:r>
      <w:r>
        <w:rPr>
          <w:rFonts w:hint="eastAsia" w:ascii="宋体" w:hAnsi="宋体" w:cs="宋体"/>
          <w:color w:val="000000" w:themeColor="text1"/>
          <w:spacing w:val="3"/>
          <w:sz w:val="24"/>
          <w:szCs w:val="24"/>
          <w:highlight w:val="none"/>
          <w14:textFill>
            <w14:solidFill>
              <w14:schemeClr w14:val="tx1"/>
            </w14:solidFill>
          </w14:textFill>
        </w:rPr>
        <w:t>任何</w:t>
      </w:r>
      <w:r>
        <w:rPr>
          <w:rFonts w:hint="eastAsia" w:ascii="宋体" w:hAnsi="宋体" w:cs="宋体"/>
          <w:color w:val="000000" w:themeColor="text1"/>
          <w:spacing w:val="-1"/>
          <w:sz w:val="24"/>
          <w:szCs w:val="24"/>
          <w:highlight w:val="none"/>
          <w14:textFill>
            <w14:solidFill>
              <w14:schemeClr w14:val="tx1"/>
            </w14:solidFill>
          </w14:textFill>
        </w:rPr>
        <w:t>违法、违禁、暴力或妨碍治安的行为。</w:t>
      </w:r>
    </w:p>
    <w:p w14:paraId="5C81397E">
      <w:pPr>
        <w:spacing w:before="115" w:line="293" w:lineRule="auto"/>
        <w:ind w:right="145" w:firstLine="492"/>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pacing w:val="4"/>
          <w:sz w:val="24"/>
          <w:szCs w:val="24"/>
          <w:highlight w:val="none"/>
          <w14:textFill>
            <w14:solidFill>
              <w14:schemeClr w14:val="tx1"/>
            </w14:solidFill>
          </w14:textFill>
        </w:rPr>
        <w:t>（5）承包人参加养护作业实施的人员，必须接受安全技术教育，熟知和</w:t>
      </w:r>
      <w:r>
        <w:rPr>
          <w:rFonts w:hint="eastAsia" w:ascii="宋体" w:hAnsi="宋体" w:cs="宋体"/>
          <w:color w:val="000000" w:themeColor="text1"/>
          <w:spacing w:val="3"/>
          <w:sz w:val="24"/>
          <w:szCs w:val="24"/>
          <w:highlight w:val="none"/>
          <w14:textFill>
            <w14:solidFill>
              <w14:schemeClr w14:val="tx1"/>
            </w14:solidFill>
          </w14:textFill>
        </w:rPr>
        <w:t>遵守</w:t>
      </w:r>
      <w:r>
        <w:rPr>
          <w:rFonts w:hint="eastAsia" w:ascii="宋体" w:hAnsi="宋体" w:cs="宋体"/>
          <w:color w:val="000000" w:themeColor="text1"/>
          <w:spacing w:val="1"/>
          <w:sz w:val="24"/>
          <w:szCs w:val="24"/>
          <w:highlight w:val="none"/>
          <w14:textFill>
            <w14:solidFill>
              <w14:schemeClr w14:val="tx1"/>
            </w14:solidFill>
          </w14:textFill>
        </w:rPr>
        <w:t>本工种的各项安全技术操作规程，定期进行安全技术考核，</w:t>
      </w:r>
      <w:r>
        <w:rPr>
          <w:rFonts w:hint="eastAsia" w:ascii="宋体" w:hAnsi="宋体" w:cs="宋体"/>
          <w:color w:val="000000" w:themeColor="text1"/>
          <w:sz w:val="24"/>
          <w:szCs w:val="24"/>
          <w:highlight w:val="none"/>
          <w14:textFill>
            <w14:solidFill>
              <w14:schemeClr w14:val="tx1"/>
            </w14:solidFill>
          </w14:textFill>
        </w:rPr>
        <w:t>合格者方准上岗操作。</w:t>
      </w:r>
      <w:r>
        <w:rPr>
          <w:rFonts w:hint="eastAsia" w:ascii="宋体" w:hAnsi="宋体" w:cs="宋体"/>
          <w:color w:val="000000" w:themeColor="text1"/>
          <w:spacing w:val="1"/>
          <w:sz w:val="24"/>
          <w:szCs w:val="24"/>
          <w:highlight w:val="none"/>
          <w14:textFill>
            <w14:solidFill>
              <w14:schemeClr w14:val="tx1"/>
            </w14:solidFill>
          </w14:textFill>
        </w:rPr>
        <w:t>对于从事电气、起重、建筑登高架设作业、锅炉、压力容器</w:t>
      </w:r>
      <w:r>
        <w:rPr>
          <w:rFonts w:hint="eastAsia" w:ascii="宋体" w:hAnsi="宋体" w:cs="宋体"/>
          <w:color w:val="000000" w:themeColor="text1"/>
          <w:sz w:val="24"/>
          <w:szCs w:val="24"/>
          <w:highlight w:val="none"/>
          <w14:textFill>
            <w14:solidFill>
              <w14:schemeClr w14:val="tx1"/>
            </w14:solidFill>
          </w14:textFill>
        </w:rPr>
        <w:t>、焊接、机动车船艇驾</w:t>
      </w:r>
      <w:r>
        <w:rPr>
          <w:rFonts w:hint="eastAsia" w:ascii="宋体" w:hAnsi="宋体" w:cs="宋体"/>
          <w:color w:val="000000" w:themeColor="text1"/>
          <w:spacing w:val="1"/>
          <w:sz w:val="24"/>
          <w:szCs w:val="24"/>
          <w:highlight w:val="none"/>
          <w14:textFill>
            <w14:solidFill>
              <w14:schemeClr w14:val="tx1"/>
            </w14:solidFill>
          </w14:textFill>
        </w:rPr>
        <w:t>驶、爆破、潜水、瓦斯检验等特殊工种的人员，经过专业培</w:t>
      </w:r>
      <w:r>
        <w:rPr>
          <w:rFonts w:hint="eastAsia" w:ascii="宋体" w:hAnsi="宋体" w:cs="宋体"/>
          <w:color w:val="000000" w:themeColor="text1"/>
          <w:sz w:val="24"/>
          <w:szCs w:val="24"/>
          <w:highlight w:val="none"/>
          <w14:textFill>
            <w14:solidFill>
              <w14:schemeClr w14:val="tx1"/>
            </w14:solidFill>
          </w14:textFill>
        </w:rPr>
        <w:t>训，获得《安全操作合</w:t>
      </w:r>
      <w:r>
        <w:rPr>
          <w:rFonts w:hint="eastAsia" w:ascii="宋体" w:hAnsi="宋体" w:cs="宋体"/>
          <w:color w:val="000000" w:themeColor="text1"/>
          <w:spacing w:val="1"/>
          <w:sz w:val="24"/>
          <w:szCs w:val="24"/>
          <w:highlight w:val="none"/>
          <w14:textFill>
            <w14:solidFill>
              <w14:schemeClr w14:val="tx1"/>
            </w14:solidFill>
          </w14:textFill>
        </w:rPr>
        <w:t>格证》后，方准持证上岗。养护作业场地如出现特种作业无</w:t>
      </w:r>
      <w:r>
        <w:rPr>
          <w:rFonts w:hint="eastAsia" w:ascii="宋体" w:hAnsi="宋体" w:cs="宋体"/>
          <w:color w:val="000000" w:themeColor="text1"/>
          <w:sz w:val="24"/>
          <w:szCs w:val="24"/>
          <w:highlight w:val="none"/>
          <w14:textFill>
            <w14:solidFill>
              <w14:schemeClr w14:val="tx1"/>
            </w14:solidFill>
          </w14:textFill>
        </w:rPr>
        <w:t>证操作现象时，项目经</w:t>
      </w:r>
      <w:r>
        <w:rPr>
          <w:rFonts w:hint="eastAsia" w:ascii="宋体" w:hAnsi="宋体" w:cs="宋体"/>
          <w:color w:val="000000" w:themeColor="text1"/>
          <w:spacing w:val="-1"/>
          <w:sz w:val="24"/>
          <w:szCs w:val="24"/>
          <w:highlight w:val="none"/>
          <w14:textFill>
            <w14:solidFill>
              <w14:schemeClr w14:val="tx1"/>
            </w14:solidFill>
          </w14:textFill>
        </w:rPr>
        <w:t>理必须承担管理责任。</w:t>
      </w:r>
    </w:p>
    <w:p w14:paraId="41154E90">
      <w:pPr>
        <w:spacing w:before="113" w:line="278" w:lineRule="auto"/>
        <w:ind w:right="145" w:firstLine="492"/>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pacing w:val="4"/>
          <w:sz w:val="24"/>
          <w:szCs w:val="24"/>
          <w:highlight w:val="none"/>
          <w14:textFill>
            <w14:solidFill>
              <w14:schemeClr w14:val="tx1"/>
            </w14:solidFill>
          </w14:textFill>
        </w:rPr>
        <w:t>（6）对于易燃易爆的材料除应专门妥善保管之外，还应配备有足够的消</w:t>
      </w:r>
      <w:r>
        <w:rPr>
          <w:rFonts w:hint="eastAsia" w:ascii="宋体" w:hAnsi="宋体" w:cs="宋体"/>
          <w:color w:val="000000" w:themeColor="text1"/>
          <w:spacing w:val="3"/>
          <w:sz w:val="24"/>
          <w:szCs w:val="24"/>
          <w:highlight w:val="none"/>
          <w14:textFill>
            <w14:solidFill>
              <w14:schemeClr w14:val="tx1"/>
            </w14:solidFill>
          </w14:textFill>
        </w:rPr>
        <w:t>防设</w:t>
      </w:r>
      <w:r>
        <w:rPr>
          <w:rFonts w:hint="eastAsia" w:ascii="宋体" w:hAnsi="宋体" w:cs="宋体"/>
          <w:color w:val="000000" w:themeColor="text1"/>
          <w:spacing w:val="1"/>
          <w:sz w:val="24"/>
          <w:szCs w:val="24"/>
          <w:highlight w:val="none"/>
          <w14:textFill>
            <w14:solidFill>
              <w14:schemeClr w14:val="tx1"/>
            </w14:solidFill>
          </w14:textFill>
        </w:rPr>
        <w:t>施，所有养护人员都应熟悉消防设备的性能和使用方法；承</w:t>
      </w:r>
      <w:r>
        <w:rPr>
          <w:rFonts w:hint="eastAsia" w:ascii="宋体" w:hAnsi="宋体" w:cs="宋体"/>
          <w:color w:val="000000" w:themeColor="text1"/>
          <w:sz w:val="24"/>
          <w:szCs w:val="24"/>
          <w:highlight w:val="none"/>
          <w14:textFill>
            <w14:solidFill>
              <w14:schemeClr w14:val="tx1"/>
            </w14:solidFill>
          </w14:textFill>
        </w:rPr>
        <w:t>包人不得将任何种类的爆炸物给予、易货或以其他方式转让给任何其他人，或允许</w:t>
      </w:r>
      <w:r>
        <w:rPr>
          <w:rFonts w:hint="eastAsia" w:ascii="宋体" w:hAnsi="宋体" w:cs="宋体"/>
          <w:color w:val="000000" w:themeColor="text1"/>
          <w:spacing w:val="-1"/>
          <w:sz w:val="24"/>
          <w:szCs w:val="24"/>
          <w:highlight w:val="none"/>
          <w14:textFill>
            <w14:solidFill>
              <w14:schemeClr w14:val="tx1"/>
            </w14:solidFill>
          </w14:textFill>
        </w:rPr>
        <w:t>、容忍上述同样行为。</w:t>
      </w:r>
    </w:p>
    <w:p w14:paraId="7D1BBE8D">
      <w:pPr>
        <w:spacing w:before="114" w:line="264" w:lineRule="auto"/>
        <w:ind w:left="10" w:right="145" w:firstLine="482"/>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pacing w:val="4"/>
          <w:sz w:val="24"/>
          <w:szCs w:val="24"/>
          <w:highlight w:val="none"/>
          <w14:textFill>
            <w14:solidFill>
              <w14:schemeClr w14:val="tx1"/>
            </w14:solidFill>
          </w14:textFill>
        </w:rPr>
        <w:t>（7）操作人员上岗，必须按规定穿戴防护用品。养护项目负责人和安全</w:t>
      </w:r>
      <w:r>
        <w:rPr>
          <w:rFonts w:hint="eastAsia" w:ascii="宋体" w:hAnsi="宋体" w:cs="宋体"/>
          <w:color w:val="000000" w:themeColor="text1"/>
          <w:spacing w:val="3"/>
          <w:sz w:val="24"/>
          <w:szCs w:val="24"/>
          <w:highlight w:val="none"/>
          <w14:textFill>
            <w14:solidFill>
              <w14:schemeClr w14:val="tx1"/>
            </w14:solidFill>
          </w14:textFill>
        </w:rPr>
        <w:t>检查</w:t>
      </w:r>
      <w:r>
        <w:rPr>
          <w:rFonts w:hint="eastAsia" w:ascii="宋体" w:hAnsi="宋体" w:cs="宋体"/>
          <w:color w:val="000000" w:themeColor="text1"/>
          <w:spacing w:val="-1"/>
          <w:sz w:val="24"/>
          <w:szCs w:val="24"/>
          <w:highlight w:val="none"/>
          <w14:textFill>
            <w14:solidFill>
              <w14:schemeClr w14:val="tx1"/>
            </w14:solidFill>
          </w14:textFill>
        </w:rPr>
        <w:t>员应随时检查劳动防护用品的穿戴情况，不按规定穿戴防护用品的人员不得上岗。</w:t>
      </w:r>
    </w:p>
    <w:p w14:paraId="5C92530F">
      <w:pPr>
        <w:spacing w:before="113" w:line="279" w:lineRule="auto"/>
        <w:ind w:right="145" w:firstLine="491"/>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pacing w:val="4"/>
          <w:sz w:val="24"/>
          <w:szCs w:val="24"/>
          <w:highlight w:val="none"/>
          <w14:textFill>
            <w14:solidFill>
              <w14:schemeClr w14:val="tx1"/>
            </w14:solidFill>
          </w14:textFill>
        </w:rPr>
        <w:t>（8）所有养护作业机具设备和高空作业的设备均应定期检查，并有安全</w:t>
      </w:r>
      <w:r>
        <w:rPr>
          <w:rFonts w:hint="eastAsia" w:ascii="宋体" w:hAnsi="宋体" w:cs="宋体"/>
          <w:color w:val="000000" w:themeColor="text1"/>
          <w:spacing w:val="3"/>
          <w:sz w:val="24"/>
          <w:szCs w:val="24"/>
          <w:highlight w:val="none"/>
          <w14:textFill>
            <w14:solidFill>
              <w14:schemeClr w14:val="tx1"/>
            </w14:solidFill>
          </w14:textFill>
        </w:rPr>
        <w:t>员的</w:t>
      </w:r>
      <w:r>
        <w:rPr>
          <w:rFonts w:hint="eastAsia" w:ascii="宋体" w:hAnsi="宋体" w:cs="宋体"/>
          <w:color w:val="000000" w:themeColor="text1"/>
          <w:spacing w:val="1"/>
          <w:sz w:val="24"/>
          <w:szCs w:val="24"/>
          <w:highlight w:val="none"/>
          <w14:textFill>
            <w14:solidFill>
              <w14:schemeClr w14:val="tx1"/>
            </w14:solidFill>
          </w14:textFill>
        </w:rPr>
        <w:t>签字记录，保证其经常处于完好状态；不合格的机具、设</w:t>
      </w:r>
      <w:r>
        <w:rPr>
          <w:rFonts w:hint="eastAsia" w:ascii="宋体" w:hAnsi="宋体" w:cs="宋体"/>
          <w:color w:val="000000" w:themeColor="text1"/>
          <w:sz w:val="24"/>
          <w:szCs w:val="24"/>
          <w:highlight w:val="none"/>
          <w14:textFill>
            <w14:solidFill>
              <w14:schemeClr w14:val="tx1"/>
            </w14:solidFill>
          </w14:textFill>
        </w:rPr>
        <w:t>备和劳动保护用品严禁使</w:t>
      </w:r>
      <w:r>
        <w:rPr>
          <w:rFonts w:hint="eastAsia" w:ascii="宋体" w:hAnsi="宋体" w:cs="宋体"/>
          <w:color w:val="000000" w:themeColor="text1"/>
          <w:spacing w:val="-5"/>
          <w:sz w:val="24"/>
          <w:szCs w:val="24"/>
          <w:highlight w:val="none"/>
          <w14:textFill>
            <w14:solidFill>
              <w14:schemeClr w14:val="tx1"/>
            </w14:solidFill>
          </w14:textFill>
        </w:rPr>
        <w:t>用。</w:t>
      </w:r>
    </w:p>
    <w:p w14:paraId="4F50EECC">
      <w:pPr>
        <w:spacing w:before="114" w:line="263" w:lineRule="auto"/>
        <w:ind w:left="6" w:right="145" w:firstLine="485"/>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pacing w:val="4"/>
          <w:sz w:val="24"/>
          <w:szCs w:val="24"/>
          <w:highlight w:val="none"/>
          <w14:textFill>
            <w14:solidFill>
              <w14:schemeClr w14:val="tx1"/>
            </w14:solidFill>
          </w14:textFill>
        </w:rPr>
        <w:t>（9）养护作业实施过程中采用新技术、新工艺、新设备、新材料时，必</w:t>
      </w:r>
      <w:r>
        <w:rPr>
          <w:rFonts w:hint="eastAsia" w:ascii="宋体" w:hAnsi="宋体" w:cs="宋体"/>
          <w:color w:val="000000" w:themeColor="text1"/>
          <w:spacing w:val="3"/>
          <w:sz w:val="24"/>
          <w:szCs w:val="24"/>
          <w:highlight w:val="none"/>
          <w14:textFill>
            <w14:solidFill>
              <w14:schemeClr w14:val="tx1"/>
            </w14:solidFill>
          </w14:textFill>
        </w:rPr>
        <w:t>须制</w:t>
      </w:r>
      <w:r>
        <w:rPr>
          <w:rFonts w:hint="eastAsia" w:ascii="宋体" w:hAnsi="宋体" w:cs="宋体"/>
          <w:color w:val="000000" w:themeColor="text1"/>
          <w:spacing w:val="-1"/>
          <w:sz w:val="24"/>
          <w:szCs w:val="24"/>
          <w:highlight w:val="none"/>
          <w14:textFill>
            <w14:solidFill>
              <w14:schemeClr w14:val="tx1"/>
            </w14:solidFill>
          </w14:textFill>
        </w:rPr>
        <w:t>定相应的安全技术措施，养护作业场地必须具有相关的安全标志牌。</w:t>
      </w:r>
    </w:p>
    <w:p w14:paraId="2E536102">
      <w:pPr>
        <w:spacing w:before="118" w:line="285" w:lineRule="auto"/>
        <w:ind w:firstLine="491"/>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（10）承包人必须按照养护项目特点，组织制定养护项目实施中的生产安全事</w:t>
      </w:r>
      <w:r>
        <w:rPr>
          <w:rFonts w:hint="eastAsia" w:ascii="宋体" w:hAnsi="宋体" w:cs="宋体"/>
          <w:color w:val="000000" w:themeColor="text1"/>
          <w:spacing w:val="1"/>
          <w:sz w:val="24"/>
          <w:szCs w:val="24"/>
          <w:highlight w:val="none"/>
          <w14:textFill>
            <w14:solidFill>
              <w14:schemeClr w14:val="tx1"/>
            </w14:solidFill>
          </w14:textFill>
        </w:rPr>
        <w:t>故应急救援预案；如果发生安全事故，应按照《国务院关</w:t>
      </w:r>
      <w:r>
        <w:rPr>
          <w:rFonts w:hint="eastAsia" w:ascii="宋体" w:hAnsi="宋体" w:cs="宋体"/>
          <w:color w:val="000000" w:themeColor="text1"/>
          <w:sz w:val="24"/>
          <w:szCs w:val="24"/>
          <w:highlight w:val="none"/>
          <w14:textFill>
            <w14:solidFill>
              <w14:schemeClr w14:val="tx1"/>
            </w14:solidFill>
          </w14:textFill>
        </w:rPr>
        <w:t>于特大安全事故行政责任</w:t>
      </w:r>
      <w:r>
        <w:rPr>
          <w:rFonts w:hint="eastAsia" w:ascii="宋体" w:hAnsi="宋体" w:cs="宋体"/>
          <w:color w:val="000000" w:themeColor="text1"/>
          <w:spacing w:val="-4"/>
          <w:sz w:val="24"/>
          <w:szCs w:val="24"/>
          <w:highlight w:val="none"/>
          <w14:textFill>
            <w14:solidFill>
              <w14:schemeClr w14:val="tx1"/>
            </w14:solidFill>
          </w14:textFill>
        </w:rPr>
        <w:t>追究的规定》以及其他有关规定，及时上报有关部门，并坚持“</w:t>
      </w:r>
      <w:r>
        <w:rPr>
          <w:rFonts w:hint="eastAsia" w:ascii="宋体" w:hAnsi="宋体" w:cs="宋体"/>
          <w:color w:val="000000" w:themeColor="text1"/>
          <w:spacing w:val="-73"/>
          <w:sz w:val="24"/>
          <w:szCs w:val="24"/>
          <w:highlight w:val="none"/>
          <w14:textFill>
            <w14:solidFill>
              <w14:schemeClr w14:val="tx1"/>
            </w14:solidFill>
          </w14:textFill>
        </w:rPr>
        <w:t xml:space="preserve"> </w:t>
      </w:r>
      <w:r>
        <w:rPr>
          <w:rFonts w:hint="eastAsia" w:ascii="宋体" w:hAnsi="宋体" w:cs="宋体"/>
          <w:color w:val="000000" w:themeColor="text1"/>
          <w:spacing w:val="-4"/>
          <w:sz w:val="24"/>
          <w:szCs w:val="24"/>
          <w:highlight w:val="none"/>
          <w14:textFill>
            <w14:solidFill>
              <w14:schemeClr w14:val="tx1"/>
            </w14:solidFill>
          </w14:textFill>
        </w:rPr>
        <w:t>四不放过</w:t>
      </w:r>
      <w:r>
        <w:rPr>
          <w:rFonts w:hint="eastAsia" w:ascii="宋体" w:hAnsi="宋体" w:cs="宋体"/>
          <w:color w:val="000000" w:themeColor="text1"/>
          <w:spacing w:val="-88"/>
          <w:sz w:val="24"/>
          <w:szCs w:val="24"/>
          <w:highlight w:val="none"/>
          <w14:textFill>
            <w14:solidFill>
              <w14:schemeClr w14:val="tx1"/>
            </w14:solidFill>
          </w14:textFill>
        </w:rPr>
        <w:t xml:space="preserve"> </w:t>
      </w:r>
      <w:r>
        <w:rPr>
          <w:rFonts w:hint="eastAsia" w:ascii="宋体" w:hAnsi="宋体" w:cs="宋体"/>
          <w:color w:val="000000" w:themeColor="text1"/>
          <w:spacing w:val="-4"/>
          <w:sz w:val="24"/>
          <w:szCs w:val="24"/>
          <w:highlight w:val="none"/>
          <w14:textFill>
            <w14:solidFill>
              <w14:schemeClr w14:val="tx1"/>
            </w14:solidFill>
          </w14:textFill>
        </w:rPr>
        <w:t>”的原则，</w:t>
      </w:r>
      <w:r>
        <w:rPr>
          <w:rFonts w:hint="eastAsia" w:ascii="宋体" w:hAnsi="宋体" w:cs="宋体"/>
          <w:color w:val="000000" w:themeColor="text1"/>
          <w:spacing w:val="-1"/>
          <w:sz w:val="24"/>
          <w:szCs w:val="24"/>
          <w:highlight w:val="none"/>
          <w14:textFill>
            <w14:solidFill>
              <w14:schemeClr w14:val="tx1"/>
            </w14:solidFill>
          </w14:textFill>
        </w:rPr>
        <w:t>严肃处理相关责任人。</w:t>
      </w:r>
    </w:p>
    <w:p w14:paraId="0F40BB90">
      <w:pPr>
        <w:spacing w:before="116" w:line="290" w:lineRule="auto"/>
        <w:ind w:left="3" w:right="145" w:firstLine="488"/>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（11）承包人应办理通车路段作业的有关许可手续，并服从和配合路政与交管</w:t>
      </w:r>
      <w:r>
        <w:rPr>
          <w:rFonts w:hint="eastAsia" w:ascii="宋体" w:hAnsi="宋体" w:cs="宋体"/>
          <w:color w:val="000000" w:themeColor="text1"/>
          <w:spacing w:val="1"/>
          <w:sz w:val="24"/>
          <w:szCs w:val="24"/>
          <w:highlight w:val="none"/>
          <w14:textFill>
            <w14:solidFill>
              <w14:schemeClr w14:val="tx1"/>
            </w14:solidFill>
          </w14:textFill>
        </w:rPr>
        <w:t>部门的统一监管。承包人应按发包人及有关行政主</w:t>
      </w:r>
      <w:r>
        <w:rPr>
          <w:rFonts w:hint="eastAsia" w:ascii="宋体" w:hAnsi="宋体" w:cs="宋体"/>
          <w:color w:val="000000" w:themeColor="text1"/>
          <w:sz w:val="24"/>
          <w:szCs w:val="24"/>
          <w:highlight w:val="none"/>
          <w14:textFill>
            <w14:solidFill>
              <w14:schemeClr w14:val="tx1"/>
            </w14:solidFill>
          </w14:textFill>
        </w:rPr>
        <w:t>管部门批准的交通组织方案设置</w:t>
      </w:r>
      <w:r>
        <w:rPr>
          <w:rFonts w:hint="eastAsia" w:ascii="宋体" w:hAnsi="宋体" w:cs="宋体"/>
          <w:color w:val="000000" w:themeColor="text1"/>
          <w:spacing w:val="1"/>
          <w:sz w:val="24"/>
          <w:szCs w:val="24"/>
          <w:highlight w:val="none"/>
          <w14:textFill>
            <w14:solidFill>
              <w14:schemeClr w14:val="tx1"/>
            </w14:solidFill>
          </w14:textFill>
        </w:rPr>
        <w:t>交通安全标志、标牌、护栏、隔离等交通安全防护</w:t>
      </w:r>
      <w:r>
        <w:rPr>
          <w:rFonts w:hint="eastAsia" w:ascii="宋体" w:hAnsi="宋体" w:cs="宋体"/>
          <w:color w:val="000000" w:themeColor="text1"/>
          <w:sz w:val="24"/>
          <w:szCs w:val="24"/>
          <w:highlight w:val="none"/>
          <w14:textFill>
            <w14:solidFill>
              <w14:schemeClr w14:val="tx1"/>
            </w14:solidFill>
          </w14:textFill>
        </w:rPr>
        <w:t>设施，在执行过程中，应按照执</w:t>
      </w:r>
      <w:r>
        <w:rPr>
          <w:rFonts w:hint="eastAsia" w:ascii="宋体" w:hAnsi="宋体" w:cs="宋体"/>
          <w:color w:val="000000" w:themeColor="text1"/>
          <w:spacing w:val="1"/>
          <w:sz w:val="24"/>
          <w:szCs w:val="24"/>
          <w:highlight w:val="none"/>
          <w14:textFill>
            <w14:solidFill>
              <w14:schemeClr w14:val="tx1"/>
            </w14:solidFill>
          </w14:textFill>
        </w:rPr>
        <w:t>行效果实时作出调整，安排应急处理设备或设施，</w:t>
      </w:r>
      <w:r>
        <w:rPr>
          <w:rFonts w:hint="eastAsia" w:ascii="宋体" w:hAnsi="宋体" w:cs="宋体"/>
          <w:color w:val="000000" w:themeColor="text1"/>
          <w:sz w:val="24"/>
          <w:szCs w:val="24"/>
          <w:highlight w:val="none"/>
          <w14:textFill>
            <w14:solidFill>
              <w14:schemeClr w14:val="tx1"/>
            </w14:solidFill>
          </w14:textFill>
        </w:rPr>
        <w:t>确保其他影响道路的信息准确、</w:t>
      </w:r>
      <w:r>
        <w:rPr>
          <w:rFonts w:hint="eastAsia" w:ascii="宋体" w:hAnsi="宋体" w:cs="宋体"/>
          <w:color w:val="000000" w:themeColor="text1"/>
          <w:spacing w:val="-3"/>
          <w:sz w:val="24"/>
          <w:szCs w:val="24"/>
          <w:highlight w:val="none"/>
          <w14:textFill>
            <w14:solidFill>
              <w14:schemeClr w14:val="tx1"/>
            </w14:solidFill>
          </w14:textFill>
        </w:rPr>
        <w:t>安全畅通。</w:t>
      </w:r>
    </w:p>
    <w:p w14:paraId="4D8DA642">
      <w:pPr>
        <w:spacing w:before="114" w:line="264" w:lineRule="auto"/>
        <w:ind w:left="1" w:right="145" w:firstLine="49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（12）安全生产费用参照《公路水运工程安全生产监督管理办法》的相关规定</w:t>
      </w:r>
      <w:r>
        <w:rPr>
          <w:rFonts w:hint="eastAsia" w:ascii="宋体" w:hAnsi="宋体" w:cs="宋体"/>
          <w:color w:val="000000" w:themeColor="text1"/>
          <w:spacing w:val="-2"/>
          <w:sz w:val="24"/>
          <w:szCs w:val="24"/>
          <w:highlight w:val="none"/>
          <w14:textFill>
            <w14:solidFill>
              <w14:schemeClr w14:val="tx1"/>
            </w14:solidFill>
          </w14:textFill>
        </w:rPr>
        <w:t>使用和管理。</w:t>
      </w:r>
    </w:p>
    <w:p w14:paraId="7CB1AFB1">
      <w:pPr>
        <w:spacing w:before="114" w:line="219" w:lineRule="auto"/>
        <w:ind w:left="481"/>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pacing w:val="-2"/>
          <w:sz w:val="24"/>
          <w:szCs w:val="24"/>
          <w:highlight w:val="none"/>
          <w14:textFill>
            <w14:solidFill>
              <w14:schemeClr w14:val="tx1"/>
            </w14:solidFill>
          </w14:textFill>
        </w:rPr>
        <w:t>3.违约责任</w:t>
      </w:r>
    </w:p>
    <w:p w14:paraId="0B533555">
      <w:pPr>
        <w:spacing w:before="117" w:line="307" w:lineRule="auto"/>
        <w:ind w:left="12" w:right="145" w:firstLine="472"/>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pacing w:val="1"/>
          <w:sz w:val="24"/>
          <w:szCs w:val="24"/>
          <w:highlight w:val="none"/>
          <w14:textFill>
            <w14:solidFill>
              <w14:schemeClr w14:val="tx1"/>
            </w14:solidFill>
          </w14:textFill>
        </w:rPr>
        <w:t>如因发包人或承包人违约造成安全事故，应赔偿</w:t>
      </w:r>
      <w:r>
        <w:rPr>
          <w:rFonts w:hint="eastAsia" w:ascii="宋体" w:hAnsi="宋体" w:cs="宋体"/>
          <w:color w:val="000000" w:themeColor="text1"/>
          <w:sz w:val="24"/>
          <w:szCs w:val="24"/>
          <w:highlight w:val="none"/>
          <w14:textFill>
            <w14:solidFill>
              <w14:schemeClr w14:val="tx1"/>
            </w14:solidFill>
          </w14:textFill>
        </w:rPr>
        <w:t>对方受到的全部损失并依法追</w:t>
      </w:r>
      <w:r>
        <w:rPr>
          <w:rFonts w:hint="eastAsia" w:ascii="宋体" w:hAnsi="宋体" w:cs="宋体"/>
          <w:color w:val="000000" w:themeColor="text1"/>
          <w:spacing w:val="-6"/>
          <w:sz w:val="24"/>
          <w:szCs w:val="24"/>
          <w:highlight w:val="none"/>
          <w14:textFill>
            <w14:solidFill>
              <w14:schemeClr w14:val="tx1"/>
            </w14:solidFill>
          </w14:textFill>
        </w:rPr>
        <w:t>究责任。</w:t>
      </w:r>
    </w:p>
    <w:p w14:paraId="5B0F4021">
      <w:pPr>
        <w:spacing w:line="218" w:lineRule="auto"/>
        <w:ind w:left="475"/>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4.  本合同由双方法定代表人或其授权的代理人签名并加盖单位</w:t>
      </w:r>
      <w:r>
        <w:rPr>
          <w:rFonts w:hint="eastAsia" w:ascii="宋体" w:hAnsi="宋体" w:cs="宋体"/>
          <w:color w:val="000000" w:themeColor="text1"/>
          <w:spacing w:val="-1"/>
          <w:sz w:val="24"/>
          <w:szCs w:val="24"/>
          <w:highlight w:val="none"/>
          <w14:textFill>
            <w14:solidFill>
              <w14:schemeClr w14:val="tx1"/>
            </w14:solidFill>
          </w14:textFill>
        </w:rPr>
        <w:t>章后生效。</w:t>
      </w:r>
    </w:p>
    <w:p w14:paraId="6A980FE5">
      <w:pPr>
        <w:spacing w:before="117" w:line="360" w:lineRule="auto"/>
        <w:ind w:firstLine="504"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pacing w:val="6"/>
          <w:sz w:val="24"/>
          <w:szCs w:val="24"/>
          <w:highlight w:val="none"/>
          <w14:textFill>
            <w14:solidFill>
              <w14:schemeClr w14:val="tx1"/>
            </w14:solidFill>
          </w14:textFill>
        </w:rPr>
        <w:t>5.  本合同正本两份、副本____份，合同双方各</w:t>
      </w:r>
      <w:r>
        <w:rPr>
          <w:rFonts w:hint="eastAsia" w:ascii="宋体" w:hAnsi="宋体" w:cs="宋体"/>
          <w:color w:val="000000" w:themeColor="text1"/>
          <w:spacing w:val="5"/>
          <w:sz w:val="24"/>
          <w:szCs w:val="24"/>
          <w:highlight w:val="none"/>
          <w14:textFill>
            <w14:solidFill>
              <w14:schemeClr w14:val="tx1"/>
            </w14:solidFill>
          </w14:textFill>
        </w:rPr>
        <w:t>执正本一份，副本____份，</w:t>
      </w:r>
      <w:r>
        <w:rPr>
          <w:rFonts w:hint="eastAsia" w:ascii="宋体" w:hAnsi="宋体" w:cs="宋体"/>
          <w:color w:val="000000" w:themeColor="text1"/>
          <w:spacing w:val="-1"/>
          <w:sz w:val="24"/>
          <w:szCs w:val="24"/>
          <w:highlight w:val="none"/>
          <w14:textFill>
            <w14:solidFill>
              <w14:schemeClr w14:val="tx1"/>
            </w14:solidFill>
          </w14:textFill>
        </w:rPr>
        <w:t>当正本与副本的内容不一致时，以正本为准。</w:t>
      </w:r>
    </w:p>
    <w:p w14:paraId="32CBBC3B">
      <w:pPr>
        <w:spacing w:before="225"/>
        <w:rPr>
          <w:rFonts w:ascii="宋体" w:hAnsi="宋体" w:cs="宋体"/>
          <w:color w:val="000000" w:themeColor="text1"/>
          <w:sz w:val="24"/>
          <w:szCs w:val="24"/>
          <w:highlight w:val="none"/>
          <w14:textFill>
            <w14:solidFill>
              <w14:schemeClr w14:val="tx1"/>
            </w14:solidFill>
          </w14:textFill>
        </w:rPr>
      </w:pPr>
    </w:p>
    <w:p w14:paraId="3365AEFE">
      <w:pPr>
        <w:rPr>
          <w:rFonts w:ascii="宋体" w:hAnsi="宋体" w:cs="宋体"/>
          <w:color w:val="000000" w:themeColor="text1"/>
          <w:sz w:val="24"/>
          <w:szCs w:val="24"/>
          <w:highlight w:val="none"/>
          <w14:textFill>
            <w14:solidFill>
              <w14:schemeClr w14:val="tx1"/>
            </w14:solidFill>
          </w14:textFill>
        </w:rPr>
        <w:sectPr>
          <w:headerReference r:id="rId22" w:type="default"/>
          <w:footerReference r:id="rId23" w:type="default"/>
          <w:pgSz w:w="11907" w:h="16840"/>
          <w:pgMar w:top="1134" w:right="1134" w:bottom="1195" w:left="1134" w:header="0" w:footer="1017" w:gutter="0"/>
          <w:cols w:equalWidth="0" w:num="1">
            <w:col w:w="8666"/>
          </w:cols>
        </w:sectPr>
      </w:pPr>
    </w:p>
    <w:p w14:paraId="3168BDA3">
      <w:pPr>
        <w:spacing w:before="48" w:line="308" w:lineRule="auto"/>
        <w:ind w:right="175" w:firstLine="2"/>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发包人</w:t>
      </w:r>
      <w:r>
        <w:rPr>
          <w:rFonts w:hint="eastAsia" w:ascii="宋体" w:hAnsi="宋体" w:cs="宋体"/>
          <w:color w:val="000000" w:themeColor="text1"/>
          <w:spacing w:val="-18"/>
          <w:sz w:val="24"/>
          <w:szCs w:val="24"/>
          <w:highlight w:val="none"/>
          <w14:textFill>
            <w14:solidFill>
              <w14:schemeClr w14:val="tx1"/>
            </w14:solidFill>
          </w14:textFill>
        </w:rPr>
        <w:t>：</w:t>
      </w:r>
      <w:r>
        <w:rPr>
          <w:rFonts w:hint="eastAsia" w:ascii="宋体" w:hAnsi="宋体" w:cs="宋体"/>
          <w:color w:val="000000" w:themeColor="text1"/>
          <w:sz w:val="24"/>
          <w:szCs w:val="24"/>
          <w:highlight w:val="none"/>
          <w14:textFill>
            <w14:solidFill>
              <w14:schemeClr w14:val="tx1"/>
            </w14:solidFill>
          </w14:textFill>
        </w:rPr>
        <w:t xml:space="preserve"> </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pacing w:val="-18"/>
          <w:sz w:val="24"/>
          <w:szCs w:val="24"/>
          <w:highlight w:val="none"/>
          <w14:textFill>
            <w14:solidFill>
              <w14:schemeClr w14:val="tx1"/>
            </w14:solidFill>
          </w14:textFill>
        </w:rPr>
        <w:t>（</w:t>
      </w:r>
      <w:r>
        <w:rPr>
          <w:rFonts w:hint="eastAsia" w:ascii="宋体" w:hAnsi="宋体" w:cs="宋体"/>
          <w:color w:val="000000" w:themeColor="text1"/>
          <w:sz w:val="24"/>
          <w:szCs w:val="24"/>
          <w:highlight w:val="none"/>
          <w14:textFill>
            <w14:solidFill>
              <w14:schemeClr w14:val="tx1"/>
            </w14:solidFill>
          </w14:textFill>
        </w:rPr>
        <w:t>盖单位章）</w:t>
      </w:r>
      <w:r>
        <w:rPr>
          <w:rFonts w:hint="eastAsia" w:ascii="宋体" w:hAnsi="宋体" w:cs="宋体"/>
          <w:color w:val="000000" w:themeColor="text1"/>
          <w:spacing w:val="-3"/>
          <w:sz w:val="24"/>
          <w:szCs w:val="24"/>
          <w:highlight w:val="none"/>
          <w14:textFill>
            <w14:solidFill>
              <w14:schemeClr w14:val="tx1"/>
            </w14:solidFill>
          </w14:textFill>
        </w:rPr>
        <w:t>法定代表人</w:t>
      </w:r>
    </w:p>
    <w:p w14:paraId="1C5E1B62">
      <w:pPr>
        <w:spacing w:line="219" w:lineRule="auto"/>
        <w:ind w:left="1"/>
        <w:outlineLvl w:val="2"/>
        <w:rPr>
          <w:rFonts w:ascii="宋体" w:hAnsi="宋体" w:cs="宋体"/>
          <w:color w:val="000000" w:themeColor="text1"/>
          <w:sz w:val="24"/>
          <w:szCs w:val="24"/>
          <w:highlight w:val="none"/>
          <w14:textFill>
            <w14:solidFill>
              <w14:schemeClr w14:val="tx1"/>
            </w14:solidFill>
          </w14:textFill>
        </w:rPr>
      </w:pPr>
      <w:bookmarkStart w:id="258" w:name="_Toc12468"/>
      <w:r>
        <w:rPr>
          <w:rFonts w:hint="eastAsia" w:ascii="宋体" w:hAnsi="宋体" w:cs="宋体"/>
          <w:color w:val="000000" w:themeColor="text1"/>
          <w:spacing w:val="2"/>
          <w:sz w:val="24"/>
          <w:szCs w:val="24"/>
          <w:highlight w:val="none"/>
          <w14:textFill>
            <w14:solidFill>
              <w14:schemeClr w14:val="tx1"/>
            </w14:solidFill>
          </w14:textFill>
        </w:rPr>
        <w:t>或其委托代理人</w:t>
      </w:r>
      <w:r>
        <w:rPr>
          <w:rFonts w:hint="eastAsia" w:ascii="宋体" w:hAnsi="宋体" w:cs="宋体"/>
          <w:color w:val="000000" w:themeColor="text1"/>
          <w:spacing w:val="-17"/>
          <w:sz w:val="24"/>
          <w:szCs w:val="24"/>
          <w:highlight w:val="none"/>
          <w14:textFill>
            <w14:solidFill>
              <w14:schemeClr w14:val="tx1"/>
            </w14:solidFill>
          </w14:textFill>
        </w:rPr>
        <w:t>：</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pacing w:val="-17"/>
          <w:sz w:val="24"/>
          <w:szCs w:val="24"/>
          <w:highlight w:val="none"/>
          <w14:textFill>
            <w14:solidFill>
              <w14:schemeClr w14:val="tx1"/>
            </w14:solidFill>
          </w14:textFill>
        </w:rPr>
        <w:t>（</w:t>
      </w:r>
      <w:r>
        <w:rPr>
          <w:rFonts w:hint="eastAsia" w:ascii="宋体" w:hAnsi="宋体" w:cs="宋体"/>
          <w:color w:val="000000" w:themeColor="text1"/>
          <w:spacing w:val="2"/>
          <w:sz w:val="24"/>
          <w:szCs w:val="24"/>
          <w:highlight w:val="none"/>
          <w14:textFill>
            <w14:solidFill>
              <w14:schemeClr w14:val="tx1"/>
            </w14:solidFill>
          </w14:textFill>
        </w:rPr>
        <w:t>签名）</w:t>
      </w:r>
      <w:bookmarkEnd w:id="258"/>
    </w:p>
    <w:p w14:paraId="4FF0F2ED">
      <w:pPr>
        <w:spacing w:before="113" w:line="184" w:lineRule="auto"/>
        <w:rPr>
          <w:rFonts w:ascii="宋体" w:hAnsi="宋体" w:cs="宋体"/>
          <w:color w:val="000000" w:themeColor="text1"/>
          <w:spacing w:val="-9"/>
          <w:sz w:val="24"/>
          <w:szCs w:val="24"/>
          <w:highlight w:val="none"/>
          <w14:textFill>
            <w14:solidFill>
              <w14:schemeClr w14:val="tx1"/>
            </w14:solidFill>
          </w14:textFill>
        </w:rPr>
      </w:pPr>
    </w:p>
    <w:p w14:paraId="578EBAA1">
      <w:pPr>
        <w:spacing w:before="113" w:line="184"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pacing w:val="-9"/>
          <w:sz w:val="24"/>
          <w:szCs w:val="24"/>
          <w:highlight w:val="none"/>
          <w14:textFill>
            <w14:solidFill>
              <w14:schemeClr w14:val="tx1"/>
            </w14:solidFill>
          </w14:textFill>
        </w:rPr>
        <w:t>年</w:t>
      </w:r>
      <w:r>
        <w:rPr>
          <w:rFonts w:hint="eastAsia" w:ascii="宋体" w:hAnsi="宋体" w:cs="宋体"/>
          <w:color w:val="000000" w:themeColor="text1"/>
          <w:spacing w:val="3"/>
          <w:sz w:val="24"/>
          <w:szCs w:val="24"/>
          <w:highlight w:val="none"/>
          <w14:textFill>
            <w14:solidFill>
              <w14:schemeClr w14:val="tx1"/>
            </w14:solidFill>
          </w14:textFill>
        </w:rPr>
        <w:t xml:space="preserve">     </w:t>
      </w:r>
      <w:r>
        <w:rPr>
          <w:rFonts w:hint="eastAsia" w:ascii="宋体" w:hAnsi="宋体" w:cs="宋体"/>
          <w:color w:val="000000" w:themeColor="text1"/>
          <w:spacing w:val="-9"/>
          <w:sz w:val="24"/>
          <w:szCs w:val="24"/>
          <w:highlight w:val="none"/>
          <w14:textFill>
            <w14:solidFill>
              <w14:schemeClr w14:val="tx1"/>
            </w14:solidFill>
          </w14:textFill>
        </w:rPr>
        <w:t>月</w:t>
      </w:r>
      <w:r>
        <w:rPr>
          <w:rFonts w:hint="eastAsia" w:ascii="宋体" w:hAnsi="宋体" w:cs="宋体"/>
          <w:color w:val="000000" w:themeColor="text1"/>
          <w:spacing w:val="10"/>
          <w:sz w:val="24"/>
          <w:szCs w:val="24"/>
          <w:highlight w:val="none"/>
          <w14:textFill>
            <w14:solidFill>
              <w14:schemeClr w14:val="tx1"/>
            </w14:solidFill>
          </w14:textFill>
        </w:rPr>
        <w:t xml:space="preserve">     </w:t>
      </w:r>
      <w:r>
        <w:rPr>
          <w:rFonts w:hint="eastAsia" w:ascii="宋体" w:hAnsi="宋体" w:cs="宋体"/>
          <w:color w:val="000000" w:themeColor="text1"/>
          <w:spacing w:val="-9"/>
          <w:sz w:val="24"/>
          <w:szCs w:val="24"/>
          <w:highlight w:val="none"/>
          <w14:textFill>
            <w14:solidFill>
              <w14:schemeClr w14:val="tx1"/>
            </w14:solidFill>
          </w14:textFill>
        </w:rPr>
        <w:t>日</w:t>
      </w:r>
    </w:p>
    <w:p w14:paraId="571DEDDF">
      <w:pPr>
        <w:pStyle w:val="21"/>
        <w:spacing w:line="14"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br w:type="column"/>
      </w:r>
    </w:p>
    <w:p w14:paraId="63967B60">
      <w:pPr>
        <w:spacing w:before="47" w:line="308" w:lineRule="auto"/>
        <w:ind w:right="52"/>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承包人</w:t>
      </w:r>
      <w:r>
        <w:rPr>
          <w:rFonts w:hint="eastAsia" w:ascii="宋体" w:hAnsi="宋体" w:cs="宋体"/>
          <w:color w:val="000000" w:themeColor="text1"/>
          <w:spacing w:val="-16"/>
          <w:sz w:val="24"/>
          <w:szCs w:val="24"/>
          <w:highlight w:val="none"/>
          <w14:textFill>
            <w14:solidFill>
              <w14:schemeClr w14:val="tx1"/>
            </w14:solidFill>
          </w14:textFill>
        </w:rPr>
        <w:t>：</w:t>
      </w:r>
      <w:r>
        <w:rPr>
          <w:rFonts w:hint="eastAsia" w:ascii="宋体" w:hAnsi="宋体" w:cs="宋体"/>
          <w:color w:val="000000" w:themeColor="text1"/>
          <w:sz w:val="24"/>
          <w:szCs w:val="24"/>
          <w:highlight w:val="none"/>
          <w14:textFill>
            <w14:solidFill>
              <w14:schemeClr w14:val="tx1"/>
            </w14:solidFill>
          </w14:textFill>
        </w:rPr>
        <w:t xml:space="preserve"> </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pacing w:val="-16"/>
          <w:sz w:val="24"/>
          <w:szCs w:val="24"/>
          <w:highlight w:val="none"/>
          <w14:textFill>
            <w14:solidFill>
              <w14:schemeClr w14:val="tx1"/>
            </w14:solidFill>
          </w14:textFill>
        </w:rPr>
        <w:t>（</w:t>
      </w:r>
      <w:r>
        <w:rPr>
          <w:rFonts w:hint="eastAsia" w:ascii="宋体" w:hAnsi="宋体" w:cs="宋体"/>
          <w:color w:val="000000" w:themeColor="text1"/>
          <w:sz w:val="24"/>
          <w:szCs w:val="24"/>
          <w:highlight w:val="none"/>
          <w14:textFill>
            <w14:solidFill>
              <w14:schemeClr w14:val="tx1"/>
            </w14:solidFill>
          </w14:textFill>
        </w:rPr>
        <w:t>盖单位章）</w:t>
      </w:r>
      <w:r>
        <w:rPr>
          <w:rFonts w:hint="eastAsia" w:ascii="宋体" w:hAnsi="宋体" w:cs="宋体"/>
          <w:color w:val="000000" w:themeColor="text1"/>
          <w:spacing w:val="-3"/>
          <w:sz w:val="24"/>
          <w:szCs w:val="24"/>
          <w:highlight w:val="none"/>
          <w14:textFill>
            <w14:solidFill>
              <w14:schemeClr w14:val="tx1"/>
            </w14:solidFill>
          </w14:textFill>
        </w:rPr>
        <w:t>法定代表人</w:t>
      </w:r>
    </w:p>
    <w:p w14:paraId="221E90E6">
      <w:pPr>
        <w:spacing w:line="219" w:lineRule="auto"/>
        <w:ind w:left="2"/>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pacing w:val="2"/>
          <w:sz w:val="24"/>
          <w:szCs w:val="24"/>
          <w:highlight w:val="none"/>
          <w14:textFill>
            <w14:solidFill>
              <w14:schemeClr w14:val="tx1"/>
            </w14:solidFill>
          </w14:textFill>
        </w:rPr>
        <w:t>或其委托代理人</w:t>
      </w:r>
      <w:r>
        <w:rPr>
          <w:rFonts w:hint="eastAsia" w:ascii="宋体" w:hAnsi="宋体" w:cs="宋体"/>
          <w:color w:val="000000" w:themeColor="text1"/>
          <w:spacing w:val="-17"/>
          <w:sz w:val="24"/>
          <w:szCs w:val="24"/>
          <w:highlight w:val="none"/>
          <w14:textFill>
            <w14:solidFill>
              <w14:schemeClr w14:val="tx1"/>
            </w14:solidFill>
          </w14:textFill>
        </w:rPr>
        <w:t>：</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pacing w:val="-17"/>
          <w:sz w:val="24"/>
          <w:szCs w:val="24"/>
          <w:highlight w:val="none"/>
          <w14:textFill>
            <w14:solidFill>
              <w14:schemeClr w14:val="tx1"/>
            </w14:solidFill>
          </w14:textFill>
        </w:rPr>
        <w:t>（</w:t>
      </w:r>
      <w:r>
        <w:rPr>
          <w:rFonts w:hint="eastAsia" w:ascii="宋体" w:hAnsi="宋体" w:cs="宋体"/>
          <w:color w:val="000000" w:themeColor="text1"/>
          <w:spacing w:val="2"/>
          <w:sz w:val="24"/>
          <w:szCs w:val="24"/>
          <w:highlight w:val="none"/>
          <w14:textFill>
            <w14:solidFill>
              <w14:schemeClr w14:val="tx1"/>
            </w14:solidFill>
          </w14:textFill>
        </w:rPr>
        <w:t>签名）</w:t>
      </w:r>
    </w:p>
    <w:p w14:paraId="6F56032F">
      <w:pPr>
        <w:spacing w:line="184" w:lineRule="auto"/>
        <w:ind w:left="1436" w:leftChars="684" w:firstLine="2884" w:firstLineChars="1400"/>
        <w:rPr>
          <w:rFonts w:ascii="宋体" w:hAnsi="宋体" w:cs="宋体"/>
          <w:color w:val="000000" w:themeColor="text1"/>
          <w:sz w:val="24"/>
          <w:szCs w:val="24"/>
          <w:highlight w:val="none"/>
          <w14:textFill>
            <w14:solidFill>
              <w14:schemeClr w14:val="tx1"/>
            </w14:solidFill>
          </w14:textFill>
        </w:rPr>
        <w:sectPr>
          <w:type w:val="continuous"/>
          <w:pgSz w:w="11907" w:h="16840"/>
          <w:pgMar w:top="400" w:right="1586" w:bottom="1195" w:left="1653" w:header="0" w:footer="1017" w:gutter="0"/>
          <w:cols w:equalWidth="0" w:num="2">
            <w:col w:w="4345" w:space="100"/>
            <w:col w:w="4222"/>
          </w:cols>
        </w:sectPr>
      </w:pPr>
      <w:r>
        <w:rPr>
          <w:rFonts w:hint="eastAsia" w:ascii="宋体" w:hAnsi="宋体" w:cs="宋体"/>
          <w:color w:val="000000" w:themeColor="text1"/>
          <w:spacing w:val="-17"/>
          <w:sz w:val="24"/>
          <w:szCs w:val="24"/>
          <w:highlight w:val="none"/>
          <w14:textFill>
            <w14:solidFill>
              <w14:schemeClr w14:val="tx1"/>
            </w14:solidFill>
          </w14:textFill>
        </w:rPr>
        <w:t xml:space="preserve"> 年</w:t>
      </w:r>
      <w:r>
        <w:rPr>
          <w:rFonts w:hint="eastAsia" w:ascii="宋体" w:hAnsi="宋体" w:cs="宋体"/>
          <w:color w:val="000000" w:themeColor="text1"/>
          <w:spacing w:val="4"/>
          <w:sz w:val="24"/>
          <w:szCs w:val="24"/>
          <w:highlight w:val="none"/>
          <w14:textFill>
            <w14:solidFill>
              <w14:schemeClr w14:val="tx1"/>
            </w14:solidFill>
          </w14:textFill>
        </w:rPr>
        <w:t xml:space="preserve">     </w:t>
      </w:r>
      <w:r>
        <w:rPr>
          <w:rFonts w:hint="eastAsia" w:ascii="宋体" w:hAnsi="宋体" w:cs="宋体"/>
          <w:color w:val="000000" w:themeColor="text1"/>
          <w:spacing w:val="-17"/>
          <w:sz w:val="24"/>
          <w:szCs w:val="24"/>
          <w:highlight w:val="none"/>
          <w14:textFill>
            <w14:solidFill>
              <w14:schemeClr w14:val="tx1"/>
            </w14:solidFill>
          </w14:textFill>
        </w:rPr>
        <w:t>月      日</w:t>
      </w:r>
    </w:p>
    <w:p w14:paraId="242C8828">
      <w:pPr>
        <w:spacing w:before="78" w:line="219" w:lineRule="auto"/>
        <w:ind w:left="19"/>
        <w:outlineLvl w:val="2"/>
        <w:rPr>
          <w:rFonts w:ascii="宋体" w:hAnsi="宋体" w:cs="宋体"/>
          <w:color w:val="000000" w:themeColor="text1"/>
          <w:sz w:val="24"/>
          <w:szCs w:val="24"/>
          <w:highlight w:val="none"/>
          <w14:textFill>
            <w14:solidFill>
              <w14:schemeClr w14:val="tx1"/>
            </w14:solidFill>
          </w14:textFill>
        </w:rPr>
      </w:pPr>
      <w:bookmarkStart w:id="259" w:name="_Toc8345"/>
      <w:r>
        <w:rPr>
          <w:rFonts w:hint="eastAsia" w:ascii="宋体" w:hAnsi="宋体" w:cs="宋体"/>
          <w:b/>
          <w:bCs/>
          <w:color w:val="000000" w:themeColor="text1"/>
          <w:highlight w:val="none"/>
          <w14:textFill>
            <w14:solidFill>
              <w14:schemeClr w14:val="tx1"/>
            </w14:solidFill>
          </w14:textFill>
        </w:rPr>
        <w:t xml:space="preserve">附件四 </w:t>
      </w:r>
      <w:r>
        <w:rPr>
          <w:rFonts w:ascii="宋体" w:hAnsi="宋体" w:cs="宋体"/>
          <w:b/>
          <w:bCs/>
          <w:color w:val="000000" w:themeColor="text1"/>
          <w:spacing w:val="-4"/>
          <w:sz w:val="24"/>
          <w:szCs w:val="24"/>
          <w:highlight w:val="none"/>
          <w14:textFill>
            <w14:solidFill>
              <w14:schemeClr w14:val="tx1"/>
            </w14:solidFill>
          </w14:textFill>
        </w:rPr>
        <w:t>项目经理委任书</w:t>
      </w:r>
      <w:bookmarkEnd w:id="259"/>
    </w:p>
    <w:p w14:paraId="74156DF5">
      <w:pPr>
        <w:spacing w:before="261" w:line="219" w:lineRule="auto"/>
        <w:ind w:left="3749"/>
        <w:rPr>
          <w:rFonts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pacing w:val="-3"/>
          <w:sz w:val="24"/>
          <w:szCs w:val="24"/>
          <w:highlight w:val="none"/>
          <w14:textFill>
            <w14:solidFill>
              <w14:schemeClr w14:val="tx1"/>
            </w14:solidFill>
          </w14:textFill>
        </w:rPr>
        <w:t>（承包人全称）</w:t>
      </w:r>
    </w:p>
    <w:p w14:paraId="16D25438">
      <w:pPr>
        <w:spacing w:before="115" w:line="219" w:lineRule="auto"/>
        <w:ind w:left="2729"/>
        <w:rPr>
          <w:rFonts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pacing w:val="-2"/>
          <w:sz w:val="24"/>
          <w:szCs w:val="24"/>
          <w:highlight w:val="none"/>
          <w14:textFill>
            <w14:solidFill>
              <w14:schemeClr w14:val="tx1"/>
            </w14:solidFill>
          </w14:textFill>
        </w:rPr>
        <w:t>（养护项目名称） 项目经理委任书</w:t>
      </w:r>
    </w:p>
    <w:p w14:paraId="55E0AD61">
      <w:pPr>
        <w:pStyle w:val="21"/>
        <w:spacing w:line="277" w:lineRule="auto"/>
        <w:rPr>
          <w:color w:val="000000" w:themeColor="text1"/>
          <w:highlight w:val="none"/>
          <w14:textFill>
            <w14:solidFill>
              <w14:schemeClr w14:val="tx1"/>
            </w14:solidFill>
          </w14:textFill>
        </w:rPr>
      </w:pPr>
    </w:p>
    <w:p w14:paraId="3731F9E0">
      <w:pPr>
        <w:pStyle w:val="21"/>
        <w:spacing w:line="277" w:lineRule="auto"/>
        <w:rPr>
          <w:color w:val="000000" w:themeColor="text1"/>
          <w:highlight w:val="none"/>
          <w14:textFill>
            <w14:solidFill>
              <w14:schemeClr w14:val="tx1"/>
            </w14:solidFill>
          </w14:textFill>
        </w:rPr>
      </w:pPr>
    </w:p>
    <w:p w14:paraId="10CF597C">
      <w:pPr>
        <w:pStyle w:val="21"/>
        <w:spacing w:line="278" w:lineRule="auto"/>
        <w:rPr>
          <w:color w:val="000000" w:themeColor="text1"/>
          <w:highlight w:val="none"/>
          <w14:textFill>
            <w14:solidFill>
              <w14:schemeClr w14:val="tx1"/>
            </w14:solidFill>
          </w14:textFill>
        </w:rPr>
      </w:pPr>
    </w:p>
    <w:p w14:paraId="057530AF">
      <w:pPr>
        <w:spacing w:before="78" w:line="220" w:lineRule="auto"/>
        <w:rPr>
          <w:rFonts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pacing w:val="7"/>
          <w:sz w:val="24"/>
          <w:szCs w:val="24"/>
          <w:highlight w:val="none"/>
          <w14:textFill>
            <w14:solidFill>
              <w14:schemeClr w14:val="tx1"/>
            </w14:solidFill>
          </w14:textFill>
        </w:rPr>
        <w:t>致</w:t>
      </w:r>
      <w:r>
        <w:rPr>
          <w:rFonts w:ascii="宋体" w:hAnsi="宋体" w:cs="宋体"/>
          <w:color w:val="000000" w:themeColor="text1"/>
          <w:spacing w:val="-30"/>
          <w:sz w:val="24"/>
          <w:szCs w:val="24"/>
          <w:highlight w:val="none"/>
          <w14:textFill>
            <w14:solidFill>
              <w14:schemeClr w14:val="tx1"/>
            </w14:solidFill>
          </w14:textFill>
        </w:rPr>
        <w:t>：</w:t>
      </w:r>
      <w:r>
        <w:rPr>
          <w:rFonts w:ascii="宋体" w:hAnsi="宋体" w:cs="宋体"/>
          <w:color w:val="000000" w:themeColor="text1"/>
          <w:sz w:val="24"/>
          <w:szCs w:val="24"/>
          <w:highlight w:val="none"/>
          <w:u w:val="single"/>
          <w14:textFill>
            <w14:solidFill>
              <w14:schemeClr w14:val="tx1"/>
            </w14:solidFill>
          </w14:textFill>
        </w:rPr>
        <w:t xml:space="preserve">           </w:t>
      </w:r>
      <w:r>
        <w:rPr>
          <w:rFonts w:ascii="宋体" w:hAnsi="宋体" w:cs="宋体"/>
          <w:color w:val="000000" w:themeColor="text1"/>
          <w:spacing w:val="-30"/>
          <w:sz w:val="24"/>
          <w:szCs w:val="24"/>
          <w:highlight w:val="none"/>
          <w14:textFill>
            <w14:solidFill>
              <w14:schemeClr w14:val="tx1"/>
            </w14:solidFill>
          </w14:textFill>
        </w:rPr>
        <w:t>（</w:t>
      </w:r>
      <w:r>
        <w:rPr>
          <w:rFonts w:ascii="宋体" w:hAnsi="宋体" w:cs="宋体"/>
          <w:color w:val="000000" w:themeColor="text1"/>
          <w:spacing w:val="7"/>
          <w:sz w:val="24"/>
          <w:szCs w:val="24"/>
          <w:highlight w:val="none"/>
          <w14:textFill>
            <w14:solidFill>
              <w14:schemeClr w14:val="tx1"/>
            </w14:solidFill>
          </w14:textFill>
        </w:rPr>
        <w:t>发包人全称）</w:t>
      </w:r>
    </w:p>
    <w:p w14:paraId="155B2467">
      <w:pPr>
        <w:tabs>
          <w:tab w:val="left" w:pos="846"/>
        </w:tabs>
        <w:spacing w:before="110" w:line="309" w:lineRule="auto"/>
        <w:ind w:firstLine="471"/>
        <w:rPr>
          <w:rFonts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u w:val="single"/>
          <w14:textFill>
            <w14:solidFill>
              <w14:schemeClr w14:val="tx1"/>
            </w14:solidFill>
          </w14:textFill>
        </w:rPr>
        <w:tab/>
      </w:r>
      <w:r>
        <w:rPr>
          <w:rFonts w:ascii="宋体" w:hAnsi="宋体" w:cs="宋体"/>
          <w:color w:val="000000" w:themeColor="text1"/>
          <w:spacing w:val="-4"/>
          <w:sz w:val="24"/>
          <w:szCs w:val="24"/>
          <w:highlight w:val="none"/>
          <w:u w:val="single"/>
          <w14:textFill>
            <w14:solidFill>
              <w14:schemeClr w14:val="tx1"/>
            </w14:solidFill>
          </w14:textFill>
        </w:rPr>
        <w:t xml:space="preserve">（承包人全称） </w:t>
      </w:r>
      <w:r>
        <w:rPr>
          <w:rFonts w:ascii="宋体" w:hAnsi="宋体" w:cs="宋体"/>
          <w:color w:val="000000" w:themeColor="text1"/>
          <w:spacing w:val="-92"/>
          <w:sz w:val="24"/>
          <w:szCs w:val="24"/>
          <w:highlight w:val="none"/>
          <w14:textFill>
            <w14:solidFill>
              <w14:schemeClr w14:val="tx1"/>
            </w14:solidFill>
          </w14:textFill>
        </w:rPr>
        <w:t xml:space="preserve"> </w:t>
      </w:r>
      <w:r>
        <w:rPr>
          <w:rFonts w:ascii="宋体" w:hAnsi="宋体" w:cs="宋体"/>
          <w:color w:val="000000" w:themeColor="text1"/>
          <w:spacing w:val="-4"/>
          <w:sz w:val="24"/>
          <w:szCs w:val="24"/>
          <w:highlight w:val="none"/>
          <w14:textFill>
            <w14:solidFill>
              <w14:schemeClr w14:val="tx1"/>
            </w14:solidFill>
          </w14:textFill>
        </w:rPr>
        <w:t>法定代表人</w:t>
      </w:r>
      <w:r>
        <w:rPr>
          <w:rFonts w:ascii="宋体" w:hAnsi="宋体" w:cs="宋体"/>
          <w:color w:val="000000" w:themeColor="text1"/>
          <w:spacing w:val="-4"/>
          <w:sz w:val="24"/>
          <w:szCs w:val="24"/>
          <w:highlight w:val="none"/>
          <w:u w:val="single"/>
          <w14:textFill>
            <w14:solidFill>
              <w14:schemeClr w14:val="tx1"/>
            </w14:solidFill>
          </w14:textFill>
        </w:rPr>
        <w:t xml:space="preserve"> （职务、姓名） </w:t>
      </w:r>
      <w:r>
        <w:rPr>
          <w:rFonts w:ascii="宋体" w:hAnsi="宋体" w:cs="宋体"/>
          <w:color w:val="000000" w:themeColor="text1"/>
          <w:spacing w:val="-111"/>
          <w:sz w:val="24"/>
          <w:szCs w:val="24"/>
          <w:highlight w:val="none"/>
          <w14:textFill>
            <w14:solidFill>
              <w14:schemeClr w14:val="tx1"/>
            </w14:solidFill>
          </w14:textFill>
        </w:rPr>
        <w:t xml:space="preserve"> </w:t>
      </w:r>
      <w:r>
        <w:rPr>
          <w:rFonts w:ascii="宋体" w:hAnsi="宋体" w:cs="宋体"/>
          <w:color w:val="000000" w:themeColor="text1"/>
          <w:spacing w:val="-4"/>
          <w:sz w:val="24"/>
          <w:szCs w:val="24"/>
          <w:highlight w:val="none"/>
          <w14:textFill>
            <w14:solidFill>
              <w14:schemeClr w14:val="tx1"/>
            </w14:solidFill>
          </w14:textFill>
        </w:rPr>
        <w:t>代表本单位委任</w:t>
      </w:r>
      <w:r>
        <w:rPr>
          <w:rFonts w:ascii="宋体" w:hAnsi="宋体" w:cs="宋体"/>
          <w:color w:val="000000" w:themeColor="text1"/>
          <w:spacing w:val="-4"/>
          <w:sz w:val="24"/>
          <w:szCs w:val="24"/>
          <w:highlight w:val="none"/>
          <w:u w:val="single"/>
          <w14:textFill>
            <w14:solidFill>
              <w14:schemeClr w14:val="tx1"/>
            </w14:solidFill>
          </w14:textFill>
        </w:rPr>
        <w:t xml:space="preserve"> （职务、姓</w:t>
      </w:r>
      <w:r>
        <w:rPr>
          <w:rFonts w:ascii="宋体" w:hAnsi="宋体" w:cs="宋体"/>
          <w:color w:val="000000" w:themeColor="text1"/>
          <w:spacing w:val="4"/>
          <w:sz w:val="24"/>
          <w:szCs w:val="24"/>
          <w:highlight w:val="none"/>
          <w:u w:val="single"/>
          <w14:textFill>
            <w14:solidFill>
              <w14:schemeClr w14:val="tx1"/>
            </w14:solidFill>
          </w14:textFill>
        </w:rPr>
        <w:t xml:space="preserve">名） </w:t>
      </w:r>
      <w:r>
        <w:rPr>
          <w:rFonts w:ascii="宋体" w:hAnsi="宋体" w:cs="宋体"/>
          <w:color w:val="000000" w:themeColor="text1"/>
          <w:spacing w:val="-107"/>
          <w:sz w:val="24"/>
          <w:szCs w:val="24"/>
          <w:highlight w:val="none"/>
          <w14:textFill>
            <w14:solidFill>
              <w14:schemeClr w14:val="tx1"/>
            </w14:solidFill>
          </w14:textFill>
        </w:rPr>
        <w:t xml:space="preserve"> </w:t>
      </w:r>
      <w:r>
        <w:rPr>
          <w:rFonts w:ascii="宋体" w:hAnsi="宋体" w:cs="宋体"/>
          <w:color w:val="000000" w:themeColor="text1"/>
          <w:spacing w:val="4"/>
          <w:sz w:val="24"/>
          <w:szCs w:val="24"/>
          <w:highlight w:val="none"/>
          <w14:textFill>
            <w14:solidFill>
              <w14:schemeClr w14:val="tx1"/>
            </w14:solidFill>
          </w14:textFill>
        </w:rPr>
        <w:t>为</w:t>
      </w:r>
      <w:r>
        <w:rPr>
          <w:rFonts w:ascii="宋体" w:hAnsi="宋体" w:cs="宋体"/>
          <w:color w:val="000000" w:themeColor="text1"/>
          <w:spacing w:val="4"/>
          <w:sz w:val="24"/>
          <w:szCs w:val="24"/>
          <w:highlight w:val="none"/>
          <w:u w:val="single"/>
          <w14:textFill>
            <w14:solidFill>
              <w14:schemeClr w14:val="tx1"/>
            </w14:solidFill>
          </w14:textFill>
        </w:rPr>
        <w:t>（养护项目名称）</w:t>
      </w:r>
      <w:r>
        <w:rPr>
          <w:rFonts w:ascii="宋体" w:hAnsi="宋体" w:cs="宋体"/>
          <w:color w:val="000000" w:themeColor="text1"/>
          <w:spacing w:val="4"/>
          <w:sz w:val="24"/>
          <w:szCs w:val="24"/>
          <w:highlight w:val="none"/>
          <w14:textFill>
            <w14:solidFill>
              <w14:schemeClr w14:val="tx1"/>
            </w14:solidFill>
          </w14:textFill>
        </w:rPr>
        <w:t>的项目经理。凡本合同执</w:t>
      </w:r>
      <w:r>
        <w:rPr>
          <w:rFonts w:ascii="宋体" w:hAnsi="宋体" w:cs="宋体"/>
          <w:color w:val="000000" w:themeColor="text1"/>
          <w:spacing w:val="3"/>
          <w:sz w:val="24"/>
          <w:szCs w:val="24"/>
          <w:highlight w:val="none"/>
          <w14:textFill>
            <w14:solidFill>
              <w14:schemeClr w14:val="tx1"/>
            </w14:solidFill>
          </w14:textFill>
        </w:rPr>
        <w:t>行中的有关技术、养护作业进</w:t>
      </w:r>
      <w:r>
        <w:rPr>
          <w:rFonts w:ascii="宋体" w:hAnsi="宋体" w:cs="宋体"/>
          <w:color w:val="000000" w:themeColor="text1"/>
          <w:spacing w:val="4"/>
          <w:sz w:val="24"/>
          <w:szCs w:val="24"/>
          <w:highlight w:val="none"/>
          <w14:textFill>
            <w14:solidFill>
              <w14:schemeClr w14:val="tx1"/>
            </w14:solidFill>
          </w14:textFill>
        </w:rPr>
        <w:t>度、现场管理、质量检验、结算与支付等方面</w:t>
      </w:r>
      <w:r>
        <w:rPr>
          <w:rFonts w:ascii="宋体" w:hAnsi="宋体" w:cs="宋体"/>
          <w:color w:val="000000" w:themeColor="text1"/>
          <w:spacing w:val="3"/>
          <w:sz w:val="24"/>
          <w:szCs w:val="24"/>
          <w:highlight w:val="none"/>
          <w14:textFill>
            <w14:solidFill>
              <w14:schemeClr w14:val="tx1"/>
            </w14:solidFill>
          </w14:textFill>
        </w:rPr>
        <w:t>工作，由</w:t>
      </w:r>
      <w:r>
        <w:rPr>
          <w:rFonts w:ascii="宋体" w:hAnsi="宋体" w:cs="宋体"/>
          <w:color w:val="000000" w:themeColor="text1"/>
          <w:spacing w:val="-116"/>
          <w:sz w:val="24"/>
          <w:szCs w:val="24"/>
          <w:highlight w:val="none"/>
          <w14:textFill>
            <w14:solidFill>
              <w14:schemeClr w14:val="tx1"/>
            </w14:solidFill>
          </w14:textFill>
        </w:rPr>
        <w:t xml:space="preserve"> </w:t>
      </w:r>
      <w:r>
        <w:rPr>
          <w:rFonts w:ascii="宋体" w:hAnsi="宋体" w:cs="宋体"/>
          <w:color w:val="000000" w:themeColor="text1"/>
          <w:spacing w:val="3"/>
          <w:sz w:val="24"/>
          <w:szCs w:val="24"/>
          <w:highlight w:val="none"/>
          <w:u w:val="single"/>
          <w14:textFill>
            <w14:solidFill>
              <w14:schemeClr w14:val="tx1"/>
            </w14:solidFill>
          </w14:textFill>
        </w:rPr>
        <w:t xml:space="preserve">  （姓名） </w:t>
      </w:r>
      <w:r>
        <w:rPr>
          <w:rFonts w:ascii="宋体" w:hAnsi="宋体" w:cs="宋体"/>
          <w:color w:val="000000" w:themeColor="text1"/>
          <w:spacing w:val="-111"/>
          <w:sz w:val="24"/>
          <w:szCs w:val="24"/>
          <w:highlight w:val="none"/>
          <w14:textFill>
            <w14:solidFill>
              <w14:schemeClr w14:val="tx1"/>
            </w14:solidFill>
          </w14:textFill>
        </w:rPr>
        <w:t xml:space="preserve"> </w:t>
      </w:r>
      <w:r>
        <w:rPr>
          <w:rFonts w:ascii="宋体" w:hAnsi="宋体" w:cs="宋体"/>
          <w:color w:val="000000" w:themeColor="text1"/>
          <w:spacing w:val="3"/>
          <w:sz w:val="24"/>
          <w:szCs w:val="24"/>
          <w:highlight w:val="none"/>
          <w14:textFill>
            <w14:solidFill>
              <w14:schemeClr w14:val="tx1"/>
            </w14:solidFill>
          </w14:textFill>
        </w:rPr>
        <w:t>代表本单位全</w:t>
      </w:r>
      <w:r>
        <w:rPr>
          <w:rFonts w:ascii="宋体" w:hAnsi="宋体" w:cs="宋体"/>
          <w:color w:val="000000" w:themeColor="text1"/>
          <w:spacing w:val="-3"/>
          <w:sz w:val="24"/>
          <w:szCs w:val="24"/>
          <w:highlight w:val="none"/>
          <w14:textFill>
            <w14:solidFill>
              <w14:schemeClr w14:val="tx1"/>
            </w14:solidFill>
          </w14:textFill>
        </w:rPr>
        <w:t>面负责。</w:t>
      </w:r>
    </w:p>
    <w:p w14:paraId="766DF2BA">
      <w:pPr>
        <w:pStyle w:val="21"/>
        <w:spacing w:line="315" w:lineRule="auto"/>
        <w:rPr>
          <w:color w:val="000000" w:themeColor="text1"/>
          <w:highlight w:val="none"/>
          <w14:textFill>
            <w14:solidFill>
              <w14:schemeClr w14:val="tx1"/>
            </w14:solidFill>
          </w14:textFill>
        </w:rPr>
      </w:pPr>
    </w:p>
    <w:p w14:paraId="20EF8A0F">
      <w:pPr>
        <w:spacing w:before="78" w:line="219" w:lineRule="auto"/>
        <w:ind w:left="480"/>
        <w:rPr>
          <w:rFonts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pacing w:val="3"/>
          <w:sz w:val="24"/>
          <w:szCs w:val="24"/>
          <w:highlight w:val="none"/>
          <w14:textFill>
            <w14:solidFill>
              <w14:schemeClr w14:val="tx1"/>
            </w14:solidFill>
          </w14:textFill>
        </w:rPr>
        <w:t>承包人</w:t>
      </w:r>
      <w:r>
        <w:rPr>
          <w:rFonts w:ascii="宋体" w:hAnsi="宋体" w:cs="宋体"/>
          <w:color w:val="000000" w:themeColor="text1"/>
          <w:spacing w:val="-18"/>
          <w:sz w:val="24"/>
          <w:szCs w:val="24"/>
          <w:highlight w:val="none"/>
          <w14:textFill>
            <w14:solidFill>
              <w14:schemeClr w14:val="tx1"/>
            </w14:solidFill>
          </w14:textFill>
        </w:rPr>
        <w:t>：</w:t>
      </w:r>
      <w:r>
        <w:rPr>
          <w:rFonts w:ascii="宋体" w:hAnsi="宋体" w:cs="宋体"/>
          <w:color w:val="000000" w:themeColor="text1"/>
          <w:sz w:val="24"/>
          <w:szCs w:val="24"/>
          <w:highlight w:val="none"/>
          <w:u w:val="single"/>
          <w14:textFill>
            <w14:solidFill>
              <w14:schemeClr w14:val="tx1"/>
            </w14:solidFill>
          </w14:textFill>
        </w:rPr>
        <w:t xml:space="preserve">             </w:t>
      </w:r>
      <w:r>
        <w:rPr>
          <w:rFonts w:ascii="宋体" w:hAnsi="宋体" w:cs="宋体"/>
          <w:color w:val="000000" w:themeColor="text1"/>
          <w:spacing w:val="-18"/>
          <w:sz w:val="24"/>
          <w:szCs w:val="24"/>
          <w:highlight w:val="none"/>
          <w14:textFill>
            <w14:solidFill>
              <w14:schemeClr w14:val="tx1"/>
            </w14:solidFill>
          </w14:textFill>
        </w:rPr>
        <w:t>（</w:t>
      </w:r>
      <w:r>
        <w:rPr>
          <w:rFonts w:ascii="宋体" w:hAnsi="宋体" w:cs="宋体"/>
          <w:color w:val="000000" w:themeColor="text1"/>
          <w:spacing w:val="3"/>
          <w:sz w:val="24"/>
          <w:szCs w:val="24"/>
          <w:highlight w:val="none"/>
          <w14:textFill>
            <w14:solidFill>
              <w14:schemeClr w14:val="tx1"/>
            </w14:solidFill>
          </w14:textFill>
        </w:rPr>
        <w:t>盖单位章）</w:t>
      </w:r>
    </w:p>
    <w:p w14:paraId="00D63D48">
      <w:pPr>
        <w:spacing w:before="115" w:line="219" w:lineRule="auto"/>
        <w:ind w:left="481"/>
        <w:rPr>
          <w:rFonts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pacing w:val="3"/>
          <w:sz w:val="24"/>
          <w:szCs w:val="24"/>
          <w:highlight w:val="none"/>
          <w14:textFill>
            <w14:solidFill>
              <w14:schemeClr w14:val="tx1"/>
            </w14:solidFill>
          </w14:textFill>
        </w:rPr>
        <w:t>法定代表人</w:t>
      </w:r>
      <w:r>
        <w:rPr>
          <w:rFonts w:ascii="宋体" w:hAnsi="宋体" w:cs="宋体"/>
          <w:color w:val="000000" w:themeColor="text1"/>
          <w:spacing w:val="-18"/>
          <w:sz w:val="24"/>
          <w:szCs w:val="24"/>
          <w:highlight w:val="none"/>
          <w14:textFill>
            <w14:solidFill>
              <w14:schemeClr w14:val="tx1"/>
            </w14:solidFill>
          </w14:textFill>
        </w:rPr>
        <w:t>：</w:t>
      </w:r>
      <w:r>
        <w:rPr>
          <w:rFonts w:ascii="宋体" w:hAnsi="宋体" w:cs="宋体"/>
          <w:color w:val="000000" w:themeColor="text1"/>
          <w:spacing w:val="10"/>
          <w:sz w:val="24"/>
          <w:szCs w:val="24"/>
          <w:highlight w:val="none"/>
          <w:u w:val="single"/>
          <w14:textFill>
            <w14:solidFill>
              <w14:schemeClr w14:val="tx1"/>
            </w14:solidFill>
          </w14:textFill>
        </w:rPr>
        <w:t xml:space="preserve">            </w:t>
      </w:r>
      <w:r>
        <w:rPr>
          <w:rFonts w:ascii="宋体" w:hAnsi="宋体" w:cs="宋体"/>
          <w:color w:val="000000" w:themeColor="text1"/>
          <w:spacing w:val="-18"/>
          <w:sz w:val="24"/>
          <w:szCs w:val="24"/>
          <w:highlight w:val="none"/>
          <w:u w:val="single"/>
          <w14:textFill>
            <w14:solidFill>
              <w14:schemeClr w14:val="tx1"/>
            </w14:solidFill>
          </w14:textFill>
        </w:rPr>
        <w:t>（</w:t>
      </w:r>
      <w:r>
        <w:rPr>
          <w:rFonts w:ascii="宋体" w:hAnsi="宋体" w:cs="宋体"/>
          <w:color w:val="000000" w:themeColor="text1"/>
          <w:spacing w:val="3"/>
          <w:sz w:val="24"/>
          <w:szCs w:val="24"/>
          <w:highlight w:val="none"/>
          <w:u w:val="single"/>
          <w14:textFill>
            <w14:solidFill>
              <w14:schemeClr w14:val="tx1"/>
            </w14:solidFill>
          </w14:textFill>
        </w:rPr>
        <w:t>职务）</w:t>
      </w:r>
    </w:p>
    <w:p w14:paraId="635F80DE">
      <w:pPr>
        <w:tabs>
          <w:tab w:val="left" w:pos="3471"/>
          <w:tab w:val="left" w:pos="3607"/>
        </w:tabs>
        <w:spacing w:before="117" w:line="307" w:lineRule="auto"/>
        <w:ind w:left="471" w:right="4233" w:firstLine="1440"/>
        <w:rPr>
          <w:rFonts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u w:val="single"/>
          <w14:textFill>
            <w14:solidFill>
              <w14:schemeClr w14:val="tx1"/>
            </w14:solidFill>
          </w14:textFill>
        </w:rPr>
        <w:tab/>
      </w:r>
      <w:r>
        <w:rPr>
          <w:rFonts w:ascii="宋体" w:hAnsi="宋体" w:cs="宋体"/>
          <w:color w:val="000000" w:themeColor="text1"/>
          <w:sz w:val="24"/>
          <w:szCs w:val="24"/>
          <w:highlight w:val="none"/>
          <w:u w:val="single"/>
          <w14:textFill>
            <w14:solidFill>
              <w14:schemeClr w14:val="tx1"/>
            </w14:solidFill>
          </w14:textFill>
        </w:rPr>
        <w:tab/>
      </w:r>
      <w:r>
        <w:rPr>
          <w:rFonts w:ascii="宋体" w:hAnsi="宋体" w:cs="宋体"/>
          <w:color w:val="000000" w:themeColor="text1"/>
          <w:spacing w:val="3"/>
          <w:sz w:val="24"/>
          <w:szCs w:val="24"/>
          <w:highlight w:val="none"/>
          <w14:textFill>
            <w14:solidFill>
              <w14:schemeClr w14:val="tx1"/>
            </w14:solidFill>
          </w14:textFill>
        </w:rPr>
        <w:t>（姓名）</w:t>
      </w:r>
      <w:r>
        <w:rPr>
          <w:rFonts w:ascii="宋体" w:hAnsi="宋体" w:cs="宋体"/>
          <w:color w:val="000000" w:themeColor="text1"/>
          <w:sz w:val="24"/>
          <w:szCs w:val="24"/>
          <w:highlight w:val="none"/>
          <w:u w:val="single"/>
          <w14:textFill>
            <w14:solidFill>
              <w14:schemeClr w14:val="tx1"/>
            </w14:solidFill>
          </w14:textFill>
        </w:rPr>
        <w:tab/>
      </w:r>
      <w:r>
        <w:rPr>
          <w:rFonts w:ascii="宋体" w:hAnsi="宋体" w:cs="宋体"/>
          <w:color w:val="000000" w:themeColor="text1"/>
          <w:sz w:val="24"/>
          <w:szCs w:val="24"/>
          <w:highlight w:val="none"/>
          <w14:textFill>
            <w14:solidFill>
              <w14:schemeClr w14:val="tx1"/>
            </w14:solidFill>
          </w14:textFill>
        </w:rPr>
        <w:t>（签名）</w:t>
      </w:r>
    </w:p>
    <w:p w14:paraId="101617C1">
      <w:pPr>
        <w:tabs>
          <w:tab w:val="left" w:pos="2751"/>
        </w:tabs>
        <w:spacing w:line="219" w:lineRule="auto"/>
        <w:ind w:left="1911"/>
        <w:rPr>
          <w:rFonts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u w:val="single"/>
          <w14:textFill>
            <w14:solidFill>
              <w14:schemeClr w14:val="tx1"/>
            </w14:solidFill>
          </w14:textFill>
        </w:rPr>
        <w:tab/>
      </w:r>
      <w:r>
        <w:rPr>
          <w:rFonts w:ascii="宋体" w:hAnsi="宋体" w:cs="宋体"/>
          <w:color w:val="000000" w:themeColor="text1"/>
          <w:spacing w:val="-109"/>
          <w:sz w:val="24"/>
          <w:szCs w:val="24"/>
          <w:highlight w:val="none"/>
          <w14:textFill>
            <w14:solidFill>
              <w14:schemeClr w14:val="tx1"/>
            </w14:solidFill>
          </w14:textFill>
        </w:rPr>
        <w:t xml:space="preserve"> </w:t>
      </w:r>
      <w:r>
        <w:rPr>
          <w:rFonts w:ascii="宋体" w:hAnsi="宋体" w:cs="宋体"/>
          <w:color w:val="000000" w:themeColor="text1"/>
          <w:spacing w:val="-9"/>
          <w:sz w:val="24"/>
          <w:szCs w:val="24"/>
          <w:highlight w:val="none"/>
          <w14:textFill>
            <w14:solidFill>
              <w14:schemeClr w14:val="tx1"/>
            </w14:solidFill>
          </w14:textFill>
        </w:rPr>
        <w:t>年</w:t>
      </w:r>
      <w:r>
        <w:rPr>
          <w:rFonts w:ascii="宋体" w:hAnsi="宋体" w:cs="宋体"/>
          <w:color w:val="000000" w:themeColor="text1"/>
          <w:sz w:val="24"/>
          <w:szCs w:val="24"/>
          <w:highlight w:val="none"/>
          <w:u w:val="single"/>
          <w14:textFill>
            <w14:solidFill>
              <w14:schemeClr w14:val="tx1"/>
            </w14:solidFill>
          </w14:textFill>
        </w:rPr>
        <w:t xml:space="preserve">    </w:t>
      </w:r>
      <w:r>
        <w:rPr>
          <w:rFonts w:ascii="宋体" w:hAnsi="宋体" w:cs="宋体"/>
          <w:color w:val="000000" w:themeColor="text1"/>
          <w:spacing w:val="-105"/>
          <w:sz w:val="24"/>
          <w:szCs w:val="24"/>
          <w:highlight w:val="none"/>
          <w14:textFill>
            <w14:solidFill>
              <w14:schemeClr w14:val="tx1"/>
            </w14:solidFill>
          </w14:textFill>
        </w:rPr>
        <w:t xml:space="preserve"> </w:t>
      </w:r>
      <w:r>
        <w:rPr>
          <w:rFonts w:ascii="宋体" w:hAnsi="宋体" w:cs="宋体"/>
          <w:color w:val="000000" w:themeColor="text1"/>
          <w:spacing w:val="-9"/>
          <w:sz w:val="24"/>
          <w:szCs w:val="24"/>
          <w:highlight w:val="none"/>
          <w14:textFill>
            <w14:solidFill>
              <w14:schemeClr w14:val="tx1"/>
            </w14:solidFill>
          </w14:textFill>
        </w:rPr>
        <w:t>月</w:t>
      </w:r>
      <w:r>
        <w:rPr>
          <w:rFonts w:ascii="宋体" w:hAnsi="宋体" w:cs="宋体"/>
          <w:color w:val="000000" w:themeColor="text1"/>
          <w:sz w:val="24"/>
          <w:szCs w:val="24"/>
          <w:highlight w:val="none"/>
          <w:u w:val="single"/>
          <w14:textFill>
            <w14:solidFill>
              <w14:schemeClr w14:val="tx1"/>
            </w14:solidFill>
          </w14:textFill>
        </w:rPr>
        <w:t xml:space="preserve">    </w:t>
      </w:r>
      <w:r>
        <w:rPr>
          <w:rFonts w:ascii="宋体" w:hAnsi="宋体" w:cs="宋体"/>
          <w:color w:val="000000" w:themeColor="text1"/>
          <w:spacing w:val="-69"/>
          <w:sz w:val="24"/>
          <w:szCs w:val="24"/>
          <w:highlight w:val="none"/>
          <w14:textFill>
            <w14:solidFill>
              <w14:schemeClr w14:val="tx1"/>
            </w14:solidFill>
          </w14:textFill>
        </w:rPr>
        <w:t xml:space="preserve"> </w:t>
      </w:r>
      <w:r>
        <w:rPr>
          <w:rFonts w:ascii="宋体" w:hAnsi="宋体" w:cs="宋体"/>
          <w:color w:val="000000" w:themeColor="text1"/>
          <w:spacing w:val="-9"/>
          <w:sz w:val="24"/>
          <w:szCs w:val="24"/>
          <w:highlight w:val="none"/>
          <w14:textFill>
            <w14:solidFill>
              <w14:schemeClr w14:val="tx1"/>
            </w14:solidFill>
          </w14:textFill>
        </w:rPr>
        <w:t>日</w:t>
      </w:r>
    </w:p>
    <w:p w14:paraId="16067654">
      <w:pPr>
        <w:pStyle w:val="21"/>
        <w:spacing w:line="245" w:lineRule="auto"/>
        <w:rPr>
          <w:color w:val="000000" w:themeColor="text1"/>
          <w:highlight w:val="none"/>
          <w14:textFill>
            <w14:solidFill>
              <w14:schemeClr w14:val="tx1"/>
            </w14:solidFill>
          </w14:textFill>
        </w:rPr>
      </w:pPr>
    </w:p>
    <w:p w14:paraId="3224248A">
      <w:pPr>
        <w:pStyle w:val="21"/>
        <w:spacing w:line="246" w:lineRule="auto"/>
        <w:rPr>
          <w:color w:val="000000" w:themeColor="text1"/>
          <w:highlight w:val="none"/>
          <w14:textFill>
            <w14:solidFill>
              <w14:schemeClr w14:val="tx1"/>
            </w14:solidFill>
          </w14:textFill>
        </w:rPr>
      </w:pPr>
    </w:p>
    <w:p w14:paraId="1D2A5AE2">
      <w:pPr>
        <w:pStyle w:val="21"/>
        <w:spacing w:line="246" w:lineRule="auto"/>
        <w:rPr>
          <w:color w:val="000000" w:themeColor="text1"/>
          <w:highlight w:val="none"/>
          <w14:textFill>
            <w14:solidFill>
              <w14:schemeClr w14:val="tx1"/>
            </w14:solidFill>
          </w14:textFill>
        </w:rPr>
      </w:pPr>
    </w:p>
    <w:p w14:paraId="0407F38C">
      <w:pPr>
        <w:pStyle w:val="21"/>
        <w:spacing w:line="246" w:lineRule="auto"/>
        <w:rPr>
          <w:color w:val="000000" w:themeColor="text1"/>
          <w:highlight w:val="none"/>
          <w14:textFill>
            <w14:solidFill>
              <w14:schemeClr w14:val="tx1"/>
            </w14:solidFill>
          </w14:textFill>
        </w:rPr>
      </w:pPr>
    </w:p>
    <w:p w14:paraId="67A8CFF4">
      <w:pPr>
        <w:pStyle w:val="21"/>
        <w:spacing w:line="246" w:lineRule="auto"/>
        <w:rPr>
          <w:color w:val="000000" w:themeColor="text1"/>
          <w:highlight w:val="none"/>
          <w14:textFill>
            <w14:solidFill>
              <w14:schemeClr w14:val="tx1"/>
            </w14:solidFill>
          </w14:textFill>
        </w:rPr>
      </w:pPr>
    </w:p>
    <w:p w14:paraId="0F0ACDD3">
      <w:pPr>
        <w:spacing w:before="79" w:line="221" w:lineRule="auto"/>
        <w:ind w:left="481"/>
        <w:rPr>
          <w:rFonts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pacing w:val="2"/>
          <w:sz w:val="24"/>
          <w:szCs w:val="24"/>
          <w:highlight w:val="none"/>
          <w14:textFill>
            <w14:solidFill>
              <w14:schemeClr w14:val="tx1"/>
            </w14:solidFill>
          </w14:textFill>
        </w:rPr>
        <w:t>抄送</w:t>
      </w:r>
      <w:r>
        <w:rPr>
          <w:rFonts w:ascii="宋体" w:hAnsi="宋体" w:cs="宋体"/>
          <w:color w:val="000000" w:themeColor="text1"/>
          <w:spacing w:val="-42"/>
          <w:sz w:val="24"/>
          <w:szCs w:val="24"/>
          <w:highlight w:val="none"/>
          <w14:textFill>
            <w14:solidFill>
              <w14:schemeClr w14:val="tx1"/>
            </w14:solidFill>
          </w14:textFill>
        </w:rPr>
        <w:t>：</w:t>
      </w:r>
      <w:r>
        <w:rPr>
          <w:rFonts w:ascii="宋体" w:hAnsi="宋体" w:cs="宋体"/>
          <w:color w:val="000000" w:themeColor="text1"/>
          <w:spacing w:val="122"/>
          <w:sz w:val="24"/>
          <w:szCs w:val="24"/>
          <w:highlight w:val="none"/>
          <w:u w:val="single"/>
          <w14:textFill>
            <w14:solidFill>
              <w14:schemeClr w14:val="tx1"/>
            </w14:solidFill>
          </w14:textFill>
        </w:rPr>
        <w:t xml:space="preserve"> </w:t>
      </w:r>
      <w:r>
        <w:rPr>
          <w:rFonts w:ascii="宋体" w:hAnsi="宋体" w:cs="宋体"/>
          <w:color w:val="000000" w:themeColor="text1"/>
          <w:spacing w:val="-42"/>
          <w:sz w:val="24"/>
          <w:szCs w:val="24"/>
          <w:highlight w:val="none"/>
          <w:u w:val="single"/>
          <w14:textFill>
            <w14:solidFill>
              <w14:schemeClr w14:val="tx1"/>
            </w14:solidFill>
          </w14:textFill>
        </w:rPr>
        <w:t>（</w:t>
      </w:r>
      <w:r>
        <w:rPr>
          <w:rFonts w:ascii="宋体" w:hAnsi="宋体" w:cs="宋体"/>
          <w:color w:val="000000" w:themeColor="text1"/>
          <w:spacing w:val="2"/>
          <w:sz w:val="24"/>
          <w:szCs w:val="24"/>
          <w:highlight w:val="none"/>
          <w:u w:val="single"/>
          <w14:textFill>
            <w14:solidFill>
              <w14:schemeClr w14:val="tx1"/>
            </w14:solidFill>
          </w14:textFill>
        </w:rPr>
        <w:t>咨询人（监理人</w:t>
      </w:r>
      <w:r>
        <w:rPr>
          <w:rFonts w:ascii="宋体" w:hAnsi="宋体" w:cs="宋体"/>
          <w:color w:val="000000" w:themeColor="text1"/>
          <w:spacing w:val="-42"/>
          <w:sz w:val="24"/>
          <w:szCs w:val="24"/>
          <w:highlight w:val="none"/>
          <w:u w:val="single"/>
          <w14:textFill>
            <w14:solidFill>
              <w14:schemeClr w14:val="tx1"/>
            </w14:solidFill>
          </w14:textFill>
        </w:rPr>
        <w:t>））</w:t>
      </w:r>
      <w:r>
        <w:rPr>
          <w:rFonts w:ascii="宋体" w:hAnsi="宋体" w:cs="宋体"/>
          <w:color w:val="000000" w:themeColor="text1"/>
          <w:sz w:val="24"/>
          <w:szCs w:val="24"/>
          <w:highlight w:val="none"/>
          <w:u w:val="single"/>
          <w14:textFill>
            <w14:solidFill>
              <w14:schemeClr w14:val="tx1"/>
            </w14:solidFill>
          </w14:textFill>
        </w:rPr>
        <w:t xml:space="preserve">   </w:t>
      </w:r>
    </w:p>
    <w:p w14:paraId="3FFD6F8F">
      <w:pPr>
        <w:spacing w:line="221" w:lineRule="auto"/>
        <w:rPr>
          <w:rFonts w:ascii="宋体" w:hAnsi="宋体" w:cs="宋体"/>
          <w:color w:val="000000" w:themeColor="text1"/>
          <w:sz w:val="24"/>
          <w:szCs w:val="24"/>
          <w:highlight w:val="none"/>
          <w14:textFill>
            <w14:solidFill>
              <w14:schemeClr w14:val="tx1"/>
            </w14:solidFill>
          </w14:textFill>
        </w:rPr>
      </w:pPr>
    </w:p>
    <w:p w14:paraId="50D92F56">
      <w:pPr>
        <w:spacing w:line="221" w:lineRule="auto"/>
        <w:rPr>
          <w:rFonts w:ascii="宋体" w:hAnsi="宋体" w:cs="宋体"/>
          <w:color w:val="000000" w:themeColor="text1"/>
          <w:sz w:val="24"/>
          <w:szCs w:val="24"/>
          <w:highlight w:val="none"/>
          <w14:textFill>
            <w14:solidFill>
              <w14:schemeClr w14:val="tx1"/>
            </w14:solidFill>
          </w14:textFill>
        </w:rPr>
      </w:pPr>
    </w:p>
    <w:p w14:paraId="7350FFC6">
      <w:pPr>
        <w:spacing w:line="221" w:lineRule="auto"/>
        <w:rPr>
          <w:rFonts w:ascii="宋体" w:hAnsi="宋体" w:cs="宋体"/>
          <w:color w:val="000000" w:themeColor="text1"/>
          <w:sz w:val="24"/>
          <w:szCs w:val="24"/>
          <w:highlight w:val="none"/>
          <w14:textFill>
            <w14:solidFill>
              <w14:schemeClr w14:val="tx1"/>
            </w14:solidFill>
          </w14:textFill>
        </w:rPr>
      </w:pPr>
    </w:p>
    <w:p w14:paraId="5E8D3263">
      <w:pPr>
        <w:spacing w:line="221" w:lineRule="auto"/>
        <w:rPr>
          <w:rFonts w:ascii="宋体" w:hAnsi="宋体" w:cs="宋体"/>
          <w:color w:val="000000" w:themeColor="text1"/>
          <w:sz w:val="24"/>
          <w:szCs w:val="24"/>
          <w:highlight w:val="none"/>
          <w14:textFill>
            <w14:solidFill>
              <w14:schemeClr w14:val="tx1"/>
            </w14:solidFill>
          </w14:textFill>
        </w:rPr>
      </w:pPr>
    </w:p>
    <w:p w14:paraId="62D40971">
      <w:pPr>
        <w:spacing w:line="221" w:lineRule="auto"/>
        <w:rPr>
          <w:rFonts w:ascii="宋体" w:hAnsi="宋体" w:cs="宋体"/>
          <w:color w:val="000000" w:themeColor="text1"/>
          <w:sz w:val="24"/>
          <w:szCs w:val="24"/>
          <w:highlight w:val="none"/>
          <w14:textFill>
            <w14:solidFill>
              <w14:schemeClr w14:val="tx1"/>
            </w14:solidFill>
          </w14:textFill>
        </w:rPr>
      </w:pPr>
    </w:p>
    <w:p w14:paraId="77B300C4">
      <w:pPr>
        <w:spacing w:line="221" w:lineRule="auto"/>
        <w:rPr>
          <w:rFonts w:ascii="宋体" w:hAnsi="宋体" w:cs="宋体"/>
          <w:color w:val="000000" w:themeColor="text1"/>
          <w:sz w:val="24"/>
          <w:szCs w:val="24"/>
          <w:highlight w:val="none"/>
          <w14:textFill>
            <w14:solidFill>
              <w14:schemeClr w14:val="tx1"/>
            </w14:solidFill>
          </w14:textFill>
        </w:rPr>
      </w:pPr>
    </w:p>
    <w:p w14:paraId="0232255C">
      <w:pPr>
        <w:spacing w:line="221" w:lineRule="auto"/>
        <w:rPr>
          <w:rFonts w:ascii="宋体" w:hAnsi="宋体" w:cs="宋体"/>
          <w:color w:val="000000" w:themeColor="text1"/>
          <w:sz w:val="24"/>
          <w:szCs w:val="24"/>
          <w:highlight w:val="none"/>
          <w14:textFill>
            <w14:solidFill>
              <w14:schemeClr w14:val="tx1"/>
            </w14:solidFill>
          </w14:textFill>
        </w:rPr>
      </w:pPr>
    </w:p>
    <w:p w14:paraId="63A33FA3">
      <w:pPr>
        <w:spacing w:line="221" w:lineRule="auto"/>
        <w:rPr>
          <w:rFonts w:ascii="宋体" w:hAnsi="宋体" w:cs="宋体"/>
          <w:color w:val="000000" w:themeColor="text1"/>
          <w:sz w:val="24"/>
          <w:szCs w:val="24"/>
          <w:highlight w:val="none"/>
          <w14:textFill>
            <w14:solidFill>
              <w14:schemeClr w14:val="tx1"/>
            </w14:solidFill>
          </w14:textFill>
        </w:rPr>
      </w:pPr>
    </w:p>
    <w:p w14:paraId="7C0C10D0">
      <w:pPr>
        <w:spacing w:line="221" w:lineRule="auto"/>
        <w:rPr>
          <w:rFonts w:ascii="宋体" w:hAnsi="宋体" w:cs="宋体"/>
          <w:color w:val="000000" w:themeColor="text1"/>
          <w:sz w:val="24"/>
          <w:szCs w:val="24"/>
          <w:highlight w:val="none"/>
          <w14:textFill>
            <w14:solidFill>
              <w14:schemeClr w14:val="tx1"/>
            </w14:solidFill>
          </w14:textFill>
        </w:rPr>
      </w:pPr>
    </w:p>
    <w:p w14:paraId="595C5F2F">
      <w:pPr>
        <w:spacing w:line="221" w:lineRule="auto"/>
        <w:rPr>
          <w:rFonts w:ascii="宋体" w:hAnsi="宋体" w:cs="宋体"/>
          <w:color w:val="000000" w:themeColor="text1"/>
          <w:sz w:val="24"/>
          <w:szCs w:val="24"/>
          <w:highlight w:val="none"/>
          <w14:textFill>
            <w14:solidFill>
              <w14:schemeClr w14:val="tx1"/>
            </w14:solidFill>
          </w14:textFill>
        </w:rPr>
      </w:pPr>
    </w:p>
    <w:p w14:paraId="72DC7E5A">
      <w:pPr>
        <w:spacing w:line="221" w:lineRule="auto"/>
        <w:rPr>
          <w:rFonts w:ascii="宋体" w:hAnsi="宋体" w:cs="宋体"/>
          <w:color w:val="000000" w:themeColor="text1"/>
          <w:sz w:val="24"/>
          <w:szCs w:val="24"/>
          <w:highlight w:val="none"/>
          <w14:textFill>
            <w14:solidFill>
              <w14:schemeClr w14:val="tx1"/>
            </w14:solidFill>
          </w14:textFill>
        </w:rPr>
      </w:pPr>
    </w:p>
    <w:p w14:paraId="448A10D0">
      <w:pPr>
        <w:spacing w:line="221" w:lineRule="auto"/>
        <w:rPr>
          <w:rFonts w:ascii="宋体" w:hAnsi="宋体" w:cs="宋体"/>
          <w:color w:val="000000" w:themeColor="text1"/>
          <w:sz w:val="24"/>
          <w:szCs w:val="24"/>
          <w:highlight w:val="none"/>
          <w14:textFill>
            <w14:solidFill>
              <w14:schemeClr w14:val="tx1"/>
            </w14:solidFill>
          </w14:textFill>
        </w:rPr>
      </w:pPr>
    </w:p>
    <w:p w14:paraId="6AD1E951">
      <w:pPr>
        <w:spacing w:line="221" w:lineRule="auto"/>
        <w:rPr>
          <w:rFonts w:ascii="宋体" w:hAnsi="宋体" w:cs="宋体"/>
          <w:color w:val="000000" w:themeColor="text1"/>
          <w:sz w:val="24"/>
          <w:szCs w:val="24"/>
          <w:highlight w:val="none"/>
          <w14:textFill>
            <w14:solidFill>
              <w14:schemeClr w14:val="tx1"/>
            </w14:solidFill>
          </w14:textFill>
        </w:rPr>
      </w:pPr>
    </w:p>
    <w:p w14:paraId="7601FBED">
      <w:pPr>
        <w:spacing w:line="221" w:lineRule="auto"/>
        <w:rPr>
          <w:rFonts w:ascii="宋体" w:hAnsi="宋体" w:cs="宋体"/>
          <w:color w:val="000000" w:themeColor="text1"/>
          <w:sz w:val="24"/>
          <w:szCs w:val="24"/>
          <w:highlight w:val="none"/>
          <w14:textFill>
            <w14:solidFill>
              <w14:schemeClr w14:val="tx1"/>
            </w14:solidFill>
          </w14:textFill>
        </w:rPr>
      </w:pPr>
    </w:p>
    <w:p w14:paraId="377566F9">
      <w:pPr>
        <w:spacing w:line="221" w:lineRule="auto"/>
        <w:rPr>
          <w:rFonts w:ascii="宋体" w:hAnsi="宋体" w:cs="宋体"/>
          <w:color w:val="000000" w:themeColor="text1"/>
          <w:sz w:val="24"/>
          <w:szCs w:val="24"/>
          <w:highlight w:val="none"/>
          <w14:textFill>
            <w14:solidFill>
              <w14:schemeClr w14:val="tx1"/>
            </w14:solidFill>
          </w14:textFill>
        </w:rPr>
      </w:pPr>
    </w:p>
    <w:p w14:paraId="2C7AA0F3">
      <w:pPr>
        <w:spacing w:line="221" w:lineRule="auto"/>
        <w:rPr>
          <w:rFonts w:ascii="宋体" w:hAnsi="宋体" w:cs="宋体"/>
          <w:color w:val="000000" w:themeColor="text1"/>
          <w:sz w:val="24"/>
          <w:szCs w:val="24"/>
          <w:highlight w:val="none"/>
          <w14:textFill>
            <w14:solidFill>
              <w14:schemeClr w14:val="tx1"/>
            </w14:solidFill>
          </w14:textFill>
        </w:rPr>
      </w:pPr>
    </w:p>
    <w:p w14:paraId="53C3518B">
      <w:pPr>
        <w:spacing w:line="221" w:lineRule="auto"/>
        <w:rPr>
          <w:rFonts w:ascii="宋体" w:hAnsi="宋体" w:cs="宋体"/>
          <w:color w:val="000000" w:themeColor="text1"/>
          <w:sz w:val="24"/>
          <w:szCs w:val="24"/>
          <w:highlight w:val="none"/>
          <w14:textFill>
            <w14:solidFill>
              <w14:schemeClr w14:val="tx1"/>
            </w14:solidFill>
          </w14:textFill>
        </w:rPr>
      </w:pPr>
    </w:p>
    <w:p w14:paraId="5F569E17">
      <w:pPr>
        <w:spacing w:before="78" w:line="219" w:lineRule="auto"/>
        <w:ind w:left="28"/>
        <w:outlineLvl w:val="2"/>
        <w:rPr>
          <w:rFonts w:ascii="宋体" w:hAnsi="宋体" w:cs="宋体"/>
          <w:color w:val="000000" w:themeColor="text1"/>
          <w:sz w:val="24"/>
          <w:szCs w:val="24"/>
          <w:highlight w:val="none"/>
          <w14:textFill>
            <w14:solidFill>
              <w14:schemeClr w14:val="tx1"/>
            </w14:solidFill>
          </w14:textFill>
        </w:rPr>
      </w:pPr>
      <w:bookmarkStart w:id="260" w:name="_Toc3151"/>
      <w:r>
        <w:rPr>
          <w:rFonts w:ascii="宋体" w:hAnsi="宋体" w:cs="宋体"/>
          <w:b/>
          <w:bCs/>
          <w:color w:val="000000" w:themeColor="text1"/>
          <w:spacing w:val="-4"/>
          <w:sz w:val="24"/>
          <w:szCs w:val="24"/>
          <w:highlight w:val="none"/>
          <w14:textFill>
            <w14:solidFill>
              <w14:schemeClr w14:val="tx1"/>
            </w14:solidFill>
          </w14:textFill>
        </w:rPr>
        <w:t>附件</w:t>
      </w:r>
      <w:r>
        <w:rPr>
          <w:rFonts w:hint="eastAsia" w:ascii="宋体" w:hAnsi="宋体" w:cs="宋体"/>
          <w:b/>
          <w:bCs/>
          <w:color w:val="000000" w:themeColor="text1"/>
          <w:spacing w:val="-4"/>
          <w:sz w:val="24"/>
          <w:szCs w:val="24"/>
          <w:highlight w:val="none"/>
          <w14:textFill>
            <w14:solidFill>
              <w14:schemeClr w14:val="tx1"/>
            </w14:solidFill>
          </w14:textFill>
        </w:rPr>
        <w:t>五</w:t>
      </w:r>
      <w:r>
        <w:rPr>
          <w:rFonts w:ascii="宋体" w:hAnsi="宋体" w:cs="宋体"/>
          <w:color w:val="000000" w:themeColor="text1"/>
          <w:spacing w:val="-4"/>
          <w:sz w:val="24"/>
          <w:szCs w:val="24"/>
          <w:highlight w:val="none"/>
          <w14:textFill>
            <w14:solidFill>
              <w14:schemeClr w14:val="tx1"/>
            </w14:solidFill>
          </w14:textFill>
        </w:rPr>
        <w:t xml:space="preserve">  </w:t>
      </w:r>
      <w:r>
        <w:rPr>
          <w:rFonts w:ascii="宋体" w:hAnsi="宋体" w:cs="宋体"/>
          <w:b/>
          <w:bCs/>
          <w:color w:val="000000" w:themeColor="text1"/>
          <w:spacing w:val="-4"/>
          <w:sz w:val="24"/>
          <w:szCs w:val="24"/>
          <w:highlight w:val="none"/>
          <w14:textFill>
            <w14:solidFill>
              <w14:schemeClr w14:val="tx1"/>
            </w14:solidFill>
          </w14:textFill>
        </w:rPr>
        <w:t>履约保证金格式</w:t>
      </w:r>
      <w:bookmarkEnd w:id="260"/>
    </w:p>
    <w:p w14:paraId="041201FB">
      <w:pPr>
        <w:spacing w:before="270" w:line="212" w:lineRule="auto"/>
        <w:ind w:left="493"/>
        <w:rPr>
          <w:rFonts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pacing w:val="-1"/>
          <w:sz w:val="24"/>
          <w:szCs w:val="24"/>
          <w:highlight w:val="none"/>
          <w14:textFill>
            <w14:solidFill>
              <w14:schemeClr w14:val="tx1"/>
            </w14:solidFill>
          </w14:textFill>
        </w:rPr>
        <w:t>如采用非现金担保，格式如下。</w:t>
      </w:r>
    </w:p>
    <w:p w14:paraId="775728D2">
      <w:pPr>
        <w:spacing w:before="57" w:line="341" w:lineRule="exact"/>
        <w:ind w:left="3920"/>
        <w:rPr>
          <w:rFonts w:ascii="宋体" w:hAnsi="宋体" w:cs="宋体"/>
          <w:color w:val="000000" w:themeColor="text1"/>
          <w:sz w:val="13"/>
          <w:szCs w:val="13"/>
          <w:highlight w:val="none"/>
          <w14:textFill>
            <w14:solidFill>
              <w14:schemeClr w14:val="tx1"/>
            </w14:solidFill>
          </w14:textFill>
        </w:rPr>
      </w:pPr>
      <w:r>
        <w:rPr>
          <w:rFonts w:ascii="宋体" w:hAnsi="宋体" w:cs="宋体"/>
          <w:color w:val="000000" w:themeColor="text1"/>
          <w:spacing w:val="-1"/>
          <w:sz w:val="24"/>
          <w:szCs w:val="24"/>
          <w:highlight w:val="none"/>
          <w14:textFill>
            <w14:solidFill>
              <w14:schemeClr w14:val="tx1"/>
            </w14:solidFill>
          </w14:textFill>
        </w:rPr>
        <w:t>履约保证金</w:t>
      </w:r>
    </w:p>
    <w:p w14:paraId="7B268313">
      <w:pPr>
        <w:tabs>
          <w:tab w:val="left" w:pos="2280"/>
        </w:tabs>
        <w:spacing w:before="126" w:line="220" w:lineRule="auto"/>
        <w:ind w:left="480"/>
        <w:rPr>
          <w:rFonts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u w:val="single"/>
          <w14:textFill>
            <w14:solidFill>
              <w14:schemeClr w14:val="tx1"/>
            </w14:solidFill>
          </w14:textFill>
        </w:rPr>
        <w:tab/>
      </w:r>
      <w:r>
        <w:rPr>
          <w:rFonts w:ascii="宋体" w:hAnsi="宋体" w:cs="宋体"/>
          <w:color w:val="000000" w:themeColor="text1"/>
          <w:spacing w:val="-1"/>
          <w:sz w:val="24"/>
          <w:szCs w:val="24"/>
          <w:highlight w:val="none"/>
          <w14:textFill>
            <w14:solidFill>
              <w14:schemeClr w14:val="tx1"/>
            </w14:solidFill>
          </w14:textFill>
        </w:rPr>
        <w:t>（发包人名称</w:t>
      </w:r>
      <w:r>
        <w:rPr>
          <w:rFonts w:ascii="宋体" w:hAnsi="宋体" w:cs="宋体"/>
          <w:color w:val="000000" w:themeColor="text1"/>
          <w:spacing w:val="-63"/>
          <w:w w:val="98"/>
          <w:sz w:val="24"/>
          <w:szCs w:val="24"/>
          <w:highlight w:val="none"/>
          <w14:textFill>
            <w14:solidFill>
              <w14:schemeClr w14:val="tx1"/>
            </w14:solidFill>
          </w14:textFill>
        </w:rPr>
        <w:t>）：</w:t>
      </w:r>
    </w:p>
    <w:p w14:paraId="478C89DD">
      <w:pPr>
        <w:pStyle w:val="21"/>
        <w:spacing w:line="431" w:lineRule="auto"/>
        <w:rPr>
          <w:color w:val="000000" w:themeColor="text1"/>
          <w:highlight w:val="none"/>
          <w14:textFill>
            <w14:solidFill>
              <w14:schemeClr w14:val="tx1"/>
            </w14:solidFill>
          </w14:textFill>
        </w:rPr>
      </w:pPr>
    </w:p>
    <w:p w14:paraId="71F1F405">
      <w:pPr>
        <w:spacing w:before="79" w:line="308" w:lineRule="auto"/>
        <w:ind w:left="8" w:firstLine="483"/>
        <w:rPr>
          <w:rFonts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pacing w:val="-3"/>
          <w:sz w:val="24"/>
          <w:szCs w:val="24"/>
          <w:highlight w:val="none"/>
          <w14:textFill>
            <w14:solidFill>
              <w14:schemeClr w14:val="tx1"/>
            </w14:solidFill>
          </w14:textFill>
        </w:rPr>
        <w:t>鉴于</w:t>
      </w:r>
      <w:r>
        <w:rPr>
          <w:rFonts w:ascii="宋体" w:hAnsi="宋体" w:cs="宋体"/>
          <w:color w:val="000000" w:themeColor="text1"/>
          <w:spacing w:val="-3"/>
          <w:sz w:val="24"/>
          <w:szCs w:val="24"/>
          <w:highlight w:val="none"/>
          <w:u w:val="single"/>
          <w14:textFill>
            <w14:solidFill>
              <w14:schemeClr w14:val="tx1"/>
            </w14:solidFill>
          </w14:textFill>
        </w:rPr>
        <w:t xml:space="preserve">           </w:t>
      </w:r>
      <w:r>
        <w:rPr>
          <w:rFonts w:ascii="宋体" w:hAnsi="宋体" w:cs="宋体"/>
          <w:color w:val="000000" w:themeColor="text1"/>
          <w:spacing w:val="-3"/>
          <w:sz w:val="24"/>
          <w:szCs w:val="24"/>
          <w:highlight w:val="none"/>
          <w14:textFill>
            <w14:solidFill>
              <w14:schemeClr w14:val="tx1"/>
            </w14:solidFill>
          </w14:textFill>
        </w:rPr>
        <w:t>（发包人名称，以下简称“发包人</w:t>
      </w:r>
      <w:r>
        <w:rPr>
          <w:rFonts w:ascii="宋体" w:hAnsi="宋体" w:cs="宋体"/>
          <w:color w:val="000000" w:themeColor="text1"/>
          <w:spacing w:val="-85"/>
          <w:sz w:val="24"/>
          <w:szCs w:val="24"/>
          <w:highlight w:val="none"/>
          <w14:textFill>
            <w14:solidFill>
              <w14:schemeClr w14:val="tx1"/>
            </w14:solidFill>
          </w14:textFill>
        </w:rPr>
        <w:t xml:space="preserve"> </w:t>
      </w:r>
      <w:r>
        <w:rPr>
          <w:rFonts w:ascii="宋体" w:hAnsi="宋体" w:cs="宋体"/>
          <w:color w:val="000000" w:themeColor="text1"/>
          <w:spacing w:val="-3"/>
          <w:sz w:val="24"/>
          <w:szCs w:val="24"/>
          <w:highlight w:val="none"/>
          <w14:textFill>
            <w14:solidFill>
              <w14:schemeClr w14:val="tx1"/>
            </w14:solidFill>
          </w14:textFill>
        </w:rPr>
        <w:t>”）接受</w:t>
      </w:r>
      <w:r>
        <w:rPr>
          <w:rFonts w:ascii="宋体" w:hAnsi="宋体" w:cs="宋体"/>
          <w:color w:val="000000" w:themeColor="text1"/>
          <w:spacing w:val="-3"/>
          <w:sz w:val="24"/>
          <w:szCs w:val="24"/>
          <w:highlight w:val="none"/>
          <w:u w:val="single"/>
          <w14:textFill>
            <w14:solidFill>
              <w14:schemeClr w14:val="tx1"/>
            </w14:solidFill>
          </w14:textFill>
        </w:rPr>
        <w:t xml:space="preserve">     </w:t>
      </w:r>
      <w:r>
        <w:rPr>
          <w:rFonts w:ascii="宋体" w:hAnsi="宋体" w:cs="宋体"/>
          <w:color w:val="000000" w:themeColor="text1"/>
          <w:spacing w:val="-4"/>
          <w:sz w:val="24"/>
          <w:szCs w:val="24"/>
          <w:highlight w:val="none"/>
          <w:u w:val="single"/>
          <w14:textFill>
            <w14:solidFill>
              <w14:schemeClr w14:val="tx1"/>
            </w14:solidFill>
          </w14:textFill>
        </w:rPr>
        <w:t xml:space="preserve"> </w:t>
      </w:r>
      <w:r>
        <w:rPr>
          <w:rFonts w:ascii="宋体" w:hAnsi="宋体" w:cs="宋体"/>
          <w:color w:val="000000" w:themeColor="text1"/>
          <w:spacing w:val="-4"/>
          <w:sz w:val="24"/>
          <w:szCs w:val="24"/>
          <w:highlight w:val="none"/>
          <w14:textFill>
            <w14:solidFill>
              <w14:schemeClr w14:val="tx1"/>
            </w14:solidFill>
          </w14:textFill>
        </w:rPr>
        <w:t>（承包人名</w:t>
      </w:r>
      <w:r>
        <w:rPr>
          <w:rFonts w:ascii="宋体" w:hAnsi="宋体" w:cs="宋体"/>
          <w:color w:val="000000" w:themeColor="text1"/>
          <w:spacing w:val="-8"/>
          <w:sz w:val="24"/>
          <w:szCs w:val="24"/>
          <w:highlight w:val="none"/>
          <w14:textFill>
            <w14:solidFill>
              <w14:schemeClr w14:val="tx1"/>
            </w14:solidFill>
          </w14:textFill>
        </w:rPr>
        <w:t>称，以下简称“承包人</w:t>
      </w:r>
      <w:r>
        <w:rPr>
          <w:rFonts w:ascii="宋体" w:hAnsi="宋体" w:cs="宋体"/>
          <w:color w:val="000000" w:themeColor="text1"/>
          <w:spacing w:val="-87"/>
          <w:sz w:val="24"/>
          <w:szCs w:val="24"/>
          <w:highlight w:val="none"/>
          <w14:textFill>
            <w14:solidFill>
              <w14:schemeClr w14:val="tx1"/>
            </w14:solidFill>
          </w14:textFill>
        </w:rPr>
        <w:t xml:space="preserve"> </w:t>
      </w:r>
      <w:r>
        <w:rPr>
          <w:rFonts w:ascii="宋体" w:hAnsi="宋体" w:cs="宋体"/>
          <w:color w:val="000000" w:themeColor="text1"/>
          <w:spacing w:val="-8"/>
          <w:sz w:val="24"/>
          <w:szCs w:val="24"/>
          <w:highlight w:val="none"/>
          <w14:textFill>
            <w14:solidFill>
              <w14:schemeClr w14:val="tx1"/>
            </w14:solidFill>
          </w14:textFill>
        </w:rPr>
        <w:t>”）于</w:t>
      </w:r>
      <w:r>
        <w:rPr>
          <w:rFonts w:ascii="宋体" w:hAnsi="宋体" w:cs="宋体"/>
          <w:color w:val="000000" w:themeColor="text1"/>
          <w:spacing w:val="-118"/>
          <w:sz w:val="24"/>
          <w:szCs w:val="24"/>
          <w:highlight w:val="none"/>
          <w14:textFill>
            <w14:solidFill>
              <w14:schemeClr w14:val="tx1"/>
            </w14:solidFill>
          </w14:textFill>
        </w:rPr>
        <w:t xml:space="preserve"> </w:t>
      </w:r>
      <w:r>
        <w:rPr>
          <w:rFonts w:ascii="宋体" w:hAnsi="宋体" w:cs="宋体"/>
          <w:color w:val="000000" w:themeColor="text1"/>
          <w:spacing w:val="4"/>
          <w:sz w:val="24"/>
          <w:szCs w:val="24"/>
          <w:highlight w:val="none"/>
          <w:u w:val="single"/>
          <w14:textFill>
            <w14:solidFill>
              <w14:schemeClr w14:val="tx1"/>
            </w14:solidFill>
          </w14:textFill>
        </w:rPr>
        <w:t xml:space="preserve">     </w:t>
      </w:r>
      <w:r>
        <w:rPr>
          <w:rFonts w:ascii="宋体" w:hAnsi="宋体" w:cs="宋体"/>
          <w:color w:val="000000" w:themeColor="text1"/>
          <w:spacing w:val="-110"/>
          <w:sz w:val="24"/>
          <w:szCs w:val="24"/>
          <w:highlight w:val="none"/>
          <w14:textFill>
            <w14:solidFill>
              <w14:schemeClr w14:val="tx1"/>
            </w14:solidFill>
          </w14:textFill>
        </w:rPr>
        <w:t xml:space="preserve"> </w:t>
      </w:r>
      <w:r>
        <w:rPr>
          <w:rFonts w:ascii="宋体" w:hAnsi="宋体" w:cs="宋体"/>
          <w:color w:val="000000" w:themeColor="text1"/>
          <w:spacing w:val="-8"/>
          <w:sz w:val="24"/>
          <w:szCs w:val="24"/>
          <w:highlight w:val="none"/>
          <w14:textFill>
            <w14:solidFill>
              <w14:schemeClr w14:val="tx1"/>
            </w14:solidFill>
          </w14:textFill>
        </w:rPr>
        <w:t>年</w:t>
      </w:r>
      <w:r>
        <w:rPr>
          <w:rFonts w:ascii="宋体" w:hAnsi="宋体" w:cs="宋体"/>
          <w:color w:val="000000" w:themeColor="text1"/>
          <w:spacing w:val="-118"/>
          <w:sz w:val="24"/>
          <w:szCs w:val="24"/>
          <w:highlight w:val="none"/>
          <w14:textFill>
            <w14:solidFill>
              <w14:schemeClr w14:val="tx1"/>
            </w14:solidFill>
          </w14:textFill>
        </w:rPr>
        <w:t xml:space="preserve"> </w:t>
      </w:r>
      <w:r>
        <w:rPr>
          <w:rFonts w:ascii="宋体" w:hAnsi="宋体" w:cs="宋体"/>
          <w:color w:val="000000" w:themeColor="text1"/>
          <w:spacing w:val="3"/>
          <w:sz w:val="24"/>
          <w:szCs w:val="24"/>
          <w:highlight w:val="none"/>
          <w:u w:val="single"/>
          <w14:textFill>
            <w14:solidFill>
              <w14:schemeClr w14:val="tx1"/>
            </w14:solidFill>
          </w14:textFill>
        </w:rPr>
        <w:t xml:space="preserve">    </w:t>
      </w:r>
      <w:r>
        <w:rPr>
          <w:rFonts w:ascii="宋体" w:hAnsi="宋体" w:cs="宋体"/>
          <w:color w:val="000000" w:themeColor="text1"/>
          <w:spacing w:val="-104"/>
          <w:sz w:val="24"/>
          <w:szCs w:val="24"/>
          <w:highlight w:val="none"/>
          <w14:textFill>
            <w14:solidFill>
              <w14:schemeClr w14:val="tx1"/>
            </w14:solidFill>
          </w14:textFill>
        </w:rPr>
        <w:t xml:space="preserve"> </w:t>
      </w:r>
      <w:r>
        <w:rPr>
          <w:rFonts w:ascii="宋体" w:hAnsi="宋体" w:cs="宋体"/>
          <w:color w:val="000000" w:themeColor="text1"/>
          <w:spacing w:val="-8"/>
          <w:sz w:val="24"/>
          <w:szCs w:val="24"/>
          <w:highlight w:val="none"/>
          <w14:textFill>
            <w14:solidFill>
              <w14:schemeClr w14:val="tx1"/>
            </w14:solidFill>
          </w14:textFill>
        </w:rPr>
        <w:t>月</w:t>
      </w:r>
      <w:r>
        <w:rPr>
          <w:rFonts w:ascii="宋体" w:hAnsi="宋体" w:cs="宋体"/>
          <w:color w:val="000000" w:themeColor="text1"/>
          <w:spacing w:val="-116"/>
          <w:sz w:val="24"/>
          <w:szCs w:val="24"/>
          <w:highlight w:val="none"/>
          <w14:textFill>
            <w14:solidFill>
              <w14:schemeClr w14:val="tx1"/>
            </w14:solidFill>
          </w14:textFill>
        </w:rPr>
        <w:t xml:space="preserve"> </w:t>
      </w:r>
      <w:r>
        <w:rPr>
          <w:rFonts w:ascii="宋体" w:hAnsi="宋体" w:cs="宋体"/>
          <w:color w:val="000000" w:themeColor="text1"/>
          <w:spacing w:val="3"/>
          <w:sz w:val="24"/>
          <w:szCs w:val="24"/>
          <w:highlight w:val="none"/>
          <w:u w:val="single"/>
          <w14:textFill>
            <w14:solidFill>
              <w14:schemeClr w14:val="tx1"/>
            </w14:solidFill>
          </w14:textFill>
        </w:rPr>
        <w:t xml:space="preserve">    </w:t>
      </w:r>
      <w:r>
        <w:rPr>
          <w:rFonts w:ascii="宋体" w:hAnsi="宋体" w:cs="宋体"/>
          <w:color w:val="000000" w:themeColor="text1"/>
          <w:spacing w:val="-69"/>
          <w:sz w:val="24"/>
          <w:szCs w:val="24"/>
          <w:highlight w:val="none"/>
          <w14:textFill>
            <w14:solidFill>
              <w14:schemeClr w14:val="tx1"/>
            </w14:solidFill>
          </w14:textFill>
        </w:rPr>
        <w:t xml:space="preserve"> </w:t>
      </w:r>
      <w:r>
        <w:rPr>
          <w:rFonts w:ascii="宋体" w:hAnsi="宋体" w:cs="宋体"/>
          <w:color w:val="000000" w:themeColor="text1"/>
          <w:spacing w:val="-8"/>
          <w:sz w:val="24"/>
          <w:szCs w:val="24"/>
          <w:highlight w:val="none"/>
          <w14:textFill>
            <w14:solidFill>
              <w14:schemeClr w14:val="tx1"/>
            </w14:solidFill>
          </w14:textFill>
        </w:rPr>
        <w:t>日参加</w:t>
      </w:r>
      <w:r>
        <w:rPr>
          <w:rFonts w:ascii="宋体" w:hAnsi="宋体" w:cs="宋体"/>
          <w:color w:val="000000" w:themeColor="text1"/>
          <w:spacing w:val="-118"/>
          <w:sz w:val="24"/>
          <w:szCs w:val="24"/>
          <w:highlight w:val="none"/>
          <w14:textFill>
            <w14:solidFill>
              <w14:schemeClr w14:val="tx1"/>
            </w14:solidFill>
          </w14:textFill>
        </w:rPr>
        <w:t xml:space="preserve"> </w:t>
      </w:r>
      <w:r>
        <w:rPr>
          <w:rFonts w:ascii="宋体" w:hAnsi="宋体" w:cs="宋体"/>
          <w:color w:val="000000" w:themeColor="text1"/>
          <w:spacing w:val="3"/>
          <w:sz w:val="24"/>
          <w:szCs w:val="24"/>
          <w:highlight w:val="none"/>
          <w:u w:val="single"/>
          <w14:textFill>
            <w14:solidFill>
              <w14:schemeClr w14:val="tx1"/>
            </w14:solidFill>
          </w14:textFill>
        </w:rPr>
        <w:t xml:space="preserve">           </w:t>
      </w:r>
      <w:r>
        <w:rPr>
          <w:rFonts w:ascii="宋体" w:hAnsi="宋体" w:cs="宋体"/>
          <w:color w:val="000000" w:themeColor="text1"/>
          <w:spacing w:val="-8"/>
          <w:sz w:val="24"/>
          <w:szCs w:val="24"/>
          <w:highlight w:val="none"/>
          <w14:textFill>
            <w14:solidFill>
              <w14:schemeClr w14:val="tx1"/>
            </w14:solidFill>
          </w14:textFill>
        </w:rPr>
        <w:t>（项目名称）</w:t>
      </w:r>
      <w:r>
        <w:rPr>
          <w:rFonts w:ascii="宋体" w:hAnsi="宋体" w:cs="宋体"/>
          <w:color w:val="000000" w:themeColor="text1"/>
          <w:spacing w:val="-2"/>
          <w:sz w:val="24"/>
          <w:szCs w:val="24"/>
          <w:highlight w:val="none"/>
          <w14:textFill>
            <w14:solidFill>
              <w14:schemeClr w14:val="tx1"/>
            </w14:solidFill>
          </w14:textFill>
        </w:rPr>
        <w:t>养护项目的实施。我方愿意无条件地、不可撤销地就承包人履行与你方订立的合同，向你方提供担保。</w:t>
      </w:r>
    </w:p>
    <w:p w14:paraId="2052DBEB">
      <w:pPr>
        <w:spacing w:line="218" w:lineRule="auto"/>
        <w:ind w:left="508"/>
        <w:rPr>
          <w:rFonts w:ascii="宋体" w:hAnsi="宋体" w:cs="宋体"/>
          <w:color w:val="000000" w:themeColor="text1"/>
          <w:sz w:val="24"/>
          <w:szCs w:val="24"/>
          <w:highlight w:val="none"/>
          <w14:textFill>
            <w14:solidFill>
              <w14:schemeClr w14:val="tx1"/>
            </w14:solidFill>
          </w14:textFill>
        </w:rPr>
      </w:pPr>
      <w:r>
        <w:rPr>
          <w:rFonts w:eastAsia="Times New Roman"/>
          <w:color w:val="000000" w:themeColor="text1"/>
          <w:spacing w:val="-4"/>
          <w:sz w:val="24"/>
          <w:szCs w:val="24"/>
          <w:highlight w:val="none"/>
          <w14:textFill>
            <w14:solidFill>
              <w14:schemeClr w14:val="tx1"/>
            </w14:solidFill>
          </w14:textFill>
        </w:rPr>
        <w:t xml:space="preserve">1.  </w:t>
      </w:r>
      <w:r>
        <w:rPr>
          <w:rFonts w:ascii="宋体" w:hAnsi="宋体" w:cs="宋体"/>
          <w:color w:val="000000" w:themeColor="text1"/>
          <w:spacing w:val="-4"/>
          <w:sz w:val="24"/>
          <w:szCs w:val="24"/>
          <w:highlight w:val="none"/>
          <w14:textFill>
            <w14:solidFill>
              <w14:schemeClr w14:val="tx1"/>
            </w14:solidFill>
          </w14:textFill>
        </w:rPr>
        <w:t>担保金额人民币（大写）</w:t>
      </w:r>
      <w:r>
        <w:rPr>
          <w:rFonts w:ascii="宋体" w:hAnsi="宋体" w:cs="宋体"/>
          <w:color w:val="000000" w:themeColor="text1"/>
          <w:spacing w:val="1"/>
          <w:sz w:val="24"/>
          <w:szCs w:val="24"/>
          <w:highlight w:val="none"/>
          <w:u w:val="single"/>
          <w14:textFill>
            <w14:solidFill>
              <w14:schemeClr w14:val="tx1"/>
            </w14:solidFill>
          </w14:textFill>
        </w:rPr>
        <w:t xml:space="preserve">                 </w:t>
      </w:r>
      <w:r>
        <w:rPr>
          <w:rFonts w:ascii="宋体" w:hAnsi="宋体" w:cs="宋体"/>
          <w:color w:val="000000" w:themeColor="text1"/>
          <w:spacing w:val="-4"/>
          <w:sz w:val="24"/>
          <w:szCs w:val="24"/>
          <w:highlight w:val="none"/>
          <w:u w:val="single"/>
          <w14:textFill>
            <w14:solidFill>
              <w14:schemeClr w14:val="tx1"/>
            </w14:solidFill>
          </w14:textFill>
        </w:rPr>
        <w:t>元 (</w:t>
      </w:r>
      <w:r>
        <w:rPr>
          <w:rFonts w:eastAsia="Times New Roman"/>
          <w:color w:val="000000" w:themeColor="text1"/>
          <w:spacing w:val="-4"/>
          <w:sz w:val="24"/>
          <w:szCs w:val="24"/>
          <w:highlight w:val="none"/>
          <w:u w:val="single"/>
          <w14:textFill>
            <w14:solidFill>
              <w14:schemeClr w14:val="tx1"/>
            </w14:solidFill>
          </w14:textFill>
        </w:rPr>
        <w:t>¥</w:t>
      </w:r>
      <w:r>
        <w:rPr>
          <w:rFonts w:eastAsia="Times New Roman"/>
          <w:color w:val="000000" w:themeColor="text1"/>
          <w:spacing w:val="1"/>
          <w:sz w:val="24"/>
          <w:szCs w:val="24"/>
          <w:highlight w:val="none"/>
          <w:u w:val="single"/>
          <w14:textFill>
            <w14:solidFill>
              <w14:schemeClr w14:val="tx1"/>
            </w14:solidFill>
          </w14:textFill>
        </w:rPr>
        <w:t xml:space="preserve">                          </w:t>
      </w:r>
      <w:r>
        <w:rPr>
          <w:rFonts w:ascii="宋体" w:hAnsi="宋体" w:cs="宋体"/>
          <w:color w:val="000000" w:themeColor="text1"/>
          <w:spacing w:val="-4"/>
          <w:sz w:val="24"/>
          <w:szCs w:val="24"/>
          <w:highlight w:val="none"/>
          <w:u w:val="single"/>
          <w14:textFill>
            <w14:solidFill>
              <w14:schemeClr w14:val="tx1"/>
            </w14:solidFill>
          </w14:textFill>
        </w:rPr>
        <w:t>)</w:t>
      </w:r>
      <w:r>
        <w:rPr>
          <w:rFonts w:ascii="宋体" w:hAnsi="宋体" w:cs="宋体"/>
          <w:color w:val="000000" w:themeColor="text1"/>
          <w:spacing w:val="-4"/>
          <w:sz w:val="24"/>
          <w:szCs w:val="24"/>
          <w:highlight w:val="none"/>
          <w14:textFill>
            <w14:solidFill>
              <w14:schemeClr w14:val="tx1"/>
            </w14:solidFill>
          </w14:textFill>
        </w:rPr>
        <w:t>。</w:t>
      </w:r>
    </w:p>
    <w:p w14:paraId="662FAE44">
      <w:pPr>
        <w:spacing w:before="115" w:line="277" w:lineRule="auto"/>
        <w:ind w:left="17" w:right="148" w:firstLine="467"/>
        <w:rPr>
          <w:rFonts w:ascii="宋体" w:hAnsi="宋体" w:cs="宋体"/>
          <w:color w:val="000000" w:themeColor="text1"/>
          <w:sz w:val="12"/>
          <w:szCs w:val="12"/>
          <w:highlight w:val="none"/>
          <w14:textFill>
            <w14:solidFill>
              <w14:schemeClr w14:val="tx1"/>
            </w14:solidFill>
          </w14:textFill>
        </w:rPr>
      </w:pPr>
      <w:r>
        <w:rPr>
          <w:rFonts w:eastAsia="Times New Roman"/>
          <w:color w:val="000000" w:themeColor="text1"/>
          <w:spacing w:val="6"/>
          <w:sz w:val="24"/>
          <w:szCs w:val="24"/>
          <w:highlight w:val="none"/>
          <w14:textFill>
            <w14:solidFill>
              <w14:schemeClr w14:val="tx1"/>
            </w14:solidFill>
          </w14:textFill>
        </w:rPr>
        <w:t xml:space="preserve">2.  </w:t>
      </w:r>
      <w:r>
        <w:rPr>
          <w:rFonts w:ascii="宋体" w:hAnsi="宋体" w:cs="宋体"/>
          <w:color w:val="000000" w:themeColor="text1"/>
          <w:spacing w:val="6"/>
          <w:sz w:val="24"/>
          <w:szCs w:val="24"/>
          <w:highlight w:val="none"/>
          <w14:textFill>
            <w14:solidFill>
              <w14:schemeClr w14:val="tx1"/>
            </w14:solidFill>
          </w14:textFill>
        </w:rPr>
        <w:t>担保有效期自发包人与承包人签订的合同生效之日起</w:t>
      </w:r>
      <w:r>
        <w:rPr>
          <w:rFonts w:ascii="宋体" w:hAnsi="宋体" w:cs="宋体"/>
          <w:color w:val="000000" w:themeColor="text1"/>
          <w:spacing w:val="5"/>
          <w:sz w:val="24"/>
          <w:szCs w:val="24"/>
          <w:highlight w:val="none"/>
          <w14:textFill>
            <w14:solidFill>
              <w14:schemeClr w14:val="tx1"/>
            </w14:solidFill>
          </w14:textFill>
        </w:rPr>
        <w:t>至发包人签发交工验</w:t>
      </w:r>
      <w:r>
        <w:rPr>
          <w:rFonts w:ascii="宋体" w:hAnsi="宋体" w:cs="宋体"/>
          <w:color w:val="000000" w:themeColor="text1"/>
          <w:spacing w:val="-1"/>
          <w:sz w:val="24"/>
          <w:szCs w:val="24"/>
          <w:highlight w:val="none"/>
          <w14:textFill>
            <w14:solidFill>
              <w14:schemeClr w14:val="tx1"/>
            </w14:solidFill>
          </w14:textFill>
        </w:rPr>
        <w:t>收证书且承包人按照合同约定缴纳质量保证金之日止。</w:t>
      </w:r>
    </w:p>
    <w:p w14:paraId="1FD41177">
      <w:pPr>
        <w:spacing w:before="80" w:line="278" w:lineRule="auto"/>
        <w:ind w:left="32" w:right="147" w:firstLine="456"/>
        <w:rPr>
          <w:rFonts w:ascii="宋体" w:hAnsi="宋体" w:cs="宋体"/>
          <w:color w:val="000000" w:themeColor="text1"/>
          <w:sz w:val="24"/>
          <w:szCs w:val="24"/>
          <w:highlight w:val="none"/>
          <w14:textFill>
            <w14:solidFill>
              <w14:schemeClr w14:val="tx1"/>
            </w14:solidFill>
          </w14:textFill>
        </w:rPr>
      </w:pPr>
      <w:r>
        <w:rPr>
          <w:rFonts w:eastAsia="Times New Roman"/>
          <w:color w:val="000000" w:themeColor="text1"/>
          <w:spacing w:val="6"/>
          <w:sz w:val="24"/>
          <w:szCs w:val="24"/>
          <w:highlight w:val="none"/>
          <w14:textFill>
            <w14:solidFill>
              <w14:schemeClr w14:val="tx1"/>
            </w14:solidFill>
          </w14:textFill>
        </w:rPr>
        <w:t xml:space="preserve">3.  </w:t>
      </w:r>
      <w:r>
        <w:rPr>
          <w:rFonts w:ascii="宋体" w:hAnsi="宋体" w:cs="宋体"/>
          <w:color w:val="000000" w:themeColor="text1"/>
          <w:spacing w:val="6"/>
          <w:sz w:val="24"/>
          <w:szCs w:val="24"/>
          <w:highlight w:val="none"/>
          <w14:textFill>
            <w14:solidFill>
              <w14:schemeClr w14:val="tx1"/>
            </w14:solidFill>
          </w14:textFill>
        </w:rPr>
        <w:t>在本担保有效期内，如果承包人不履行合</w:t>
      </w:r>
      <w:r>
        <w:rPr>
          <w:rFonts w:ascii="宋体" w:hAnsi="宋体" w:cs="宋体"/>
          <w:color w:val="000000" w:themeColor="text1"/>
          <w:spacing w:val="5"/>
          <w:sz w:val="24"/>
          <w:szCs w:val="24"/>
          <w:highlight w:val="none"/>
          <w14:textFill>
            <w14:solidFill>
              <w14:schemeClr w14:val="tx1"/>
            </w14:solidFill>
          </w14:textFill>
        </w:rPr>
        <w:t>同约定的义务或其履行不符合合</w:t>
      </w:r>
      <w:r>
        <w:rPr>
          <w:rFonts w:ascii="宋体" w:hAnsi="宋体" w:cs="宋体"/>
          <w:color w:val="000000" w:themeColor="text1"/>
          <w:spacing w:val="1"/>
          <w:sz w:val="24"/>
          <w:szCs w:val="24"/>
          <w:highlight w:val="none"/>
          <w14:textFill>
            <w14:solidFill>
              <w14:schemeClr w14:val="tx1"/>
            </w14:solidFill>
          </w14:textFill>
        </w:rPr>
        <w:t>同的约定时，我方在收到你方以书面形式提出的在担保金额内的赔偿要求后，在</w:t>
      </w:r>
      <w:r>
        <w:rPr>
          <w:rFonts w:ascii="宋体" w:hAnsi="宋体" w:cs="宋体"/>
          <w:color w:val="000000" w:themeColor="text1"/>
          <w:spacing w:val="-37"/>
          <w:sz w:val="24"/>
          <w:szCs w:val="24"/>
          <w:highlight w:val="none"/>
          <w14:textFill>
            <w14:solidFill>
              <w14:schemeClr w14:val="tx1"/>
            </w14:solidFill>
          </w14:textFill>
        </w:rPr>
        <w:t xml:space="preserve"> </w:t>
      </w:r>
      <w:r>
        <w:rPr>
          <w:rFonts w:eastAsia="Times New Roman"/>
          <w:color w:val="000000" w:themeColor="text1"/>
          <w:spacing w:val="1"/>
          <w:sz w:val="24"/>
          <w:szCs w:val="24"/>
          <w:highlight w:val="none"/>
          <w14:textFill>
            <w14:solidFill>
              <w14:schemeClr w14:val="tx1"/>
            </w14:solidFill>
          </w14:textFill>
        </w:rPr>
        <w:t>7</w:t>
      </w:r>
      <w:r>
        <w:rPr>
          <w:rFonts w:ascii="宋体" w:hAnsi="宋体" w:cs="宋体"/>
          <w:color w:val="000000" w:themeColor="text1"/>
          <w:spacing w:val="-2"/>
          <w:sz w:val="24"/>
          <w:szCs w:val="24"/>
          <w:highlight w:val="none"/>
          <w14:textFill>
            <w14:solidFill>
              <w14:schemeClr w14:val="tx1"/>
            </w14:solidFill>
          </w14:textFill>
        </w:rPr>
        <w:t>日内无条件支付，无须你方出具证明或陈述理由。</w:t>
      </w:r>
    </w:p>
    <w:p w14:paraId="63095139">
      <w:pPr>
        <w:spacing w:before="116" w:line="263" w:lineRule="auto"/>
        <w:ind w:left="11" w:right="59" w:firstLine="472"/>
        <w:rPr>
          <w:rFonts w:ascii="宋体" w:hAnsi="宋体" w:cs="宋体"/>
          <w:color w:val="000000" w:themeColor="text1"/>
          <w:sz w:val="24"/>
          <w:szCs w:val="24"/>
          <w:highlight w:val="none"/>
          <w14:textFill>
            <w14:solidFill>
              <w14:schemeClr w14:val="tx1"/>
            </w14:solidFill>
          </w14:textFill>
        </w:rPr>
      </w:pPr>
      <w:r>
        <w:rPr>
          <w:rFonts w:eastAsia="Times New Roman"/>
          <w:color w:val="000000" w:themeColor="text1"/>
          <w:spacing w:val="-2"/>
          <w:sz w:val="24"/>
          <w:szCs w:val="24"/>
          <w:highlight w:val="none"/>
          <w14:textFill>
            <w14:solidFill>
              <w14:schemeClr w14:val="tx1"/>
            </w14:solidFill>
          </w14:textFill>
        </w:rPr>
        <w:t xml:space="preserve">4.  </w:t>
      </w:r>
      <w:r>
        <w:rPr>
          <w:rFonts w:ascii="宋体" w:hAnsi="宋体" w:cs="宋体"/>
          <w:color w:val="000000" w:themeColor="text1"/>
          <w:spacing w:val="-2"/>
          <w:sz w:val="24"/>
          <w:szCs w:val="24"/>
          <w:highlight w:val="none"/>
          <w14:textFill>
            <w14:solidFill>
              <w14:schemeClr w14:val="tx1"/>
            </w14:solidFill>
          </w14:textFill>
        </w:rPr>
        <w:t>发包人和承包人按合同条款第</w:t>
      </w:r>
      <w:r>
        <w:rPr>
          <w:rFonts w:ascii="宋体" w:hAnsi="宋体" w:cs="宋体"/>
          <w:color w:val="000000" w:themeColor="text1"/>
          <w:spacing w:val="-32"/>
          <w:sz w:val="24"/>
          <w:szCs w:val="24"/>
          <w:highlight w:val="none"/>
          <w14:textFill>
            <w14:solidFill>
              <w14:schemeClr w14:val="tx1"/>
            </w14:solidFill>
          </w14:textFill>
        </w:rPr>
        <w:t xml:space="preserve"> </w:t>
      </w:r>
      <w:r>
        <w:rPr>
          <w:rFonts w:eastAsia="Times New Roman"/>
          <w:color w:val="000000" w:themeColor="text1"/>
          <w:spacing w:val="-2"/>
          <w:sz w:val="24"/>
          <w:szCs w:val="24"/>
          <w:highlight w:val="none"/>
          <w14:textFill>
            <w14:solidFill>
              <w14:schemeClr w14:val="tx1"/>
            </w14:solidFill>
          </w14:textFill>
        </w:rPr>
        <w:t xml:space="preserve">15 </w:t>
      </w:r>
      <w:r>
        <w:rPr>
          <w:rFonts w:ascii="宋体" w:hAnsi="宋体" w:cs="宋体"/>
          <w:color w:val="000000" w:themeColor="text1"/>
          <w:spacing w:val="-2"/>
          <w:sz w:val="24"/>
          <w:szCs w:val="24"/>
          <w:highlight w:val="none"/>
          <w14:textFill>
            <w14:solidFill>
              <w14:schemeClr w14:val="tx1"/>
            </w14:solidFill>
          </w14:textFill>
        </w:rPr>
        <w:t>条变更合同</w:t>
      </w:r>
      <w:r>
        <w:rPr>
          <w:rFonts w:ascii="宋体" w:hAnsi="宋体" w:cs="宋体"/>
          <w:color w:val="000000" w:themeColor="text1"/>
          <w:spacing w:val="-3"/>
          <w:sz w:val="24"/>
          <w:szCs w:val="24"/>
          <w:highlight w:val="none"/>
          <w14:textFill>
            <w14:solidFill>
              <w14:schemeClr w14:val="tx1"/>
            </w14:solidFill>
          </w14:textFill>
        </w:rPr>
        <w:t>时，无论我方是否收到该变更，</w:t>
      </w:r>
      <w:r>
        <w:rPr>
          <w:rFonts w:ascii="宋体" w:hAnsi="宋体" w:cs="宋体"/>
          <w:color w:val="000000" w:themeColor="text1"/>
          <w:spacing w:val="-1"/>
          <w:sz w:val="24"/>
          <w:szCs w:val="24"/>
          <w:highlight w:val="none"/>
          <w14:textFill>
            <w14:solidFill>
              <w14:schemeClr w14:val="tx1"/>
            </w14:solidFill>
          </w14:textFill>
        </w:rPr>
        <w:t>我方承担本担保约定的义务不变。</w:t>
      </w:r>
    </w:p>
    <w:p w14:paraId="7A214976">
      <w:pPr>
        <w:pStyle w:val="21"/>
        <w:spacing w:line="436" w:lineRule="auto"/>
        <w:rPr>
          <w:color w:val="000000" w:themeColor="text1"/>
          <w:highlight w:val="none"/>
          <w14:textFill>
            <w14:solidFill>
              <w14:schemeClr w14:val="tx1"/>
            </w14:solidFill>
          </w14:textFill>
        </w:rPr>
      </w:pPr>
    </w:p>
    <w:p w14:paraId="0BC8C0CB">
      <w:pPr>
        <w:spacing w:before="78" w:line="219" w:lineRule="auto"/>
        <w:ind w:left="490"/>
        <w:rPr>
          <w:rFonts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pacing w:val="2"/>
          <w:sz w:val="24"/>
          <w:szCs w:val="24"/>
          <w:highlight w:val="none"/>
          <w14:textFill>
            <w14:solidFill>
              <w14:schemeClr w14:val="tx1"/>
            </w14:solidFill>
          </w14:textFill>
        </w:rPr>
        <w:t>担保人名称</w:t>
      </w:r>
      <w:r>
        <w:rPr>
          <w:rFonts w:ascii="宋体" w:hAnsi="宋体" w:cs="宋体"/>
          <w:color w:val="000000" w:themeColor="text1"/>
          <w:spacing w:val="-16"/>
          <w:sz w:val="24"/>
          <w:szCs w:val="24"/>
          <w:highlight w:val="none"/>
          <w14:textFill>
            <w14:solidFill>
              <w14:schemeClr w14:val="tx1"/>
            </w14:solidFill>
          </w14:textFill>
        </w:rPr>
        <w:t>：</w:t>
      </w:r>
      <w:r>
        <w:rPr>
          <w:rFonts w:ascii="宋体" w:hAnsi="宋体" w:cs="宋体"/>
          <w:color w:val="000000" w:themeColor="text1"/>
          <w:sz w:val="24"/>
          <w:szCs w:val="24"/>
          <w:highlight w:val="none"/>
          <w:u w:val="single"/>
          <w14:textFill>
            <w14:solidFill>
              <w14:schemeClr w14:val="tx1"/>
            </w14:solidFill>
          </w14:textFill>
        </w:rPr>
        <w:t xml:space="preserve">                     </w:t>
      </w:r>
      <w:r>
        <w:rPr>
          <w:rFonts w:ascii="宋体" w:hAnsi="宋体" w:cs="宋体"/>
          <w:color w:val="000000" w:themeColor="text1"/>
          <w:spacing w:val="-16"/>
          <w:sz w:val="24"/>
          <w:szCs w:val="24"/>
          <w:highlight w:val="none"/>
          <w14:textFill>
            <w14:solidFill>
              <w14:schemeClr w14:val="tx1"/>
            </w14:solidFill>
          </w14:textFill>
        </w:rPr>
        <w:t>（</w:t>
      </w:r>
      <w:r>
        <w:rPr>
          <w:rFonts w:ascii="宋体" w:hAnsi="宋体" w:cs="宋体"/>
          <w:color w:val="000000" w:themeColor="text1"/>
          <w:spacing w:val="2"/>
          <w:sz w:val="24"/>
          <w:szCs w:val="24"/>
          <w:highlight w:val="none"/>
          <w14:textFill>
            <w14:solidFill>
              <w14:schemeClr w14:val="tx1"/>
            </w14:solidFill>
          </w14:textFill>
        </w:rPr>
        <w:t>盖单位章）</w:t>
      </w:r>
    </w:p>
    <w:p w14:paraId="60DB4381">
      <w:pPr>
        <w:spacing w:before="114" w:line="219" w:lineRule="auto"/>
        <w:ind w:left="490"/>
        <w:rPr>
          <w:rFonts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pacing w:val="1"/>
          <w:sz w:val="24"/>
          <w:szCs w:val="24"/>
          <w:highlight w:val="none"/>
          <w14:textFill>
            <w14:solidFill>
              <w14:schemeClr w14:val="tx1"/>
            </w14:solidFill>
          </w14:textFill>
        </w:rPr>
        <w:t>法定代表人或其委托代理人</w:t>
      </w:r>
      <w:r>
        <w:rPr>
          <w:rFonts w:ascii="宋体" w:hAnsi="宋体" w:cs="宋体"/>
          <w:color w:val="000000" w:themeColor="text1"/>
          <w:spacing w:val="-14"/>
          <w:sz w:val="24"/>
          <w:szCs w:val="24"/>
          <w:highlight w:val="none"/>
          <w14:textFill>
            <w14:solidFill>
              <w14:schemeClr w14:val="tx1"/>
            </w14:solidFill>
          </w14:textFill>
        </w:rPr>
        <w:t>：</w:t>
      </w:r>
      <w:r>
        <w:rPr>
          <w:rFonts w:ascii="宋体" w:hAnsi="宋体" w:cs="宋体"/>
          <w:color w:val="000000" w:themeColor="text1"/>
          <w:sz w:val="24"/>
          <w:szCs w:val="24"/>
          <w:highlight w:val="none"/>
          <w:u w:val="single"/>
          <w14:textFill>
            <w14:solidFill>
              <w14:schemeClr w14:val="tx1"/>
            </w14:solidFill>
          </w14:textFill>
        </w:rPr>
        <w:t xml:space="preserve">           </w:t>
      </w:r>
      <w:r>
        <w:rPr>
          <w:rFonts w:ascii="宋体" w:hAnsi="宋体" w:cs="宋体"/>
          <w:color w:val="000000" w:themeColor="text1"/>
          <w:spacing w:val="-14"/>
          <w:sz w:val="24"/>
          <w:szCs w:val="24"/>
          <w:highlight w:val="none"/>
          <w14:textFill>
            <w14:solidFill>
              <w14:schemeClr w14:val="tx1"/>
            </w14:solidFill>
          </w14:textFill>
        </w:rPr>
        <w:t>（</w:t>
      </w:r>
      <w:r>
        <w:rPr>
          <w:rFonts w:ascii="宋体" w:hAnsi="宋体" w:cs="宋体"/>
          <w:color w:val="000000" w:themeColor="text1"/>
          <w:spacing w:val="1"/>
          <w:sz w:val="24"/>
          <w:szCs w:val="24"/>
          <w:highlight w:val="none"/>
          <w14:textFill>
            <w14:solidFill>
              <w14:schemeClr w14:val="tx1"/>
            </w14:solidFill>
          </w14:textFill>
        </w:rPr>
        <w:t>签名）</w:t>
      </w:r>
    </w:p>
    <w:p w14:paraId="09D3CA02">
      <w:pPr>
        <w:spacing w:before="116" w:line="229" w:lineRule="auto"/>
        <w:ind w:left="489"/>
        <w:rPr>
          <w:rFonts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pacing w:val="-17"/>
          <w:sz w:val="24"/>
          <w:szCs w:val="24"/>
          <w:highlight w:val="none"/>
          <w14:textFill>
            <w14:solidFill>
              <w14:schemeClr w14:val="tx1"/>
            </w14:solidFill>
          </w14:textFill>
        </w:rPr>
        <w:t>地</w:t>
      </w:r>
      <w:r>
        <w:rPr>
          <w:rFonts w:ascii="宋体" w:hAnsi="宋体" w:cs="宋体"/>
          <w:color w:val="000000" w:themeColor="text1"/>
          <w:spacing w:val="2"/>
          <w:sz w:val="24"/>
          <w:szCs w:val="24"/>
          <w:highlight w:val="none"/>
          <w14:textFill>
            <w14:solidFill>
              <w14:schemeClr w14:val="tx1"/>
            </w14:solidFill>
          </w14:textFill>
        </w:rPr>
        <w:t xml:space="preserve">    </w:t>
      </w:r>
      <w:r>
        <w:rPr>
          <w:rFonts w:ascii="宋体" w:hAnsi="宋体" w:cs="宋体"/>
          <w:color w:val="000000" w:themeColor="text1"/>
          <w:spacing w:val="-17"/>
          <w:sz w:val="24"/>
          <w:szCs w:val="24"/>
          <w:highlight w:val="none"/>
          <w14:textFill>
            <w14:solidFill>
              <w14:schemeClr w14:val="tx1"/>
            </w14:solidFill>
          </w14:textFill>
        </w:rPr>
        <w:t>址</w:t>
      </w:r>
      <w:r>
        <w:rPr>
          <w:rFonts w:ascii="宋体" w:hAnsi="宋体" w:cs="宋体"/>
          <w:color w:val="000000" w:themeColor="text1"/>
          <w:spacing w:val="-88"/>
          <w:sz w:val="24"/>
          <w:szCs w:val="24"/>
          <w:highlight w:val="none"/>
          <w14:textFill>
            <w14:solidFill>
              <w14:schemeClr w14:val="tx1"/>
            </w14:solidFill>
          </w14:textFill>
        </w:rPr>
        <w:t xml:space="preserve"> </w:t>
      </w:r>
      <w:r>
        <w:rPr>
          <w:rFonts w:ascii="宋体" w:hAnsi="宋体" w:cs="宋体"/>
          <w:color w:val="000000" w:themeColor="text1"/>
          <w:spacing w:val="-17"/>
          <w:sz w:val="24"/>
          <w:szCs w:val="24"/>
          <w:highlight w:val="none"/>
          <w14:textFill>
            <w14:solidFill>
              <w14:schemeClr w14:val="tx1"/>
            </w14:solidFill>
          </w14:textFill>
        </w:rPr>
        <w:t>：</w:t>
      </w:r>
      <w:r>
        <w:rPr>
          <w:rFonts w:ascii="宋体" w:hAnsi="宋体" w:cs="宋体"/>
          <w:color w:val="000000" w:themeColor="text1"/>
          <w:sz w:val="24"/>
          <w:szCs w:val="24"/>
          <w:highlight w:val="none"/>
          <w:u w:val="single"/>
          <w14:textFill>
            <w14:solidFill>
              <w14:schemeClr w14:val="tx1"/>
            </w14:solidFill>
          </w14:textFill>
        </w:rPr>
        <w:t xml:space="preserve">                                    </w:t>
      </w:r>
    </w:p>
    <w:p w14:paraId="7BAB5875">
      <w:pPr>
        <w:spacing w:before="104" w:line="219" w:lineRule="auto"/>
        <w:ind w:left="507"/>
        <w:rPr>
          <w:rFonts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pacing w:val="-4"/>
          <w:sz w:val="24"/>
          <w:szCs w:val="24"/>
          <w:highlight w:val="none"/>
          <w14:textFill>
            <w14:solidFill>
              <w14:schemeClr w14:val="tx1"/>
            </w14:solidFill>
          </w14:textFill>
        </w:rPr>
        <w:t>邮政编码：</w:t>
      </w:r>
      <w:r>
        <w:rPr>
          <w:rFonts w:ascii="宋体" w:hAnsi="宋体" w:cs="宋体"/>
          <w:color w:val="000000" w:themeColor="text1"/>
          <w:spacing w:val="-4"/>
          <w:sz w:val="24"/>
          <w:szCs w:val="24"/>
          <w:highlight w:val="none"/>
          <w:u w:val="single"/>
          <w14:textFill>
            <w14:solidFill>
              <w14:schemeClr w14:val="tx1"/>
            </w14:solidFill>
          </w14:textFill>
        </w:rPr>
        <w:t xml:space="preserve">                                    </w:t>
      </w:r>
    </w:p>
    <w:p w14:paraId="3F8480CD">
      <w:pPr>
        <w:spacing w:before="114" w:line="221" w:lineRule="auto"/>
        <w:ind w:left="517"/>
        <w:rPr>
          <w:rFonts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pacing w:val="-26"/>
          <w:sz w:val="24"/>
          <w:szCs w:val="24"/>
          <w:highlight w:val="none"/>
          <w14:textFill>
            <w14:solidFill>
              <w14:schemeClr w14:val="tx1"/>
            </w14:solidFill>
          </w14:textFill>
        </w:rPr>
        <w:t>电</w:t>
      </w:r>
      <w:r>
        <w:rPr>
          <w:rFonts w:ascii="宋体" w:hAnsi="宋体" w:cs="宋体"/>
          <w:color w:val="000000" w:themeColor="text1"/>
          <w:spacing w:val="2"/>
          <w:sz w:val="24"/>
          <w:szCs w:val="24"/>
          <w:highlight w:val="none"/>
          <w14:textFill>
            <w14:solidFill>
              <w14:schemeClr w14:val="tx1"/>
            </w14:solidFill>
          </w14:textFill>
        </w:rPr>
        <w:t xml:space="preserve">    </w:t>
      </w:r>
      <w:r>
        <w:rPr>
          <w:rFonts w:ascii="宋体" w:hAnsi="宋体" w:cs="宋体"/>
          <w:color w:val="000000" w:themeColor="text1"/>
          <w:spacing w:val="-26"/>
          <w:sz w:val="24"/>
          <w:szCs w:val="24"/>
          <w:highlight w:val="none"/>
          <w14:textFill>
            <w14:solidFill>
              <w14:schemeClr w14:val="tx1"/>
            </w14:solidFill>
          </w14:textFill>
        </w:rPr>
        <w:t>话</w:t>
      </w:r>
      <w:r>
        <w:rPr>
          <w:rFonts w:ascii="宋体" w:hAnsi="宋体" w:cs="宋体"/>
          <w:color w:val="000000" w:themeColor="text1"/>
          <w:spacing w:val="-89"/>
          <w:sz w:val="24"/>
          <w:szCs w:val="24"/>
          <w:highlight w:val="none"/>
          <w14:textFill>
            <w14:solidFill>
              <w14:schemeClr w14:val="tx1"/>
            </w14:solidFill>
          </w14:textFill>
        </w:rPr>
        <w:t xml:space="preserve"> </w:t>
      </w:r>
      <w:r>
        <w:rPr>
          <w:rFonts w:ascii="宋体" w:hAnsi="宋体" w:cs="宋体"/>
          <w:color w:val="000000" w:themeColor="text1"/>
          <w:spacing w:val="-26"/>
          <w:sz w:val="24"/>
          <w:szCs w:val="24"/>
          <w:highlight w:val="none"/>
          <w14:textFill>
            <w14:solidFill>
              <w14:schemeClr w14:val="tx1"/>
            </w14:solidFill>
          </w14:textFill>
        </w:rPr>
        <w:t>：</w:t>
      </w:r>
      <w:r>
        <w:rPr>
          <w:rFonts w:ascii="宋体" w:hAnsi="宋体" w:cs="宋体"/>
          <w:color w:val="000000" w:themeColor="text1"/>
          <w:sz w:val="24"/>
          <w:szCs w:val="24"/>
          <w:highlight w:val="none"/>
          <w:u w:val="single"/>
          <w14:textFill>
            <w14:solidFill>
              <w14:schemeClr w14:val="tx1"/>
            </w14:solidFill>
          </w14:textFill>
        </w:rPr>
        <w:t xml:space="preserve">                                    </w:t>
      </w:r>
    </w:p>
    <w:p w14:paraId="71930F64">
      <w:pPr>
        <w:spacing w:before="112" w:line="219" w:lineRule="auto"/>
        <w:ind w:left="487"/>
        <w:rPr>
          <w:rFonts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pacing w:val="-17"/>
          <w:sz w:val="24"/>
          <w:szCs w:val="24"/>
          <w:highlight w:val="none"/>
          <w14:textFill>
            <w14:solidFill>
              <w14:schemeClr w14:val="tx1"/>
            </w14:solidFill>
          </w14:textFill>
        </w:rPr>
        <w:t>传</w:t>
      </w:r>
      <w:r>
        <w:rPr>
          <w:rFonts w:ascii="宋体" w:hAnsi="宋体" w:cs="宋体"/>
          <w:color w:val="000000" w:themeColor="text1"/>
          <w:spacing w:val="3"/>
          <w:sz w:val="24"/>
          <w:szCs w:val="24"/>
          <w:highlight w:val="none"/>
          <w14:textFill>
            <w14:solidFill>
              <w14:schemeClr w14:val="tx1"/>
            </w14:solidFill>
          </w14:textFill>
        </w:rPr>
        <w:t xml:space="preserve">    </w:t>
      </w:r>
      <w:r>
        <w:rPr>
          <w:rFonts w:ascii="宋体" w:hAnsi="宋体" w:cs="宋体"/>
          <w:color w:val="000000" w:themeColor="text1"/>
          <w:spacing w:val="-17"/>
          <w:sz w:val="24"/>
          <w:szCs w:val="24"/>
          <w:highlight w:val="none"/>
          <w14:textFill>
            <w14:solidFill>
              <w14:schemeClr w14:val="tx1"/>
            </w14:solidFill>
          </w14:textFill>
        </w:rPr>
        <w:t>真</w:t>
      </w:r>
      <w:r>
        <w:rPr>
          <w:rFonts w:ascii="宋体" w:hAnsi="宋体" w:cs="宋体"/>
          <w:color w:val="000000" w:themeColor="text1"/>
          <w:spacing w:val="-90"/>
          <w:sz w:val="24"/>
          <w:szCs w:val="24"/>
          <w:highlight w:val="none"/>
          <w14:textFill>
            <w14:solidFill>
              <w14:schemeClr w14:val="tx1"/>
            </w14:solidFill>
          </w14:textFill>
        </w:rPr>
        <w:t xml:space="preserve"> </w:t>
      </w:r>
      <w:r>
        <w:rPr>
          <w:rFonts w:ascii="宋体" w:hAnsi="宋体" w:cs="宋体"/>
          <w:color w:val="000000" w:themeColor="text1"/>
          <w:spacing w:val="-17"/>
          <w:sz w:val="24"/>
          <w:szCs w:val="24"/>
          <w:highlight w:val="none"/>
          <w14:textFill>
            <w14:solidFill>
              <w14:schemeClr w14:val="tx1"/>
            </w14:solidFill>
          </w14:textFill>
        </w:rPr>
        <w:t>：</w:t>
      </w:r>
      <w:r>
        <w:rPr>
          <w:rFonts w:ascii="宋体" w:hAnsi="宋体" w:cs="宋体"/>
          <w:color w:val="000000" w:themeColor="text1"/>
          <w:sz w:val="24"/>
          <w:szCs w:val="24"/>
          <w:highlight w:val="none"/>
          <w:u w:val="single"/>
          <w14:textFill>
            <w14:solidFill>
              <w14:schemeClr w14:val="tx1"/>
            </w14:solidFill>
          </w14:textFill>
        </w:rPr>
        <w:t xml:space="preserve">                                    </w:t>
      </w:r>
    </w:p>
    <w:p w14:paraId="7B911ACC">
      <w:pPr>
        <w:spacing w:after="120" w:line="360" w:lineRule="auto"/>
        <w:ind w:firstLine="480" w:firstLineChars="200"/>
        <w:jc w:val="left"/>
        <w:rPr>
          <w:rFonts w:ascii="宋体" w:hAnsi="宋体" w:cs="宋体"/>
          <w:color w:val="000000" w:themeColor="text1"/>
          <w:spacing w:val="-9"/>
          <w:sz w:val="24"/>
          <w:szCs w:val="24"/>
          <w:highlight w:val="none"/>
          <w14:textFill>
            <w14:solidFill>
              <w14:schemeClr w14:val="tx1"/>
            </w14:solidFill>
          </w14:textFill>
        </w:rPr>
      </w:pPr>
      <w:r>
        <w:rPr>
          <w:rFonts w:ascii="宋体" w:hAnsi="宋体" w:cs="宋体"/>
          <w:color w:val="000000" w:themeColor="text1"/>
          <w:sz w:val="24"/>
          <w:szCs w:val="24"/>
          <w:highlight w:val="none"/>
          <w:u w:val="single"/>
          <w14:textFill>
            <w14:solidFill>
              <w14:schemeClr w14:val="tx1"/>
            </w14:solidFill>
          </w14:textFill>
        </w:rPr>
        <w:tab/>
      </w:r>
      <w:r>
        <w:rPr>
          <w:rFonts w:ascii="宋体" w:hAnsi="宋体" w:cs="宋体"/>
          <w:color w:val="000000" w:themeColor="text1"/>
          <w:spacing w:val="-110"/>
          <w:sz w:val="24"/>
          <w:szCs w:val="24"/>
          <w:highlight w:val="none"/>
          <w14:textFill>
            <w14:solidFill>
              <w14:schemeClr w14:val="tx1"/>
            </w14:solidFill>
          </w14:textFill>
        </w:rPr>
        <w:t xml:space="preserve"> </w:t>
      </w:r>
      <w:r>
        <w:rPr>
          <w:rFonts w:ascii="宋体" w:hAnsi="宋体" w:cs="宋体"/>
          <w:color w:val="000000" w:themeColor="text1"/>
          <w:spacing w:val="-9"/>
          <w:sz w:val="24"/>
          <w:szCs w:val="24"/>
          <w:highlight w:val="none"/>
          <w14:textFill>
            <w14:solidFill>
              <w14:schemeClr w14:val="tx1"/>
            </w14:solidFill>
          </w14:textFill>
        </w:rPr>
        <w:t>年</w:t>
      </w:r>
      <w:r>
        <w:rPr>
          <w:rFonts w:ascii="宋体" w:hAnsi="宋体" w:cs="宋体"/>
          <w:color w:val="000000" w:themeColor="text1"/>
          <w:sz w:val="24"/>
          <w:szCs w:val="24"/>
          <w:highlight w:val="none"/>
          <w:u w:val="single"/>
          <w14:textFill>
            <w14:solidFill>
              <w14:schemeClr w14:val="tx1"/>
            </w14:solidFill>
          </w14:textFill>
        </w:rPr>
        <w:t xml:space="preserve">      </w:t>
      </w:r>
      <w:r>
        <w:rPr>
          <w:rFonts w:ascii="宋体" w:hAnsi="宋体" w:cs="宋体"/>
          <w:color w:val="000000" w:themeColor="text1"/>
          <w:spacing w:val="-105"/>
          <w:sz w:val="24"/>
          <w:szCs w:val="24"/>
          <w:highlight w:val="none"/>
          <w14:textFill>
            <w14:solidFill>
              <w14:schemeClr w14:val="tx1"/>
            </w14:solidFill>
          </w14:textFill>
        </w:rPr>
        <w:t xml:space="preserve"> </w:t>
      </w:r>
      <w:r>
        <w:rPr>
          <w:rFonts w:ascii="宋体" w:hAnsi="宋体" w:cs="宋体"/>
          <w:color w:val="000000" w:themeColor="text1"/>
          <w:spacing w:val="-9"/>
          <w:sz w:val="24"/>
          <w:szCs w:val="24"/>
          <w:highlight w:val="none"/>
          <w14:textFill>
            <w14:solidFill>
              <w14:schemeClr w14:val="tx1"/>
            </w14:solidFill>
          </w14:textFill>
        </w:rPr>
        <w:t>月</w:t>
      </w:r>
      <w:r>
        <w:rPr>
          <w:rFonts w:ascii="宋体" w:hAnsi="宋体" w:cs="宋体"/>
          <w:color w:val="000000" w:themeColor="text1"/>
          <w:sz w:val="24"/>
          <w:szCs w:val="24"/>
          <w:highlight w:val="none"/>
          <w:u w:val="single"/>
          <w14:textFill>
            <w14:solidFill>
              <w14:schemeClr w14:val="tx1"/>
            </w14:solidFill>
          </w14:textFill>
        </w:rPr>
        <w:t xml:space="preserve">      </w:t>
      </w:r>
      <w:r>
        <w:rPr>
          <w:rFonts w:ascii="宋体" w:hAnsi="宋体" w:cs="宋体"/>
          <w:color w:val="000000" w:themeColor="text1"/>
          <w:spacing w:val="-69"/>
          <w:sz w:val="24"/>
          <w:szCs w:val="24"/>
          <w:highlight w:val="none"/>
          <w14:textFill>
            <w14:solidFill>
              <w14:schemeClr w14:val="tx1"/>
            </w14:solidFill>
          </w14:textFill>
        </w:rPr>
        <w:t xml:space="preserve"> </w:t>
      </w:r>
      <w:r>
        <w:rPr>
          <w:rFonts w:ascii="宋体" w:hAnsi="宋体" w:cs="宋体"/>
          <w:color w:val="000000" w:themeColor="text1"/>
          <w:spacing w:val="-9"/>
          <w:sz w:val="24"/>
          <w:szCs w:val="24"/>
          <w:highlight w:val="none"/>
          <w14:textFill>
            <w14:solidFill>
              <w14:schemeClr w14:val="tx1"/>
            </w14:solidFill>
          </w14:textFill>
        </w:rPr>
        <w:t>日</w:t>
      </w:r>
    </w:p>
    <w:p w14:paraId="159C18FB">
      <w:pPr>
        <w:spacing w:after="120" w:line="360" w:lineRule="auto"/>
        <w:ind w:firstLine="444" w:firstLineChars="200"/>
        <w:jc w:val="left"/>
        <w:rPr>
          <w:rFonts w:ascii="宋体" w:hAnsi="宋体" w:cs="宋体"/>
          <w:color w:val="000000" w:themeColor="text1"/>
          <w:spacing w:val="-9"/>
          <w:sz w:val="24"/>
          <w:szCs w:val="24"/>
          <w:highlight w:val="none"/>
          <w14:textFill>
            <w14:solidFill>
              <w14:schemeClr w14:val="tx1"/>
            </w14:solidFill>
          </w14:textFill>
        </w:rPr>
      </w:pPr>
    </w:p>
    <w:p w14:paraId="1AB286A7">
      <w:pPr>
        <w:spacing w:after="120" w:line="360" w:lineRule="auto"/>
        <w:ind w:firstLine="444" w:firstLineChars="200"/>
        <w:jc w:val="left"/>
        <w:rPr>
          <w:rFonts w:ascii="宋体" w:hAnsi="宋体" w:cs="宋体"/>
          <w:color w:val="000000" w:themeColor="text1"/>
          <w:spacing w:val="-9"/>
          <w:sz w:val="24"/>
          <w:szCs w:val="24"/>
          <w:highlight w:val="none"/>
          <w14:textFill>
            <w14:solidFill>
              <w14:schemeClr w14:val="tx1"/>
            </w14:solidFill>
          </w14:textFill>
        </w:rPr>
      </w:pPr>
    </w:p>
    <w:p w14:paraId="5A2E709B">
      <w:pPr>
        <w:spacing w:after="120" w:line="360" w:lineRule="auto"/>
        <w:ind w:firstLine="444" w:firstLineChars="200"/>
        <w:jc w:val="left"/>
        <w:rPr>
          <w:rFonts w:ascii="宋体" w:hAnsi="宋体" w:cs="宋体"/>
          <w:color w:val="000000" w:themeColor="text1"/>
          <w:spacing w:val="-9"/>
          <w:sz w:val="24"/>
          <w:szCs w:val="24"/>
          <w:highlight w:val="none"/>
          <w14:textFill>
            <w14:solidFill>
              <w14:schemeClr w14:val="tx1"/>
            </w14:solidFill>
          </w14:textFill>
        </w:rPr>
      </w:pPr>
    </w:p>
    <w:p w14:paraId="6B05FF40">
      <w:pPr>
        <w:spacing w:after="120" w:line="360" w:lineRule="auto"/>
        <w:ind w:firstLine="444" w:firstLineChars="200"/>
        <w:jc w:val="left"/>
        <w:rPr>
          <w:rFonts w:ascii="宋体" w:hAnsi="宋体" w:cs="宋体"/>
          <w:color w:val="000000" w:themeColor="text1"/>
          <w:spacing w:val="-9"/>
          <w:sz w:val="24"/>
          <w:szCs w:val="24"/>
          <w:highlight w:val="none"/>
          <w14:textFill>
            <w14:solidFill>
              <w14:schemeClr w14:val="tx1"/>
            </w14:solidFill>
          </w14:textFill>
        </w:rPr>
      </w:pPr>
    </w:p>
    <w:p w14:paraId="3A2A63DB">
      <w:pPr>
        <w:spacing w:after="120" w:line="360" w:lineRule="auto"/>
        <w:ind w:firstLine="444" w:firstLineChars="200"/>
        <w:jc w:val="left"/>
        <w:rPr>
          <w:rFonts w:ascii="宋体" w:hAnsi="宋体" w:cs="宋体"/>
          <w:color w:val="000000" w:themeColor="text1"/>
          <w:spacing w:val="-9"/>
          <w:sz w:val="24"/>
          <w:szCs w:val="24"/>
          <w:highlight w:val="none"/>
          <w14:textFill>
            <w14:solidFill>
              <w14:schemeClr w14:val="tx1"/>
            </w14:solidFill>
          </w14:textFill>
        </w:rPr>
      </w:pPr>
    </w:p>
    <w:p w14:paraId="03B31392">
      <w:pPr>
        <w:spacing w:after="120" w:line="360" w:lineRule="auto"/>
        <w:ind w:firstLine="444" w:firstLineChars="200"/>
        <w:jc w:val="left"/>
        <w:rPr>
          <w:rFonts w:ascii="宋体" w:hAnsi="宋体" w:cs="宋体"/>
          <w:color w:val="000000" w:themeColor="text1"/>
          <w:spacing w:val="-9"/>
          <w:sz w:val="24"/>
          <w:szCs w:val="24"/>
          <w:highlight w:val="none"/>
          <w14:textFill>
            <w14:solidFill>
              <w14:schemeClr w14:val="tx1"/>
            </w14:solidFill>
          </w14:textFill>
        </w:rPr>
      </w:pPr>
    </w:p>
    <w:p w14:paraId="1AF26D24">
      <w:pPr>
        <w:spacing w:after="120" w:line="360" w:lineRule="auto"/>
        <w:ind w:firstLine="444" w:firstLineChars="200"/>
        <w:jc w:val="left"/>
        <w:rPr>
          <w:rFonts w:ascii="宋体" w:hAnsi="宋体" w:cs="宋体"/>
          <w:color w:val="000000" w:themeColor="text1"/>
          <w:spacing w:val="-9"/>
          <w:sz w:val="24"/>
          <w:szCs w:val="24"/>
          <w:highlight w:val="none"/>
          <w14:textFill>
            <w14:solidFill>
              <w14:schemeClr w14:val="tx1"/>
            </w14:solidFill>
          </w14:textFill>
        </w:rPr>
      </w:pPr>
    </w:p>
    <w:p w14:paraId="61B996D3">
      <w:pPr>
        <w:pStyle w:val="2"/>
        <w:spacing w:before="300" w:after="310" w:line="240" w:lineRule="auto"/>
        <w:jc w:val="center"/>
        <w:rPr>
          <w:rFonts w:hint="eastAsia" w:ascii="宋体" w:hAnsi="宋体" w:eastAsia="宋体" w:cs="宋体"/>
          <w:color w:val="000000" w:themeColor="text1"/>
          <w:highlight w:val="none"/>
          <w14:textFill>
            <w14:solidFill>
              <w14:schemeClr w14:val="tx1"/>
            </w14:solidFill>
          </w14:textFill>
        </w:rPr>
      </w:pPr>
      <w:bookmarkStart w:id="261" w:name="_Toc9328"/>
      <w:r>
        <w:rPr>
          <w:rFonts w:hint="eastAsia" w:ascii="宋体" w:hAnsi="宋体" w:eastAsia="宋体" w:cs="宋体"/>
          <w:color w:val="000000" w:themeColor="text1"/>
          <w:highlight w:val="none"/>
          <w14:textFill>
            <w14:solidFill>
              <w14:schemeClr w14:val="tx1"/>
            </w14:solidFill>
          </w14:textFill>
        </w:rPr>
        <w:t>第</w:t>
      </w:r>
      <w:r>
        <w:rPr>
          <w:rFonts w:hint="eastAsia" w:ascii="宋体" w:hAnsi="宋体" w:eastAsia="宋体" w:cs="宋体"/>
          <w:color w:val="000000" w:themeColor="text1"/>
          <w:highlight w:val="none"/>
          <w:lang w:val="en-US" w:eastAsia="zh-CN"/>
          <w14:textFill>
            <w14:solidFill>
              <w14:schemeClr w14:val="tx1"/>
            </w14:solidFill>
          </w14:textFill>
        </w:rPr>
        <w:t>七</w:t>
      </w:r>
      <w:r>
        <w:rPr>
          <w:rFonts w:hint="eastAsia" w:ascii="宋体" w:hAnsi="宋体" w:eastAsia="宋体" w:cs="宋体"/>
          <w:color w:val="000000" w:themeColor="text1"/>
          <w:highlight w:val="none"/>
          <w14:textFill>
            <w14:solidFill>
              <w14:schemeClr w14:val="tx1"/>
            </w14:solidFill>
          </w14:textFill>
        </w:rPr>
        <w:t>章 质疑、投诉证明材料格式</w:t>
      </w:r>
      <w:bookmarkEnd w:id="261"/>
    </w:p>
    <w:p w14:paraId="10B313A6">
      <w:pPr>
        <w:pStyle w:val="29"/>
        <w:spacing w:line="480" w:lineRule="exact"/>
        <w:rPr>
          <w:rFonts w:hint="eastAsia" w:hAnsi="宋体"/>
          <w:b/>
          <w:bCs/>
          <w:color w:val="000000" w:themeColor="text1"/>
          <w:sz w:val="24"/>
          <w:szCs w:val="24"/>
          <w:highlight w:val="none"/>
          <w14:textFill>
            <w14:solidFill>
              <w14:schemeClr w14:val="tx1"/>
            </w14:solidFill>
          </w14:textFill>
        </w:rPr>
      </w:pPr>
    </w:p>
    <w:p w14:paraId="2CD201D1">
      <w:pPr>
        <w:spacing w:line="300" w:lineRule="auto"/>
        <w:jc w:val="center"/>
        <w:rPr>
          <w:rFonts w:ascii="宋体"/>
          <w:b/>
          <w:bCs/>
          <w:color w:val="000000" w:themeColor="text1"/>
          <w:sz w:val="32"/>
          <w:szCs w:val="32"/>
          <w:highlight w:val="none"/>
          <w14:textFill>
            <w14:solidFill>
              <w14:schemeClr w14:val="tx1"/>
            </w14:solidFill>
          </w14:textFill>
        </w:rPr>
      </w:pPr>
      <w:r>
        <w:rPr>
          <w:rFonts w:hint="eastAsia" w:ascii="宋体" w:hAnsi="宋体" w:cs="宋体"/>
          <w:color w:val="000000" w:themeColor="text1"/>
          <w:sz w:val="44"/>
          <w:szCs w:val="44"/>
          <w:highlight w:val="none"/>
          <w14:textFill>
            <w14:solidFill>
              <w14:schemeClr w14:val="tx1"/>
            </w14:solidFill>
          </w14:textFill>
        </w:rPr>
        <w:t>质疑函</w:t>
      </w:r>
      <w:r>
        <w:rPr>
          <w:rFonts w:hint="eastAsia" w:ascii="宋体" w:hAnsi="宋体" w:cs="宋体"/>
          <w:color w:val="000000" w:themeColor="text1"/>
          <w:sz w:val="28"/>
          <w:szCs w:val="28"/>
          <w:highlight w:val="none"/>
          <w14:textFill>
            <w14:solidFill>
              <w14:schemeClr w14:val="tx1"/>
            </w14:solidFill>
          </w14:textFill>
        </w:rPr>
        <w:t>（格式）</w:t>
      </w:r>
    </w:p>
    <w:p w14:paraId="5E27B7E4">
      <w:pPr>
        <w:pStyle w:val="29"/>
        <w:spacing w:line="360" w:lineRule="auto"/>
        <w:ind w:firstLine="422" w:firstLineChars="200"/>
        <w:rPr>
          <w:rFonts w:hAnsi="宋体" w:cs="Times New Roman"/>
          <w:b/>
          <w:bCs/>
          <w:color w:val="000000" w:themeColor="text1"/>
          <w:sz w:val="21"/>
          <w:szCs w:val="21"/>
          <w:highlight w:val="none"/>
          <w14:textFill>
            <w14:solidFill>
              <w14:schemeClr w14:val="tx1"/>
            </w14:solidFill>
          </w14:textFill>
        </w:rPr>
      </w:pPr>
      <w:r>
        <w:rPr>
          <w:rFonts w:hint="eastAsia" w:hAnsi="宋体"/>
          <w:b/>
          <w:bCs/>
          <w:color w:val="000000" w:themeColor="text1"/>
          <w:sz w:val="21"/>
          <w:szCs w:val="21"/>
          <w:highlight w:val="none"/>
          <w14:textFill>
            <w14:solidFill>
              <w14:schemeClr w14:val="tx1"/>
            </w14:solidFill>
          </w14:textFill>
        </w:rPr>
        <w:t>一、质疑供应商基本信息：</w:t>
      </w:r>
    </w:p>
    <w:p w14:paraId="60AD426D">
      <w:pPr>
        <w:pStyle w:val="29"/>
        <w:spacing w:line="360" w:lineRule="auto"/>
        <w:ind w:firstLine="420" w:firstLineChars="200"/>
        <w:rPr>
          <w:rFonts w:hAnsi="宋体" w:cs="Times New Roman"/>
          <w:color w:val="000000" w:themeColor="text1"/>
          <w:sz w:val="21"/>
          <w:szCs w:val="21"/>
          <w:highlight w:val="none"/>
          <w:u w:val="singl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质疑供应商：</w:t>
      </w:r>
      <w:r>
        <w:rPr>
          <w:rFonts w:hAnsi="宋体"/>
          <w:color w:val="000000" w:themeColor="text1"/>
          <w:sz w:val="21"/>
          <w:szCs w:val="21"/>
          <w:highlight w:val="none"/>
          <w:u w:val="single"/>
          <w14:textFill>
            <w14:solidFill>
              <w14:schemeClr w14:val="tx1"/>
            </w14:solidFill>
          </w14:textFill>
        </w:rPr>
        <w:t xml:space="preserve">                                       </w:t>
      </w:r>
      <w:r>
        <w:rPr>
          <w:rFonts w:hAnsi="宋体"/>
          <w:color w:val="000000" w:themeColor="text1"/>
          <w:sz w:val="21"/>
          <w:szCs w:val="21"/>
          <w:highlight w:val="none"/>
          <w14:textFill>
            <w14:solidFill>
              <w14:schemeClr w14:val="tx1"/>
            </w14:solidFill>
          </w14:textFill>
        </w:rPr>
        <w:t xml:space="preserve">                 </w:t>
      </w:r>
    </w:p>
    <w:p w14:paraId="6E8B1E87">
      <w:pPr>
        <w:pStyle w:val="29"/>
        <w:spacing w:line="360" w:lineRule="auto"/>
        <w:ind w:firstLine="420" w:firstLineChars="200"/>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地址：</w:t>
      </w:r>
      <w:r>
        <w:rPr>
          <w:rFonts w:hAnsi="宋体"/>
          <w:color w:val="000000" w:themeColor="text1"/>
          <w:sz w:val="21"/>
          <w:szCs w:val="21"/>
          <w:highlight w:val="none"/>
          <w:u w:val="single"/>
          <w14:textFill>
            <w14:solidFill>
              <w14:schemeClr w14:val="tx1"/>
            </w14:solidFill>
          </w14:textFill>
        </w:rPr>
        <w:t xml:space="preserve">                                             </w:t>
      </w:r>
      <w:r>
        <w:rPr>
          <w:rFonts w:hint="eastAsia" w:hAnsi="宋体"/>
          <w:color w:val="000000" w:themeColor="text1"/>
          <w:sz w:val="21"/>
          <w:szCs w:val="21"/>
          <w:highlight w:val="none"/>
          <w14:textFill>
            <w14:solidFill>
              <w14:schemeClr w14:val="tx1"/>
            </w14:solidFill>
          </w14:textFill>
        </w:rPr>
        <w:t>邮编：</w:t>
      </w:r>
      <w:r>
        <w:rPr>
          <w:rFonts w:hAnsi="宋体"/>
          <w:color w:val="000000" w:themeColor="text1"/>
          <w:sz w:val="21"/>
          <w:szCs w:val="21"/>
          <w:highlight w:val="none"/>
          <w:u w:val="single"/>
          <w14:textFill>
            <w14:solidFill>
              <w14:schemeClr w14:val="tx1"/>
            </w14:solidFill>
          </w14:textFill>
        </w:rPr>
        <w:t xml:space="preserve">                  </w:t>
      </w:r>
      <w:r>
        <w:rPr>
          <w:rFonts w:hAnsi="宋体"/>
          <w:color w:val="000000" w:themeColor="text1"/>
          <w:sz w:val="21"/>
          <w:szCs w:val="21"/>
          <w:highlight w:val="none"/>
          <w14:textFill>
            <w14:solidFill>
              <w14:schemeClr w14:val="tx1"/>
            </w14:solidFill>
          </w14:textFill>
        </w:rPr>
        <w:t xml:space="preserve">                 </w:t>
      </w:r>
    </w:p>
    <w:p w14:paraId="55A78DD8">
      <w:pPr>
        <w:pStyle w:val="29"/>
        <w:spacing w:line="360" w:lineRule="auto"/>
        <w:ind w:firstLine="420" w:firstLineChars="200"/>
        <w:rPr>
          <w:rFonts w:hAnsi="宋体" w:cs="Times New Roman"/>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联系人：</w:t>
      </w:r>
      <w:r>
        <w:rPr>
          <w:rFonts w:hAnsi="宋体"/>
          <w:color w:val="000000" w:themeColor="text1"/>
          <w:sz w:val="21"/>
          <w:szCs w:val="21"/>
          <w:highlight w:val="none"/>
          <w:u w:val="single"/>
          <w14:textFill>
            <w14:solidFill>
              <w14:schemeClr w14:val="tx1"/>
            </w14:solidFill>
          </w14:textFill>
        </w:rPr>
        <w:t xml:space="preserve">                     </w:t>
      </w:r>
      <w:r>
        <w:rPr>
          <w:rFonts w:hint="eastAsia" w:hAnsi="宋体"/>
          <w:color w:val="000000" w:themeColor="text1"/>
          <w:sz w:val="21"/>
          <w:szCs w:val="21"/>
          <w:highlight w:val="none"/>
          <w14:textFill>
            <w14:solidFill>
              <w14:schemeClr w14:val="tx1"/>
            </w14:solidFill>
          </w14:textFill>
        </w:rPr>
        <w:t>联系电话：</w:t>
      </w:r>
      <w:r>
        <w:rPr>
          <w:rFonts w:hAnsi="宋体"/>
          <w:color w:val="000000" w:themeColor="text1"/>
          <w:sz w:val="21"/>
          <w:szCs w:val="21"/>
          <w:highlight w:val="none"/>
          <w:u w:val="single"/>
          <w14:textFill>
            <w14:solidFill>
              <w14:schemeClr w14:val="tx1"/>
            </w14:solidFill>
          </w14:textFill>
        </w:rPr>
        <w:t xml:space="preserve">                 </w:t>
      </w:r>
    </w:p>
    <w:p w14:paraId="62DFFAFB">
      <w:pPr>
        <w:pStyle w:val="29"/>
        <w:spacing w:line="360" w:lineRule="auto"/>
        <w:ind w:firstLine="420" w:firstLineChars="200"/>
        <w:rPr>
          <w:rFonts w:hAnsi="宋体" w:cs="Times New Roman"/>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授权代表：</w:t>
      </w:r>
      <w:r>
        <w:rPr>
          <w:rFonts w:hAnsi="宋体"/>
          <w:color w:val="000000" w:themeColor="text1"/>
          <w:sz w:val="21"/>
          <w:szCs w:val="21"/>
          <w:highlight w:val="none"/>
          <w:u w:val="single"/>
          <w14:textFill>
            <w14:solidFill>
              <w14:schemeClr w14:val="tx1"/>
            </w14:solidFill>
          </w14:textFill>
        </w:rPr>
        <w:t xml:space="preserve">                      </w:t>
      </w:r>
    </w:p>
    <w:p w14:paraId="5EEE4A62">
      <w:pPr>
        <w:pStyle w:val="29"/>
        <w:spacing w:line="360" w:lineRule="auto"/>
        <w:ind w:firstLine="420" w:firstLineChars="200"/>
        <w:rPr>
          <w:rFonts w:hAnsi="宋体"/>
          <w:color w:val="000000" w:themeColor="text1"/>
          <w:sz w:val="21"/>
          <w:szCs w:val="21"/>
          <w:highlight w:val="none"/>
          <w:u w:val="singl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联系电话：</w:t>
      </w:r>
      <w:r>
        <w:rPr>
          <w:rFonts w:hAnsi="宋体"/>
          <w:color w:val="000000" w:themeColor="text1"/>
          <w:sz w:val="21"/>
          <w:szCs w:val="21"/>
          <w:highlight w:val="none"/>
          <w:u w:val="single"/>
          <w14:textFill>
            <w14:solidFill>
              <w14:schemeClr w14:val="tx1"/>
            </w14:solidFill>
          </w14:textFill>
        </w:rPr>
        <w:t xml:space="preserve">                      </w:t>
      </w:r>
    </w:p>
    <w:p w14:paraId="0D7D6B0B">
      <w:pPr>
        <w:pStyle w:val="29"/>
        <w:spacing w:line="360" w:lineRule="auto"/>
        <w:ind w:firstLine="420" w:firstLineChars="200"/>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地址：</w:t>
      </w:r>
      <w:r>
        <w:rPr>
          <w:rFonts w:hAnsi="宋体"/>
          <w:color w:val="000000" w:themeColor="text1"/>
          <w:sz w:val="21"/>
          <w:szCs w:val="21"/>
          <w:highlight w:val="none"/>
          <w:u w:val="single"/>
          <w14:textFill>
            <w14:solidFill>
              <w14:schemeClr w14:val="tx1"/>
            </w14:solidFill>
          </w14:textFill>
        </w:rPr>
        <w:t xml:space="preserve">                 </w:t>
      </w:r>
      <w:r>
        <w:rPr>
          <w:rFonts w:hint="eastAsia" w:hAnsi="宋体"/>
          <w:color w:val="000000" w:themeColor="text1"/>
          <w:sz w:val="21"/>
          <w:szCs w:val="21"/>
          <w:highlight w:val="none"/>
          <w14:textFill>
            <w14:solidFill>
              <w14:schemeClr w14:val="tx1"/>
            </w14:solidFill>
          </w14:textFill>
        </w:rPr>
        <w:t>邮编：</w:t>
      </w:r>
      <w:r>
        <w:rPr>
          <w:rFonts w:hAnsi="宋体"/>
          <w:color w:val="000000" w:themeColor="text1"/>
          <w:sz w:val="21"/>
          <w:szCs w:val="21"/>
          <w:highlight w:val="none"/>
          <w:u w:val="single"/>
          <w14:textFill>
            <w14:solidFill>
              <w14:schemeClr w14:val="tx1"/>
            </w14:solidFill>
          </w14:textFill>
        </w:rPr>
        <w:t xml:space="preserve">                  </w:t>
      </w:r>
      <w:r>
        <w:rPr>
          <w:rFonts w:hAnsi="宋体"/>
          <w:color w:val="000000" w:themeColor="text1"/>
          <w:sz w:val="21"/>
          <w:szCs w:val="21"/>
          <w:highlight w:val="none"/>
          <w14:textFill>
            <w14:solidFill>
              <w14:schemeClr w14:val="tx1"/>
            </w14:solidFill>
          </w14:textFill>
        </w:rPr>
        <w:t xml:space="preserve">     </w:t>
      </w:r>
    </w:p>
    <w:p w14:paraId="0E7549C2">
      <w:pPr>
        <w:pStyle w:val="29"/>
        <w:spacing w:line="360" w:lineRule="auto"/>
        <w:ind w:firstLine="422" w:firstLineChars="200"/>
        <w:rPr>
          <w:rFonts w:hAnsi="宋体" w:cs="Times New Roman"/>
          <w:b/>
          <w:bCs/>
          <w:color w:val="000000" w:themeColor="text1"/>
          <w:sz w:val="21"/>
          <w:szCs w:val="21"/>
          <w:highlight w:val="none"/>
          <w14:textFill>
            <w14:solidFill>
              <w14:schemeClr w14:val="tx1"/>
            </w14:solidFill>
          </w14:textFill>
        </w:rPr>
      </w:pPr>
      <w:r>
        <w:rPr>
          <w:rFonts w:hint="eastAsia" w:hAnsi="宋体"/>
          <w:b/>
          <w:bCs/>
          <w:color w:val="000000" w:themeColor="text1"/>
          <w:sz w:val="21"/>
          <w:szCs w:val="21"/>
          <w:highlight w:val="none"/>
          <w14:textFill>
            <w14:solidFill>
              <w14:schemeClr w14:val="tx1"/>
            </w14:solidFill>
          </w14:textFill>
        </w:rPr>
        <w:t>二、质疑项目基本情况：</w:t>
      </w:r>
    </w:p>
    <w:p w14:paraId="225DB8E4">
      <w:pPr>
        <w:pStyle w:val="29"/>
        <w:spacing w:line="360" w:lineRule="auto"/>
        <w:ind w:left="25" w:leftChars="12" w:firstLine="413" w:firstLineChars="197"/>
        <w:rPr>
          <w:rFonts w:hAnsi="宋体" w:cs="Times New Roman"/>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质疑项目的名称：</w:t>
      </w:r>
      <w:r>
        <w:rPr>
          <w:rFonts w:hAnsi="宋体"/>
          <w:color w:val="000000" w:themeColor="text1"/>
          <w:sz w:val="21"/>
          <w:szCs w:val="21"/>
          <w:highlight w:val="none"/>
          <w:u w:val="single"/>
          <w14:textFill>
            <w14:solidFill>
              <w14:schemeClr w14:val="tx1"/>
            </w14:solidFill>
          </w14:textFill>
        </w:rPr>
        <w:t xml:space="preserve">                                     </w:t>
      </w:r>
    </w:p>
    <w:p w14:paraId="6C2D0B13">
      <w:pPr>
        <w:pStyle w:val="29"/>
        <w:spacing w:line="360" w:lineRule="auto"/>
        <w:ind w:left="25" w:leftChars="12" w:firstLine="413" w:firstLineChars="197"/>
        <w:rPr>
          <w:rFonts w:hAnsi="宋体" w:cs="Times New Roman"/>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质疑项目的编号：</w:t>
      </w:r>
      <w:r>
        <w:rPr>
          <w:rFonts w:hAnsi="宋体"/>
          <w:color w:val="000000" w:themeColor="text1"/>
          <w:sz w:val="21"/>
          <w:szCs w:val="21"/>
          <w:highlight w:val="none"/>
          <w:u w:val="single"/>
          <w14:textFill>
            <w14:solidFill>
              <w14:schemeClr w14:val="tx1"/>
            </w14:solidFill>
          </w14:textFill>
        </w:rPr>
        <w:t xml:space="preserve">                                     </w:t>
      </w:r>
    </w:p>
    <w:p w14:paraId="7BCC5C09">
      <w:pPr>
        <w:pStyle w:val="29"/>
        <w:spacing w:line="360" w:lineRule="auto"/>
        <w:ind w:left="25" w:leftChars="12" w:firstLine="413" w:firstLineChars="197"/>
        <w:rPr>
          <w:rFonts w:hAnsi="宋体" w:cs="Times New Roman"/>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采购人名称：</w:t>
      </w:r>
      <w:r>
        <w:rPr>
          <w:rFonts w:hAnsi="宋体"/>
          <w:color w:val="000000" w:themeColor="text1"/>
          <w:sz w:val="21"/>
          <w:szCs w:val="21"/>
          <w:highlight w:val="none"/>
          <w:u w:val="single"/>
          <w14:textFill>
            <w14:solidFill>
              <w14:schemeClr w14:val="tx1"/>
            </w14:solidFill>
          </w14:textFill>
        </w:rPr>
        <w:t xml:space="preserve">                                         </w:t>
      </w:r>
    </w:p>
    <w:p w14:paraId="0FE273EF">
      <w:pPr>
        <w:pStyle w:val="29"/>
        <w:spacing w:line="360" w:lineRule="auto"/>
        <w:ind w:left="25" w:leftChars="12" w:firstLine="413" w:firstLineChars="197"/>
        <w:rPr>
          <w:rFonts w:hAnsi="宋体" w:cs="Times New Roman"/>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质疑事项：</w:t>
      </w:r>
    </w:p>
    <w:p w14:paraId="3E86749A">
      <w:pPr>
        <w:pStyle w:val="29"/>
        <w:spacing w:line="360" w:lineRule="auto"/>
        <w:ind w:left="25" w:leftChars="12" w:firstLine="308" w:firstLineChars="147"/>
        <w:rPr>
          <w:rFonts w:hAnsi="宋体" w:cs="Times New Roman"/>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□采购文件</w:t>
      </w:r>
      <w:r>
        <w:rPr>
          <w:rFonts w:hAnsi="宋体"/>
          <w:color w:val="000000" w:themeColor="text1"/>
          <w:sz w:val="21"/>
          <w:szCs w:val="21"/>
          <w:highlight w:val="none"/>
          <w14:textFill>
            <w14:solidFill>
              <w14:schemeClr w14:val="tx1"/>
            </w14:solidFill>
          </w14:textFill>
        </w:rPr>
        <w:t xml:space="preserve">   </w:t>
      </w:r>
      <w:r>
        <w:rPr>
          <w:rFonts w:hint="eastAsia" w:hAnsi="宋体"/>
          <w:color w:val="000000" w:themeColor="text1"/>
          <w:sz w:val="21"/>
          <w:szCs w:val="21"/>
          <w:highlight w:val="none"/>
          <w14:textFill>
            <w14:solidFill>
              <w14:schemeClr w14:val="tx1"/>
            </w14:solidFill>
          </w14:textFill>
        </w:rPr>
        <w:t>采购文件获取日期：</w:t>
      </w:r>
      <w:r>
        <w:rPr>
          <w:rFonts w:hAnsi="宋体"/>
          <w:color w:val="000000" w:themeColor="text1"/>
          <w:sz w:val="21"/>
          <w:szCs w:val="21"/>
          <w:highlight w:val="none"/>
          <w:u w:val="single"/>
          <w14:textFill>
            <w14:solidFill>
              <w14:schemeClr w14:val="tx1"/>
            </w14:solidFill>
          </w14:textFill>
        </w:rPr>
        <w:t xml:space="preserve">                       </w:t>
      </w:r>
    </w:p>
    <w:p w14:paraId="464EFE70">
      <w:pPr>
        <w:pStyle w:val="29"/>
        <w:spacing w:line="360" w:lineRule="auto"/>
        <w:ind w:left="25" w:leftChars="12" w:firstLine="308" w:firstLineChars="147"/>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□采购过程</w:t>
      </w:r>
      <w:r>
        <w:rPr>
          <w:rFonts w:hAnsi="宋体"/>
          <w:color w:val="000000" w:themeColor="text1"/>
          <w:sz w:val="21"/>
          <w:szCs w:val="21"/>
          <w:highlight w:val="none"/>
          <w14:textFill>
            <w14:solidFill>
              <w14:schemeClr w14:val="tx1"/>
            </w14:solidFill>
          </w14:textFill>
        </w:rPr>
        <w:t xml:space="preserve">   </w:t>
      </w:r>
    </w:p>
    <w:p w14:paraId="3162FE11">
      <w:pPr>
        <w:pStyle w:val="29"/>
        <w:spacing w:line="360" w:lineRule="auto"/>
        <w:ind w:left="25" w:leftChars="12" w:firstLine="308" w:firstLineChars="147"/>
        <w:rPr>
          <w:rFonts w:hAnsi="宋体" w:cs="Times New Roman"/>
          <w:color w:val="000000" w:themeColor="text1"/>
          <w:sz w:val="21"/>
          <w:szCs w:val="21"/>
          <w:highlight w:val="none"/>
          <w:u w:val="singl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□成交结果</w:t>
      </w:r>
      <w:r>
        <w:rPr>
          <w:rFonts w:hAnsi="宋体"/>
          <w:color w:val="000000" w:themeColor="text1"/>
          <w:sz w:val="21"/>
          <w:szCs w:val="21"/>
          <w:highlight w:val="none"/>
          <w14:textFill>
            <w14:solidFill>
              <w14:schemeClr w14:val="tx1"/>
            </w14:solidFill>
          </w14:textFill>
        </w:rPr>
        <w:t xml:space="preserve">   </w:t>
      </w:r>
    </w:p>
    <w:p w14:paraId="7EB6E2D9">
      <w:pPr>
        <w:pStyle w:val="29"/>
        <w:spacing w:line="360" w:lineRule="auto"/>
        <w:ind w:left="25" w:leftChars="12" w:firstLine="413" w:firstLineChars="196"/>
        <w:rPr>
          <w:rFonts w:hAnsi="宋体" w:cs="Times New Roman"/>
          <w:b/>
          <w:bCs/>
          <w:color w:val="000000" w:themeColor="text1"/>
          <w:sz w:val="21"/>
          <w:szCs w:val="21"/>
          <w:highlight w:val="none"/>
          <w14:textFill>
            <w14:solidFill>
              <w14:schemeClr w14:val="tx1"/>
            </w14:solidFill>
          </w14:textFill>
        </w:rPr>
      </w:pPr>
      <w:r>
        <w:rPr>
          <w:rFonts w:hint="eastAsia" w:hAnsi="宋体"/>
          <w:b/>
          <w:bCs/>
          <w:color w:val="000000" w:themeColor="text1"/>
          <w:sz w:val="21"/>
          <w:szCs w:val="21"/>
          <w:highlight w:val="none"/>
          <w14:textFill>
            <w14:solidFill>
              <w14:schemeClr w14:val="tx1"/>
            </w14:solidFill>
          </w14:textFill>
        </w:rPr>
        <w:t>三、质疑事项具体内容</w:t>
      </w:r>
    </w:p>
    <w:p w14:paraId="65D9387E">
      <w:pPr>
        <w:pStyle w:val="29"/>
        <w:spacing w:line="360" w:lineRule="auto"/>
        <w:ind w:left="25" w:leftChars="12" w:firstLine="413" w:firstLineChars="197"/>
        <w:rPr>
          <w:rFonts w:hAnsi="宋体" w:cs="Times New Roman"/>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质疑事项</w:t>
      </w:r>
      <w:r>
        <w:rPr>
          <w:rFonts w:hAnsi="宋体"/>
          <w:color w:val="000000" w:themeColor="text1"/>
          <w:sz w:val="21"/>
          <w:szCs w:val="21"/>
          <w:highlight w:val="none"/>
          <w14:textFill>
            <w14:solidFill>
              <w14:schemeClr w14:val="tx1"/>
            </w14:solidFill>
          </w14:textFill>
        </w:rPr>
        <w:t>1</w:t>
      </w:r>
      <w:r>
        <w:rPr>
          <w:rFonts w:hint="eastAsia" w:hAnsi="宋体"/>
          <w:color w:val="000000" w:themeColor="text1"/>
          <w:sz w:val="21"/>
          <w:szCs w:val="21"/>
          <w:highlight w:val="none"/>
          <w14:textFill>
            <w14:solidFill>
              <w14:schemeClr w14:val="tx1"/>
            </w14:solidFill>
          </w14:textFill>
        </w:rPr>
        <w:t>：</w:t>
      </w:r>
      <w:r>
        <w:rPr>
          <w:rFonts w:hAnsi="宋体"/>
          <w:color w:val="000000" w:themeColor="text1"/>
          <w:sz w:val="21"/>
          <w:szCs w:val="21"/>
          <w:highlight w:val="none"/>
          <w:u w:val="single"/>
          <w14:textFill>
            <w14:solidFill>
              <w14:schemeClr w14:val="tx1"/>
            </w14:solidFill>
          </w14:textFill>
        </w:rPr>
        <w:t xml:space="preserve">                                                                    </w:t>
      </w:r>
    </w:p>
    <w:p w14:paraId="436F783D">
      <w:pPr>
        <w:pStyle w:val="29"/>
        <w:spacing w:line="360" w:lineRule="auto"/>
        <w:ind w:left="25" w:leftChars="12" w:firstLine="413" w:firstLineChars="197"/>
        <w:rPr>
          <w:rFonts w:hAnsi="宋体" w:cs="Times New Roman"/>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事实依据：</w:t>
      </w:r>
      <w:r>
        <w:rPr>
          <w:rFonts w:hAnsi="宋体"/>
          <w:color w:val="000000" w:themeColor="text1"/>
          <w:sz w:val="21"/>
          <w:szCs w:val="21"/>
          <w:highlight w:val="none"/>
          <w:u w:val="single"/>
          <w14:textFill>
            <w14:solidFill>
              <w14:schemeClr w14:val="tx1"/>
            </w14:solidFill>
          </w14:textFill>
        </w:rPr>
        <w:t xml:space="preserve">                                                                      </w:t>
      </w:r>
    </w:p>
    <w:p w14:paraId="137540E7">
      <w:pPr>
        <w:pStyle w:val="29"/>
        <w:spacing w:line="360" w:lineRule="auto"/>
        <w:ind w:left="25" w:leftChars="12" w:firstLine="413" w:firstLineChars="197"/>
        <w:rPr>
          <w:rFonts w:hAnsi="宋体" w:cs="Times New Roman"/>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法律依据：</w:t>
      </w:r>
      <w:r>
        <w:rPr>
          <w:rFonts w:hAnsi="宋体"/>
          <w:color w:val="000000" w:themeColor="text1"/>
          <w:sz w:val="21"/>
          <w:szCs w:val="21"/>
          <w:highlight w:val="none"/>
          <w:u w:val="single"/>
          <w14:textFill>
            <w14:solidFill>
              <w14:schemeClr w14:val="tx1"/>
            </w14:solidFill>
          </w14:textFill>
        </w:rPr>
        <w:t xml:space="preserve">                                                                       </w:t>
      </w:r>
    </w:p>
    <w:p w14:paraId="1B81DE69">
      <w:pPr>
        <w:pStyle w:val="29"/>
        <w:spacing w:line="360" w:lineRule="auto"/>
        <w:ind w:left="25" w:leftChars="12" w:firstLine="413" w:firstLineChars="197"/>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质疑事项</w:t>
      </w:r>
      <w:r>
        <w:rPr>
          <w:rFonts w:hAnsi="宋体"/>
          <w:color w:val="000000" w:themeColor="text1"/>
          <w:sz w:val="21"/>
          <w:szCs w:val="21"/>
          <w:highlight w:val="none"/>
          <w14:textFill>
            <w14:solidFill>
              <w14:schemeClr w14:val="tx1"/>
            </w14:solidFill>
          </w14:textFill>
        </w:rPr>
        <w:t>2</w:t>
      </w:r>
    </w:p>
    <w:p w14:paraId="3A5F5778">
      <w:pPr>
        <w:pStyle w:val="29"/>
        <w:spacing w:line="360" w:lineRule="auto"/>
        <w:ind w:left="25" w:leftChars="12" w:firstLine="413" w:firstLineChars="197"/>
        <w:rPr>
          <w:rFonts w:hAnsi="宋体" w:cs="Times New Roman"/>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w:t>
      </w:r>
    </w:p>
    <w:p w14:paraId="1B6BE4DB">
      <w:pPr>
        <w:pStyle w:val="29"/>
        <w:spacing w:line="360" w:lineRule="auto"/>
        <w:ind w:left="25" w:leftChars="12" w:firstLine="413" w:firstLineChars="197"/>
        <w:rPr>
          <w:rFonts w:hAnsi="宋体" w:cs="Times New Roman"/>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四、与质疑事项相关的质疑请求：</w:t>
      </w:r>
    </w:p>
    <w:p w14:paraId="11759790">
      <w:pPr>
        <w:pStyle w:val="29"/>
        <w:spacing w:line="360" w:lineRule="auto"/>
        <w:ind w:left="25" w:leftChars="12" w:firstLine="413" w:firstLineChars="197"/>
        <w:rPr>
          <w:rFonts w:hAnsi="宋体" w:cs="Times New Roman"/>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请求：</w:t>
      </w:r>
      <w:r>
        <w:rPr>
          <w:rFonts w:hAnsi="宋体"/>
          <w:color w:val="000000" w:themeColor="text1"/>
          <w:sz w:val="21"/>
          <w:szCs w:val="21"/>
          <w:highlight w:val="none"/>
          <w:u w:val="single"/>
          <w14:textFill>
            <w14:solidFill>
              <w14:schemeClr w14:val="tx1"/>
            </w14:solidFill>
          </w14:textFill>
        </w:rPr>
        <w:t xml:space="preserve">                                                                </w:t>
      </w:r>
    </w:p>
    <w:p w14:paraId="6A5810CC">
      <w:pPr>
        <w:pStyle w:val="29"/>
        <w:spacing w:line="360" w:lineRule="auto"/>
        <w:ind w:left="25" w:leftChars="12" w:firstLine="308" w:firstLineChars="147"/>
        <w:rPr>
          <w:rFonts w:hAnsi="宋体" w:cs="Times New Roman"/>
          <w:color w:val="000000" w:themeColor="text1"/>
          <w:sz w:val="21"/>
          <w:szCs w:val="21"/>
          <w:highlight w:val="none"/>
          <w14:textFill>
            <w14:solidFill>
              <w14:schemeClr w14:val="tx1"/>
            </w14:solidFill>
          </w14:textFill>
        </w:rPr>
      </w:pPr>
    </w:p>
    <w:p w14:paraId="3F391BFD">
      <w:pPr>
        <w:pStyle w:val="29"/>
        <w:spacing w:line="360" w:lineRule="auto"/>
        <w:ind w:left="25" w:leftChars="12" w:firstLine="413" w:firstLineChars="197"/>
        <w:rPr>
          <w:rFonts w:hAnsi="宋体" w:cs="Times New Roman"/>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签字（签章）：</w:t>
      </w:r>
      <w:r>
        <w:rPr>
          <w:rFonts w:hAnsi="宋体"/>
          <w:color w:val="000000" w:themeColor="text1"/>
          <w:sz w:val="21"/>
          <w:szCs w:val="21"/>
          <w:highlight w:val="none"/>
          <w14:textFill>
            <w14:solidFill>
              <w14:schemeClr w14:val="tx1"/>
            </w14:solidFill>
          </w14:textFill>
        </w:rPr>
        <w:t xml:space="preserve">                                       </w:t>
      </w:r>
      <w:r>
        <w:rPr>
          <w:rFonts w:hint="eastAsia" w:hAnsi="宋体"/>
          <w:color w:val="000000" w:themeColor="text1"/>
          <w:sz w:val="21"/>
          <w:szCs w:val="21"/>
          <w:highlight w:val="none"/>
          <w14:textFill>
            <w14:solidFill>
              <w14:schemeClr w14:val="tx1"/>
            </w14:solidFill>
          </w14:textFill>
        </w:rPr>
        <w:t>公章：</w:t>
      </w:r>
    </w:p>
    <w:p w14:paraId="6E7CC9C9">
      <w:pPr>
        <w:pStyle w:val="29"/>
        <w:spacing w:line="360" w:lineRule="auto"/>
        <w:ind w:firstLine="420" w:firstLineChars="200"/>
        <w:rPr>
          <w:rFonts w:hAnsi="宋体" w:cs="Times New Roman"/>
          <w:b/>
          <w:bCs/>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日期：</w:t>
      </w:r>
    </w:p>
    <w:p w14:paraId="2E78D38A">
      <w:pPr>
        <w:pStyle w:val="29"/>
        <w:spacing w:line="360" w:lineRule="auto"/>
        <w:rPr>
          <w:rFonts w:hAnsi="宋体" w:cs="Times New Roman"/>
          <w:b/>
          <w:bCs/>
          <w:color w:val="000000" w:themeColor="text1"/>
          <w:sz w:val="21"/>
          <w:szCs w:val="21"/>
          <w:highlight w:val="none"/>
          <w14:textFill>
            <w14:solidFill>
              <w14:schemeClr w14:val="tx1"/>
            </w14:solidFill>
          </w14:textFill>
        </w:rPr>
      </w:pPr>
      <w:r>
        <w:rPr>
          <w:rFonts w:hint="eastAsia" w:hAnsi="宋体"/>
          <w:b/>
          <w:bCs/>
          <w:color w:val="000000" w:themeColor="text1"/>
          <w:sz w:val="21"/>
          <w:szCs w:val="21"/>
          <w:highlight w:val="none"/>
          <w14:textFill>
            <w14:solidFill>
              <w14:schemeClr w14:val="tx1"/>
            </w14:solidFill>
          </w14:textFill>
        </w:rPr>
        <w:t>说明：</w:t>
      </w:r>
    </w:p>
    <w:p w14:paraId="421A6EBE">
      <w:pPr>
        <w:pStyle w:val="29"/>
        <w:spacing w:line="360" w:lineRule="auto"/>
        <w:ind w:left="25" w:leftChars="12" w:firstLine="310" w:firstLineChars="147"/>
        <w:rPr>
          <w:rFonts w:hAnsi="宋体" w:cs="Times New Roman"/>
          <w:b/>
          <w:bCs/>
          <w:color w:val="000000" w:themeColor="text1"/>
          <w:sz w:val="21"/>
          <w:szCs w:val="21"/>
          <w:highlight w:val="none"/>
          <w14:textFill>
            <w14:solidFill>
              <w14:schemeClr w14:val="tx1"/>
            </w14:solidFill>
          </w14:textFill>
        </w:rPr>
      </w:pPr>
      <w:r>
        <w:rPr>
          <w:rFonts w:hAnsi="宋体"/>
          <w:b/>
          <w:bCs/>
          <w:color w:val="000000" w:themeColor="text1"/>
          <w:sz w:val="21"/>
          <w:szCs w:val="21"/>
          <w:highlight w:val="none"/>
          <w14:textFill>
            <w14:solidFill>
              <w14:schemeClr w14:val="tx1"/>
            </w14:solidFill>
          </w14:textFill>
        </w:rPr>
        <w:t>1.</w:t>
      </w:r>
      <w:r>
        <w:rPr>
          <w:rFonts w:hint="eastAsia" w:hAnsi="宋体"/>
          <w:b/>
          <w:bCs/>
          <w:color w:val="000000" w:themeColor="text1"/>
          <w:sz w:val="21"/>
          <w:szCs w:val="21"/>
          <w:highlight w:val="none"/>
          <w14:textFill>
            <w14:solidFill>
              <w14:schemeClr w14:val="tx1"/>
            </w14:solidFill>
          </w14:textFill>
        </w:rPr>
        <w:t>供应商提出质疑时，应提交质疑函和必要的证明材料。</w:t>
      </w:r>
    </w:p>
    <w:p w14:paraId="55A9A36C">
      <w:pPr>
        <w:pStyle w:val="29"/>
        <w:spacing w:line="360" w:lineRule="auto"/>
        <w:ind w:left="25" w:leftChars="12" w:firstLine="310" w:firstLineChars="147"/>
        <w:rPr>
          <w:rFonts w:hAnsi="宋体" w:cs="Times New Roman"/>
          <w:b/>
          <w:bCs/>
          <w:color w:val="000000" w:themeColor="text1"/>
          <w:sz w:val="21"/>
          <w:szCs w:val="21"/>
          <w:highlight w:val="none"/>
          <w14:textFill>
            <w14:solidFill>
              <w14:schemeClr w14:val="tx1"/>
            </w14:solidFill>
          </w14:textFill>
        </w:rPr>
      </w:pPr>
      <w:r>
        <w:rPr>
          <w:rFonts w:hAnsi="宋体"/>
          <w:b/>
          <w:bCs/>
          <w:color w:val="000000" w:themeColor="text1"/>
          <w:sz w:val="21"/>
          <w:szCs w:val="21"/>
          <w:highlight w:val="none"/>
          <w14:textFill>
            <w14:solidFill>
              <w14:schemeClr w14:val="tx1"/>
            </w14:solidFill>
          </w14:textFill>
        </w:rPr>
        <w:t>2.</w:t>
      </w:r>
      <w:r>
        <w:rPr>
          <w:rFonts w:hint="eastAsia" w:hAnsi="宋体"/>
          <w:b/>
          <w:bCs/>
          <w:color w:val="000000" w:themeColor="text1"/>
          <w:sz w:val="21"/>
          <w:szCs w:val="21"/>
          <w:highlight w:val="none"/>
          <w14:textFill>
            <w14:solidFill>
              <w14:schemeClr w14:val="tx1"/>
            </w14:solidFill>
          </w14:textFill>
        </w:rPr>
        <w:t>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792DF60E">
      <w:pPr>
        <w:pStyle w:val="29"/>
        <w:spacing w:line="360" w:lineRule="auto"/>
        <w:ind w:left="25" w:leftChars="12" w:firstLine="310" w:firstLineChars="147"/>
        <w:rPr>
          <w:rFonts w:hAnsi="宋体" w:cs="Times New Roman"/>
          <w:b/>
          <w:bCs/>
          <w:color w:val="000000" w:themeColor="text1"/>
          <w:sz w:val="21"/>
          <w:szCs w:val="21"/>
          <w:highlight w:val="none"/>
          <w14:textFill>
            <w14:solidFill>
              <w14:schemeClr w14:val="tx1"/>
            </w14:solidFill>
          </w14:textFill>
        </w:rPr>
      </w:pPr>
      <w:r>
        <w:rPr>
          <w:rFonts w:hAnsi="宋体"/>
          <w:b/>
          <w:bCs/>
          <w:color w:val="000000" w:themeColor="text1"/>
          <w:sz w:val="21"/>
          <w:szCs w:val="21"/>
          <w:highlight w:val="none"/>
          <w14:textFill>
            <w14:solidFill>
              <w14:schemeClr w14:val="tx1"/>
            </w14:solidFill>
          </w14:textFill>
        </w:rPr>
        <w:t>3.</w:t>
      </w:r>
      <w:r>
        <w:rPr>
          <w:rFonts w:hint="eastAsia" w:hAnsi="宋体"/>
          <w:b/>
          <w:bCs/>
          <w:color w:val="000000" w:themeColor="text1"/>
          <w:sz w:val="21"/>
          <w:szCs w:val="21"/>
          <w:highlight w:val="none"/>
          <w14:textFill>
            <w14:solidFill>
              <w14:schemeClr w14:val="tx1"/>
            </w14:solidFill>
          </w14:textFill>
        </w:rPr>
        <w:t>质疑函的质疑事项应具体、明确，并有必要的事实依据和法律依据。</w:t>
      </w:r>
    </w:p>
    <w:p w14:paraId="3AA5C289">
      <w:pPr>
        <w:pStyle w:val="29"/>
        <w:spacing w:line="360" w:lineRule="auto"/>
        <w:ind w:left="25" w:leftChars="12" w:firstLine="310" w:firstLineChars="147"/>
        <w:rPr>
          <w:rFonts w:hAnsi="宋体" w:cs="Times New Roman"/>
          <w:b/>
          <w:bCs/>
          <w:color w:val="000000" w:themeColor="text1"/>
          <w:sz w:val="21"/>
          <w:szCs w:val="21"/>
          <w:highlight w:val="none"/>
          <w14:textFill>
            <w14:solidFill>
              <w14:schemeClr w14:val="tx1"/>
            </w14:solidFill>
          </w14:textFill>
        </w:rPr>
      </w:pPr>
      <w:r>
        <w:rPr>
          <w:rFonts w:hAnsi="宋体"/>
          <w:b/>
          <w:bCs/>
          <w:color w:val="000000" w:themeColor="text1"/>
          <w:sz w:val="21"/>
          <w:szCs w:val="21"/>
          <w:highlight w:val="none"/>
          <w14:textFill>
            <w14:solidFill>
              <w14:schemeClr w14:val="tx1"/>
            </w14:solidFill>
          </w14:textFill>
        </w:rPr>
        <w:t>4.</w:t>
      </w:r>
      <w:r>
        <w:rPr>
          <w:rFonts w:hint="eastAsia" w:hAnsi="宋体"/>
          <w:b/>
          <w:bCs/>
          <w:color w:val="000000" w:themeColor="text1"/>
          <w:sz w:val="21"/>
          <w:szCs w:val="21"/>
          <w:highlight w:val="none"/>
          <w14:textFill>
            <w14:solidFill>
              <w14:schemeClr w14:val="tx1"/>
            </w14:solidFill>
          </w14:textFill>
        </w:rPr>
        <w:t>质疑函的质疑请求应与质疑事项相关。</w:t>
      </w:r>
    </w:p>
    <w:p w14:paraId="7637D088">
      <w:pPr>
        <w:pStyle w:val="29"/>
        <w:spacing w:line="360" w:lineRule="auto"/>
        <w:ind w:left="25" w:leftChars="12" w:firstLine="310" w:firstLineChars="147"/>
        <w:rPr>
          <w:rFonts w:hAnsi="宋体" w:cs="Times New Roman"/>
          <w:b/>
          <w:bCs/>
          <w:color w:val="000000" w:themeColor="text1"/>
          <w:sz w:val="21"/>
          <w:szCs w:val="21"/>
          <w:highlight w:val="none"/>
          <w14:textFill>
            <w14:solidFill>
              <w14:schemeClr w14:val="tx1"/>
            </w14:solidFill>
          </w14:textFill>
        </w:rPr>
      </w:pPr>
      <w:r>
        <w:rPr>
          <w:rFonts w:hAnsi="宋体"/>
          <w:b/>
          <w:bCs/>
          <w:color w:val="000000" w:themeColor="text1"/>
          <w:sz w:val="21"/>
          <w:szCs w:val="21"/>
          <w:highlight w:val="none"/>
          <w14:textFill>
            <w14:solidFill>
              <w14:schemeClr w14:val="tx1"/>
            </w14:solidFill>
          </w14:textFill>
        </w:rPr>
        <w:t>5.</w:t>
      </w:r>
      <w:r>
        <w:rPr>
          <w:rFonts w:hint="eastAsia" w:hAnsi="宋体"/>
          <w:b/>
          <w:bCs/>
          <w:color w:val="000000" w:themeColor="text1"/>
          <w:sz w:val="21"/>
          <w:szCs w:val="21"/>
          <w:highlight w:val="none"/>
          <w14:textFill>
            <w14:solidFill>
              <w14:schemeClr w14:val="tx1"/>
            </w14:solidFill>
          </w14:textFill>
        </w:rPr>
        <w:t>质疑供应商为法人或者其他组织的，质疑函应由法定代表人、主要负责人，或者其授权代表签字或者盖章，并加盖公章。</w:t>
      </w:r>
    </w:p>
    <w:p w14:paraId="6FF02E55">
      <w:pPr>
        <w:pStyle w:val="29"/>
        <w:snapToGrid w:val="0"/>
        <w:rPr>
          <w:rFonts w:hAnsi="宋体" w:cs="Times New Roman"/>
          <w:b/>
          <w:bCs/>
          <w:color w:val="000000" w:themeColor="text1"/>
          <w:sz w:val="21"/>
          <w:szCs w:val="21"/>
          <w:highlight w:val="none"/>
          <w14:textFill>
            <w14:solidFill>
              <w14:schemeClr w14:val="tx1"/>
            </w14:solidFill>
          </w14:textFill>
        </w:rPr>
      </w:pPr>
    </w:p>
    <w:p w14:paraId="364D8855">
      <w:pPr>
        <w:rPr>
          <w:rFonts w:ascii="宋体"/>
          <w:color w:val="000000" w:themeColor="text1"/>
          <w:highlight w:val="none"/>
          <w14:textFill>
            <w14:solidFill>
              <w14:schemeClr w14:val="tx1"/>
            </w14:solidFill>
          </w14:textFill>
        </w:rPr>
      </w:pPr>
    </w:p>
    <w:p w14:paraId="3241B320">
      <w:pPr>
        <w:rPr>
          <w:rFonts w:ascii="宋体"/>
          <w:color w:val="000000" w:themeColor="text1"/>
          <w:highlight w:val="none"/>
          <w14:textFill>
            <w14:solidFill>
              <w14:schemeClr w14:val="tx1"/>
            </w14:solidFill>
          </w14:textFill>
        </w:rPr>
      </w:pPr>
    </w:p>
    <w:p w14:paraId="5E6F1B3D">
      <w:pPr>
        <w:rPr>
          <w:rFonts w:ascii="宋体"/>
          <w:color w:val="000000" w:themeColor="text1"/>
          <w:highlight w:val="none"/>
          <w14:textFill>
            <w14:solidFill>
              <w14:schemeClr w14:val="tx1"/>
            </w14:solidFill>
          </w14:textFill>
        </w:rPr>
      </w:pPr>
    </w:p>
    <w:p w14:paraId="7E80EBB4">
      <w:pPr>
        <w:rPr>
          <w:rFonts w:ascii="宋体"/>
          <w:color w:val="000000" w:themeColor="text1"/>
          <w:highlight w:val="none"/>
          <w14:textFill>
            <w14:solidFill>
              <w14:schemeClr w14:val="tx1"/>
            </w14:solidFill>
          </w14:textFill>
        </w:rPr>
      </w:pPr>
    </w:p>
    <w:p w14:paraId="25C1A4D7">
      <w:pPr>
        <w:rPr>
          <w:rFonts w:ascii="宋体"/>
          <w:color w:val="000000" w:themeColor="text1"/>
          <w:highlight w:val="none"/>
          <w14:textFill>
            <w14:solidFill>
              <w14:schemeClr w14:val="tx1"/>
            </w14:solidFill>
          </w14:textFill>
        </w:rPr>
      </w:pPr>
    </w:p>
    <w:p w14:paraId="0CF567BC">
      <w:pPr>
        <w:rPr>
          <w:rFonts w:ascii="宋体"/>
          <w:color w:val="000000" w:themeColor="text1"/>
          <w:highlight w:val="none"/>
          <w14:textFill>
            <w14:solidFill>
              <w14:schemeClr w14:val="tx1"/>
            </w14:solidFill>
          </w14:textFill>
        </w:rPr>
      </w:pPr>
    </w:p>
    <w:p w14:paraId="581370B2">
      <w:pPr>
        <w:rPr>
          <w:rFonts w:ascii="宋体"/>
          <w:color w:val="000000" w:themeColor="text1"/>
          <w:highlight w:val="none"/>
          <w14:textFill>
            <w14:solidFill>
              <w14:schemeClr w14:val="tx1"/>
            </w14:solidFill>
          </w14:textFill>
        </w:rPr>
      </w:pPr>
    </w:p>
    <w:p w14:paraId="6CEFCA03">
      <w:pPr>
        <w:rPr>
          <w:rFonts w:ascii="宋体"/>
          <w:color w:val="000000" w:themeColor="text1"/>
          <w:highlight w:val="none"/>
          <w14:textFill>
            <w14:solidFill>
              <w14:schemeClr w14:val="tx1"/>
            </w14:solidFill>
          </w14:textFill>
        </w:rPr>
      </w:pPr>
    </w:p>
    <w:p w14:paraId="1C512D73">
      <w:pPr>
        <w:rPr>
          <w:rFonts w:ascii="宋体"/>
          <w:color w:val="000000" w:themeColor="text1"/>
          <w:sz w:val="32"/>
          <w:szCs w:val="32"/>
          <w:highlight w:val="none"/>
          <w14:textFill>
            <w14:solidFill>
              <w14:schemeClr w14:val="tx1"/>
            </w14:solidFill>
          </w14:textFill>
        </w:rPr>
      </w:pPr>
    </w:p>
    <w:p w14:paraId="4A6AE866">
      <w:pPr>
        <w:rPr>
          <w:rFonts w:ascii="宋体"/>
          <w:color w:val="000000" w:themeColor="text1"/>
          <w:sz w:val="32"/>
          <w:szCs w:val="32"/>
          <w:highlight w:val="none"/>
          <w14:textFill>
            <w14:solidFill>
              <w14:schemeClr w14:val="tx1"/>
            </w14:solidFill>
          </w14:textFill>
        </w:rPr>
      </w:pPr>
    </w:p>
    <w:p w14:paraId="5135DF17">
      <w:pPr>
        <w:rPr>
          <w:rFonts w:ascii="宋体"/>
          <w:color w:val="000000" w:themeColor="text1"/>
          <w:sz w:val="32"/>
          <w:szCs w:val="32"/>
          <w:highlight w:val="none"/>
          <w14:textFill>
            <w14:solidFill>
              <w14:schemeClr w14:val="tx1"/>
            </w14:solidFill>
          </w14:textFill>
        </w:rPr>
      </w:pPr>
    </w:p>
    <w:p w14:paraId="5110FCE2">
      <w:pPr>
        <w:rPr>
          <w:rFonts w:ascii="宋体"/>
          <w:color w:val="000000" w:themeColor="text1"/>
          <w:sz w:val="32"/>
          <w:szCs w:val="32"/>
          <w:highlight w:val="none"/>
          <w14:textFill>
            <w14:solidFill>
              <w14:schemeClr w14:val="tx1"/>
            </w14:solidFill>
          </w14:textFill>
        </w:rPr>
      </w:pPr>
    </w:p>
    <w:p w14:paraId="4D8F6981">
      <w:pPr>
        <w:rPr>
          <w:rFonts w:ascii="宋体"/>
          <w:color w:val="000000" w:themeColor="text1"/>
          <w:sz w:val="32"/>
          <w:szCs w:val="32"/>
          <w:highlight w:val="none"/>
          <w14:textFill>
            <w14:solidFill>
              <w14:schemeClr w14:val="tx1"/>
            </w14:solidFill>
          </w14:textFill>
        </w:rPr>
      </w:pPr>
    </w:p>
    <w:p w14:paraId="34EDCD4E">
      <w:pPr>
        <w:rPr>
          <w:rFonts w:ascii="宋体"/>
          <w:color w:val="000000" w:themeColor="text1"/>
          <w:sz w:val="32"/>
          <w:szCs w:val="32"/>
          <w:highlight w:val="none"/>
          <w14:textFill>
            <w14:solidFill>
              <w14:schemeClr w14:val="tx1"/>
            </w14:solidFill>
          </w14:textFill>
        </w:rPr>
      </w:pPr>
    </w:p>
    <w:p w14:paraId="06C37219">
      <w:pPr>
        <w:spacing w:line="360" w:lineRule="auto"/>
        <w:jc w:val="center"/>
        <w:rPr>
          <w:rFonts w:ascii="宋体"/>
          <w:color w:val="000000" w:themeColor="text1"/>
          <w:sz w:val="24"/>
          <w:szCs w:val="24"/>
          <w:highlight w:val="none"/>
          <w14:textFill>
            <w14:solidFill>
              <w14:schemeClr w14:val="tx1"/>
            </w14:solidFill>
          </w14:textFill>
        </w:rPr>
      </w:pPr>
      <w:r>
        <w:rPr>
          <w:rFonts w:ascii="宋体"/>
          <w:color w:val="000000" w:themeColor="text1"/>
          <w:sz w:val="44"/>
          <w:szCs w:val="44"/>
          <w:highlight w:val="none"/>
          <w14:textFill>
            <w14:solidFill>
              <w14:schemeClr w14:val="tx1"/>
            </w14:solidFill>
          </w14:textFill>
        </w:rPr>
        <w:br w:type="page"/>
      </w:r>
      <w:r>
        <w:rPr>
          <w:rFonts w:hint="eastAsia" w:ascii="宋体" w:hAnsi="宋体" w:cs="宋体"/>
          <w:color w:val="000000" w:themeColor="text1"/>
          <w:sz w:val="44"/>
          <w:szCs w:val="44"/>
          <w:highlight w:val="none"/>
          <w14:textFill>
            <w14:solidFill>
              <w14:schemeClr w14:val="tx1"/>
            </w14:solidFill>
          </w14:textFill>
        </w:rPr>
        <w:t>投诉书</w:t>
      </w:r>
      <w:r>
        <w:rPr>
          <w:rFonts w:hint="eastAsia" w:ascii="宋体" w:hAnsi="宋体" w:cs="宋体"/>
          <w:color w:val="000000" w:themeColor="text1"/>
          <w:sz w:val="28"/>
          <w:szCs w:val="28"/>
          <w:highlight w:val="none"/>
          <w14:textFill>
            <w14:solidFill>
              <w14:schemeClr w14:val="tx1"/>
            </w14:solidFill>
          </w14:textFill>
        </w:rPr>
        <w:t>（格式）</w:t>
      </w:r>
    </w:p>
    <w:p w14:paraId="749FD011">
      <w:pPr>
        <w:pStyle w:val="29"/>
        <w:snapToGrid w:val="0"/>
        <w:spacing w:line="360" w:lineRule="auto"/>
        <w:ind w:firstLine="422" w:firstLineChars="200"/>
        <w:rPr>
          <w:rFonts w:hAnsi="宋体" w:cs="Times New Roman"/>
          <w:b/>
          <w:bCs/>
          <w:color w:val="000000" w:themeColor="text1"/>
          <w:sz w:val="21"/>
          <w:szCs w:val="21"/>
          <w:highlight w:val="none"/>
          <w14:textFill>
            <w14:solidFill>
              <w14:schemeClr w14:val="tx1"/>
            </w14:solidFill>
          </w14:textFill>
        </w:rPr>
      </w:pPr>
      <w:r>
        <w:rPr>
          <w:rFonts w:hint="eastAsia" w:hAnsi="宋体"/>
          <w:b/>
          <w:bCs/>
          <w:color w:val="000000" w:themeColor="text1"/>
          <w:sz w:val="21"/>
          <w:szCs w:val="21"/>
          <w:highlight w:val="none"/>
          <w14:textFill>
            <w14:solidFill>
              <w14:schemeClr w14:val="tx1"/>
            </w14:solidFill>
          </w14:textFill>
        </w:rPr>
        <w:t>一、投诉相关主体基本情况：</w:t>
      </w:r>
    </w:p>
    <w:p w14:paraId="1426B78C">
      <w:pPr>
        <w:pStyle w:val="29"/>
        <w:snapToGrid w:val="0"/>
        <w:spacing w:line="360" w:lineRule="auto"/>
        <w:ind w:firstLine="420" w:firstLineChars="200"/>
        <w:rPr>
          <w:rFonts w:hAnsi="宋体" w:cs="Times New Roman"/>
          <w:color w:val="000000" w:themeColor="text1"/>
          <w:sz w:val="21"/>
          <w:szCs w:val="21"/>
          <w:highlight w:val="none"/>
          <w:u w:val="singl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供应商：</w:t>
      </w:r>
      <w:r>
        <w:rPr>
          <w:rFonts w:hAnsi="宋体"/>
          <w:color w:val="000000" w:themeColor="text1"/>
          <w:sz w:val="21"/>
          <w:szCs w:val="21"/>
          <w:highlight w:val="none"/>
          <w:u w:val="single"/>
          <w14:textFill>
            <w14:solidFill>
              <w14:schemeClr w14:val="tx1"/>
            </w14:solidFill>
          </w14:textFill>
        </w:rPr>
        <w:t xml:space="preserve">                                                                        </w:t>
      </w:r>
      <w:r>
        <w:rPr>
          <w:rFonts w:hAnsi="宋体"/>
          <w:color w:val="000000" w:themeColor="text1"/>
          <w:sz w:val="21"/>
          <w:szCs w:val="21"/>
          <w:highlight w:val="none"/>
          <w14:textFill>
            <w14:solidFill>
              <w14:schemeClr w14:val="tx1"/>
            </w14:solidFill>
          </w14:textFill>
        </w:rPr>
        <w:t xml:space="preserve">                 </w:t>
      </w:r>
    </w:p>
    <w:p w14:paraId="0619DAB0">
      <w:pPr>
        <w:pStyle w:val="29"/>
        <w:snapToGrid w:val="0"/>
        <w:spacing w:line="360" w:lineRule="auto"/>
        <w:ind w:firstLine="420" w:firstLineChars="200"/>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地址：</w:t>
      </w:r>
      <w:r>
        <w:rPr>
          <w:rFonts w:hAnsi="宋体"/>
          <w:color w:val="000000" w:themeColor="text1"/>
          <w:sz w:val="21"/>
          <w:szCs w:val="21"/>
          <w:highlight w:val="none"/>
          <w:u w:val="single"/>
          <w14:textFill>
            <w14:solidFill>
              <w14:schemeClr w14:val="tx1"/>
            </w14:solidFill>
          </w14:textFill>
        </w:rPr>
        <w:t xml:space="preserve">                                          </w:t>
      </w:r>
      <w:r>
        <w:rPr>
          <w:rFonts w:hint="eastAsia" w:hAnsi="宋体"/>
          <w:color w:val="000000" w:themeColor="text1"/>
          <w:sz w:val="21"/>
          <w:szCs w:val="21"/>
          <w:highlight w:val="none"/>
          <w14:textFill>
            <w14:solidFill>
              <w14:schemeClr w14:val="tx1"/>
            </w14:solidFill>
          </w14:textFill>
        </w:rPr>
        <w:t>邮编：</w:t>
      </w:r>
      <w:r>
        <w:rPr>
          <w:rFonts w:hAnsi="宋体"/>
          <w:color w:val="000000" w:themeColor="text1"/>
          <w:sz w:val="21"/>
          <w:szCs w:val="21"/>
          <w:highlight w:val="none"/>
          <w:u w:val="single"/>
          <w14:textFill>
            <w14:solidFill>
              <w14:schemeClr w14:val="tx1"/>
            </w14:solidFill>
          </w14:textFill>
        </w:rPr>
        <w:t xml:space="preserve">                          </w:t>
      </w:r>
      <w:r>
        <w:rPr>
          <w:rFonts w:hAnsi="宋体"/>
          <w:color w:val="000000" w:themeColor="text1"/>
          <w:sz w:val="21"/>
          <w:szCs w:val="21"/>
          <w:highlight w:val="none"/>
          <w14:textFill>
            <w14:solidFill>
              <w14:schemeClr w14:val="tx1"/>
            </w14:solidFill>
          </w14:textFill>
        </w:rPr>
        <w:t xml:space="preserve">                 </w:t>
      </w:r>
    </w:p>
    <w:p w14:paraId="373BE3C4">
      <w:pPr>
        <w:pStyle w:val="29"/>
        <w:snapToGrid w:val="0"/>
        <w:spacing w:line="360" w:lineRule="auto"/>
        <w:ind w:firstLine="420" w:firstLineChars="200"/>
        <w:rPr>
          <w:rFonts w:hAnsi="宋体"/>
          <w:color w:val="000000" w:themeColor="text1"/>
          <w:sz w:val="21"/>
          <w:szCs w:val="21"/>
          <w:highlight w:val="none"/>
          <w:u w:val="singl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法定代表人</w:t>
      </w:r>
      <w:r>
        <w:rPr>
          <w:rFonts w:hAnsi="宋体"/>
          <w:color w:val="000000" w:themeColor="text1"/>
          <w:sz w:val="21"/>
          <w:szCs w:val="21"/>
          <w:highlight w:val="none"/>
          <w14:textFill>
            <w14:solidFill>
              <w14:schemeClr w14:val="tx1"/>
            </w14:solidFill>
          </w14:textFill>
        </w:rPr>
        <w:t>/</w:t>
      </w:r>
      <w:r>
        <w:rPr>
          <w:rFonts w:hint="eastAsia" w:hAnsi="宋体"/>
          <w:color w:val="000000" w:themeColor="text1"/>
          <w:sz w:val="21"/>
          <w:szCs w:val="21"/>
          <w:highlight w:val="none"/>
          <w14:textFill>
            <w14:solidFill>
              <w14:schemeClr w14:val="tx1"/>
            </w14:solidFill>
          </w14:textFill>
        </w:rPr>
        <w:t>主要负责人：</w:t>
      </w:r>
      <w:r>
        <w:rPr>
          <w:rFonts w:hAnsi="宋体"/>
          <w:color w:val="000000" w:themeColor="text1"/>
          <w:sz w:val="21"/>
          <w:szCs w:val="21"/>
          <w:highlight w:val="none"/>
          <w:u w:val="single"/>
          <w14:textFill>
            <w14:solidFill>
              <w14:schemeClr w14:val="tx1"/>
            </w14:solidFill>
          </w14:textFill>
        </w:rPr>
        <w:t xml:space="preserve">                                                         </w:t>
      </w:r>
    </w:p>
    <w:p w14:paraId="62D9BA97">
      <w:pPr>
        <w:pStyle w:val="29"/>
        <w:snapToGrid w:val="0"/>
        <w:spacing w:line="360" w:lineRule="auto"/>
        <w:ind w:firstLine="420" w:firstLineChars="200"/>
        <w:rPr>
          <w:rFonts w:hAnsi="宋体" w:cs="Times New Roman"/>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联系电话：</w:t>
      </w:r>
      <w:r>
        <w:rPr>
          <w:rFonts w:hAnsi="宋体"/>
          <w:color w:val="000000" w:themeColor="text1"/>
          <w:sz w:val="21"/>
          <w:szCs w:val="21"/>
          <w:highlight w:val="none"/>
          <w:u w:val="single"/>
          <w14:textFill>
            <w14:solidFill>
              <w14:schemeClr w14:val="tx1"/>
            </w14:solidFill>
          </w14:textFill>
        </w:rPr>
        <w:t xml:space="preserve">                                         </w:t>
      </w:r>
    </w:p>
    <w:p w14:paraId="795EA41A">
      <w:pPr>
        <w:pStyle w:val="29"/>
        <w:snapToGrid w:val="0"/>
        <w:spacing w:line="360" w:lineRule="auto"/>
        <w:ind w:firstLine="420" w:firstLineChars="200"/>
        <w:rPr>
          <w:rFonts w:hAnsi="宋体"/>
          <w:color w:val="000000" w:themeColor="text1"/>
          <w:sz w:val="21"/>
          <w:szCs w:val="21"/>
          <w:highlight w:val="none"/>
          <w:u w:val="singl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授权代表：</w:t>
      </w:r>
      <w:r>
        <w:rPr>
          <w:rFonts w:hAnsi="宋体"/>
          <w:color w:val="000000" w:themeColor="text1"/>
          <w:sz w:val="21"/>
          <w:szCs w:val="21"/>
          <w:highlight w:val="none"/>
          <w:u w:val="single"/>
          <w14:textFill>
            <w14:solidFill>
              <w14:schemeClr w14:val="tx1"/>
            </w14:solidFill>
          </w14:textFill>
        </w:rPr>
        <w:t xml:space="preserve">                                         </w:t>
      </w:r>
      <w:r>
        <w:rPr>
          <w:rFonts w:hint="eastAsia" w:hAnsi="宋体"/>
          <w:color w:val="000000" w:themeColor="text1"/>
          <w:sz w:val="21"/>
          <w:szCs w:val="21"/>
          <w:highlight w:val="none"/>
          <w14:textFill>
            <w14:solidFill>
              <w14:schemeClr w14:val="tx1"/>
            </w14:solidFill>
          </w14:textFill>
        </w:rPr>
        <w:t>联系电话：</w:t>
      </w:r>
      <w:r>
        <w:rPr>
          <w:rFonts w:hAnsi="宋体"/>
          <w:color w:val="000000" w:themeColor="text1"/>
          <w:sz w:val="21"/>
          <w:szCs w:val="21"/>
          <w:highlight w:val="none"/>
          <w:u w:val="single"/>
          <w14:textFill>
            <w14:solidFill>
              <w14:schemeClr w14:val="tx1"/>
            </w14:solidFill>
          </w14:textFill>
        </w:rPr>
        <w:t xml:space="preserve">                   </w:t>
      </w:r>
    </w:p>
    <w:p w14:paraId="3F892109">
      <w:pPr>
        <w:pStyle w:val="29"/>
        <w:snapToGrid w:val="0"/>
        <w:spacing w:line="360" w:lineRule="auto"/>
        <w:ind w:firstLine="420" w:firstLineChars="200"/>
        <w:rPr>
          <w:rFonts w:hAnsi="宋体"/>
          <w:color w:val="000000" w:themeColor="text1"/>
          <w:sz w:val="21"/>
          <w:szCs w:val="21"/>
          <w:highlight w:val="none"/>
          <w:u w:val="singl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地址：</w:t>
      </w:r>
      <w:r>
        <w:rPr>
          <w:rFonts w:hAnsi="宋体"/>
          <w:color w:val="000000" w:themeColor="text1"/>
          <w:sz w:val="21"/>
          <w:szCs w:val="21"/>
          <w:highlight w:val="none"/>
          <w:u w:val="single"/>
          <w14:textFill>
            <w14:solidFill>
              <w14:schemeClr w14:val="tx1"/>
            </w14:solidFill>
          </w14:textFill>
        </w:rPr>
        <w:t xml:space="preserve">                                                            </w:t>
      </w:r>
    </w:p>
    <w:p w14:paraId="06EBE038">
      <w:pPr>
        <w:pStyle w:val="29"/>
        <w:snapToGrid w:val="0"/>
        <w:spacing w:line="360" w:lineRule="auto"/>
        <w:ind w:firstLine="420" w:firstLineChars="200"/>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邮编：</w:t>
      </w:r>
      <w:r>
        <w:rPr>
          <w:rFonts w:hAnsi="宋体"/>
          <w:color w:val="000000" w:themeColor="text1"/>
          <w:sz w:val="21"/>
          <w:szCs w:val="21"/>
          <w:highlight w:val="none"/>
          <w:u w:val="single"/>
          <w14:textFill>
            <w14:solidFill>
              <w14:schemeClr w14:val="tx1"/>
            </w14:solidFill>
          </w14:textFill>
        </w:rPr>
        <w:t xml:space="preserve">         </w:t>
      </w:r>
      <w:r>
        <w:rPr>
          <w:rFonts w:hAnsi="宋体"/>
          <w:color w:val="000000" w:themeColor="text1"/>
          <w:sz w:val="21"/>
          <w:szCs w:val="21"/>
          <w:highlight w:val="none"/>
          <w14:textFill>
            <w14:solidFill>
              <w14:schemeClr w14:val="tx1"/>
            </w14:solidFill>
          </w14:textFill>
        </w:rPr>
        <w:t xml:space="preserve">   </w:t>
      </w:r>
    </w:p>
    <w:p w14:paraId="460F6DA3">
      <w:pPr>
        <w:pStyle w:val="29"/>
        <w:snapToGrid w:val="0"/>
        <w:spacing w:line="360" w:lineRule="auto"/>
        <w:ind w:firstLine="420" w:firstLineChars="200"/>
        <w:rPr>
          <w:rFonts w:hAnsi="宋体" w:cs="Times New Roman"/>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被投诉人</w:t>
      </w:r>
      <w:r>
        <w:rPr>
          <w:rFonts w:hAnsi="宋体"/>
          <w:color w:val="000000" w:themeColor="text1"/>
          <w:sz w:val="21"/>
          <w:szCs w:val="21"/>
          <w:highlight w:val="none"/>
          <w14:textFill>
            <w14:solidFill>
              <w14:schemeClr w14:val="tx1"/>
            </w14:solidFill>
          </w14:textFill>
        </w:rPr>
        <w:t>1</w:t>
      </w:r>
      <w:r>
        <w:rPr>
          <w:rFonts w:hint="eastAsia" w:hAnsi="宋体"/>
          <w:color w:val="000000" w:themeColor="text1"/>
          <w:sz w:val="21"/>
          <w:szCs w:val="21"/>
          <w:highlight w:val="none"/>
          <w14:textFill>
            <w14:solidFill>
              <w14:schemeClr w14:val="tx1"/>
            </w14:solidFill>
          </w14:textFill>
        </w:rPr>
        <w:t>：</w:t>
      </w:r>
    </w:p>
    <w:p w14:paraId="1068D532">
      <w:pPr>
        <w:pStyle w:val="29"/>
        <w:snapToGrid w:val="0"/>
        <w:spacing w:line="360" w:lineRule="auto"/>
        <w:ind w:firstLine="420" w:firstLineChars="200"/>
        <w:rPr>
          <w:rFonts w:hAnsi="宋体"/>
          <w:color w:val="000000" w:themeColor="text1"/>
          <w:sz w:val="21"/>
          <w:szCs w:val="21"/>
          <w:highlight w:val="none"/>
          <w:u w:val="singl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地址：</w:t>
      </w:r>
      <w:r>
        <w:rPr>
          <w:rFonts w:hAnsi="宋体"/>
          <w:color w:val="000000" w:themeColor="text1"/>
          <w:sz w:val="21"/>
          <w:szCs w:val="21"/>
          <w:highlight w:val="none"/>
          <w:u w:val="single"/>
          <w14:textFill>
            <w14:solidFill>
              <w14:schemeClr w14:val="tx1"/>
            </w14:solidFill>
          </w14:textFill>
        </w:rPr>
        <w:t xml:space="preserve">                                                            </w:t>
      </w:r>
    </w:p>
    <w:p w14:paraId="75661C75">
      <w:pPr>
        <w:pStyle w:val="29"/>
        <w:snapToGrid w:val="0"/>
        <w:spacing w:line="360" w:lineRule="auto"/>
        <w:ind w:firstLine="420" w:firstLineChars="200"/>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邮编：</w:t>
      </w:r>
      <w:r>
        <w:rPr>
          <w:rFonts w:hAnsi="宋体"/>
          <w:color w:val="000000" w:themeColor="text1"/>
          <w:sz w:val="21"/>
          <w:szCs w:val="21"/>
          <w:highlight w:val="none"/>
          <w:u w:val="single"/>
          <w14:textFill>
            <w14:solidFill>
              <w14:schemeClr w14:val="tx1"/>
            </w14:solidFill>
          </w14:textFill>
        </w:rPr>
        <w:t xml:space="preserve">         </w:t>
      </w:r>
      <w:r>
        <w:rPr>
          <w:rFonts w:hAnsi="宋体"/>
          <w:color w:val="000000" w:themeColor="text1"/>
          <w:sz w:val="21"/>
          <w:szCs w:val="21"/>
          <w:highlight w:val="none"/>
          <w14:textFill>
            <w14:solidFill>
              <w14:schemeClr w14:val="tx1"/>
            </w14:solidFill>
          </w14:textFill>
        </w:rPr>
        <w:t xml:space="preserve">  </w:t>
      </w:r>
    </w:p>
    <w:p w14:paraId="16B66C68">
      <w:pPr>
        <w:pStyle w:val="29"/>
        <w:snapToGrid w:val="0"/>
        <w:spacing w:line="360" w:lineRule="auto"/>
        <w:ind w:firstLine="420" w:firstLineChars="200"/>
        <w:rPr>
          <w:rFonts w:hAnsi="宋体"/>
          <w:color w:val="000000" w:themeColor="text1"/>
          <w:sz w:val="21"/>
          <w:szCs w:val="21"/>
          <w:highlight w:val="none"/>
          <w:u w:val="singl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联系人：</w:t>
      </w:r>
      <w:r>
        <w:rPr>
          <w:rFonts w:hAnsi="宋体"/>
          <w:color w:val="000000" w:themeColor="text1"/>
          <w:sz w:val="21"/>
          <w:szCs w:val="21"/>
          <w:highlight w:val="none"/>
          <w:u w:val="single"/>
          <w14:textFill>
            <w14:solidFill>
              <w14:schemeClr w14:val="tx1"/>
            </w14:solidFill>
          </w14:textFill>
        </w:rPr>
        <w:t xml:space="preserve">                                                </w:t>
      </w:r>
      <w:r>
        <w:rPr>
          <w:rFonts w:hint="eastAsia" w:hAnsi="宋体"/>
          <w:color w:val="000000" w:themeColor="text1"/>
          <w:sz w:val="21"/>
          <w:szCs w:val="21"/>
          <w:highlight w:val="none"/>
          <w14:textFill>
            <w14:solidFill>
              <w14:schemeClr w14:val="tx1"/>
            </w14:solidFill>
          </w14:textFill>
        </w:rPr>
        <w:t>联系电话：</w:t>
      </w:r>
      <w:r>
        <w:rPr>
          <w:rFonts w:hAnsi="宋体"/>
          <w:color w:val="000000" w:themeColor="text1"/>
          <w:sz w:val="21"/>
          <w:szCs w:val="21"/>
          <w:highlight w:val="none"/>
          <w:u w:val="single"/>
          <w14:textFill>
            <w14:solidFill>
              <w14:schemeClr w14:val="tx1"/>
            </w14:solidFill>
          </w14:textFill>
        </w:rPr>
        <w:t xml:space="preserve">                </w:t>
      </w:r>
    </w:p>
    <w:p w14:paraId="6BBDF03B">
      <w:pPr>
        <w:pStyle w:val="29"/>
        <w:snapToGrid w:val="0"/>
        <w:spacing w:line="360" w:lineRule="auto"/>
        <w:ind w:firstLine="420" w:firstLineChars="200"/>
        <w:rPr>
          <w:rFonts w:hAnsi="宋体" w:cs="Times New Roman"/>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被投诉人</w:t>
      </w:r>
      <w:r>
        <w:rPr>
          <w:rFonts w:hAnsi="宋体"/>
          <w:color w:val="000000" w:themeColor="text1"/>
          <w:sz w:val="21"/>
          <w:szCs w:val="21"/>
          <w:highlight w:val="none"/>
          <w14:textFill>
            <w14:solidFill>
              <w14:schemeClr w14:val="tx1"/>
            </w14:solidFill>
          </w14:textFill>
        </w:rPr>
        <w:t>2</w:t>
      </w:r>
      <w:r>
        <w:rPr>
          <w:rFonts w:hint="eastAsia" w:hAnsi="宋体"/>
          <w:color w:val="000000" w:themeColor="text1"/>
          <w:sz w:val="21"/>
          <w:szCs w:val="21"/>
          <w:highlight w:val="none"/>
          <w14:textFill>
            <w14:solidFill>
              <w14:schemeClr w14:val="tx1"/>
            </w14:solidFill>
          </w14:textFill>
        </w:rPr>
        <w:t>：</w:t>
      </w:r>
    </w:p>
    <w:p w14:paraId="4533B41B">
      <w:pPr>
        <w:pStyle w:val="29"/>
        <w:snapToGrid w:val="0"/>
        <w:spacing w:line="360" w:lineRule="auto"/>
        <w:ind w:firstLine="420" w:firstLineChars="200"/>
        <w:rPr>
          <w:rFonts w:hAnsi="宋体" w:cs="Times New Roman"/>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w:t>
      </w:r>
    </w:p>
    <w:p w14:paraId="34936618">
      <w:pPr>
        <w:pStyle w:val="29"/>
        <w:snapToGrid w:val="0"/>
        <w:spacing w:line="360" w:lineRule="auto"/>
        <w:ind w:firstLine="420" w:firstLineChars="200"/>
        <w:rPr>
          <w:rFonts w:hAnsi="宋体"/>
          <w:color w:val="000000" w:themeColor="text1"/>
          <w:sz w:val="21"/>
          <w:szCs w:val="21"/>
          <w:highlight w:val="none"/>
          <w:u w:val="singl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相关供应商：</w:t>
      </w:r>
      <w:r>
        <w:rPr>
          <w:rFonts w:hAnsi="宋体"/>
          <w:color w:val="000000" w:themeColor="text1"/>
          <w:sz w:val="21"/>
          <w:szCs w:val="21"/>
          <w:highlight w:val="none"/>
          <w:u w:val="single"/>
          <w14:textFill>
            <w14:solidFill>
              <w14:schemeClr w14:val="tx1"/>
            </w14:solidFill>
          </w14:textFill>
        </w:rPr>
        <w:t xml:space="preserve">                                                                       </w:t>
      </w:r>
    </w:p>
    <w:p w14:paraId="61A16F9F">
      <w:pPr>
        <w:pStyle w:val="29"/>
        <w:snapToGrid w:val="0"/>
        <w:spacing w:line="360" w:lineRule="auto"/>
        <w:ind w:firstLine="420" w:firstLineChars="200"/>
        <w:rPr>
          <w:rFonts w:hAnsi="宋体"/>
          <w:color w:val="000000" w:themeColor="text1"/>
          <w:sz w:val="21"/>
          <w:szCs w:val="21"/>
          <w:highlight w:val="none"/>
          <w:u w:val="singl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地址：</w:t>
      </w:r>
      <w:r>
        <w:rPr>
          <w:rFonts w:hAnsi="宋体"/>
          <w:color w:val="000000" w:themeColor="text1"/>
          <w:sz w:val="21"/>
          <w:szCs w:val="21"/>
          <w:highlight w:val="none"/>
          <w:u w:val="single"/>
          <w14:textFill>
            <w14:solidFill>
              <w14:schemeClr w14:val="tx1"/>
            </w14:solidFill>
          </w14:textFill>
        </w:rPr>
        <w:t xml:space="preserve">                                              </w:t>
      </w:r>
      <w:r>
        <w:rPr>
          <w:rFonts w:hint="eastAsia" w:hAnsi="宋体"/>
          <w:color w:val="000000" w:themeColor="text1"/>
          <w:sz w:val="21"/>
          <w:szCs w:val="21"/>
          <w:highlight w:val="none"/>
          <w14:textFill>
            <w14:solidFill>
              <w14:schemeClr w14:val="tx1"/>
            </w14:solidFill>
          </w14:textFill>
        </w:rPr>
        <w:t>邮编：</w:t>
      </w:r>
      <w:r>
        <w:rPr>
          <w:rFonts w:hAnsi="宋体"/>
          <w:color w:val="000000" w:themeColor="text1"/>
          <w:sz w:val="21"/>
          <w:szCs w:val="21"/>
          <w:highlight w:val="none"/>
          <w:u w:val="single"/>
          <w14:textFill>
            <w14:solidFill>
              <w14:schemeClr w14:val="tx1"/>
            </w14:solidFill>
          </w14:textFill>
        </w:rPr>
        <w:t xml:space="preserve">                         </w:t>
      </w:r>
    </w:p>
    <w:p w14:paraId="2573BA8D">
      <w:pPr>
        <w:pStyle w:val="29"/>
        <w:snapToGrid w:val="0"/>
        <w:spacing w:line="360" w:lineRule="auto"/>
        <w:ind w:firstLine="420" w:firstLineChars="200"/>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联系人：</w:t>
      </w:r>
      <w:r>
        <w:rPr>
          <w:rFonts w:hAnsi="宋体"/>
          <w:color w:val="000000" w:themeColor="text1"/>
          <w:sz w:val="21"/>
          <w:szCs w:val="21"/>
          <w:highlight w:val="none"/>
          <w:u w:val="single"/>
          <w14:textFill>
            <w14:solidFill>
              <w14:schemeClr w14:val="tx1"/>
            </w14:solidFill>
          </w14:textFill>
        </w:rPr>
        <w:t xml:space="preserve">                                            </w:t>
      </w:r>
      <w:r>
        <w:rPr>
          <w:rFonts w:hint="eastAsia" w:hAnsi="宋体"/>
          <w:color w:val="000000" w:themeColor="text1"/>
          <w:sz w:val="21"/>
          <w:szCs w:val="21"/>
          <w:highlight w:val="none"/>
          <w14:textFill>
            <w14:solidFill>
              <w14:schemeClr w14:val="tx1"/>
            </w14:solidFill>
          </w14:textFill>
        </w:rPr>
        <w:t>联系电话：</w:t>
      </w:r>
      <w:r>
        <w:rPr>
          <w:rFonts w:hAnsi="宋体"/>
          <w:color w:val="000000" w:themeColor="text1"/>
          <w:sz w:val="21"/>
          <w:szCs w:val="21"/>
          <w:highlight w:val="none"/>
          <w:u w:val="single"/>
          <w14:textFill>
            <w14:solidFill>
              <w14:schemeClr w14:val="tx1"/>
            </w14:solidFill>
          </w14:textFill>
        </w:rPr>
        <w:t xml:space="preserve">                     </w:t>
      </w:r>
      <w:r>
        <w:rPr>
          <w:rFonts w:hAnsi="宋体"/>
          <w:color w:val="000000" w:themeColor="text1"/>
          <w:sz w:val="21"/>
          <w:szCs w:val="21"/>
          <w:highlight w:val="none"/>
          <w14:textFill>
            <w14:solidFill>
              <w14:schemeClr w14:val="tx1"/>
            </w14:solidFill>
          </w14:textFill>
        </w:rPr>
        <w:t xml:space="preserve">                </w:t>
      </w:r>
    </w:p>
    <w:p w14:paraId="1269311C">
      <w:pPr>
        <w:pStyle w:val="29"/>
        <w:snapToGrid w:val="0"/>
        <w:spacing w:line="360" w:lineRule="auto"/>
        <w:ind w:firstLine="422" w:firstLineChars="200"/>
        <w:rPr>
          <w:rFonts w:hAnsi="宋体" w:cs="Times New Roman"/>
          <w:b/>
          <w:bCs/>
          <w:color w:val="000000" w:themeColor="text1"/>
          <w:sz w:val="21"/>
          <w:szCs w:val="21"/>
          <w:highlight w:val="none"/>
          <w14:textFill>
            <w14:solidFill>
              <w14:schemeClr w14:val="tx1"/>
            </w14:solidFill>
          </w14:textFill>
        </w:rPr>
      </w:pPr>
      <w:r>
        <w:rPr>
          <w:rFonts w:hint="eastAsia" w:hAnsi="宋体"/>
          <w:b/>
          <w:bCs/>
          <w:color w:val="000000" w:themeColor="text1"/>
          <w:sz w:val="21"/>
          <w:szCs w:val="21"/>
          <w:highlight w:val="none"/>
          <w14:textFill>
            <w14:solidFill>
              <w14:schemeClr w14:val="tx1"/>
            </w14:solidFill>
          </w14:textFill>
        </w:rPr>
        <w:t>二、投诉项目基本情况：</w:t>
      </w:r>
    </w:p>
    <w:p w14:paraId="7F4C368B">
      <w:pPr>
        <w:pStyle w:val="29"/>
        <w:spacing w:line="360" w:lineRule="auto"/>
        <w:ind w:left="25" w:leftChars="12" w:firstLine="413" w:firstLineChars="197"/>
        <w:rPr>
          <w:rFonts w:hAnsi="宋体" w:cs="Times New Roman"/>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采购项目的名称：</w:t>
      </w:r>
      <w:r>
        <w:rPr>
          <w:rFonts w:hAnsi="宋体"/>
          <w:color w:val="000000" w:themeColor="text1"/>
          <w:sz w:val="21"/>
          <w:szCs w:val="21"/>
          <w:highlight w:val="none"/>
          <w:u w:val="single"/>
          <w14:textFill>
            <w14:solidFill>
              <w14:schemeClr w14:val="tx1"/>
            </w14:solidFill>
          </w14:textFill>
        </w:rPr>
        <w:t xml:space="preserve">                                                                   </w:t>
      </w:r>
    </w:p>
    <w:p w14:paraId="4CADAFFC">
      <w:pPr>
        <w:pStyle w:val="29"/>
        <w:spacing w:line="360" w:lineRule="auto"/>
        <w:ind w:left="25" w:leftChars="12" w:firstLine="413" w:firstLineChars="197"/>
        <w:rPr>
          <w:rFonts w:hAnsi="宋体" w:cs="Times New Roman"/>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采购项目的编号：</w:t>
      </w:r>
      <w:r>
        <w:rPr>
          <w:rFonts w:hAnsi="宋体"/>
          <w:color w:val="000000" w:themeColor="text1"/>
          <w:sz w:val="21"/>
          <w:szCs w:val="21"/>
          <w:highlight w:val="none"/>
          <w:u w:val="single"/>
          <w14:textFill>
            <w14:solidFill>
              <w14:schemeClr w14:val="tx1"/>
            </w14:solidFill>
          </w14:textFill>
        </w:rPr>
        <w:t xml:space="preserve">                                          </w:t>
      </w:r>
    </w:p>
    <w:p w14:paraId="0ADFD3DE">
      <w:pPr>
        <w:pStyle w:val="29"/>
        <w:spacing w:line="360" w:lineRule="auto"/>
        <w:ind w:left="25" w:leftChars="12" w:firstLine="413" w:firstLineChars="197"/>
        <w:rPr>
          <w:rFonts w:hAnsi="宋体"/>
          <w:color w:val="000000" w:themeColor="text1"/>
          <w:sz w:val="21"/>
          <w:szCs w:val="21"/>
          <w:highlight w:val="none"/>
          <w:u w:val="singl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采购人名称：</w:t>
      </w:r>
      <w:r>
        <w:rPr>
          <w:rFonts w:hAnsi="宋体"/>
          <w:color w:val="000000" w:themeColor="text1"/>
          <w:sz w:val="21"/>
          <w:szCs w:val="21"/>
          <w:highlight w:val="none"/>
          <w:u w:val="single"/>
          <w14:textFill>
            <w14:solidFill>
              <w14:schemeClr w14:val="tx1"/>
            </w14:solidFill>
          </w14:textFill>
        </w:rPr>
        <w:t xml:space="preserve">                                                                        </w:t>
      </w:r>
    </w:p>
    <w:p w14:paraId="634F74C7">
      <w:pPr>
        <w:pStyle w:val="29"/>
        <w:spacing w:line="360" w:lineRule="auto"/>
        <w:ind w:left="25" w:leftChars="12" w:firstLine="413" w:firstLineChars="197"/>
        <w:rPr>
          <w:rFonts w:hAnsi="宋体"/>
          <w:color w:val="000000" w:themeColor="text1"/>
          <w:sz w:val="21"/>
          <w:szCs w:val="21"/>
          <w:highlight w:val="none"/>
          <w:u w:val="singl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代理机构名称：</w:t>
      </w:r>
      <w:r>
        <w:rPr>
          <w:rFonts w:hAnsi="宋体"/>
          <w:color w:val="000000" w:themeColor="text1"/>
          <w:sz w:val="21"/>
          <w:szCs w:val="21"/>
          <w:highlight w:val="none"/>
          <w:u w:val="single"/>
          <w14:textFill>
            <w14:solidFill>
              <w14:schemeClr w14:val="tx1"/>
            </w14:solidFill>
          </w14:textFill>
        </w:rPr>
        <w:t xml:space="preserve">                                                                      </w:t>
      </w:r>
    </w:p>
    <w:p w14:paraId="3482EE52">
      <w:pPr>
        <w:pStyle w:val="29"/>
        <w:spacing w:line="360" w:lineRule="auto"/>
        <w:ind w:left="25" w:leftChars="12" w:firstLine="413" w:firstLineChars="197"/>
        <w:rPr>
          <w:rFonts w:hAnsi="宋体"/>
          <w:color w:val="000000" w:themeColor="text1"/>
          <w:sz w:val="21"/>
          <w:szCs w:val="21"/>
          <w:highlight w:val="none"/>
          <w:u w:val="singl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竞争性磋商文件公告：</w:t>
      </w:r>
      <w:r>
        <w:rPr>
          <w:rFonts w:hint="eastAsia" w:hAnsi="宋体"/>
          <w:color w:val="000000" w:themeColor="text1"/>
          <w:sz w:val="21"/>
          <w:szCs w:val="21"/>
          <w:highlight w:val="none"/>
          <w:u w:val="single"/>
          <w14:textFill>
            <w14:solidFill>
              <w14:schemeClr w14:val="tx1"/>
            </w14:solidFill>
          </w14:textFill>
        </w:rPr>
        <w:t>是</w:t>
      </w:r>
      <w:r>
        <w:rPr>
          <w:rFonts w:hAnsi="宋体"/>
          <w:color w:val="000000" w:themeColor="text1"/>
          <w:sz w:val="21"/>
          <w:szCs w:val="21"/>
          <w:highlight w:val="none"/>
          <w:u w:val="single"/>
          <w14:textFill>
            <w14:solidFill>
              <w14:schemeClr w14:val="tx1"/>
            </w14:solidFill>
          </w14:textFill>
        </w:rPr>
        <w:t>/</w:t>
      </w:r>
      <w:r>
        <w:rPr>
          <w:rFonts w:hint="eastAsia" w:hAnsi="宋体"/>
          <w:color w:val="000000" w:themeColor="text1"/>
          <w:sz w:val="21"/>
          <w:szCs w:val="21"/>
          <w:highlight w:val="none"/>
          <w:u w:val="single"/>
          <w14:textFill>
            <w14:solidFill>
              <w14:schemeClr w14:val="tx1"/>
            </w14:solidFill>
          </w14:textFill>
        </w:rPr>
        <w:t>否</w:t>
      </w:r>
      <w:r>
        <w:rPr>
          <w:rFonts w:hint="eastAsia" w:hAnsi="宋体"/>
          <w:color w:val="000000" w:themeColor="text1"/>
          <w:sz w:val="21"/>
          <w:szCs w:val="21"/>
          <w:highlight w:val="none"/>
          <w14:textFill>
            <w14:solidFill>
              <w14:schemeClr w14:val="tx1"/>
            </w14:solidFill>
          </w14:textFill>
        </w:rPr>
        <w:t>公告期限：</w:t>
      </w:r>
      <w:r>
        <w:rPr>
          <w:rFonts w:hAnsi="宋体"/>
          <w:color w:val="000000" w:themeColor="text1"/>
          <w:sz w:val="21"/>
          <w:szCs w:val="21"/>
          <w:highlight w:val="none"/>
          <w:u w:val="single"/>
          <w14:textFill>
            <w14:solidFill>
              <w14:schemeClr w14:val="tx1"/>
            </w14:solidFill>
          </w14:textFill>
        </w:rPr>
        <w:t xml:space="preserve">                                                       </w:t>
      </w:r>
    </w:p>
    <w:p w14:paraId="5DFEA29E">
      <w:pPr>
        <w:pStyle w:val="29"/>
        <w:spacing w:line="360" w:lineRule="auto"/>
        <w:ind w:left="25" w:leftChars="12" w:firstLine="413" w:firstLineChars="197"/>
        <w:rPr>
          <w:rFonts w:hAnsi="宋体" w:cs="Times New Roman"/>
          <w:b/>
          <w:bCs/>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采购结果公告：</w:t>
      </w:r>
      <w:r>
        <w:rPr>
          <w:rFonts w:hint="eastAsia" w:hAnsi="宋体"/>
          <w:color w:val="000000" w:themeColor="text1"/>
          <w:sz w:val="21"/>
          <w:szCs w:val="21"/>
          <w:highlight w:val="none"/>
          <w:u w:val="single"/>
          <w14:textFill>
            <w14:solidFill>
              <w14:schemeClr w14:val="tx1"/>
            </w14:solidFill>
          </w14:textFill>
        </w:rPr>
        <w:t>是</w:t>
      </w:r>
      <w:r>
        <w:rPr>
          <w:rFonts w:hAnsi="宋体"/>
          <w:color w:val="000000" w:themeColor="text1"/>
          <w:sz w:val="21"/>
          <w:szCs w:val="21"/>
          <w:highlight w:val="none"/>
          <w:u w:val="single"/>
          <w14:textFill>
            <w14:solidFill>
              <w14:schemeClr w14:val="tx1"/>
            </w14:solidFill>
          </w14:textFill>
        </w:rPr>
        <w:t>/</w:t>
      </w:r>
      <w:r>
        <w:rPr>
          <w:rFonts w:hint="eastAsia" w:hAnsi="宋体"/>
          <w:color w:val="000000" w:themeColor="text1"/>
          <w:sz w:val="21"/>
          <w:szCs w:val="21"/>
          <w:highlight w:val="none"/>
          <w:u w:val="single"/>
          <w14:textFill>
            <w14:solidFill>
              <w14:schemeClr w14:val="tx1"/>
            </w14:solidFill>
          </w14:textFill>
        </w:rPr>
        <w:t>否</w:t>
      </w:r>
      <w:r>
        <w:rPr>
          <w:rFonts w:hint="eastAsia" w:hAnsi="宋体"/>
          <w:color w:val="000000" w:themeColor="text1"/>
          <w:sz w:val="21"/>
          <w:szCs w:val="21"/>
          <w:highlight w:val="none"/>
          <w14:textFill>
            <w14:solidFill>
              <w14:schemeClr w14:val="tx1"/>
            </w14:solidFill>
          </w14:textFill>
        </w:rPr>
        <w:t>公告期限：</w:t>
      </w:r>
      <w:r>
        <w:rPr>
          <w:rFonts w:hAnsi="宋体"/>
          <w:color w:val="000000" w:themeColor="text1"/>
          <w:sz w:val="21"/>
          <w:szCs w:val="21"/>
          <w:highlight w:val="none"/>
          <w:u w:val="single"/>
          <w14:textFill>
            <w14:solidFill>
              <w14:schemeClr w14:val="tx1"/>
            </w14:solidFill>
          </w14:textFill>
        </w:rPr>
        <w:t xml:space="preserve">                                                       </w:t>
      </w:r>
    </w:p>
    <w:p w14:paraId="64A8D235">
      <w:pPr>
        <w:pStyle w:val="29"/>
        <w:spacing w:line="360" w:lineRule="auto"/>
        <w:ind w:left="25" w:leftChars="12" w:firstLine="413" w:firstLineChars="196"/>
        <w:rPr>
          <w:rFonts w:hAnsi="宋体" w:cs="Times New Roman"/>
          <w:b/>
          <w:bCs/>
          <w:color w:val="000000" w:themeColor="text1"/>
          <w:sz w:val="21"/>
          <w:szCs w:val="21"/>
          <w:highlight w:val="none"/>
          <w14:textFill>
            <w14:solidFill>
              <w14:schemeClr w14:val="tx1"/>
            </w14:solidFill>
          </w14:textFill>
        </w:rPr>
      </w:pPr>
      <w:r>
        <w:rPr>
          <w:rFonts w:hint="eastAsia" w:hAnsi="宋体"/>
          <w:b/>
          <w:bCs/>
          <w:color w:val="000000" w:themeColor="text1"/>
          <w:sz w:val="21"/>
          <w:szCs w:val="21"/>
          <w:highlight w:val="none"/>
          <w14:textFill>
            <w14:solidFill>
              <w14:schemeClr w14:val="tx1"/>
            </w14:solidFill>
          </w14:textFill>
        </w:rPr>
        <w:t>三、质疑基本情况</w:t>
      </w:r>
    </w:p>
    <w:p w14:paraId="4B58C94F">
      <w:pPr>
        <w:pStyle w:val="29"/>
        <w:spacing w:line="360" w:lineRule="auto"/>
        <w:ind w:firstLine="420" w:firstLineChars="200"/>
        <w:rPr>
          <w:rFonts w:hAnsi="宋体" w:cs="Times New Roman"/>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投诉人于</w:t>
      </w:r>
      <w:r>
        <w:rPr>
          <w:rFonts w:hAnsi="宋体"/>
          <w:color w:val="000000" w:themeColor="text1"/>
          <w:sz w:val="21"/>
          <w:szCs w:val="21"/>
          <w:highlight w:val="none"/>
          <w:u w:val="single"/>
          <w14:textFill>
            <w14:solidFill>
              <w14:schemeClr w14:val="tx1"/>
            </w14:solidFill>
          </w14:textFill>
        </w:rPr>
        <w:t xml:space="preserve">      </w:t>
      </w:r>
      <w:r>
        <w:rPr>
          <w:rFonts w:hint="eastAsia" w:hAnsi="宋体"/>
          <w:color w:val="000000" w:themeColor="text1"/>
          <w:sz w:val="21"/>
          <w:szCs w:val="21"/>
          <w:highlight w:val="none"/>
          <w14:textFill>
            <w14:solidFill>
              <w14:schemeClr w14:val="tx1"/>
            </w14:solidFill>
          </w14:textFill>
        </w:rPr>
        <w:t>年</w:t>
      </w:r>
      <w:r>
        <w:rPr>
          <w:rFonts w:hAnsi="宋体"/>
          <w:color w:val="000000" w:themeColor="text1"/>
          <w:sz w:val="21"/>
          <w:szCs w:val="21"/>
          <w:highlight w:val="none"/>
          <w:u w:val="single"/>
          <w14:textFill>
            <w14:solidFill>
              <w14:schemeClr w14:val="tx1"/>
            </w14:solidFill>
          </w14:textFill>
        </w:rPr>
        <w:t xml:space="preserve">   </w:t>
      </w:r>
      <w:r>
        <w:rPr>
          <w:rFonts w:hint="eastAsia" w:hAnsi="宋体"/>
          <w:color w:val="000000" w:themeColor="text1"/>
          <w:sz w:val="21"/>
          <w:szCs w:val="21"/>
          <w:highlight w:val="none"/>
          <w14:textFill>
            <w14:solidFill>
              <w14:schemeClr w14:val="tx1"/>
            </w14:solidFill>
          </w14:textFill>
        </w:rPr>
        <w:t>月</w:t>
      </w:r>
      <w:r>
        <w:rPr>
          <w:rFonts w:hAnsi="宋体"/>
          <w:color w:val="000000" w:themeColor="text1"/>
          <w:sz w:val="21"/>
          <w:szCs w:val="21"/>
          <w:highlight w:val="none"/>
          <w:u w:val="single"/>
          <w14:textFill>
            <w14:solidFill>
              <w14:schemeClr w14:val="tx1"/>
            </w14:solidFill>
          </w14:textFill>
        </w:rPr>
        <w:t xml:space="preserve">   </w:t>
      </w:r>
      <w:r>
        <w:rPr>
          <w:rFonts w:hint="eastAsia" w:hAnsi="宋体"/>
          <w:color w:val="000000" w:themeColor="text1"/>
          <w:sz w:val="21"/>
          <w:szCs w:val="21"/>
          <w:highlight w:val="none"/>
          <w14:textFill>
            <w14:solidFill>
              <w14:schemeClr w14:val="tx1"/>
            </w14:solidFill>
          </w14:textFill>
        </w:rPr>
        <w:t>日，向</w:t>
      </w:r>
      <w:r>
        <w:rPr>
          <w:rFonts w:hAnsi="宋体"/>
          <w:color w:val="000000" w:themeColor="text1"/>
          <w:sz w:val="21"/>
          <w:szCs w:val="21"/>
          <w:highlight w:val="none"/>
          <w:u w:val="single"/>
          <w14:textFill>
            <w14:solidFill>
              <w14:schemeClr w14:val="tx1"/>
            </w14:solidFill>
          </w14:textFill>
        </w:rPr>
        <w:t xml:space="preserve">                                </w:t>
      </w:r>
      <w:r>
        <w:rPr>
          <w:rFonts w:hint="eastAsia" w:hAnsi="宋体"/>
          <w:color w:val="000000" w:themeColor="text1"/>
          <w:sz w:val="21"/>
          <w:szCs w:val="21"/>
          <w:highlight w:val="none"/>
          <w14:textFill>
            <w14:solidFill>
              <w14:schemeClr w14:val="tx1"/>
            </w14:solidFill>
          </w14:textFill>
        </w:rPr>
        <w:t>提出质疑，质疑事项为：</w:t>
      </w:r>
    </w:p>
    <w:p w14:paraId="3BF816EA">
      <w:pPr>
        <w:pStyle w:val="29"/>
        <w:spacing w:line="360" w:lineRule="auto"/>
        <w:ind w:firstLine="241"/>
        <w:rPr>
          <w:rFonts w:hAnsi="宋体"/>
          <w:color w:val="000000" w:themeColor="text1"/>
          <w:sz w:val="21"/>
          <w:szCs w:val="21"/>
          <w:highlight w:val="none"/>
          <w:u w:val="single"/>
          <w14:textFill>
            <w14:solidFill>
              <w14:schemeClr w14:val="tx1"/>
            </w14:solidFill>
          </w14:textFill>
        </w:rPr>
      </w:pPr>
      <w:r>
        <w:rPr>
          <w:rFonts w:hAnsi="宋体"/>
          <w:color w:val="000000" w:themeColor="text1"/>
          <w:sz w:val="21"/>
          <w:szCs w:val="21"/>
          <w:highlight w:val="none"/>
          <w14:textFill>
            <w14:solidFill>
              <w14:schemeClr w14:val="tx1"/>
            </w14:solidFill>
          </w14:textFill>
        </w:rPr>
        <w:t xml:space="preserve">    </w:t>
      </w:r>
      <w:r>
        <w:rPr>
          <w:rFonts w:hAnsi="宋体"/>
          <w:color w:val="000000" w:themeColor="text1"/>
          <w:sz w:val="21"/>
          <w:szCs w:val="21"/>
          <w:highlight w:val="none"/>
          <w:u w:val="single"/>
          <w14:textFill>
            <w14:solidFill>
              <w14:schemeClr w14:val="tx1"/>
            </w14:solidFill>
          </w14:textFill>
        </w:rPr>
        <w:t xml:space="preserve">                                                                                      </w:t>
      </w:r>
    </w:p>
    <w:p w14:paraId="5277AE63">
      <w:pPr>
        <w:pStyle w:val="29"/>
        <w:spacing w:line="360" w:lineRule="auto"/>
        <w:ind w:firstLine="241"/>
        <w:rPr>
          <w:rFonts w:hAnsi="宋体"/>
          <w:color w:val="000000" w:themeColor="text1"/>
          <w:sz w:val="21"/>
          <w:szCs w:val="21"/>
          <w:highlight w:val="none"/>
          <w:u w:val="single"/>
          <w14:textFill>
            <w14:solidFill>
              <w14:schemeClr w14:val="tx1"/>
            </w14:solidFill>
          </w14:textFill>
        </w:rPr>
      </w:pPr>
      <w:r>
        <w:rPr>
          <w:rFonts w:hAnsi="宋体"/>
          <w:color w:val="000000" w:themeColor="text1"/>
          <w:sz w:val="21"/>
          <w:szCs w:val="21"/>
          <w:highlight w:val="none"/>
          <w14:textFill>
            <w14:solidFill>
              <w14:schemeClr w14:val="tx1"/>
            </w14:solidFill>
          </w14:textFill>
        </w:rPr>
        <w:t xml:space="preserve">    </w:t>
      </w:r>
      <w:r>
        <w:rPr>
          <w:rFonts w:hAnsi="宋体"/>
          <w:color w:val="000000" w:themeColor="text1"/>
          <w:sz w:val="21"/>
          <w:szCs w:val="21"/>
          <w:highlight w:val="none"/>
          <w:u w:val="single"/>
          <w14:textFill>
            <w14:solidFill>
              <w14:schemeClr w14:val="tx1"/>
            </w14:solidFill>
          </w14:textFill>
        </w:rPr>
        <w:t xml:space="preserve">                                                                                      </w:t>
      </w:r>
    </w:p>
    <w:p w14:paraId="2A19F8FB">
      <w:pPr>
        <w:pStyle w:val="29"/>
        <w:spacing w:line="360" w:lineRule="auto"/>
        <w:ind w:firstLine="420" w:firstLineChars="200"/>
        <w:rPr>
          <w:rFonts w:hAnsi="宋体" w:cs="Times New Roman"/>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u w:val="single"/>
          <w14:textFill>
            <w14:solidFill>
              <w14:schemeClr w14:val="tx1"/>
            </w14:solidFill>
          </w14:textFill>
        </w:rPr>
        <w:t>采购人</w:t>
      </w:r>
      <w:r>
        <w:rPr>
          <w:rFonts w:hAnsi="宋体"/>
          <w:color w:val="000000" w:themeColor="text1"/>
          <w:sz w:val="21"/>
          <w:szCs w:val="21"/>
          <w:highlight w:val="none"/>
          <w:u w:val="single"/>
          <w14:textFill>
            <w14:solidFill>
              <w14:schemeClr w14:val="tx1"/>
            </w14:solidFill>
          </w14:textFill>
        </w:rPr>
        <w:t>/</w:t>
      </w:r>
      <w:r>
        <w:rPr>
          <w:rFonts w:hint="eastAsia" w:hAnsi="宋体"/>
          <w:color w:val="000000" w:themeColor="text1"/>
          <w:sz w:val="21"/>
          <w:szCs w:val="21"/>
          <w:highlight w:val="none"/>
          <w:u w:val="single"/>
          <w14:textFill>
            <w14:solidFill>
              <w14:schemeClr w14:val="tx1"/>
            </w14:solidFill>
          </w14:textFill>
        </w:rPr>
        <w:t>代理机构</w:t>
      </w:r>
      <w:r>
        <w:rPr>
          <w:rFonts w:hint="eastAsia" w:hAnsi="宋体"/>
          <w:color w:val="000000" w:themeColor="text1"/>
          <w:sz w:val="21"/>
          <w:szCs w:val="21"/>
          <w:highlight w:val="none"/>
          <w14:textFill>
            <w14:solidFill>
              <w14:schemeClr w14:val="tx1"/>
            </w14:solidFill>
          </w14:textFill>
        </w:rPr>
        <w:t>于</w:t>
      </w:r>
      <w:r>
        <w:rPr>
          <w:rFonts w:hAnsi="宋体"/>
          <w:color w:val="000000" w:themeColor="text1"/>
          <w:sz w:val="21"/>
          <w:szCs w:val="21"/>
          <w:highlight w:val="none"/>
          <w:u w:val="single"/>
          <w14:textFill>
            <w14:solidFill>
              <w14:schemeClr w14:val="tx1"/>
            </w14:solidFill>
          </w14:textFill>
        </w:rPr>
        <w:t xml:space="preserve">      </w:t>
      </w:r>
      <w:r>
        <w:rPr>
          <w:rFonts w:hint="eastAsia" w:hAnsi="宋体"/>
          <w:color w:val="000000" w:themeColor="text1"/>
          <w:sz w:val="21"/>
          <w:szCs w:val="21"/>
          <w:highlight w:val="none"/>
          <w14:textFill>
            <w14:solidFill>
              <w14:schemeClr w14:val="tx1"/>
            </w14:solidFill>
          </w14:textFill>
        </w:rPr>
        <w:t>年</w:t>
      </w:r>
      <w:r>
        <w:rPr>
          <w:rFonts w:hAnsi="宋体"/>
          <w:color w:val="000000" w:themeColor="text1"/>
          <w:sz w:val="21"/>
          <w:szCs w:val="21"/>
          <w:highlight w:val="none"/>
          <w:u w:val="single"/>
          <w14:textFill>
            <w14:solidFill>
              <w14:schemeClr w14:val="tx1"/>
            </w14:solidFill>
          </w14:textFill>
        </w:rPr>
        <w:t xml:space="preserve">   </w:t>
      </w:r>
      <w:r>
        <w:rPr>
          <w:rFonts w:hint="eastAsia" w:hAnsi="宋体"/>
          <w:color w:val="000000" w:themeColor="text1"/>
          <w:sz w:val="21"/>
          <w:szCs w:val="21"/>
          <w:highlight w:val="none"/>
          <w14:textFill>
            <w14:solidFill>
              <w14:schemeClr w14:val="tx1"/>
            </w14:solidFill>
          </w14:textFill>
        </w:rPr>
        <w:t>月</w:t>
      </w:r>
      <w:r>
        <w:rPr>
          <w:rFonts w:hAnsi="宋体"/>
          <w:color w:val="000000" w:themeColor="text1"/>
          <w:sz w:val="21"/>
          <w:szCs w:val="21"/>
          <w:highlight w:val="none"/>
          <w:u w:val="single"/>
          <w14:textFill>
            <w14:solidFill>
              <w14:schemeClr w14:val="tx1"/>
            </w14:solidFill>
          </w14:textFill>
        </w:rPr>
        <w:t xml:space="preserve">   </w:t>
      </w:r>
      <w:r>
        <w:rPr>
          <w:rFonts w:hint="eastAsia" w:hAnsi="宋体"/>
          <w:color w:val="000000" w:themeColor="text1"/>
          <w:sz w:val="21"/>
          <w:szCs w:val="21"/>
          <w:highlight w:val="none"/>
          <w14:textFill>
            <w14:solidFill>
              <w14:schemeClr w14:val="tx1"/>
            </w14:solidFill>
          </w14:textFill>
        </w:rPr>
        <w:t>日，就质疑事项作出了答复</w:t>
      </w:r>
      <w:r>
        <w:rPr>
          <w:rFonts w:hAnsi="宋体"/>
          <w:color w:val="000000" w:themeColor="text1"/>
          <w:sz w:val="21"/>
          <w:szCs w:val="21"/>
          <w:highlight w:val="none"/>
          <w14:textFill>
            <w14:solidFill>
              <w14:schemeClr w14:val="tx1"/>
            </w14:solidFill>
          </w14:textFill>
        </w:rPr>
        <w:t>/</w:t>
      </w:r>
      <w:r>
        <w:rPr>
          <w:rFonts w:hint="eastAsia" w:hAnsi="宋体"/>
          <w:color w:val="000000" w:themeColor="text1"/>
          <w:sz w:val="21"/>
          <w:szCs w:val="21"/>
          <w:highlight w:val="none"/>
          <w14:textFill>
            <w14:solidFill>
              <w14:schemeClr w14:val="tx1"/>
            </w14:solidFill>
          </w14:textFill>
        </w:rPr>
        <w:t>没有在法定期限内作出答复。</w:t>
      </w:r>
      <w:r>
        <w:rPr>
          <w:rFonts w:hAnsi="宋体"/>
          <w:color w:val="000000" w:themeColor="text1"/>
          <w:sz w:val="21"/>
          <w:szCs w:val="21"/>
          <w:highlight w:val="none"/>
          <w14:textFill>
            <w14:solidFill>
              <w14:schemeClr w14:val="tx1"/>
            </w14:solidFill>
          </w14:textFill>
        </w:rPr>
        <w:t xml:space="preserve">                                                                                             </w:t>
      </w:r>
    </w:p>
    <w:p w14:paraId="7A710110">
      <w:pPr>
        <w:pStyle w:val="29"/>
        <w:spacing w:line="360" w:lineRule="auto"/>
        <w:ind w:left="25" w:leftChars="12" w:firstLine="413" w:firstLineChars="196"/>
        <w:rPr>
          <w:rFonts w:hAnsi="宋体" w:cs="Times New Roman"/>
          <w:b/>
          <w:bCs/>
          <w:color w:val="000000" w:themeColor="text1"/>
          <w:sz w:val="21"/>
          <w:szCs w:val="21"/>
          <w:highlight w:val="none"/>
          <w14:textFill>
            <w14:solidFill>
              <w14:schemeClr w14:val="tx1"/>
            </w14:solidFill>
          </w14:textFill>
        </w:rPr>
      </w:pPr>
      <w:r>
        <w:rPr>
          <w:rFonts w:hint="eastAsia" w:hAnsi="宋体"/>
          <w:b/>
          <w:bCs/>
          <w:color w:val="000000" w:themeColor="text1"/>
          <w:sz w:val="21"/>
          <w:szCs w:val="21"/>
          <w:highlight w:val="none"/>
          <w14:textFill>
            <w14:solidFill>
              <w14:schemeClr w14:val="tx1"/>
            </w14:solidFill>
          </w14:textFill>
        </w:rPr>
        <w:t>四、投诉事项具体内容</w:t>
      </w:r>
    </w:p>
    <w:p w14:paraId="05C62840">
      <w:pPr>
        <w:pStyle w:val="29"/>
        <w:spacing w:line="360" w:lineRule="auto"/>
        <w:ind w:left="25" w:leftChars="12" w:firstLine="413" w:firstLineChars="197"/>
        <w:rPr>
          <w:rFonts w:hAnsi="宋体"/>
          <w:color w:val="000000" w:themeColor="text1"/>
          <w:sz w:val="21"/>
          <w:szCs w:val="21"/>
          <w:highlight w:val="none"/>
          <w:u w:val="singl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投诉事项</w:t>
      </w:r>
      <w:r>
        <w:rPr>
          <w:rFonts w:hAnsi="宋体"/>
          <w:color w:val="000000" w:themeColor="text1"/>
          <w:sz w:val="21"/>
          <w:szCs w:val="21"/>
          <w:highlight w:val="none"/>
          <w14:textFill>
            <w14:solidFill>
              <w14:schemeClr w14:val="tx1"/>
            </w14:solidFill>
          </w14:textFill>
        </w:rPr>
        <w:t>1</w:t>
      </w:r>
      <w:r>
        <w:rPr>
          <w:rFonts w:hint="eastAsia" w:hAnsi="宋体"/>
          <w:color w:val="000000" w:themeColor="text1"/>
          <w:sz w:val="21"/>
          <w:szCs w:val="21"/>
          <w:highlight w:val="none"/>
          <w14:textFill>
            <w14:solidFill>
              <w14:schemeClr w14:val="tx1"/>
            </w14:solidFill>
          </w14:textFill>
        </w:rPr>
        <w:t>：</w:t>
      </w:r>
      <w:r>
        <w:rPr>
          <w:rFonts w:hAnsi="宋体"/>
          <w:color w:val="000000" w:themeColor="text1"/>
          <w:sz w:val="21"/>
          <w:szCs w:val="21"/>
          <w:highlight w:val="none"/>
          <w:u w:val="single"/>
          <w14:textFill>
            <w14:solidFill>
              <w14:schemeClr w14:val="tx1"/>
            </w14:solidFill>
          </w14:textFill>
        </w:rPr>
        <w:t xml:space="preserve">                                                                           </w:t>
      </w:r>
    </w:p>
    <w:p w14:paraId="6D60AEAD">
      <w:pPr>
        <w:pStyle w:val="29"/>
        <w:spacing w:line="360" w:lineRule="auto"/>
        <w:ind w:firstLine="420" w:firstLineChars="200"/>
        <w:rPr>
          <w:rFonts w:hAnsi="宋体"/>
          <w:color w:val="000000" w:themeColor="text1"/>
          <w:sz w:val="21"/>
          <w:szCs w:val="21"/>
          <w:highlight w:val="none"/>
          <w:u w:val="singl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事实依据：</w:t>
      </w:r>
      <w:r>
        <w:rPr>
          <w:rFonts w:hAnsi="宋体"/>
          <w:color w:val="000000" w:themeColor="text1"/>
          <w:sz w:val="21"/>
          <w:szCs w:val="21"/>
          <w:highlight w:val="none"/>
          <w14:textFill>
            <w14:solidFill>
              <w14:schemeClr w14:val="tx1"/>
            </w14:solidFill>
          </w14:textFill>
        </w:rPr>
        <w:t xml:space="preserve"> </w:t>
      </w:r>
      <w:r>
        <w:rPr>
          <w:rFonts w:hAnsi="宋体"/>
          <w:color w:val="000000" w:themeColor="text1"/>
          <w:sz w:val="21"/>
          <w:szCs w:val="21"/>
          <w:highlight w:val="none"/>
          <w:u w:val="single"/>
          <w14:textFill>
            <w14:solidFill>
              <w14:schemeClr w14:val="tx1"/>
            </w14:solidFill>
          </w14:textFill>
        </w:rPr>
        <w:t xml:space="preserve">                                                                                      </w:t>
      </w:r>
    </w:p>
    <w:p w14:paraId="44598346">
      <w:pPr>
        <w:pStyle w:val="29"/>
        <w:spacing w:line="360" w:lineRule="auto"/>
        <w:ind w:left="25" w:leftChars="12" w:firstLine="413" w:firstLineChars="197"/>
        <w:rPr>
          <w:rFonts w:hAnsi="宋体" w:cs="Times New Roman"/>
          <w:color w:val="000000" w:themeColor="text1"/>
          <w:sz w:val="21"/>
          <w:szCs w:val="21"/>
          <w:highlight w:val="none"/>
          <w14:textFill>
            <w14:solidFill>
              <w14:schemeClr w14:val="tx1"/>
            </w14:solidFill>
          </w14:textFill>
        </w:rPr>
      </w:pPr>
      <w:r>
        <w:rPr>
          <w:rFonts w:hAnsi="宋体"/>
          <w:color w:val="000000" w:themeColor="text1"/>
          <w:sz w:val="21"/>
          <w:szCs w:val="21"/>
          <w:highlight w:val="none"/>
          <w:u w:val="single"/>
          <w14:textFill>
            <w14:solidFill>
              <w14:schemeClr w14:val="tx1"/>
            </w14:solidFill>
          </w14:textFill>
        </w:rPr>
        <w:t xml:space="preserve">                                                                                        </w:t>
      </w:r>
    </w:p>
    <w:p w14:paraId="481C5238">
      <w:pPr>
        <w:pStyle w:val="29"/>
        <w:spacing w:line="360" w:lineRule="auto"/>
        <w:ind w:firstLine="420" w:firstLineChars="200"/>
        <w:rPr>
          <w:rFonts w:hAnsi="宋体"/>
          <w:color w:val="000000" w:themeColor="text1"/>
          <w:sz w:val="21"/>
          <w:szCs w:val="21"/>
          <w:highlight w:val="none"/>
          <w:u w:val="singl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法律依据：</w:t>
      </w:r>
      <w:r>
        <w:rPr>
          <w:rFonts w:hAnsi="宋体"/>
          <w:color w:val="000000" w:themeColor="text1"/>
          <w:sz w:val="21"/>
          <w:szCs w:val="21"/>
          <w:highlight w:val="none"/>
          <w14:textFill>
            <w14:solidFill>
              <w14:schemeClr w14:val="tx1"/>
            </w14:solidFill>
          </w14:textFill>
        </w:rPr>
        <w:t xml:space="preserve"> </w:t>
      </w:r>
      <w:r>
        <w:rPr>
          <w:rFonts w:hAnsi="宋体"/>
          <w:color w:val="000000" w:themeColor="text1"/>
          <w:sz w:val="21"/>
          <w:szCs w:val="21"/>
          <w:highlight w:val="none"/>
          <w:u w:val="single"/>
          <w14:textFill>
            <w14:solidFill>
              <w14:schemeClr w14:val="tx1"/>
            </w14:solidFill>
          </w14:textFill>
        </w:rPr>
        <w:t xml:space="preserve">                                                                                      </w:t>
      </w:r>
    </w:p>
    <w:p w14:paraId="05ED89CA">
      <w:pPr>
        <w:pStyle w:val="29"/>
        <w:spacing w:line="360" w:lineRule="auto"/>
        <w:ind w:left="25" w:leftChars="12" w:firstLine="308" w:firstLineChars="147"/>
        <w:rPr>
          <w:rFonts w:hAnsi="宋体"/>
          <w:color w:val="000000" w:themeColor="text1"/>
          <w:sz w:val="21"/>
          <w:szCs w:val="21"/>
          <w:highlight w:val="none"/>
          <w:u w:val="single"/>
          <w14:textFill>
            <w14:solidFill>
              <w14:schemeClr w14:val="tx1"/>
            </w14:solidFill>
          </w14:textFill>
        </w:rPr>
      </w:pPr>
      <w:r>
        <w:rPr>
          <w:rFonts w:hAnsi="宋体"/>
          <w:color w:val="000000" w:themeColor="text1"/>
          <w:sz w:val="21"/>
          <w:szCs w:val="21"/>
          <w:highlight w:val="none"/>
          <w14:textFill>
            <w14:solidFill>
              <w14:schemeClr w14:val="tx1"/>
            </w14:solidFill>
          </w14:textFill>
        </w:rPr>
        <w:t xml:space="preserve"> </w:t>
      </w:r>
      <w:r>
        <w:rPr>
          <w:rFonts w:hAnsi="宋体"/>
          <w:color w:val="000000" w:themeColor="text1"/>
          <w:sz w:val="21"/>
          <w:szCs w:val="21"/>
          <w:highlight w:val="none"/>
          <w:u w:val="single"/>
          <w14:textFill>
            <w14:solidFill>
              <w14:schemeClr w14:val="tx1"/>
            </w14:solidFill>
          </w14:textFill>
        </w:rPr>
        <w:t xml:space="preserve">                                                                                        </w:t>
      </w:r>
    </w:p>
    <w:p w14:paraId="2D59FD3B">
      <w:pPr>
        <w:pStyle w:val="29"/>
        <w:spacing w:line="360" w:lineRule="auto"/>
        <w:ind w:left="25" w:leftChars="12" w:firstLine="413" w:firstLineChars="197"/>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投诉事项</w:t>
      </w:r>
      <w:r>
        <w:rPr>
          <w:rFonts w:hAnsi="宋体"/>
          <w:color w:val="000000" w:themeColor="text1"/>
          <w:sz w:val="21"/>
          <w:szCs w:val="21"/>
          <w:highlight w:val="none"/>
          <w14:textFill>
            <w14:solidFill>
              <w14:schemeClr w14:val="tx1"/>
            </w14:solidFill>
          </w14:textFill>
        </w:rPr>
        <w:t xml:space="preserve">2     </w:t>
      </w:r>
    </w:p>
    <w:p w14:paraId="35ADE2FD">
      <w:pPr>
        <w:pStyle w:val="29"/>
        <w:spacing w:line="360" w:lineRule="auto"/>
        <w:ind w:left="25" w:leftChars="12" w:firstLine="413" w:firstLineChars="197"/>
        <w:rPr>
          <w:rFonts w:hAnsi="宋体" w:cs="Times New Roman"/>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w:t>
      </w:r>
    </w:p>
    <w:p w14:paraId="4CF8B676">
      <w:pPr>
        <w:pStyle w:val="29"/>
        <w:spacing w:line="360" w:lineRule="auto"/>
        <w:ind w:left="25" w:leftChars="12" w:firstLine="413" w:firstLineChars="196"/>
        <w:rPr>
          <w:rFonts w:hAnsi="宋体" w:cs="Times New Roman"/>
          <w:b/>
          <w:bCs/>
          <w:color w:val="000000" w:themeColor="text1"/>
          <w:sz w:val="21"/>
          <w:szCs w:val="21"/>
          <w:highlight w:val="none"/>
          <w14:textFill>
            <w14:solidFill>
              <w14:schemeClr w14:val="tx1"/>
            </w14:solidFill>
          </w14:textFill>
        </w:rPr>
      </w:pPr>
      <w:r>
        <w:rPr>
          <w:rFonts w:hint="eastAsia" w:hAnsi="宋体"/>
          <w:b/>
          <w:bCs/>
          <w:color w:val="000000" w:themeColor="text1"/>
          <w:sz w:val="21"/>
          <w:szCs w:val="21"/>
          <w:highlight w:val="none"/>
          <w14:textFill>
            <w14:solidFill>
              <w14:schemeClr w14:val="tx1"/>
            </w14:solidFill>
          </w14:textFill>
        </w:rPr>
        <w:t>五、与投诉事项相关的投诉请求：</w:t>
      </w:r>
    </w:p>
    <w:p w14:paraId="53CD8D8E">
      <w:pPr>
        <w:pStyle w:val="29"/>
        <w:spacing w:line="360" w:lineRule="auto"/>
        <w:ind w:left="25" w:leftChars="12" w:firstLine="413" w:firstLineChars="197"/>
        <w:rPr>
          <w:rFonts w:hAnsi="宋体" w:cs="Times New Roman"/>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请求：</w:t>
      </w:r>
      <w:r>
        <w:rPr>
          <w:rFonts w:hAnsi="宋体"/>
          <w:color w:val="000000" w:themeColor="text1"/>
          <w:sz w:val="21"/>
          <w:szCs w:val="21"/>
          <w:highlight w:val="none"/>
          <w:u w:val="single"/>
          <w14:textFill>
            <w14:solidFill>
              <w14:schemeClr w14:val="tx1"/>
            </w14:solidFill>
          </w14:textFill>
        </w:rPr>
        <w:t xml:space="preserve">                                                                                 </w:t>
      </w:r>
    </w:p>
    <w:p w14:paraId="17FDE18A">
      <w:pPr>
        <w:pStyle w:val="29"/>
        <w:spacing w:line="360" w:lineRule="auto"/>
        <w:ind w:left="25" w:leftChars="12" w:firstLine="308" w:firstLineChars="147"/>
        <w:rPr>
          <w:rFonts w:hAnsi="宋体" w:cs="Times New Roman"/>
          <w:color w:val="000000" w:themeColor="text1"/>
          <w:sz w:val="21"/>
          <w:szCs w:val="21"/>
          <w:highlight w:val="none"/>
          <w14:textFill>
            <w14:solidFill>
              <w14:schemeClr w14:val="tx1"/>
            </w14:solidFill>
          </w14:textFill>
        </w:rPr>
      </w:pPr>
    </w:p>
    <w:p w14:paraId="0100D68E">
      <w:pPr>
        <w:pStyle w:val="29"/>
        <w:spacing w:line="360" w:lineRule="auto"/>
        <w:ind w:left="25" w:leftChars="12" w:firstLine="413" w:firstLineChars="197"/>
        <w:rPr>
          <w:rFonts w:hAnsi="宋体" w:cs="Times New Roman"/>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签字（签章）：</w:t>
      </w:r>
      <w:r>
        <w:rPr>
          <w:rFonts w:hAnsi="宋体"/>
          <w:color w:val="000000" w:themeColor="text1"/>
          <w:sz w:val="21"/>
          <w:szCs w:val="21"/>
          <w:highlight w:val="none"/>
          <w14:textFill>
            <w14:solidFill>
              <w14:schemeClr w14:val="tx1"/>
            </w14:solidFill>
          </w14:textFill>
        </w:rPr>
        <w:t xml:space="preserve">                                       </w:t>
      </w:r>
      <w:r>
        <w:rPr>
          <w:rFonts w:hint="eastAsia" w:hAnsi="宋体"/>
          <w:color w:val="000000" w:themeColor="text1"/>
          <w:sz w:val="21"/>
          <w:szCs w:val="21"/>
          <w:highlight w:val="none"/>
          <w14:textFill>
            <w14:solidFill>
              <w14:schemeClr w14:val="tx1"/>
            </w14:solidFill>
          </w14:textFill>
        </w:rPr>
        <w:t>公章：</w:t>
      </w:r>
    </w:p>
    <w:p w14:paraId="56711BA0">
      <w:pPr>
        <w:pStyle w:val="29"/>
        <w:spacing w:line="360" w:lineRule="auto"/>
        <w:ind w:left="25" w:leftChars="12" w:firstLine="308" w:firstLineChars="147"/>
        <w:rPr>
          <w:rFonts w:hAnsi="宋体" w:cs="Times New Roman"/>
          <w:color w:val="000000" w:themeColor="text1"/>
          <w:sz w:val="21"/>
          <w:szCs w:val="21"/>
          <w:highlight w:val="none"/>
          <w14:textFill>
            <w14:solidFill>
              <w14:schemeClr w14:val="tx1"/>
            </w14:solidFill>
          </w14:textFill>
        </w:rPr>
      </w:pPr>
    </w:p>
    <w:p w14:paraId="2CF1190D">
      <w:pPr>
        <w:pStyle w:val="29"/>
        <w:spacing w:line="360" w:lineRule="auto"/>
        <w:ind w:left="25" w:leftChars="12" w:firstLine="413" w:firstLineChars="197"/>
        <w:rPr>
          <w:rFonts w:hAnsi="宋体" w:cs="Times New Roman"/>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日期：</w:t>
      </w:r>
    </w:p>
    <w:p w14:paraId="3678A11C">
      <w:pPr>
        <w:pStyle w:val="29"/>
        <w:spacing w:line="360" w:lineRule="auto"/>
        <w:ind w:left="25" w:leftChars="12" w:firstLine="413" w:firstLineChars="197"/>
        <w:rPr>
          <w:rFonts w:hAnsi="宋体" w:cs="Times New Roman"/>
          <w:b/>
          <w:bCs/>
          <w:color w:val="000000" w:themeColor="text1"/>
          <w:sz w:val="21"/>
          <w:szCs w:val="21"/>
          <w:highlight w:val="none"/>
          <w14:textFill>
            <w14:solidFill>
              <w14:schemeClr w14:val="tx1"/>
            </w14:solidFill>
          </w14:textFill>
        </w:rPr>
      </w:pPr>
      <w:r>
        <w:rPr>
          <w:rFonts w:hAnsi="宋体"/>
          <w:color w:val="000000" w:themeColor="text1"/>
          <w:sz w:val="21"/>
          <w:szCs w:val="21"/>
          <w:highlight w:val="none"/>
          <w14:textFill>
            <w14:solidFill>
              <w14:schemeClr w14:val="tx1"/>
            </w14:solidFill>
          </w14:textFill>
        </w:rPr>
        <w:t xml:space="preserve">                                                                                 </w:t>
      </w:r>
    </w:p>
    <w:p w14:paraId="3D0D4A24">
      <w:pPr>
        <w:pStyle w:val="29"/>
        <w:snapToGrid w:val="0"/>
        <w:spacing w:line="360" w:lineRule="auto"/>
        <w:rPr>
          <w:rFonts w:hAnsi="宋体" w:cs="Times New Roman"/>
          <w:b/>
          <w:bCs/>
          <w:color w:val="000000" w:themeColor="text1"/>
          <w:sz w:val="21"/>
          <w:szCs w:val="21"/>
          <w:highlight w:val="none"/>
          <w14:textFill>
            <w14:solidFill>
              <w14:schemeClr w14:val="tx1"/>
            </w14:solidFill>
          </w14:textFill>
        </w:rPr>
      </w:pPr>
      <w:r>
        <w:rPr>
          <w:rFonts w:hint="eastAsia" w:hAnsi="宋体"/>
          <w:b/>
          <w:bCs/>
          <w:color w:val="000000" w:themeColor="text1"/>
          <w:sz w:val="21"/>
          <w:szCs w:val="21"/>
          <w:highlight w:val="none"/>
          <w14:textFill>
            <w14:solidFill>
              <w14:schemeClr w14:val="tx1"/>
            </w14:solidFill>
          </w14:textFill>
        </w:rPr>
        <w:t>说明：</w:t>
      </w:r>
    </w:p>
    <w:p w14:paraId="720E3A07">
      <w:pPr>
        <w:pStyle w:val="29"/>
        <w:spacing w:line="360" w:lineRule="auto"/>
        <w:ind w:left="25" w:leftChars="12" w:firstLine="310" w:firstLineChars="147"/>
        <w:rPr>
          <w:rFonts w:hAnsi="宋体" w:cs="Times New Roman"/>
          <w:b/>
          <w:bCs/>
          <w:color w:val="000000" w:themeColor="text1"/>
          <w:sz w:val="21"/>
          <w:szCs w:val="21"/>
          <w:highlight w:val="none"/>
          <w14:textFill>
            <w14:solidFill>
              <w14:schemeClr w14:val="tx1"/>
            </w14:solidFill>
          </w14:textFill>
        </w:rPr>
      </w:pPr>
      <w:r>
        <w:rPr>
          <w:rFonts w:hAnsi="宋体"/>
          <w:b/>
          <w:bCs/>
          <w:color w:val="000000" w:themeColor="text1"/>
          <w:sz w:val="21"/>
          <w:szCs w:val="21"/>
          <w:highlight w:val="none"/>
          <w14:textFill>
            <w14:solidFill>
              <w14:schemeClr w14:val="tx1"/>
            </w14:solidFill>
          </w14:textFill>
        </w:rPr>
        <w:t>1.</w:t>
      </w:r>
      <w:r>
        <w:rPr>
          <w:rFonts w:hint="eastAsia" w:hAnsi="宋体"/>
          <w:b/>
          <w:bCs/>
          <w:color w:val="000000" w:themeColor="text1"/>
          <w:sz w:val="21"/>
          <w:szCs w:val="21"/>
          <w:highlight w:val="none"/>
          <w14:textFill>
            <w14:solidFill>
              <w14:schemeClr w14:val="tx1"/>
            </w14:solidFill>
          </w14:textFill>
        </w:rPr>
        <w:t>投诉人提起投诉时，应当提交投诉书和必要的证明材料，并按照被投诉人和与投诉事项有关的供应商数量提供投诉书副本。</w:t>
      </w:r>
    </w:p>
    <w:p w14:paraId="1A1F7BC4">
      <w:pPr>
        <w:pStyle w:val="29"/>
        <w:spacing w:line="360" w:lineRule="auto"/>
        <w:ind w:left="25" w:leftChars="12" w:firstLine="310" w:firstLineChars="147"/>
        <w:rPr>
          <w:rFonts w:hAnsi="宋体" w:cs="Times New Roman"/>
          <w:b/>
          <w:bCs/>
          <w:color w:val="000000" w:themeColor="text1"/>
          <w:sz w:val="21"/>
          <w:szCs w:val="21"/>
          <w:highlight w:val="none"/>
          <w14:textFill>
            <w14:solidFill>
              <w14:schemeClr w14:val="tx1"/>
            </w14:solidFill>
          </w14:textFill>
        </w:rPr>
      </w:pPr>
      <w:r>
        <w:rPr>
          <w:rFonts w:hAnsi="宋体"/>
          <w:b/>
          <w:bCs/>
          <w:color w:val="000000" w:themeColor="text1"/>
          <w:sz w:val="21"/>
          <w:szCs w:val="21"/>
          <w:highlight w:val="none"/>
          <w14:textFill>
            <w14:solidFill>
              <w14:schemeClr w14:val="tx1"/>
            </w14:solidFill>
          </w14:textFill>
        </w:rPr>
        <w:t>2.</w:t>
      </w:r>
      <w:r>
        <w:rPr>
          <w:rFonts w:hint="eastAsia" w:hAnsi="宋体"/>
          <w:b/>
          <w:bCs/>
          <w:color w:val="000000" w:themeColor="text1"/>
          <w:sz w:val="21"/>
          <w:szCs w:val="21"/>
          <w:highlight w:val="none"/>
          <w14:textFill>
            <w14:solidFill>
              <w14:schemeClr w14:val="tx1"/>
            </w14:solidFill>
          </w14:textFill>
        </w:rPr>
        <w:t>投诉人若委托代理人进行投诉的，投诉书应按要求列明“授权代表”的有关内容，并在附件中提交由投诉人签署的授权委托书。授权委托书应当载明代理人的姓名或者名称、代理事项、具体权限、期限和相关事项。</w:t>
      </w:r>
    </w:p>
    <w:p w14:paraId="0F53156F">
      <w:pPr>
        <w:pStyle w:val="29"/>
        <w:spacing w:line="360" w:lineRule="auto"/>
        <w:ind w:left="25" w:leftChars="12" w:firstLine="310" w:firstLineChars="147"/>
        <w:rPr>
          <w:rFonts w:hAnsi="宋体" w:cs="Times New Roman"/>
          <w:b/>
          <w:bCs/>
          <w:color w:val="000000" w:themeColor="text1"/>
          <w:sz w:val="21"/>
          <w:szCs w:val="21"/>
          <w:highlight w:val="none"/>
          <w14:textFill>
            <w14:solidFill>
              <w14:schemeClr w14:val="tx1"/>
            </w14:solidFill>
          </w14:textFill>
        </w:rPr>
      </w:pPr>
      <w:r>
        <w:rPr>
          <w:rFonts w:hAnsi="宋体"/>
          <w:b/>
          <w:bCs/>
          <w:color w:val="000000" w:themeColor="text1"/>
          <w:sz w:val="21"/>
          <w:szCs w:val="21"/>
          <w:highlight w:val="none"/>
          <w14:textFill>
            <w14:solidFill>
              <w14:schemeClr w14:val="tx1"/>
            </w14:solidFill>
          </w14:textFill>
        </w:rPr>
        <w:t>3.</w:t>
      </w:r>
      <w:r>
        <w:rPr>
          <w:rFonts w:hint="eastAsia" w:hAnsi="宋体"/>
          <w:b/>
          <w:bCs/>
          <w:color w:val="000000" w:themeColor="text1"/>
          <w:sz w:val="21"/>
          <w:szCs w:val="21"/>
          <w:highlight w:val="none"/>
          <w14:textFill>
            <w14:solidFill>
              <w14:schemeClr w14:val="tx1"/>
            </w14:solidFill>
          </w14:textFill>
        </w:rPr>
        <w:t>投诉书应简要列明质疑事项，质疑函、质疑答复等作为附件材料提供。</w:t>
      </w:r>
    </w:p>
    <w:p w14:paraId="5835C867">
      <w:pPr>
        <w:pStyle w:val="29"/>
        <w:spacing w:line="360" w:lineRule="auto"/>
        <w:ind w:left="25" w:leftChars="12" w:firstLine="310" w:firstLineChars="147"/>
        <w:rPr>
          <w:rFonts w:hAnsi="宋体" w:cs="Times New Roman"/>
          <w:b/>
          <w:bCs/>
          <w:color w:val="000000" w:themeColor="text1"/>
          <w:sz w:val="21"/>
          <w:szCs w:val="21"/>
          <w:highlight w:val="none"/>
          <w14:textFill>
            <w14:solidFill>
              <w14:schemeClr w14:val="tx1"/>
            </w14:solidFill>
          </w14:textFill>
        </w:rPr>
      </w:pPr>
      <w:r>
        <w:rPr>
          <w:rFonts w:hAnsi="宋体"/>
          <w:b/>
          <w:bCs/>
          <w:color w:val="000000" w:themeColor="text1"/>
          <w:sz w:val="21"/>
          <w:szCs w:val="21"/>
          <w:highlight w:val="none"/>
          <w14:textFill>
            <w14:solidFill>
              <w14:schemeClr w14:val="tx1"/>
            </w14:solidFill>
          </w14:textFill>
        </w:rPr>
        <w:t>4.</w:t>
      </w:r>
      <w:r>
        <w:rPr>
          <w:rFonts w:hint="eastAsia" w:hAnsi="宋体"/>
          <w:b/>
          <w:bCs/>
          <w:color w:val="000000" w:themeColor="text1"/>
          <w:sz w:val="21"/>
          <w:szCs w:val="21"/>
          <w:highlight w:val="none"/>
          <w14:textFill>
            <w14:solidFill>
              <w14:schemeClr w14:val="tx1"/>
            </w14:solidFill>
          </w14:textFill>
        </w:rPr>
        <w:t>投诉书的投诉事项应具体、明确，并有必要的事实依据和法律依据。</w:t>
      </w:r>
    </w:p>
    <w:p w14:paraId="3D579ED8">
      <w:pPr>
        <w:pStyle w:val="29"/>
        <w:spacing w:line="360" w:lineRule="auto"/>
        <w:ind w:left="25" w:leftChars="12" w:firstLine="310" w:firstLineChars="147"/>
        <w:rPr>
          <w:rFonts w:hAnsi="宋体" w:cs="Times New Roman"/>
          <w:b/>
          <w:bCs/>
          <w:color w:val="000000" w:themeColor="text1"/>
          <w:sz w:val="21"/>
          <w:szCs w:val="21"/>
          <w:highlight w:val="none"/>
          <w14:textFill>
            <w14:solidFill>
              <w14:schemeClr w14:val="tx1"/>
            </w14:solidFill>
          </w14:textFill>
        </w:rPr>
      </w:pPr>
      <w:r>
        <w:rPr>
          <w:rFonts w:hAnsi="宋体"/>
          <w:b/>
          <w:bCs/>
          <w:color w:val="000000" w:themeColor="text1"/>
          <w:sz w:val="21"/>
          <w:szCs w:val="21"/>
          <w:highlight w:val="none"/>
          <w14:textFill>
            <w14:solidFill>
              <w14:schemeClr w14:val="tx1"/>
            </w14:solidFill>
          </w14:textFill>
        </w:rPr>
        <w:t>5.</w:t>
      </w:r>
      <w:r>
        <w:rPr>
          <w:rFonts w:hint="eastAsia" w:hAnsi="宋体"/>
          <w:b/>
          <w:bCs/>
          <w:color w:val="000000" w:themeColor="text1"/>
          <w:sz w:val="21"/>
          <w:szCs w:val="21"/>
          <w:highlight w:val="none"/>
          <w14:textFill>
            <w14:solidFill>
              <w14:schemeClr w14:val="tx1"/>
            </w14:solidFill>
          </w14:textFill>
        </w:rPr>
        <w:t>投诉书的投诉请求应与投诉事项相关。</w:t>
      </w:r>
    </w:p>
    <w:p w14:paraId="7BF6320C">
      <w:pPr>
        <w:pStyle w:val="29"/>
        <w:spacing w:line="360" w:lineRule="auto"/>
        <w:ind w:left="25" w:leftChars="12" w:firstLine="310" w:firstLineChars="147"/>
        <w:rPr>
          <w:rFonts w:hAnsi="宋体" w:cs="Times New Roman"/>
          <w:b/>
          <w:bCs/>
          <w:color w:val="000000" w:themeColor="text1"/>
          <w:sz w:val="21"/>
          <w:szCs w:val="21"/>
          <w:highlight w:val="none"/>
          <w14:textFill>
            <w14:solidFill>
              <w14:schemeClr w14:val="tx1"/>
            </w14:solidFill>
          </w14:textFill>
        </w:rPr>
      </w:pPr>
      <w:r>
        <w:rPr>
          <w:rFonts w:hAnsi="宋体"/>
          <w:b/>
          <w:bCs/>
          <w:color w:val="000000" w:themeColor="text1"/>
          <w:sz w:val="21"/>
          <w:szCs w:val="21"/>
          <w:highlight w:val="none"/>
          <w14:textFill>
            <w14:solidFill>
              <w14:schemeClr w14:val="tx1"/>
            </w14:solidFill>
          </w14:textFill>
        </w:rPr>
        <w:t>6.</w:t>
      </w:r>
      <w:r>
        <w:rPr>
          <w:rFonts w:hint="eastAsia" w:hAnsi="宋体"/>
          <w:b/>
          <w:bCs/>
          <w:color w:val="000000" w:themeColor="text1"/>
          <w:sz w:val="21"/>
          <w:szCs w:val="21"/>
          <w:highlight w:val="none"/>
          <w14:textFill>
            <w14:solidFill>
              <w14:schemeClr w14:val="tx1"/>
            </w14:solidFill>
          </w14:textFill>
        </w:rPr>
        <w:t>投诉人为法人或者其他组织的，投诉书应由法定代表人、主要负责人，或者其授权代表签字或者盖章，并加盖公章。</w:t>
      </w:r>
    </w:p>
    <w:p w14:paraId="0130CE40">
      <w:pPr>
        <w:pStyle w:val="29"/>
        <w:spacing w:line="360" w:lineRule="auto"/>
        <w:ind w:left="25" w:leftChars="12" w:firstLine="310" w:firstLineChars="147"/>
        <w:rPr>
          <w:rFonts w:hAnsi="宋体" w:cs="Times New Roman"/>
          <w:b/>
          <w:bCs/>
          <w:color w:val="000000" w:themeColor="text1"/>
          <w:sz w:val="21"/>
          <w:szCs w:val="21"/>
          <w:highlight w:val="none"/>
          <w14:textFill>
            <w14:solidFill>
              <w14:schemeClr w14:val="tx1"/>
            </w14:solidFill>
          </w14:textFill>
        </w:rPr>
      </w:pPr>
    </w:p>
    <w:p w14:paraId="2924444B">
      <w:pPr>
        <w:pStyle w:val="2"/>
        <w:spacing w:line="240" w:lineRule="auto"/>
        <w:jc w:val="center"/>
        <w:rPr>
          <w:rFonts w:ascii="宋体"/>
          <w:color w:val="000000" w:themeColor="text1"/>
          <w:highlight w:val="none"/>
          <w14:textFill>
            <w14:solidFill>
              <w14:schemeClr w14:val="tx1"/>
            </w14:solidFill>
          </w14:textFill>
        </w:rPr>
      </w:pPr>
    </w:p>
    <w:p w14:paraId="6950BE2F">
      <w:pPr>
        <w:pStyle w:val="2"/>
        <w:spacing w:line="240" w:lineRule="auto"/>
        <w:jc w:val="center"/>
        <w:rPr>
          <w:rFonts w:ascii="宋体"/>
          <w:color w:val="000000" w:themeColor="text1"/>
          <w:highlight w:val="none"/>
          <w14:textFill>
            <w14:solidFill>
              <w14:schemeClr w14:val="tx1"/>
            </w14:solidFill>
          </w14:textFill>
        </w:rPr>
      </w:pPr>
    </w:p>
    <w:p w14:paraId="744ABC36">
      <w:pPr>
        <w:rPr>
          <w:rFonts w:ascii="宋体"/>
          <w:color w:val="000000" w:themeColor="text1"/>
          <w:highlight w:val="none"/>
          <w14:textFill>
            <w14:solidFill>
              <w14:schemeClr w14:val="tx1"/>
            </w14:solidFill>
          </w14:textFill>
        </w:rPr>
      </w:pPr>
    </w:p>
    <w:p w14:paraId="72AEA167">
      <w:pPr>
        <w:pStyle w:val="21"/>
        <w:rPr>
          <w:rFonts w:ascii="宋体"/>
          <w:color w:val="000000" w:themeColor="text1"/>
          <w:highlight w:val="none"/>
          <w14:textFill>
            <w14:solidFill>
              <w14:schemeClr w14:val="tx1"/>
            </w14:solidFill>
          </w14:textFill>
        </w:rPr>
      </w:pPr>
    </w:p>
    <w:p w14:paraId="1ACA7C27">
      <w:pPr>
        <w:spacing w:after="120" w:line="360" w:lineRule="auto"/>
        <w:jc w:val="left"/>
        <w:rPr>
          <w:rFonts w:ascii="宋体" w:hAnsi="宋体" w:cs="宋体"/>
          <w:color w:val="000000" w:themeColor="text1"/>
          <w:spacing w:val="-9"/>
          <w:sz w:val="24"/>
          <w:szCs w:val="24"/>
          <w:highlight w:val="none"/>
          <w14:textFill>
            <w14:solidFill>
              <w14:schemeClr w14:val="tx1"/>
            </w14:solidFill>
          </w14:textFill>
        </w:rPr>
      </w:pPr>
    </w:p>
    <w:sectPr>
      <w:footerReference r:id="rId26" w:type="first"/>
      <w:headerReference r:id="rId24" w:type="default"/>
      <w:footerReference r:id="rId25" w:type="default"/>
      <w:pgSz w:w="11906" w:h="16838"/>
      <w:pgMar w:top="1134" w:right="1134" w:bottom="1134" w:left="1134" w:header="851" w:footer="567"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CC"/>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_x000B__x000C_">
    <w:altName w:val="Times New Roman"/>
    <w:panose1 w:val="00000000000000000000"/>
    <w:charset w:val="00"/>
    <w:family w:val="roman"/>
    <w:pitch w:val="default"/>
    <w:sig w:usb0="00000000" w:usb1="00000000" w:usb2="00000000" w:usb3="00000000" w:csb0="00000001" w:csb1="00000000"/>
  </w:font>
  <w:font w:name="华文中宋">
    <w:altName w:val="宋体"/>
    <w:panose1 w:val="02010600040101010101"/>
    <w:charset w:val="86"/>
    <w:family w:val="auto"/>
    <w:pitch w:val="default"/>
    <w:sig w:usb0="00000000" w:usb1="00000000" w:usb2="00000010" w:usb3="00000000" w:csb0="0004009F" w:csb1="00000000"/>
  </w:font>
  <w:font w:name="¿¬Ìå">
    <w:altName w:val="Times New Roman"/>
    <w:panose1 w:val="00000000000000000000"/>
    <w:charset w:val="00"/>
    <w:family w:val="auto"/>
    <w:pitch w:val="default"/>
    <w:sig w:usb0="00000000" w:usb1="00000000" w:usb2="00000000" w:usb3="00000000" w:csb0="0000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78F016">
    <w:pPr>
      <w:pStyle w:val="36"/>
      <w:tabs>
        <w:tab w:val="center" w:pos="4439"/>
        <w:tab w:val="clear" w:pos="4153"/>
      </w:tabs>
      <w:jc w:val="both"/>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111DCE4">
                          <w:pPr>
                            <w:pStyle w:val="36"/>
                          </w:pPr>
                          <w:r>
                            <w:fldChar w:fldCharType="begin"/>
                          </w:r>
                          <w:r>
                            <w:instrText xml:space="preserve"> PAGE  \* MERGEFORMAT </w:instrText>
                          </w:r>
                          <w:r>
                            <w:fldChar w:fldCharType="separate"/>
                          </w:r>
                          <w:r>
                            <w:t>117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mEs+A5AgAAcQ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OmEs+A5AgAAcQQAAA4AAAAAAAAAAQAgAAAAHwEAAGRycy9lMm9Eb2Mu&#10;eG1sUEsFBgAAAAAGAAYAWQEAAMoFAAAAAA==&#10;">
              <v:fill on="f" focussize="0,0"/>
              <v:stroke on="f" weight="0.5pt"/>
              <v:imagedata o:title=""/>
              <o:lock v:ext="edit" aspectratio="f"/>
              <v:textbox inset="0mm,0mm,0mm,0mm" style="mso-fit-shape-to-text:t;">
                <w:txbxContent>
                  <w:p w14:paraId="2111DCE4">
                    <w:pPr>
                      <w:pStyle w:val="36"/>
                    </w:pPr>
                    <w:r>
                      <w:fldChar w:fldCharType="begin"/>
                    </w:r>
                    <w:r>
                      <w:instrText xml:space="preserve"> PAGE  \* MERGEFORMAT </w:instrText>
                    </w:r>
                    <w:r>
                      <w:fldChar w:fldCharType="separate"/>
                    </w:r>
                    <w:r>
                      <w:t>117</w:t>
                    </w:r>
                    <w:r>
                      <w:fldChar w:fldCharType="end"/>
                    </w:r>
                  </w:p>
                </w:txbxContent>
              </v:textbox>
            </v:shape>
          </w:pict>
        </mc:Fallback>
      </mc:AlternateContent>
    </w:r>
  </w:p>
  <w:p w14:paraId="132716EE">
    <w:pPr>
      <w:pStyle w:val="36"/>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844FE5">
    <w:pPr>
      <w:spacing w:line="184" w:lineRule="auto"/>
      <w:ind w:left="4230"/>
      <w:rPr>
        <w:rFonts w:eastAsia="Times New Roman"/>
        <w:sz w:val="19"/>
        <w:szCs w:val="19"/>
      </w:rPr>
    </w:pPr>
    <w:r>
      <w:rPr>
        <w:sz w:val="19"/>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887F022">
                          <w:pPr>
                            <w:pStyle w:val="36"/>
                          </w:pPr>
                          <w:r>
                            <w:fldChar w:fldCharType="begin"/>
                          </w:r>
                          <w:r>
                            <w:instrText xml:space="preserve"> PAGE  \* MERGEFORMAT </w:instrText>
                          </w:r>
                          <w:r>
                            <w:fldChar w:fldCharType="separate"/>
                          </w:r>
                          <w:r>
                            <w:t>135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LNJWO7QAAAABQEAAA8AAAAAAAAAAQAgAAAAIgAAAGRycy9kb3ducmV2Lnht&#10;bFBLAQIUABQAAAAIAIdO4kBmCEBjOgIAAHEEAAAOAAAAAAAAAAEAIAAAAB8BAABkcnMvZTJvRG9j&#10;LnhtbFBLBQYAAAAABgAGAFkBAADLBQAAAAA=&#10;">
              <v:fill on="f" focussize="0,0"/>
              <v:stroke on="f" weight="0.5pt"/>
              <v:imagedata o:title=""/>
              <o:lock v:ext="edit" aspectratio="f"/>
              <v:textbox inset="0mm,0mm,0mm,0mm" style="mso-fit-shape-to-text:t;">
                <w:txbxContent>
                  <w:p w14:paraId="6887F022">
                    <w:pPr>
                      <w:pStyle w:val="36"/>
                    </w:pPr>
                    <w:r>
                      <w:fldChar w:fldCharType="begin"/>
                    </w:r>
                    <w:r>
                      <w:instrText xml:space="preserve"> PAGE  \* MERGEFORMAT </w:instrText>
                    </w:r>
                    <w:r>
                      <w:fldChar w:fldCharType="separate"/>
                    </w:r>
                    <w:r>
                      <w:t>135</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BCEA93">
    <w:pPr>
      <w:spacing w:line="184" w:lineRule="auto"/>
      <w:ind w:left="4235"/>
      <w:rPr>
        <w:rFonts w:eastAsia="Times New Roman"/>
        <w:sz w:val="19"/>
        <w:szCs w:val="19"/>
      </w:rPr>
    </w:pPr>
    <w:r>
      <w:rPr>
        <w:sz w:val="19"/>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36" name="文本框 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D89FFD0">
                          <w:pPr>
                            <w:pStyle w:val="36"/>
                          </w:pPr>
                          <w:r>
                            <w:fldChar w:fldCharType="begin"/>
                          </w:r>
                          <w:r>
                            <w:instrText xml:space="preserve"> PAGE  \* MERGEFORMAT </w:instrText>
                          </w:r>
                          <w:r>
                            <w:fldChar w:fldCharType="separate"/>
                          </w:r>
                          <w:r>
                            <w:t>138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AXen6w5AgAAcQQAAA4AAAAAAAAAAQAgAAAAHwEAAGRycy9lMm9Eb2Mu&#10;eG1sUEsFBgAAAAAGAAYAWQEAAMoFAAAAAA==&#10;">
              <v:fill on="f" focussize="0,0"/>
              <v:stroke on="f" weight="0.5pt"/>
              <v:imagedata o:title=""/>
              <o:lock v:ext="edit" aspectratio="f"/>
              <v:textbox inset="0mm,0mm,0mm,0mm" style="mso-fit-shape-to-text:t;">
                <w:txbxContent>
                  <w:p w14:paraId="6D89FFD0">
                    <w:pPr>
                      <w:pStyle w:val="36"/>
                    </w:pPr>
                    <w:r>
                      <w:fldChar w:fldCharType="begin"/>
                    </w:r>
                    <w:r>
                      <w:instrText xml:space="preserve"> PAGE  \* MERGEFORMAT </w:instrText>
                    </w:r>
                    <w:r>
                      <w:fldChar w:fldCharType="separate"/>
                    </w:r>
                    <w:r>
                      <w:t>138</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82BAE7">
    <w:pPr>
      <w:pStyle w:val="36"/>
      <w:jc w:val="center"/>
    </w:pPr>
    <w: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37" name="文本框 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0B65259">
                          <w:pPr>
                            <w:pStyle w:val="36"/>
                          </w:pPr>
                          <w:r>
                            <w:fldChar w:fldCharType="begin"/>
                          </w:r>
                          <w:r>
                            <w:instrText xml:space="preserve"> PAGE  \* MERGEFORMAT </w:instrText>
                          </w:r>
                          <w:r>
                            <w:fldChar w:fldCharType="separate"/>
                          </w:r>
                          <w:r>
                            <w:t>140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Rs1ek6AgAAcQQAAA4AAABkcnMvZTJvRG9jLnhtbK1UzY7TMBC+I/EO&#10;lu80aVcs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LNJWO7QAAAABQEAAA8AAAAAAAAAAQAgAAAAIgAAAGRycy9kb3ducmV2Lnht&#10;bFBLAQIUABQAAAAIAIdO4kAkbNXpOgIAAHEEAAAOAAAAAAAAAAEAIAAAAB8BAABkcnMvZTJvRG9j&#10;LnhtbFBLBQYAAAAABgAGAFkBAADLBQAAAAA=&#10;">
              <v:fill on="f" focussize="0,0"/>
              <v:stroke on="f" weight="0.5pt"/>
              <v:imagedata o:title=""/>
              <o:lock v:ext="edit" aspectratio="f"/>
              <v:textbox inset="0mm,0mm,0mm,0mm" style="mso-fit-shape-to-text:t;">
                <w:txbxContent>
                  <w:p w14:paraId="30B65259">
                    <w:pPr>
                      <w:pStyle w:val="36"/>
                    </w:pPr>
                    <w:r>
                      <w:fldChar w:fldCharType="begin"/>
                    </w:r>
                    <w:r>
                      <w:instrText xml:space="preserve"> PAGE  \* MERGEFORMAT </w:instrText>
                    </w:r>
                    <w:r>
                      <w:fldChar w:fldCharType="separate"/>
                    </w:r>
                    <w:r>
                      <w:t>140</w:t>
                    </w:r>
                    <w:r>
                      <w:fldChar w:fldCharType="end"/>
                    </w:r>
                  </w:p>
                </w:txbxContent>
              </v:textbox>
            </v:shape>
          </w:pict>
        </mc:Fallback>
      </mc:AlternateContent>
    </w:r>
  </w:p>
  <w:p w14:paraId="24D06B82">
    <w:pPr>
      <w:pStyle w:val="36"/>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F1A692">
    <w:pPr>
      <w:pStyle w:val="36"/>
    </w:pPr>
    <w: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6564F63">
                          <w:pPr>
                            <w:pStyle w:val="36"/>
                          </w:pPr>
                          <w:r>
                            <w:fldChar w:fldCharType="begin"/>
                          </w:r>
                          <w:r>
                            <w:instrText xml:space="preserve"> PAGE  \* MERGEFORMAT </w:instrText>
                          </w:r>
                          <w:r>
                            <w:fldChar w:fldCharType="separate"/>
                          </w:r>
                          <w:r>
                            <w:t>139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nvl685AgAAcQQAAA4AAABkcnMvZTJvRG9jLnhtbK1UzY7TMBC+I/EO&#10;lu80bVes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Envl685AgAAcQQAAA4AAAAAAAAAAQAgAAAAHwEAAGRycy9lMm9Eb2Mu&#10;eG1sUEsFBgAAAAAGAAYAWQEAAMoFAAAAAA==&#10;">
              <v:fill on="f" focussize="0,0"/>
              <v:stroke on="f" weight="0.5pt"/>
              <v:imagedata o:title=""/>
              <o:lock v:ext="edit" aspectratio="f"/>
              <v:textbox inset="0mm,0mm,0mm,0mm" style="mso-fit-shape-to-text:t;">
                <w:txbxContent>
                  <w:p w14:paraId="26564F63">
                    <w:pPr>
                      <w:pStyle w:val="36"/>
                    </w:pPr>
                    <w:r>
                      <w:fldChar w:fldCharType="begin"/>
                    </w:r>
                    <w:r>
                      <w:instrText xml:space="preserve"> PAGE  \* MERGEFORMAT </w:instrText>
                    </w:r>
                    <w:r>
                      <w:fldChar w:fldCharType="separate"/>
                    </w:r>
                    <w:r>
                      <w:t>139</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3C4D2B">
    <w:pPr>
      <w:pStyle w:val="3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96C335">
    <w:pPr>
      <w:pStyle w:val="36"/>
      <w:tabs>
        <w:tab w:val="center" w:pos="4439"/>
        <w:tab w:val="clear" w:pos="4153"/>
      </w:tabs>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799E5BE">
                          <w:pPr>
                            <w:pStyle w:val="36"/>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g2+aU5AgAAcQ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Mg2+aU5AgAAcQQAAA4AAAAAAAAAAQAgAAAAHwEAAGRycy9lMm9Eb2Mu&#10;eG1sUEsFBgAAAAAGAAYAWQEAAMoFAAAAAA==&#10;">
              <v:fill on="f" focussize="0,0"/>
              <v:stroke on="f" weight="0.5pt"/>
              <v:imagedata o:title=""/>
              <o:lock v:ext="edit" aspectratio="f"/>
              <v:textbox inset="0mm,0mm,0mm,0mm" style="mso-fit-shape-to-text:t;">
                <w:txbxContent>
                  <w:p w14:paraId="3799E5BE">
                    <w:pPr>
                      <w:pStyle w:val="36"/>
                    </w:pP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51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55E234F7"/>
                      </w:txbxContent>
                    </wps:txbx>
                    <wps:bodyPr wrap="none" lIns="0" tIns="0" rIns="0" bIns="0" upright="1">
                      <a:spAutoFit/>
                    </wps:bodyPr>
                  </wps:wsp>
                </a:graphicData>
              </a:graphic>
            </wp:anchor>
          </w:drawing>
        </mc:Choice>
        <mc:Fallback>
          <w:pict>
            <v:shape id="文本框 512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OqXm5zwAAAAUBAAAPAAAAAAAAAAEAIAAAACIAAABkcnMvZG93&#10;bnJldi54bWxQSwECFAAUAAAACACHTuJAvzua+9ABAACqAwAADgAAAAAAAAABACAAAAAeAQAAZHJz&#10;L2Uyb0RvYy54bWxQSwUGAAAAAAYABgBZAQAAYAUAAAAA&#10;">
              <v:fill on="f" focussize="0,0"/>
              <v:stroke on="f"/>
              <v:imagedata o:title=""/>
              <o:lock v:ext="edit" aspectratio="f"/>
              <v:textbox inset="0mm,0mm,0mm,0mm" style="mso-fit-shape-to-text:t;">
                <w:txbxContent>
                  <w:p w14:paraId="55E234F7"/>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4D46DA">
    <w:pPr>
      <w:pStyle w:val="36"/>
      <w:tabs>
        <w:tab w:val="center" w:pos="4439"/>
        <w:tab w:val="clear" w:pos="4153"/>
      </w:tabs>
      <w:jc w:val="both"/>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D3052CA">
                          <w:pPr>
                            <w:pStyle w:val="36"/>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W1u+M4AgAAcQ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pbW74zgCAABxBAAADgAAAAAAAAABACAAAAAfAQAAZHJzL2Uyb0RvYy54&#10;bWxQSwUGAAAAAAYABgBZAQAAyQUAAAAA&#10;">
              <v:fill on="f" focussize="0,0"/>
              <v:stroke on="f" weight="0.5pt"/>
              <v:imagedata o:title=""/>
              <o:lock v:ext="edit" aspectratio="f"/>
              <v:textbox inset="0mm,0mm,0mm,0mm" style="mso-fit-shape-to-text:t;">
                <w:txbxContent>
                  <w:p w14:paraId="5D3052CA">
                    <w:pPr>
                      <w:pStyle w:val="36"/>
                    </w:pPr>
                    <w:r>
                      <w:fldChar w:fldCharType="begin"/>
                    </w:r>
                    <w:r>
                      <w:instrText xml:space="preserve"> PAGE  \* MERGEFORMAT </w:instrText>
                    </w:r>
                    <w:r>
                      <w:fldChar w:fldCharType="separate"/>
                    </w:r>
                    <w:r>
                      <w:t>0</w:t>
                    </w:r>
                    <w:r>
                      <w:fldChar w:fldCharType="end"/>
                    </w:r>
                  </w:p>
                </w:txbxContent>
              </v:textbox>
            </v:shape>
          </w:pict>
        </mc:Fallback>
      </mc:AlternateContent>
    </w:r>
  </w:p>
  <w:p w14:paraId="51B70FAD">
    <w:pPr>
      <w:pStyle w:val="36"/>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05F551">
    <w:pPr>
      <w:pStyle w:val="36"/>
      <w:tabs>
        <w:tab w:val="center" w:pos="4439"/>
        <w:tab w:val="clear" w:pos="4153"/>
      </w:tabs>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32FD2DE">
                          <w:pPr>
                            <w:pStyle w:val="36"/>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QH8aY5AgAAcQQAAA4AAABkcnMvZTJvRG9jLnhtbK1UzY7TMBC+I/EO&#10;lu80aRGrUj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IQH8aY5AgAAcQQAAA4AAAAAAAAAAQAgAAAAHwEAAGRycy9lMm9Eb2Mu&#10;eG1sUEsFBgAAAAAGAAYAWQEAAMoFAAAAAA==&#10;">
              <v:fill on="f" focussize="0,0"/>
              <v:stroke on="f" weight="0.5pt"/>
              <v:imagedata o:title=""/>
              <o:lock v:ext="edit" aspectratio="f"/>
              <v:textbox inset="0mm,0mm,0mm,0mm" style="mso-fit-shape-to-text:t;">
                <w:txbxContent>
                  <w:p w14:paraId="032FD2DE">
                    <w:pPr>
                      <w:pStyle w:val="36"/>
                    </w:pP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51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5EA1333A"/>
                      </w:txbxContent>
                    </wps:txbx>
                    <wps:bodyPr wrap="none" lIns="0" tIns="0" rIns="0" bIns="0" upright="1">
                      <a:spAutoFit/>
                    </wps:bodyPr>
                  </wps:wsp>
                </a:graphicData>
              </a:graphic>
            </wp:anchor>
          </w:drawing>
        </mc:Choice>
        <mc:Fallback>
          <w:pict>
            <v:shape id="文本框 5133"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6pebnPAAAABQEAAA8AAAAAAAAAAQAgAAAAIgAAAGRycy9kb3du&#10;cmV2LnhtbFBLAQIUABQAAAAIAIdO4kBxNaXizwEAAKoDAAAOAAAAAAAAAAEAIAAAAB4BAABkcnMv&#10;ZTJvRG9jLnhtbFBLBQYAAAAABgAGAFkBAABfBQAAAAA=&#10;">
              <v:fill on="f" focussize="0,0"/>
              <v:stroke on="f"/>
              <v:imagedata o:title=""/>
              <o:lock v:ext="edit" aspectratio="f"/>
              <v:textbox inset="0mm,0mm,0mm,0mm" style="mso-fit-shape-to-text:t;">
                <w:txbxContent>
                  <w:p w14:paraId="5EA1333A"/>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1ADFE7">
    <w:pPr>
      <w:pStyle w:val="36"/>
      <w:spacing w:line="240" w:lineRule="exact"/>
      <w:ind w:right="360" w:firstLine="360"/>
      <w:jc w:val="center"/>
      <w:rPr>
        <w:rFonts w:eastAsia="黑体"/>
        <w:sz w:val="17"/>
        <w:szCs w:val="17"/>
      </w:rPr>
    </w:pPr>
    <w:r>
      <w:rPr>
        <w:sz w:val="17"/>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1C068BF">
                          <w:pPr>
                            <w:pStyle w:val="36"/>
                          </w:pPr>
                          <w:r>
                            <w:fldChar w:fldCharType="begin"/>
                          </w:r>
                          <w:r>
                            <w:instrText xml:space="preserve"> PAGE  \* MERGEFORMAT </w:instrText>
                          </w:r>
                          <w:r>
                            <w:fldChar w:fldCharType="separate"/>
                          </w:r>
                          <w:r>
                            <w:t>24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J0Ueg5AgAAcQQAAA4AAABkcnMvZTJvRG9jLnhtbK1UzY7TMBC+I/EO&#10;lu80bVes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IJ0Ueg5AgAAcQQAAA4AAAAAAAAAAQAgAAAAHwEAAGRycy9lMm9Eb2Mu&#10;eG1sUEsFBgAAAAAGAAYAWQEAAMoFAAAAAA==&#10;">
              <v:fill on="f" focussize="0,0"/>
              <v:stroke on="f" weight="0.5pt"/>
              <v:imagedata o:title=""/>
              <o:lock v:ext="edit" aspectratio="f"/>
              <v:textbox inset="0mm,0mm,0mm,0mm" style="mso-fit-shape-to-text:t;">
                <w:txbxContent>
                  <w:p w14:paraId="11C068BF">
                    <w:pPr>
                      <w:pStyle w:val="36"/>
                    </w:pPr>
                    <w:r>
                      <w:fldChar w:fldCharType="begin"/>
                    </w:r>
                    <w:r>
                      <w:instrText xml:space="preserve"> PAGE  \* MERGEFORMAT </w:instrText>
                    </w:r>
                    <w:r>
                      <w:fldChar w:fldCharType="separate"/>
                    </w:r>
                    <w:r>
                      <w:t>24</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C8796B">
    <w:pPr>
      <w:pStyle w:val="36"/>
    </w:pPr>
    <w:r>
      <w:fldChar w:fldCharType="begin"/>
    </w:r>
    <w:r>
      <w:rPr>
        <w:highlight w:val="white"/>
      </w:rPr>
      <w:instrText xml:space="preserve">PAGE   \* MERGEFORMAT</w:instrText>
    </w:r>
    <w:r>
      <w:fldChar w:fldCharType="separate"/>
    </w:r>
    <w:r>
      <w:rPr>
        <w:highlight w:val="white"/>
      </w:rPr>
      <w:t>24</w:t>
    </w:r>
    <w:r>
      <w:fldChar w:fldCharType="end"/>
    </w:r>
  </w:p>
  <w:p w14:paraId="48F4ED17">
    <w:pPr>
      <w:pStyle w:val="36"/>
      <w:ind w:right="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588D37">
    <w:pPr>
      <w:pStyle w:val="36"/>
      <w:jc w:val="center"/>
    </w:pPr>
    <w: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F5A0951">
                          <w:pPr>
                            <w:pStyle w:val="36"/>
                          </w:pPr>
                          <w:r>
                            <w:fldChar w:fldCharType="begin"/>
                          </w:r>
                          <w:r>
                            <w:instrText xml:space="preserve"> PAGE  \* MERGEFORMAT </w:instrText>
                          </w:r>
                          <w:r>
                            <w:fldChar w:fldCharType="separate"/>
                          </w:r>
                          <w:r>
                            <w:t>65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niKxQ4AgAAb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Qfr6n3V&#10;PcAUWhY2emt5TBOl8nZ5CJA2KR4F6lRBp+IBc5h6dtmZOOh/nlPU0//E4h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OeIrFDgCAABvBAAADgAAAAAAAAABACAAAAAfAQAAZHJzL2Uyb0RvYy54&#10;bWxQSwUGAAAAAAYABgBZAQAAyQUAAAAA&#10;">
              <v:fill on="f" focussize="0,0"/>
              <v:stroke on="f" weight="0.5pt"/>
              <v:imagedata o:title=""/>
              <o:lock v:ext="edit" aspectratio="f"/>
              <v:textbox inset="0mm,0mm,0mm,0mm" style="mso-fit-shape-to-text:t;">
                <w:txbxContent>
                  <w:p w14:paraId="6F5A0951">
                    <w:pPr>
                      <w:pStyle w:val="36"/>
                    </w:pPr>
                    <w:r>
                      <w:fldChar w:fldCharType="begin"/>
                    </w:r>
                    <w:r>
                      <w:instrText xml:space="preserve"> PAGE  \* MERGEFORMAT </w:instrText>
                    </w:r>
                    <w:r>
                      <w:fldChar w:fldCharType="separate"/>
                    </w:r>
                    <w:r>
                      <w:t>65</w:t>
                    </w:r>
                    <w:r>
                      <w:fldChar w:fldCharType="end"/>
                    </w:r>
                  </w:p>
                </w:txbxContent>
              </v:textbox>
            </v:shape>
          </w:pict>
        </mc:Fallback>
      </mc:AlternateContent>
    </w:r>
  </w:p>
  <w:p w14:paraId="7583345B">
    <w:pPr>
      <w:pStyle w:val="21"/>
      <w:spacing w:line="14" w:lineRule="auto"/>
      <w:rPr>
        <w:sz w:val="20"/>
        <w:szCs w:val="20"/>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B119F8">
    <w:pPr>
      <w:pStyle w:val="36"/>
      <w:jc w:val="center"/>
    </w:pPr>
    <w: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EB0CAA1">
                          <w:pPr>
                            <w:pStyle w:val="36"/>
                          </w:pPr>
                          <w:r>
                            <w:fldChar w:fldCharType="begin"/>
                          </w:r>
                          <w:r>
                            <w:instrText xml:space="preserve"> PAGE  \* MERGEFORMAT </w:instrText>
                          </w:r>
                          <w:r>
                            <w:fldChar w:fldCharType="separate"/>
                          </w:r>
                          <w:r>
                            <w:t>114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VZerI4AgAAbwQAAA4AAABkcnMvZTJvRG9jLnhtbK1UzY7TMBC+I/EO&#10;lu80aRGrbt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nKgl5ToplCw0/fv51+&#10;/Dr9/Equozyt9TNEPVjEhe6t6TA0w73HZWTdVU7FX/Ah8EPc40Vc0QXC46PpZDrN4eLwDQfgZ4/P&#10;rfPhnTCKRKOgDt1LorLDxoc+dAiJ2bRZN1KmDkpN2oJevX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tVl6sjgCAABvBAAADgAAAAAAAAABACAAAAAfAQAAZHJzL2Uyb0RvYy54&#10;bWxQSwUGAAAAAAYABgBZAQAAyQUAAAAA&#10;">
              <v:fill on="f" focussize="0,0"/>
              <v:stroke on="f" weight="0.5pt"/>
              <v:imagedata o:title=""/>
              <o:lock v:ext="edit" aspectratio="f"/>
              <v:textbox inset="0mm,0mm,0mm,0mm" style="mso-fit-shape-to-text:t;">
                <w:txbxContent>
                  <w:p w14:paraId="7EB0CAA1">
                    <w:pPr>
                      <w:pStyle w:val="36"/>
                    </w:pPr>
                    <w:r>
                      <w:fldChar w:fldCharType="begin"/>
                    </w:r>
                    <w:r>
                      <w:instrText xml:space="preserve"> PAGE  \* MERGEFORMAT </w:instrText>
                    </w:r>
                    <w:r>
                      <w:fldChar w:fldCharType="separate"/>
                    </w:r>
                    <w:r>
                      <w:t>114</w:t>
                    </w:r>
                    <w:r>
                      <w:fldChar w:fldCharType="end"/>
                    </w:r>
                  </w:p>
                </w:txbxContent>
              </v:textbox>
            </v:shape>
          </w:pict>
        </mc:Fallback>
      </mc:AlternateContent>
    </w:r>
  </w:p>
  <w:p w14:paraId="67605025">
    <w:pPr>
      <w:pStyle w:val="21"/>
      <w:spacing w:line="14" w:lineRule="auto"/>
      <w:rPr>
        <w:sz w:val="20"/>
        <w:szCs w:val="20"/>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6C705E">
    <w:pPr>
      <w:pStyle w:val="37"/>
      <w:pBdr>
        <w:bottom w:val="none" w:color="auto" w:sz="0" w:space="0"/>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22E3E9">
    <w:pPr>
      <w:pStyle w:val="21"/>
      <w:spacing w:line="14" w:lineRule="auto"/>
      <w:rPr>
        <w:sz w:val="2"/>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773EE7">
    <w:pPr>
      <w:pStyle w:val="3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B9130D">
    <w:pPr>
      <w:pStyle w:val="3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A8C816">
    <w:pPr>
      <w:pStyle w:val="37"/>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A40496">
    <w:pPr>
      <w:pStyle w:val="37"/>
      <w:pBdr>
        <w:bottom w:val="none" w:color="auto" w:sz="0" w:space="1"/>
      </w:pBdr>
      <w:jc w:val="righ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4D2031">
    <w:pPr>
      <w:pStyle w:val="37"/>
      <w:jc w:val="left"/>
    </w:pPr>
    <w:r>
      <w:rPr>
        <w:rStyle w:val="346"/>
        <w:rFonts w:hint="eastAsia"/>
        <w:kern w:val="10"/>
        <w:sz w:val="22"/>
        <w:szCs w:val="22"/>
        <w:highlight w:val="white"/>
      </w:rPr>
      <w:t>广西公路工程标准施工招标文件（</w:t>
    </w:r>
    <w:r>
      <w:rPr>
        <w:rStyle w:val="346"/>
        <w:kern w:val="10"/>
        <w:sz w:val="22"/>
        <w:szCs w:val="22"/>
        <w:highlight w:val="white"/>
      </w:rPr>
      <w:t>2020年电子化版）</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7B2EF2">
    <w:pPr>
      <w:pStyle w:val="21"/>
      <w:spacing w:line="14" w:lineRule="auto"/>
      <w:rPr>
        <w:sz w:val="20"/>
        <w:szCs w:val="20"/>
      </w:rPr>
    </w:pPr>
    <w:r>
      <mc:AlternateContent>
        <mc:Choice Requires="wps">
          <w:drawing>
            <wp:anchor distT="0" distB="0" distL="114300" distR="114300" simplePos="0" relativeHeight="251667456" behindDoc="1" locked="0" layoutInCell="1" allowOverlap="1">
              <wp:simplePos x="0" y="0"/>
              <wp:positionH relativeFrom="page">
                <wp:posOffset>5161915</wp:posOffset>
              </wp:positionH>
              <wp:positionV relativeFrom="page">
                <wp:posOffset>548005</wp:posOffset>
              </wp:positionV>
              <wp:extent cx="1284605" cy="165735"/>
              <wp:effectExtent l="0" t="0" r="0" b="0"/>
              <wp:wrapNone/>
              <wp:docPr id="4" name="文本框 5"/>
              <wp:cNvGraphicFramePr/>
              <a:graphic xmlns:a="http://schemas.openxmlformats.org/drawingml/2006/main">
                <a:graphicData uri="http://schemas.microsoft.com/office/word/2010/wordprocessingShape">
                  <wps:wsp>
                    <wps:cNvSpPr txBox="1"/>
                    <wps:spPr>
                      <a:xfrm>
                        <a:off x="0" y="0"/>
                        <a:ext cx="1284605" cy="165735"/>
                      </a:xfrm>
                      <a:prstGeom prst="rect">
                        <a:avLst/>
                      </a:prstGeom>
                      <a:noFill/>
                      <a:ln>
                        <a:noFill/>
                      </a:ln>
                      <a:effectLst/>
                    </wps:spPr>
                    <wps:txbx>
                      <w:txbxContent>
                        <w:p w14:paraId="78051B8F">
                          <w:pPr>
                            <w:tabs>
                              <w:tab w:val="left" w:pos="901"/>
                            </w:tabs>
                            <w:spacing w:line="261" w:lineRule="exact"/>
                            <w:ind w:left="20"/>
                            <w:rPr>
                              <w:rFonts w:ascii="黑体" w:eastAsia="黑体"/>
                            </w:rPr>
                          </w:pPr>
                        </w:p>
                      </w:txbxContent>
                    </wps:txbx>
                    <wps:bodyPr lIns="0" tIns="0" rIns="0" bIns="0" upright="1"/>
                  </wps:wsp>
                </a:graphicData>
              </a:graphic>
            </wp:anchor>
          </w:drawing>
        </mc:Choice>
        <mc:Fallback>
          <w:pict>
            <v:shape id="文本框 5" o:spid="_x0000_s1026" o:spt="202" type="#_x0000_t202" style="position:absolute;left:0pt;margin-left:406.45pt;margin-top:43.15pt;height:13.05pt;width:101.15pt;mso-position-horizontal-relative:page;mso-position-vertical-relative:page;z-index:-251649024;mso-width-relative:page;mso-height-relative:page;" filled="f" stroked="f" coordsize="21600,21600" o:gfxdata="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BEhoxW2QAAAAsBAAAPAAAAAAAAAAEAIAAAACIAAABkcnMvZG93bnJldi54&#10;bWxQSwECFAAUAAAACACHTuJAwqIrbcABAACAAwAADgAAAAAAAAABACAAAAAoAQAAZHJzL2Uyb0Rv&#10;Yy54bWxQSwUGAAAAAAYABgBZAQAAWgUAAAAA&#10;">
              <v:fill on="f" focussize="0,0"/>
              <v:stroke on="f"/>
              <v:imagedata o:title=""/>
              <o:lock v:ext="edit" aspectratio="f"/>
              <v:textbox inset="0mm,0mm,0mm,0mm">
                <w:txbxContent>
                  <w:p w14:paraId="78051B8F">
                    <w:pPr>
                      <w:tabs>
                        <w:tab w:val="left" w:pos="901"/>
                      </w:tabs>
                      <w:spacing w:line="261" w:lineRule="exact"/>
                      <w:ind w:left="20"/>
                      <w:rPr>
                        <w:rFonts w:ascii="黑体" w:eastAsia="黑体"/>
                      </w:rPr>
                    </w:pPr>
                  </w:p>
                </w:txbxContent>
              </v:textbox>
            </v:shape>
          </w:pict>
        </mc:Fallback>
      </mc:AlternateConten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2F68AE">
    <w:pPr>
      <w:pStyle w:val="21"/>
      <w:spacing w:line="14" w:lineRule="auto"/>
      <w:rPr>
        <w:sz w:val="20"/>
        <w:szCs w:val="20"/>
      </w:rPr>
    </w:pPr>
    <w:r>
      <mc:AlternateContent>
        <mc:Choice Requires="wps">
          <w:drawing>
            <wp:anchor distT="0" distB="0" distL="114300" distR="114300" simplePos="0" relativeHeight="251668480" behindDoc="1" locked="0" layoutInCell="1" allowOverlap="1">
              <wp:simplePos x="0" y="0"/>
              <wp:positionH relativeFrom="page">
                <wp:posOffset>5161915</wp:posOffset>
              </wp:positionH>
              <wp:positionV relativeFrom="page">
                <wp:posOffset>548005</wp:posOffset>
              </wp:positionV>
              <wp:extent cx="1284605" cy="165735"/>
              <wp:effectExtent l="0" t="0" r="0" b="0"/>
              <wp:wrapNone/>
              <wp:docPr id="6" name="文本框 11"/>
              <wp:cNvGraphicFramePr/>
              <a:graphic xmlns:a="http://schemas.openxmlformats.org/drawingml/2006/main">
                <a:graphicData uri="http://schemas.microsoft.com/office/word/2010/wordprocessingShape">
                  <wps:wsp>
                    <wps:cNvSpPr txBox="1"/>
                    <wps:spPr>
                      <a:xfrm>
                        <a:off x="0" y="0"/>
                        <a:ext cx="1284605" cy="165735"/>
                      </a:xfrm>
                      <a:prstGeom prst="rect">
                        <a:avLst/>
                      </a:prstGeom>
                      <a:noFill/>
                      <a:ln>
                        <a:noFill/>
                      </a:ln>
                      <a:effectLst/>
                    </wps:spPr>
                    <wps:txbx>
                      <w:txbxContent>
                        <w:p w14:paraId="1CEA749E">
                          <w:pPr>
                            <w:tabs>
                              <w:tab w:val="left" w:pos="901"/>
                            </w:tabs>
                            <w:spacing w:line="261" w:lineRule="exact"/>
                            <w:ind w:left="20"/>
                            <w:rPr>
                              <w:rFonts w:ascii="黑体" w:eastAsia="黑体"/>
                            </w:rPr>
                          </w:pPr>
                        </w:p>
                      </w:txbxContent>
                    </wps:txbx>
                    <wps:bodyPr lIns="0" tIns="0" rIns="0" bIns="0" upright="1"/>
                  </wps:wsp>
                </a:graphicData>
              </a:graphic>
            </wp:anchor>
          </w:drawing>
        </mc:Choice>
        <mc:Fallback>
          <w:pict>
            <v:shape id="文本框 11" o:spid="_x0000_s1026" o:spt="202" type="#_x0000_t202" style="position:absolute;left:0pt;margin-left:406.45pt;margin-top:43.15pt;height:13.05pt;width:101.15pt;mso-position-horizontal-relative:page;mso-position-vertical-relative:page;z-index:-251648000;mso-width-relative:page;mso-height-relative:page;" filled="f" stroked="f" coordsize="21600,21600" o:gfxdata="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ESGjFbZAAAACwEAAA8AAAAAAAAAAQAgAAAAIgAAAGRycy9kb3ducmV2Lnht&#10;bFBLAQIUABQAAAAIAIdO4kD7xgZkvwEAAIEDAAAOAAAAAAAAAAEAIAAAACgBAABkcnMvZTJvRG9j&#10;LnhtbFBLBQYAAAAABgAGAFkBAABZBQAAAAA=&#10;">
              <v:fill on="f" focussize="0,0"/>
              <v:stroke on="f"/>
              <v:imagedata o:title=""/>
              <o:lock v:ext="edit" aspectratio="f"/>
              <v:textbox inset="0mm,0mm,0mm,0mm">
                <w:txbxContent>
                  <w:p w14:paraId="1CEA749E">
                    <w:pPr>
                      <w:tabs>
                        <w:tab w:val="left" w:pos="901"/>
                      </w:tabs>
                      <w:spacing w:line="261" w:lineRule="exact"/>
                      <w:ind w:left="20"/>
                      <w:rPr>
                        <w:rFonts w:ascii="黑体" w:eastAsia="黑体"/>
                      </w:rPr>
                    </w:pPr>
                  </w:p>
                </w:txbxContent>
              </v:textbox>
            </v:shape>
          </w:pict>
        </mc:Fallback>
      </mc:AlternateConten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030D22">
    <w:pPr>
      <w:pStyle w:val="21"/>
      <w:spacing w:line="14" w:lineRule="auto"/>
      <w:rPr>
        <w:sz w:val="2"/>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301E36">
    <w:pPr>
      <w:pStyle w:val="21"/>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D14A49B"/>
    <w:multiLevelType w:val="singleLevel"/>
    <w:tmpl w:val="AD14A49B"/>
    <w:lvl w:ilvl="0" w:tentative="0">
      <w:start w:val="603"/>
      <w:numFmt w:val="decimal"/>
      <w:suff w:val="space"/>
      <w:lvlText w:val="第%1节"/>
      <w:lvlJc w:val="left"/>
    </w:lvl>
  </w:abstractNum>
  <w:abstractNum w:abstractNumId="1">
    <w:nsid w:val="BA7A0D5E"/>
    <w:multiLevelType w:val="singleLevel"/>
    <w:tmpl w:val="BA7A0D5E"/>
    <w:lvl w:ilvl="0" w:tentative="0">
      <w:start w:val="1"/>
      <w:numFmt w:val="decimal"/>
      <w:lvlText w:val="%1."/>
      <w:lvlJc w:val="left"/>
      <w:pPr>
        <w:tabs>
          <w:tab w:val="left" w:pos="312"/>
        </w:tabs>
      </w:pPr>
    </w:lvl>
  </w:abstractNum>
  <w:abstractNum w:abstractNumId="2">
    <w:nsid w:val="C3518B55"/>
    <w:multiLevelType w:val="singleLevel"/>
    <w:tmpl w:val="C3518B55"/>
    <w:lvl w:ilvl="0" w:tentative="0">
      <w:start w:val="1"/>
      <w:numFmt w:val="decimal"/>
      <w:suff w:val="nothing"/>
      <w:lvlText w:val="（%1）"/>
      <w:lvlJc w:val="left"/>
      <w:pPr>
        <w:ind w:left="120" w:firstLine="0"/>
      </w:pPr>
    </w:lvl>
  </w:abstractNum>
  <w:abstractNum w:abstractNumId="3">
    <w:nsid w:val="C4B141DC"/>
    <w:multiLevelType w:val="singleLevel"/>
    <w:tmpl w:val="C4B141DC"/>
    <w:lvl w:ilvl="0" w:tentative="0">
      <w:start w:val="2"/>
      <w:numFmt w:val="decimal"/>
      <w:suff w:val="nothing"/>
      <w:lvlText w:val="（%1）"/>
      <w:lvlJc w:val="left"/>
    </w:lvl>
  </w:abstractNum>
  <w:abstractNum w:abstractNumId="4">
    <w:nsid w:val="FFFFFF7E"/>
    <w:multiLevelType w:val="singleLevel"/>
    <w:tmpl w:val="FFFFFF7E"/>
    <w:lvl w:ilvl="0" w:tentative="0">
      <w:start w:val="1"/>
      <w:numFmt w:val="decimal"/>
      <w:pStyle w:val="23"/>
      <w:lvlText w:val="%1."/>
      <w:lvlJc w:val="left"/>
      <w:pPr>
        <w:tabs>
          <w:tab w:val="left" w:pos="1200"/>
        </w:tabs>
        <w:ind w:left="1200" w:hanging="360"/>
      </w:pPr>
    </w:lvl>
  </w:abstractNum>
  <w:abstractNum w:abstractNumId="5">
    <w:nsid w:val="0000000A"/>
    <w:multiLevelType w:val="multilevel"/>
    <w:tmpl w:val="0000000A"/>
    <w:lvl w:ilvl="0" w:tentative="0">
      <w:start w:val="3"/>
      <w:numFmt w:val="chineseCountingThousand"/>
      <w:pStyle w:val="446"/>
      <w:suff w:val="nothing"/>
      <w:lvlText w:val="第%1章"/>
      <w:lvlJc w:val="left"/>
      <w:rPr>
        <w:rFonts w:hint="eastAsia"/>
      </w:rPr>
    </w:lvl>
    <w:lvl w:ilvl="1" w:tentative="0">
      <w:start w:val="1"/>
      <w:numFmt w:val="none"/>
      <w:suff w:val="nothing"/>
      <w:lvlText w:val=""/>
      <w:lvlJc w:val="left"/>
      <w:rPr>
        <w:rFonts w:hint="eastAsia"/>
      </w:rPr>
    </w:lvl>
    <w:lvl w:ilvl="2" w:tentative="0">
      <w:start w:val="1"/>
      <w:numFmt w:val="none"/>
      <w:suff w:val="nothing"/>
      <w:lvlText w:val=""/>
      <w:lvlJc w:val="left"/>
      <w:rPr>
        <w:rFonts w:hint="eastAsia"/>
      </w:rPr>
    </w:lvl>
    <w:lvl w:ilvl="3" w:tentative="0">
      <w:start w:val="1"/>
      <w:numFmt w:val="none"/>
      <w:suff w:val="nothing"/>
      <w:lvlText w:val=""/>
      <w:lvlJc w:val="left"/>
      <w:rPr>
        <w:rFonts w:hint="eastAsia"/>
      </w:rPr>
    </w:lvl>
    <w:lvl w:ilvl="4" w:tentative="0">
      <w:start w:val="1"/>
      <w:numFmt w:val="none"/>
      <w:suff w:val="nothing"/>
      <w:lvlText w:val=""/>
      <w:lvlJc w:val="left"/>
      <w:rPr>
        <w:rFonts w:hint="eastAsia"/>
      </w:rPr>
    </w:lvl>
    <w:lvl w:ilvl="5" w:tentative="0">
      <w:start w:val="1"/>
      <w:numFmt w:val="none"/>
      <w:suff w:val="nothing"/>
      <w:lvlText w:val=""/>
      <w:lvlJc w:val="left"/>
      <w:rPr>
        <w:rFonts w:hint="eastAsia"/>
      </w:rPr>
    </w:lvl>
    <w:lvl w:ilvl="6" w:tentative="0">
      <w:start w:val="1"/>
      <w:numFmt w:val="none"/>
      <w:suff w:val="nothing"/>
      <w:lvlText w:val=""/>
      <w:lvlJc w:val="left"/>
      <w:rPr>
        <w:rFonts w:hint="eastAsia"/>
      </w:rPr>
    </w:lvl>
    <w:lvl w:ilvl="7" w:tentative="0">
      <w:start w:val="1"/>
      <w:numFmt w:val="none"/>
      <w:suff w:val="nothing"/>
      <w:lvlText w:val=""/>
      <w:lvlJc w:val="left"/>
      <w:rPr>
        <w:rFonts w:hint="eastAsia"/>
      </w:rPr>
    </w:lvl>
    <w:lvl w:ilvl="8" w:tentative="0">
      <w:start w:val="1"/>
      <w:numFmt w:val="none"/>
      <w:suff w:val="nothing"/>
      <w:lvlText w:val=""/>
      <w:lvlJc w:val="left"/>
      <w:rPr>
        <w:rFonts w:hint="eastAsia"/>
      </w:rPr>
    </w:lvl>
  </w:abstractNum>
  <w:abstractNum w:abstractNumId="6">
    <w:nsid w:val="60E2B30F"/>
    <w:multiLevelType w:val="singleLevel"/>
    <w:tmpl w:val="60E2B30F"/>
    <w:lvl w:ilvl="0" w:tentative="0">
      <w:start w:val="8"/>
      <w:numFmt w:val="decimal"/>
      <w:lvlText w:val="%1."/>
      <w:lvlJc w:val="left"/>
      <w:pPr>
        <w:tabs>
          <w:tab w:val="left" w:pos="312"/>
        </w:tabs>
      </w:pPr>
    </w:lvl>
  </w:abstractNum>
  <w:abstractNum w:abstractNumId="7">
    <w:nsid w:val="6670228A"/>
    <w:multiLevelType w:val="multilevel"/>
    <w:tmpl w:val="6670228A"/>
    <w:lvl w:ilvl="0" w:tentative="0">
      <w:start w:val="1"/>
      <w:numFmt w:val="decimal"/>
      <w:pStyle w:val="411"/>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pStyle w:val="5"/>
      <w:lvlText w:val="%4."/>
      <w:lvlJc w:val="left"/>
      <w:pPr>
        <w:ind w:left="1680" w:hanging="420"/>
      </w:pPr>
    </w:lvl>
    <w:lvl w:ilvl="4" w:tentative="0">
      <w:start w:val="1"/>
      <w:numFmt w:val="lowerLetter"/>
      <w:lvlText w:val="%5)"/>
      <w:lvlJc w:val="left"/>
      <w:pPr>
        <w:ind w:left="2100" w:hanging="420"/>
      </w:pPr>
    </w:lvl>
    <w:lvl w:ilvl="5" w:tentative="0">
      <w:start w:val="1"/>
      <w:numFmt w:val="lowerRoman"/>
      <w:pStyle w:val="7"/>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pStyle w:val="11"/>
      <w:lvlText w:val="%9."/>
      <w:lvlJc w:val="right"/>
      <w:pPr>
        <w:ind w:left="3780" w:hanging="420"/>
      </w:pPr>
    </w:lvl>
  </w:abstractNum>
  <w:num w:numId="1">
    <w:abstractNumId w:val="7"/>
  </w:num>
  <w:num w:numId="2">
    <w:abstractNumId w:val="4"/>
  </w:num>
  <w:num w:numId="3">
    <w:abstractNumId w:val="5"/>
  </w:num>
  <w:num w:numId="4">
    <w:abstractNumId w:val="3"/>
  </w:num>
  <w:num w:numId="5">
    <w:abstractNumId w:val="2"/>
  </w:num>
  <w:num w:numId="6">
    <w:abstractNumId w:val="0"/>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doNotDisplayPageBoundaries w:val="1"/>
  <w:embedSystemFonts/>
  <w:bordersDoNotSurroundHeader w:val="1"/>
  <w:bordersDoNotSurroundFooter w:val="1"/>
  <w:hideSpellingErrors/>
  <w:documentProtection w:edit="readOnly" w:formatting="1" w:enforcement="0"/>
  <w:defaultTabStop w:val="420"/>
  <w:doNotHyphenateCaps/>
  <w:drawingGridHorizontalSpacing w:val="105"/>
  <w:drawingGridVerticalSpacing w:val="156"/>
  <w:noPunctuationKerning w:val="1"/>
  <w:characterSpacingControl w:val="compressPunctuation"/>
  <w:noLineBreaksAfter w:lang="zh-CN" w:val="$([{£¥·‘“〈《「『【〔〖〝﹙﹛﹝＄（．［｛￡￥"/>
  <w:noLineBreaksBefore w:lang="zh-CN" w:val="!%),.:;&gt;?]}¢¨°·ˇˉ―‖’”…‰′″›℃∶、。〃〉》」』】〕〗〞︶︺︾﹀﹄﹚﹜﹞！＂％＇），．：；？］｀｜｝～￠"/>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MyYjI5MGE0MDZkODcxNTgzNjM2Y2JkYjVmYmU5NWQifQ=="/>
  </w:docVars>
  <w:rsids>
    <w:rsidRoot w:val="00F34B14"/>
    <w:rsid w:val="00000672"/>
    <w:rsid w:val="00001013"/>
    <w:rsid w:val="00001799"/>
    <w:rsid w:val="00001AF2"/>
    <w:rsid w:val="00001ECA"/>
    <w:rsid w:val="00002D29"/>
    <w:rsid w:val="00002EAF"/>
    <w:rsid w:val="00003B93"/>
    <w:rsid w:val="0000474D"/>
    <w:rsid w:val="00005FDF"/>
    <w:rsid w:val="00006851"/>
    <w:rsid w:val="000070B3"/>
    <w:rsid w:val="000076B8"/>
    <w:rsid w:val="00010746"/>
    <w:rsid w:val="000109DC"/>
    <w:rsid w:val="00010D39"/>
    <w:rsid w:val="00011234"/>
    <w:rsid w:val="000116DA"/>
    <w:rsid w:val="0001172C"/>
    <w:rsid w:val="00011BC9"/>
    <w:rsid w:val="00012854"/>
    <w:rsid w:val="00012EA6"/>
    <w:rsid w:val="00013359"/>
    <w:rsid w:val="00013528"/>
    <w:rsid w:val="000139CF"/>
    <w:rsid w:val="00013AA4"/>
    <w:rsid w:val="00013DFE"/>
    <w:rsid w:val="000141EA"/>
    <w:rsid w:val="00014CA1"/>
    <w:rsid w:val="00015A00"/>
    <w:rsid w:val="00016ABC"/>
    <w:rsid w:val="00016DE6"/>
    <w:rsid w:val="000177DB"/>
    <w:rsid w:val="000179C9"/>
    <w:rsid w:val="00017CCC"/>
    <w:rsid w:val="00020227"/>
    <w:rsid w:val="00020263"/>
    <w:rsid w:val="00020455"/>
    <w:rsid w:val="00020813"/>
    <w:rsid w:val="000220B2"/>
    <w:rsid w:val="00022637"/>
    <w:rsid w:val="0002264C"/>
    <w:rsid w:val="00022731"/>
    <w:rsid w:val="00022792"/>
    <w:rsid w:val="00024463"/>
    <w:rsid w:val="00025461"/>
    <w:rsid w:val="00025636"/>
    <w:rsid w:val="00025E36"/>
    <w:rsid w:val="00026855"/>
    <w:rsid w:val="00026886"/>
    <w:rsid w:val="0002785D"/>
    <w:rsid w:val="000307BE"/>
    <w:rsid w:val="000313DC"/>
    <w:rsid w:val="00032704"/>
    <w:rsid w:val="000329E0"/>
    <w:rsid w:val="00033A36"/>
    <w:rsid w:val="000352E9"/>
    <w:rsid w:val="00035494"/>
    <w:rsid w:val="00036125"/>
    <w:rsid w:val="000365AC"/>
    <w:rsid w:val="00036A07"/>
    <w:rsid w:val="00036C95"/>
    <w:rsid w:val="0003780B"/>
    <w:rsid w:val="00040571"/>
    <w:rsid w:val="00040973"/>
    <w:rsid w:val="0004156E"/>
    <w:rsid w:val="00041713"/>
    <w:rsid w:val="00041C18"/>
    <w:rsid w:val="00043A04"/>
    <w:rsid w:val="00044263"/>
    <w:rsid w:val="0004440C"/>
    <w:rsid w:val="000451F1"/>
    <w:rsid w:val="00046B5E"/>
    <w:rsid w:val="000470CB"/>
    <w:rsid w:val="000479FF"/>
    <w:rsid w:val="000509D9"/>
    <w:rsid w:val="000512AF"/>
    <w:rsid w:val="00051ACB"/>
    <w:rsid w:val="000533E7"/>
    <w:rsid w:val="00055D41"/>
    <w:rsid w:val="00056EF6"/>
    <w:rsid w:val="00057CD6"/>
    <w:rsid w:val="00060DCE"/>
    <w:rsid w:val="000610E3"/>
    <w:rsid w:val="000614F3"/>
    <w:rsid w:val="000623B4"/>
    <w:rsid w:val="00062405"/>
    <w:rsid w:val="00062B42"/>
    <w:rsid w:val="00062EB1"/>
    <w:rsid w:val="000634A7"/>
    <w:rsid w:val="00063B0B"/>
    <w:rsid w:val="00063F81"/>
    <w:rsid w:val="00064847"/>
    <w:rsid w:val="00064F97"/>
    <w:rsid w:val="0006580C"/>
    <w:rsid w:val="00065E08"/>
    <w:rsid w:val="000673E2"/>
    <w:rsid w:val="0007027E"/>
    <w:rsid w:val="0007063F"/>
    <w:rsid w:val="000707FD"/>
    <w:rsid w:val="00070949"/>
    <w:rsid w:val="000711E4"/>
    <w:rsid w:val="000720A1"/>
    <w:rsid w:val="000724D9"/>
    <w:rsid w:val="00072AED"/>
    <w:rsid w:val="00073F47"/>
    <w:rsid w:val="0007492F"/>
    <w:rsid w:val="00074ED8"/>
    <w:rsid w:val="00075B7E"/>
    <w:rsid w:val="00075CE0"/>
    <w:rsid w:val="00077ACA"/>
    <w:rsid w:val="00077C70"/>
    <w:rsid w:val="000813B5"/>
    <w:rsid w:val="0008191E"/>
    <w:rsid w:val="00081BA3"/>
    <w:rsid w:val="00081D2E"/>
    <w:rsid w:val="00081F89"/>
    <w:rsid w:val="00082619"/>
    <w:rsid w:val="00082D02"/>
    <w:rsid w:val="00083871"/>
    <w:rsid w:val="00083B91"/>
    <w:rsid w:val="0008473C"/>
    <w:rsid w:val="0008520B"/>
    <w:rsid w:val="000857DE"/>
    <w:rsid w:val="000860BD"/>
    <w:rsid w:val="0008694B"/>
    <w:rsid w:val="000871B8"/>
    <w:rsid w:val="00087B0A"/>
    <w:rsid w:val="000904D2"/>
    <w:rsid w:val="000916DA"/>
    <w:rsid w:val="00092442"/>
    <w:rsid w:val="000929EF"/>
    <w:rsid w:val="00092C26"/>
    <w:rsid w:val="000933BE"/>
    <w:rsid w:val="0009560F"/>
    <w:rsid w:val="0009588E"/>
    <w:rsid w:val="000959EE"/>
    <w:rsid w:val="00096DB9"/>
    <w:rsid w:val="00097183"/>
    <w:rsid w:val="000972CB"/>
    <w:rsid w:val="00097608"/>
    <w:rsid w:val="000A098F"/>
    <w:rsid w:val="000A0B47"/>
    <w:rsid w:val="000A1175"/>
    <w:rsid w:val="000A13F3"/>
    <w:rsid w:val="000A1758"/>
    <w:rsid w:val="000A23B1"/>
    <w:rsid w:val="000A2B0E"/>
    <w:rsid w:val="000A398F"/>
    <w:rsid w:val="000A448C"/>
    <w:rsid w:val="000A509C"/>
    <w:rsid w:val="000A54A7"/>
    <w:rsid w:val="000A5712"/>
    <w:rsid w:val="000A6007"/>
    <w:rsid w:val="000A65A6"/>
    <w:rsid w:val="000A70E3"/>
    <w:rsid w:val="000A7275"/>
    <w:rsid w:val="000A7A12"/>
    <w:rsid w:val="000A7A72"/>
    <w:rsid w:val="000B1202"/>
    <w:rsid w:val="000B13B8"/>
    <w:rsid w:val="000B1801"/>
    <w:rsid w:val="000B1D0C"/>
    <w:rsid w:val="000B2273"/>
    <w:rsid w:val="000B2BC6"/>
    <w:rsid w:val="000B2D03"/>
    <w:rsid w:val="000B37F2"/>
    <w:rsid w:val="000B3815"/>
    <w:rsid w:val="000B3C7B"/>
    <w:rsid w:val="000B4321"/>
    <w:rsid w:val="000B6A6B"/>
    <w:rsid w:val="000B6C95"/>
    <w:rsid w:val="000B79FC"/>
    <w:rsid w:val="000C1679"/>
    <w:rsid w:val="000C1EE3"/>
    <w:rsid w:val="000C27EB"/>
    <w:rsid w:val="000C2D25"/>
    <w:rsid w:val="000C3AE7"/>
    <w:rsid w:val="000C3CC9"/>
    <w:rsid w:val="000C6DE4"/>
    <w:rsid w:val="000C7202"/>
    <w:rsid w:val="000D0A89"/>
    <w:rsid w:val="000D1389"/>
    <w:rsid w:val="000D1798"/>
    <w:rsid w:val="000D2626"/>
    <w:rsid w:val="000D29A2"/>
    <w:rsid w:val="000D320C"/>
    <w:rsid w:val="000D341C"/>
    <w:rsid w:val="000D411D"/>
    <w:rsid w:val="000D4589"/>
    <w:rsid w:val="000D4809"/>
    <w:rsid w:val="000D48E9"/>
    <w:rsid w:val="000D5961"/>
    <w:rsid w:val="000D73DD"/>
    <w:rsid w:val="000D7574"/>
    <w:rsid w:val="000E1C51"/>
    <w:rsid w:val="000E28AB"/>
    <w:rsid w:val="000E29EE"/>
    <w:rsid w:val="000E2E3E"/>
    <w:rsid w:val="000E310E"/>
    <w:rsid w:val="000E3583"/>
    <w:rsid w:val="000E370E"/>
    <w:rsid w:val="000E3AF0"/>
    <w:rsid w:val="000E4E04"/>
    <w:rsid w:val="000E693B"/>
    <w:rsid w:val="000E6EC9"/>
    <w:rsid w:val="000E704E"/>
    <w:rsid w:val="000E70B4"/>
    <w:rsid w:val="000E7B62"/>
    <w:rsid w:val="000F0E1E"/>
    <w:rsid w:val="000F1A1B"/>
    <w:rsid w:val="000F26C7"/>
    <w:rsid w:val="000F2A95"/>
    <w:rsid w:val="000F3281"/>
    <w:rsid w:val="000F32FD"/>
    <w:rsid w:val="000F3733"/>
    <w:rsid w:val="000F5F8B"/>
    <w:rsid w:val="000F6153"/>
    <w:rsid w:val="000F64AA"/>
    <w:rsid w:val="000F7AF4"/>
    <w:rsid w:val="000F7C33"/>
    <w:rsid w:val="000F7F0C"/>
    <w:rsid w:val="001004D6"/>
    <w:rsid w:val="00100684"/>
    <w:rsid w:val="00101D1B"/>
    <w:rsid w:val="001023AD"/>
    <w:rsid w:val="00102676"/>
    <w:rsid w:val="001029C1"/>
    <w:rsid w:val="00103646"/>
    <w:rsid w:val="00103918"/>
    <w:rsid w:val="0010441D"/>
    <w:rsid w:val="00104897"/>
    <w:rsid w:val="00104EDE"/>
    <w:rsid w:val="00105CDA"/>
    <w:rsid w:val="00106BEE"/>
    <w:rsid w:val="0010711C"/>
    <w:rsid w:val="00107BDF"/>
    <w:rsid w:val="00107C74"/>
    <w:rsid w:val="0011091C"/>
    <w:rsid w:val="00111266"/>
    <w:rsid w:val="001112EB"/>
    <w:rsid w:val="0011247D"/>
    <w:rsid w:val="00112FFB"/>
    <w:rsid w:val="001133A8"/>
    <w:rsid w:val="00113678"/>
    <w:rsid w:val="00113A7D"/>
    <w:rsid w:val="00113C3E"/>
    <w:rsid w:val="00115132"/>
    <w:rsid w:val="00115E11"/>
    <w:rsid w:val="00115EEE"/>
    <w:rsid w:val="00115F56"/>
    <w:rsid w:val="00116CA9"/>
    <w:rsid w:val="00116F38"/>
    <w:rsid w:val="001170A4"/>
    <w:rsid w:val="00117AE7"/>
    <w:rsid w:val="00117B85"/>
    <w:rsid w:val="00117CBD"/>
    <w:rsid w:val="0012006A"/>
    <w:rsid w:val="00121979"/>
    <w:rsid w:val="00122064"/>
    <w:rsid w:val="00124341"/>
    <w:rsid w:val="00124492"/>
    <w:rsid w:val="00124B12"/>
    <w:rsid w:val="001250A0"/>
    <w:rsid w:val="00125844"/>
    <w:rsid w:val="001263B8"/>
    <w:rsid w:val="00130217"/>
    <w:rsid w:val="00130783"/>
    <w:rsid w:val="00130A47"/>
    <w:rsid w:val="00132B47"/>
    <w:rsid w:val="001337F8"/>
    <w:rsid w:val="00133B6A"/>
    <w:rsid w:val="001348B4"/>
    <w:rsid w:val="001351CB"/>
    <w:rsid w:val="00135530"/>
    <w:rsid w:val="001357F7"/>
    <w:rsid w:val="00135947"/>
    <w:rsid w:val="001359A2"/>
    <w:rsid w:val="00135CFA"/>
    <w:rsid w:val="00135F92"/>
    <w:rsid w:val="00136020"/>
    <w:rsid w:val="0013641C"/>
    <w:rsid w:val="00136445"/>
    <w:rsid w:val="00137389"/>
    <w:rsid w:val="00140132"/>
    <w:rsid w:val="00141101"/>
    <w:rsid w:val="00141340"/>
    <w:rsid w:val="00141C9C"/>
    <w:rsid w:val="001424DE"/>
    <w:rsid w:val="0014277F"/>
    <w:rsid w:val="001434BE"/>
    <w:rsid w:val="00143AAD"/>
    <w:rsid w:val="00144050"/>
    <w:rsid w:val="00144369"/>
    <w:rsid w:val="0014479F"/>
    <w:rsid w:val="001452B4"/>
    <w:rsid w:val="00145320"/>
    <w:rsid w:val="00145439"/>
    <w:rsid w:val="001476D3"/>
    <w:rsid w:val="001509CF"/>
    <w:rsid w:val="00150D1D"/>
    <w:rsid w:val="001525AA"/>
    <w:rsid w:val="00152A87"/>
    <w:rsid w:val="00152AC1"/>
    <w:rsid w:val="00153BB5"/>
    <w:rsid w:val="00154342"/>
    <w:rsid w:val="00154518"/>
    <w:rsid w:val="00154723"/>
    <w:rsid w:val="00155512"/>
    <w:rsid w:val="00156303"/>
    <w:rsid w:val="00156359"/>
    <w:rsid w:val="00156A2B"/>
    <w:rsid w:val="00156DD6"/>
    <w:rsid w:val="0016086E"/>
    <w:rsid w:val="00160D0C"/>
    <w:rsid w:val="00160DD1"/>
    <w:rsid w:val="00161172"/>
    <w:rsid w:val="00161998"/>
    <w:rsid w:val="00161E65"/>
    <w:rsid w:val="00162597"/>
    <w:rsid w:val="001629AF"/>
    <w:rsid w:val="001629FD"/>
    <w:rsid w:val="001630EF"/>
    <w:rsid w:val="0016428A"/>
    <w:rsid w:val="001647C9"/>
    <w:rsid w:val="00165627"/>
    <w:rsid w:val="00165987"/>
    <w:rsid w:val="001661A3"/>
    <w:rsid w:val="00167226"/>
    <w:rsid w:val="001677C9"/>
    <w:rsid w:val="0016782B"/>
    <w:rsid w:val="0016784D"/>
    <w:rsid w:val="00167853"/>
    <w:rsid w:val="00167887"/>
    <w:rsid w:val="001720EF"/>
    <w:rsid w:val="00172CA8"/>
    <w:rsid w:val="00173256"/>
    <w:rsid w:val="00173B0E"/>
    <w:rsid w:val="00173E03"/>
    <w:rsid w:val="001747F4"/>
    <w:rsid w:val="0017512C"/>
    <w:rsid w:val="001756AF"/>
    <w:rsid w:val="0017586A"/>
    <w:rsid w:val="00175BA6"/>
    <w:rsid w:val="00175FDC"/>
    <w:rsid w:val="001768FE"/>
    <w:rsid w:val="00176CA7"/>
    <w:rsid w:val="00176D0C"/>
    <w:rsid w:val="00176F8E"/>
    <w:rsid w:val="001778C5"/>
    <w:rsid w:val="00177E56"/>
    <w:rsid w:val="00177F0A"/>
    <w:rsid w:val="00180DA0"/>
    <w:rsid w:val="00181EAD"/>
    <w:rsid w:val="00182862"/>
    <w:rsid w:val="00184F57"/>
    <w:rsid w:val="00185091"/>
    <w:rsid w:val="001852E9"/>
    <w:rsid w:val="00185544"/>
    <w:rsid w:val="00185617"/>
    <w:rsid w:val="00186FE1"/>
    <w:rsid w:val="00187A14"/>
    <w:rsid w:val="0019171E"/>
    <w:rsid w:val="00191790"/>
    <w:rsid w:val="00192368"/>
    <w:rsid w:val="001923A0"/>
    <w:rsid w:val="001928B1"/>
    <w:rsid w:val="00193537"/>
    <w:rsid w:val="00193846"/>
    <w:rsid w:val="00193C35"/>
    <w:rsid w:val="00193CA5"/>
    <w:rsid w:val="00193FD7"/>
    <w:rsid w:val="00195424"/>
    <w:rsid w:val="001955FF"/>
    <w:rsid w:val="00197EDD"/>
    <w:rsid w:val="001A02B3"/>
    <w:rsid w:val="001A04BB"/>
    <w:rsid w:val="001A08A5"/>
    <w:rsid w:val="001A08D0"/>
    <w:rsid w:val="001A0E82"/>
    <w:rsid w:val="001A1B39"/>
    <w:rsid w:val="001A2120"/>
    <w:rsid w:val="001A2256"/>
    <w:rsid w:val="001A28C6"/>
    <w:rsid w:val="001A2E69"/>
    <w:rsid w:val="001A30F7"/>
    <w:rsid w:val="001A3C34"/>
    <w:rsid w:val="001A3EDE"/>
    <w:rsid w:val="001A4222"/>
    <w:rsid w:val="001A446A"/>
    <w:rsid w:val="001A50EA"/>
    <w:rsid w:val="001A541E"/>
    <w:rsid w:val="001A5E24"/>
    <w:rsid w:val="001A5FF4"/>
    <w:rsid w:val="001A624D"/>
    <w:rsid w:val="001A6795"/>
    <w:rsid w:val="001A6B27"/>
    <w:rsid w:val="001A6D8B"/>
    <w:rsid w:val="001A6DAA"/>
    <w:rsid w:val="001A7717"/>
    <w:rsid w:val="001A793A"/>
    <w:rsid w:val="001B125A"/>
    <w:rsid w:val="001B1EBA"/>
    <w:rsid w:val="001B2142"/>
    <w:rsid w:val="001B2C23"/>
    <w:rsid w:val="001B2F2B"/>
    <w:rsid w:val="001B327A"/>
    <w:rsid w:val="001B35DE"/>
    <w:rsid w:val="001B3A13"/>
    <w:rsid w:val="001B3F5C"/>
    <w:rsid w:val="001B57C9"/>
    <w:rsid w:val="001B59FF"/>
    <w:rsid w:val="001B6512"/>
    <w:rsid w:val="001B65D7"/>
    <w:rsid w:val="001B6752"/>
    <w:rsid w:val="001B6768"/>
    <w:rsid w:val="001B6F1F"/>
    <w:rsid w:val="001B79E3"/>
    <w:rsid w:val="001B7ECC"/>
    <w:rsid w:val="001C025B"/>
    <w:rsid w:val="001C115F"/>
    <w:rsid w:val="001C1EAB"/>
    <w:rsid w:val="001C25A7"/>
    <w:rsid w:val="001C2E4F"/>
    <w:rsid w:val="001C318C"/>
    <w:rsid w:val="001C35C4"/>
    <w:rsid w:val="001C4287"/>
    <w:rsid w:val="001C4479"/>
    <w:rsid w:val="001C5190"/>
    <w:rsid w:val="001C6081"/>
    <w:rsid w:val="001C73EB"/>
    <w:rsid w:val="001C7B48"/>
    <w:rsid w:val="001C7CFB"/>
    <w:rsid w:val="001D0CFB"/>
    <w:rsid w:val="001D1A0D"/>
    <w:rsid w:val="001D1B1D"/>
    <w:rsid w:val="001D31B6"/>
    <w:rsid w:val="001D343C"/>
    <w:rsid w:val="001D43C7"/>
    <w:rsid w:val="001D566A"/>
    <w:rsid w:val="001D58A1"/>
    <w:rsid w:val="001D58C2"/>
    <w:rsid w:val="001D5A8A"/>
    <w:rsid w:val="001D61CA"/>
    <w:rsid w:val="001D6E87"/>
    <w:rsid w:val="001D735E"/>
    <w:rsid w:val="001D73C8"/>
    <w:rsid w:val="001D7BC6"/>
    <w:rsid w:val="001E08DF"/>
    <w:rsid w:val="001E129E"/>
    <w:rsid w:val="001E175C"/>
    <w:rsid w:val="001E1B0E"/>
    <w:rsid w:val="001E2424"/>
    <w:rsid w:val="001E3B63"/>
    <w:rsid w:val="001E5A94"/>
    <w:rsid w:val="001F2A2E"/>
    <w:rsid w:val="001F2FDF"/>
    <w:rsid w:val="001F3356"/>
    <w:rsid w:val="001F3C63"/>
    <w:rsid w:val="001F4460"/>
    <w:rsid w:val="001F711A"/>
    <w:rsid w:val="001F75B0"/>
    <w:rsid w:val="0020057C"/>
    <w:rsid w:val="002008A0"/>
    <w:rsid w:val="00200CC8"/>
    <w:rsid w:val="00200CE5"/>
    <w:rsid w:val="00200F7C"/>
    <w:rsid w:val="002014DB"/>
    <w:rsid w:val="0020150B"/>
    <w:rsid w:val="00201E12"/>
    <w:rsid w:val="00202058"/>
    <w:rsid w:val="00202295"/>
    <w:rsid w:val="002033B5"/>
    <w:rsid w:val="0020382C"/>
    <w:rsid w:val="00203FBD"/>
    <w:rsid w:val="0020437A"/>
    <w:rsid w:val="0020454C"/>
    <w:rsid w:val="00204740"/>
    <w:rsid w:val="00205129"/>
    <w:rsid w:val="0020521F"/>
    <w:rsid w:val="0020532C"/>
    <w:rsid w:val="00205819"/>
    <w:rsid w:val="00205997"/>
    <w:rsid w:val="002114C7"/>
    <w:rsid w:val="0021302C"/>
    <w:rsid w:val="00213B1C"/>
    <w:rsid w:val="00213F1E"/>
    <w:rsid w:val="0021402F"/>
    <w:rsid w:val="00214202"/>
    <w:rsid w:val="002148E3"/>
    <w:rsid w:val="0021552D"/>
    <w:rsid w:val="002156AE"/>
    <w:rsid w:val="00215E99"/>
    <w:rsid w:val="0022038A"/>
    <w:rsid w:val="0022054D"/>
    <w:rsid w:val="00220A95"/>
    <w:rsid w:val="00220F4E"/>
    <w:rsid w:val="0022107B"/>
    <w:rsid w:val="00223DDB"/>
    <w:rsid w:val="00223FA4"/>
    <w:rsid w:val="00223FB0"/>
    <w:rsid w:val="00224067"/>
    <w:rsid w:val="0022421C"/>
    <w:rsid w:val="00224C4A"/>
    <w:rsid w:val="00224C9B"/>
    <w:rsid w:val="00224E83"/>
    <w:rsid w:val="00225664"/>
    <w:rsid w:val="0022663D"/>
    <w:rsid w:val="00227F2D"/>
    <w:rsid w:val="00231851"/>
    <w:rsid w:val="002319FB"/>
    <w:rsid w:val="00231B89"/>
    <w:rsid w:val="00231F11"/>
    <w:rsid w:val="00231F5E"/>
    <w:rsid w:val="002346B4"/>
    <w:rsid w:val="00234D58"/>
    <w:rsid w:val="00234F6E"/>
    <w:rsid w:val="002355BE"/>
    <w:rsid w:val="002356B8"/>
    <w:rsid w:val="002358EA"/>
    <w:rsid w:val="00236578"/>
    <w:rsid w:val="00236DE9"/>
    <w:rsid w:val="00237342"/>
    <w:rsid w:val="00237D5A"/>
    <w:rsid w:val="00237F8A"/>
    <w:rsid w:val="00240AEF"/>
    <w:rsid w:val="00240D75"/>
    <w:rsid w:val="002415AE"/>
    <w:rsid w:val="00241D3C"/>
    <w:rsid w:val="00242109"/>
    <w:rsid w:val="00242C9F"/>
    <w:rsid w:val="00243189"/>
    <w:rsid w:val="002439AB"/>
    <w:rsid w:val="00243C19"/>
    <w:rsid w:val="00244AE8"/>
    <w:rsid w:val="00244DC9"/>
    <w:rsid w:val="00244E67"/>
    <w:rsid w:val="00245587"/>
    <w:rsid w:val="002459B4"/>
    <w:rsid w:val="00245F2B"/>
    <w:rsid w:val="002466CD"/>
    <w:rsid w:val="00247F3A"/>
    <w:rsid w:val="00250122"/>
    <w:rsid w:val="00250755"/>
    <w:rsid w:val="00251043"/>
    <w:rsid w:val="00251C4A"/>
    <w:rsid w:val="0025271C"/>
    <w:rsid w:val="002533CD"/>
    <w:rsid w:val="002535EA"/>
    <w:rsid w:val="002546A5"/>
    <w:rsid w:val="00254EAB"/>
    <w:rsid w:val="002557AF"/>
    <w:rsid w:val="0025589C"/>
    <w:rsid w:val="00255B62"/>
    <w:rsid w:val="002566B1"/>
    <w:rsid w:val="002575E3"/>
    <w:rsid w:val="00257A74"/>
    <w:rsid w:val="00257C5D"/>
    <w:rsid w:val="002603C1"/>
    <w:rsid w:val="002609A1"/>
    <w:rsid w:val="002612B1"/>
    <w:rsid w:val="00263BBE"/>
    <w:rsid w:val="00266165"/>
    <w:rsid w:val="00266F2C"/>
    <w:rsid w:val="0027125E"/>
    <w:rsid w:val="00271767"/>
    <w:rsid w:val="00272293"/>
    <w:rsid w:val="002723C8"/>
    <w:rsid w:val="00273738"/>
    <w:rsid w:val="00273C2A"/>
    <w:rsid w:val="00273CBE"/>
    <w:rsid w:val="002746B1"/>
    <w:rsid w:val="00274BAD"/>
    <w:rsid w:val="0027512A"/>
    <w:rsid w:val="002756BF"/>
    <w:rsid w:val="00282D56"/>
    <w:rsid w:val="0028352B"/>
    <w:rsid w:val="002835B0"/>
    <w:rsid w:val="00283BD5"/>
    <w:rsid w:val="00283C74"/>
    <w:rsid w:val="0028407E"/>
    <w:rsid w:val="0028410F"/>
    <w:rsid w:val="00284572"/>
    <w:rsid w:val="002850AA"/>
    <w:rsid w:val="00285221"/>
    <w:rsid w:val="00285C43"/>
    <w:rsid w:val="00286FB5"/>
    <w:rsid w:val="00287763"/>
    <w:rsid w:val="002904D8"/>
    <w:rsid w:val="00290606"/>
    <w:rsid w:val="002909B2"/>
    <w:rsid w:val="0029198B"/>
    <w:rsid w:val="00291D6D"/>
    <w:rsid w:val="00291FF1"/>
    <w:rsid w:val="00292AA2"/>
    <w:rsid w:val="00293361"/>
    <w:rsid w:val="00294F10"/>
    <w:rsid w:val="002952B1"/>
    <w:rsid w:val="00295A5D"/>
    <w:rsid w:val="00295D11"/>
    <w:rsid w:val="00296FB6"/>
    <w:rsid w:val="002A0001"/>
    <w:rsid w:val="002A0BD9"/>
    <w:rsid w:val="002A0C3A"/>
    <w:rsid w:val="002A0DF8"/>
    <w:rsid w:val="002A1130"/>
    <w:rsid w:val="002A1880"/>
    <w:rsid w:val="002A1A2B"/>
    <w:rsid w:val="002A23B7"/>
    <w:rsid w:val="002A3A57"/>
    <w:rsid w:val="002A4B4F"/>
    <w:rsid w:val="002A500F"/>
    <w:rsid w:val="002A57A8"/>
    <w:rsid w:val="002A6DEF"/>
    <w:rsid w:val="002A770B"/>
    <w:rsid w:val="002B013E"/>
    <w:rsid w:val="002B058D"/>
    <w:rsid w:val="002B0C16"/>
    <w:rsid w:val="002B2AC5"/>
    <w:rsid w:val="002B3528"/>
    <w:rsid w:val="002B3539"/>
    <w:rsid w:val="002B4532"/>
    <w:rsid w:val="002B467E"/>
    <w:rsid w:val="002B5042"/>
    <w:rsid w:val="002B69CC"/>
    <w:rsid w:val="002B6D71"/>
    <w:rsid w:val="002C03AE"/>
    <w:rsid w:val="002C0C1C"/>
    <w:rsid w:val="002C17CB"/>
    <w:rsid w:val="002C40E2"/>
    <w:rsid w:val="002C53AD"/>
    <w:rsid w:val="002C54C2"/>
    <w:rsid w:val="002C5A74"/>
    <w:rsid w:val="002C5D34"/>
    <w:rsid w:val="002C60BB"/>
    <w:rsid w:val="002C661A"/>
    <w:rsid w:val="002C71F0"/>
    <w:rsid w:val="002D0D6F"/>
    <w:rsid w:val="002D25FC"/>
    <w:rsid w:val="002D2AAC"/>
    <w:rsid w:val="002D4AC6"/>
    <w:rsid w:val="002D4BEF"/>
    <w:rsid w:val="002D517A"/>
    <w:rsid w:val="002D5BF5"/>
    <w:rsid w:val="002D5EE8"/>
    <w:rsid w:val="002D7018"/>
    <w:rsid w:val="002D7360"/>
    <w:rsid w:val="002D7648"/>
    <w:rsid w:val="002D7C80"/>
    <w:rsid w:val="002E109C"/>
    <w:rsid w:val="002E193E"/>
    <w:rsid w:val="002E1A94"/>
    <w:rsid w:val="002E1D55"/>
    <w:rsid w:val="002E26C4"/>
    <w:rsid w:val="002E2734"/>
    <w:rsid w:val="002E30A5"/>
    <w:rsid w:val="002E4443"/>
    <w:rsid w:val="002E47E4"/>
    <w:rsid w:val="002E4BF9"/>
    <w:rsid w:val="002E4D61"/>
    <w:rsid w:val="002E59D7"/>
    <w:rsid w:val="002E648C"/>
    <w:rsid w:val="002E68A7"/>
    <w:rsid w:val="002E6E6C"/>
    <w:rsid w:val="002E74E7"/>
    <w:rsid w:val="002F016E"/>
    <w:rsid w:val="002F0522"/>
    <w:rsid w:val="002F16DD"/>
    <w:rsid w:val="002F199D"/>
    <w:rsid w:val="002F213C"/>
    <w:rsid w:val="002F2453"/>
    <w:rsid w:val="002F352D"/>
    <w:rsid w:val="002F381E"/>
    <w:rsid w:val="002F4084"/>
    <w:rsid w:val="002F4A08"/>
    <w:rsid w:val="002F4ADB"/>
    <w:rsid w:val="002F531E"/>
    <w:rsid w:val="002F548D"/>
    <w:rsid w:val="002F5ACC"/>
    <w:rsid w:val="002F704B"/>
    <w:rsid w:val="002F72C3"/>
    <w:rsid w:val="002F768C"/>
    <w:rsid w:val="002F7D1E"/>
    <w:rsid w:val="00300201"/>
    <w:rsid w:val="0030025A"/>
    <w:rsid w:val="00301E3C"/>
    <w:rsid w:val="00302CCB"/>
    <w:rsid w:val="00302EFC"/>
    <w:rsid w:val="00303243"/>
    <w:rsid w:val="00303BCC"/>
    <w:rsid w:val="00303F2B"/>
    <w:rsid w:val="00303F8D"/>
    <w:rsid w:val="00304840"/>
    <w:rsid w:val="0030572D"/>
    <w:rsid w:val="0030586A"/>
    <w:rsid w:val="0030622D"/>
    <w:rsid w:val="00306811"/>
    <w:rsid w:val="00306F32"/>
    <w:rsid w:val="0030709A"/>
    <w:rsid w:val="003074C5"/>
    <w:rsid w:val="00307A3C"/>
    <w:rsid w:val="00307FA4"/>
    <w:rsid w:val="00310290"/>
    <w:rsid w:val="00310A78"/>
    <w:rsid w:val="00310CC1"/>
    <w:rsid w:val="00311E66"/>
    <w:rsid w:val="00312504"/>
    <w:rsid w:val="00312B89"/>
    <w:rsid w:val="00313026"/>
    <w:rsid w:val="003133FF"/>
    <w:rsid w:val="00313913"/>
    <w:rsid w:val="0031421F"/>
    <w:rsid w:val="00314B31"/>
    <w:rsid w:val="00315A65"/>
    <w:rsid w:val="00315FB9"/>
    <w:rsid w:val="003165D7"/>
    <w:rsid w:val="00317BA7"/>
    <w:rsid w:val="00320BE2"/>
    <w:rsid w:val="00321886"/>
    <w:rsid w:val="00321EDC"/>
    <w:rsid w:val="00323694"/>
    <w:rsid w:val="00323BE7"/>
    <w:rsid w:val="00324C3A"/>
    <w:rsid w:val="00324D63"/>
    <w:rsid w:val="003255AF"/>
    <w:rsid w:val="003256EB"/>
    <w:rsid w:val="003259DB"/>
    <w:rsid w:val="00326F87"/>
    <w:rsid w:val="00327BE6"/>
    <w:rsid w:val="00327E56"/>
    <w:rsid w:val="003314D9"/>
    <w:rsid w:val="00331653"/>
    <w:rsid w:val="00331A48"/>
    <w:rsid w:val="00331BCC"/>
    <w:rsid w:val="003330C9"/>
    <w:rsid w:val="003335DE"/>
    <w:rsid w:val="0033364C"/>
    <w:rsid w:val="00334415"/>
    <w:rsid w:val="00335EA1"/>
    <w:rsid w:val="0033691E"/>
    <w:rsid w:val="00336A6A"/>
    <w:rsid w:val="00336CCB"/>
    <w:rsid w:val="003411D1"/>
    <w:rsid w:val="003416BA"/>
    <w:rsid w:val="00342148"/>
    <w:rsid w:val="00342E38"/>
    <w:rsid w:val="00342F99"/>
    <w:rsid w:val="00343852"/>
    <w:rsid w:val="0034575A"/>
    <w:rsid w:val="00345F57"/>
    <w:rsid w:val="003461CC"/>
    <w:rsid w:val="00346A51"/>
    <w:rsid w:val="0034727B"/>
    <w:rsid w:val="00350458"/>
    <w:rsid w:val="00350E6C"/>
    <w:rsid w:val="003518A6"/>
    <w:rsid w:val="00351E7F"/>
    <w:rsid w:val="00352953"/>
    <w:rsid w:val="00354062"/>
    <w:rsid w:val="0035459E"/>
    <w:rsid w:val="00355C0D"/>
    <w:rsid w:val="003566A9"/>
    <w:rsid w:val="00356988"/>
    <w:rsid w:val="003569D3"/>
    <w:rsid w:val="00356CE9"/>
    <w:rsid w:val="003570BB"/>
    <w:rsid w:val="00357128"/>
    <w:rsid w:val="0035755E"/>
    <w:rsid w:val="00357A80"/>
    <w:rsid w:val="00361441"/>
    <w:rsid w:val="00361B8B"/>
    <w:rsid w:val="0036340E"/>
    <w:rsid w:val="00363F39"/>
    <w:rsid w:val="003640FC"/>
    <w:rsid w:val="0036445C"/>
    <w:rsid w:val="00364627"/>
    <w:rsid w:val="00364AB0"/>
    <w:rsid w:val="00364D71"/>
    <w:rsid w:val="003667B0"/>
    <w:rsid w:val="003667DD"/>
    <w:rsid w:val="00366B48"/>
    <w:rsid w:val="003674C6"/>
    <w:rsid w:val="00367764"/>
    <w:rsid w:val="00370316"/>
    <w:rsid w:val="00370DC7"/>
    <w:rsid w:val="00370E56"/>
    <w:rsid w:val="00371CBD"/>
    <w:rsid w:val="00371F20"/>
    <w:rsid w:val="003721E3"/>
    <w:rsid w:val="00372B98"/>
    <w:rsid w:val="003737B7"/>
    <w:rsid w:val="003739D4"/>
    <w:rsid w:val="003740CC"/>
    <w:rsid w:val="003745F4"/>
    <w:rsid w:val="0037491A"/>
    <w:rsid w:val="00374B16"/>
    <w:rsid w:val="00374E79"/>
    <w:rsid w:val="0037529A"/>
    <w:rsid w:val="00375388"/>
    <w:rsid w:val="00375559"/>
    <w:rsid w:val="00375FB9"/>
    <w:rsid w:val="00376170"/>
    <w:rsid w:val="00376851"/>
    <w:rsid w:val="00376A83"/>
    <w:rsid w:val="00376FA2"/>
    <w:rsid w:val="00377133"/>
    <w:rsid w:val="00377A3B"/>
    <w:rsid w:val="00377E3C"/>
    <w:rsid w:val="00380874"/>
    <w:rsid w:val="00380BBE"/>
    <w:rsid w:val="00380EC2"/>
    <w:rsid w:val="00381D70"/>
    <w:rsid w:val="0038235E"/>
    <w:rsid w:val="003829D0"/>
    <w:rsid w:val="0038326A"/>
    <w:rsid w:val="0038444F"/>
    <w:rsid w:val="003861F0"/>
    <w:rsid w:val="00386DF2"/>
    <w:rsid w:val="00386E38"/>
    <w:rsid w:val="00387051"/>
    <w:rsid w:val="00387ECF"/>
    <w:rsid w:val="0039021B"/>
    <w:rsid w:val="003903F7"/>
    <w:rsid w:val="00390429"/>
    <w:rsid w:val="00390666"/>
    <w:rsid w:val="003906A0"/>
    <w:rsid w:val="00391E03"/>
    <w:rsid w:val="003931AF"/>
    <w:rsid w:val="0039366C"/>
    <w:rsid w:val="00393EC8"/>
    <w:rsid w:val="00395E42"/>
    <w:rsid w:val="00396409"/>
    <w:rsid w:val="00396713"/>
    <w:rsid w:val="00396A2D"/>
    <w:rsid w:val="00396FC3"/>
    <w:rsid w:val="003A1A94"/>
    <w:rsid w:val="003A204E"/>
    <w:rsid w:val="003A2D25"/>
    <w:rsid w:val="003A49A4"/>
    <w:rsid w:val="003A4FC5"/>
    <w:rsid w:val="003A5728"/>
    <w:rsid w:val="003A60E7"/>
    <w:rsid w:val="003A7092"/>
    <w:rsid w:val="003A72A1"/>
    <w:rsid w:val="003A7611"/>
    <w:rsid w:val="003A7D1F"/>
    <w:rsid w:val="003B0A61"/>
    <w:rsid w:val="003B0B6A"/>
    <w:rsid w:val="003B1A01"/>
    <w:rsid w:val="003B22F7"/>
    <w:rsid w:val="003B29CF"/>
    <w:rsid w:val="003B2B88"/>
    <w:rsid w:val="003B3A90"/>
    <w:rsid w:val="003B3D01"/>
    <w:rsid w:val="003B47B6"/>
    <w:rsid w:val="003B534F"/>
    <w:rsid w:val="003B5B7E"/>
    <w:rsid w:val="003B751E"/>
    <w:rsid w:val="003B7A79"/>
    <w:rsid w:val="003C0659"/>
    <w:rsid w:val="003C0790"/>
    <w:rsid w:val="003C0FE1"/>
    <w:rsid w:val="003C151A"/>
    <w:rsid w:val="003C350C"/>
    <w:rsid w:val="003C3903"/>
    <w:rsid w:val="003C3BA0"/>
    <w:rsid w:val="003C453F"/>
    <w:rsid w:val="003C4580"/>
    <w:rsid w:val="003C5658"/>
    <w:rsid w:val="003C5C5E"/>
    <w:rsid w:val="003C6746"/>
    <w:rsid w:val="003C7555"/>
    <w:rsid w:val="003C7898"/>
    <w:rsid w:val="003C7B16"/>
    <w:rsid w:val="003D0FF5"/>
    <w:rsid w:val="003D104E"/>
    <w:rsid w:val="003D11A3"/>
    <w:rsid w:val="003D1537"/>
    <w:rsid w:val="003D183C"/>
    <w:rsid w:val="003D2D1B"/>
    <w:rsid w:val="003D3012"/>
    <w:rsid w:val="003D48C7"/>
    <w:rsid w:val="003D4C27"/>
    <w:rsid w:val="003D4E93"/>
    <w:rsid w:val="003D7109"/>
    <w:rsid w:val="003D7C75"/>
    <w:rsid w:val="003D7CE8"/>
    <w:rsid w:val="003E0514"/>
    <w:rsid w:val="003E0849"/>
    <w:rsid w:val="003E1032"/>
    <w:rsid w:val="003E12C8"/>
    <w:rsid w:val="003E1904"/>
    <w:rsid w:val="003E1E29"/>
    <w:rsid w:val="003E285E"/>
    <w:rsid w:val="003E3124"/>
    <w:rsid w:val="003E3300"/>
    <w:rsid w:val="003E43D3"/>
    <w:rsid w:val="003E458E"/>
    <w:rsid w:val="003E48E1"/>
    <w:rsid w:val="003E50F4"/>
    <w:rsid w:val="003E59BB"/>
    <w:rsid w:val="003E6225"/>
    <w:rsid w:val="003E65AC"/>
    <w:rsid w:val="003E66AE"/>
    <w:rsid w:val="003E72B9"/>
    <w:rsid w:val="003E7612"/>
    <w:rsid w:val="003E7ED4"/>
    <w:rsid w:val="003F0E52"/>
    <w:rsid w:val="003F0F6B"/>
    <w:rsid w:val="003F1FC6"/>
    <w:rsid w:val="003F1FE3"/>
    <w:rsid w:val="003F2167"/>
    <w:rsid w:val="003F2359"/>
    <w:rsid w:val="003F3232"/>
    <w:rsid w:val="003F3865"/>
    <w:rsid w:val="003F38AC"/>
    <w:rsid w:val="003F3D55"/>
    <w:rsid w:val="003F44E2"/>
    <w:rsid w:val="003F4632"/>
    <w:rsid w:val="003F47BA"/>
    <w:rsid w:val="003F4FE6"/>
    <w:rsid w:val="003F5638"/>
    <w:rsid w:val="003F59E9"/>
    <w:rsid w:val="003F6617"/>
    <w:rsid w:val="003F7E82"/>
    <w:rsid w:val="00402332"/>
    <w:rsid w:val="00402351"/>
    <w:rsid w:val="004025C2"/>
    <w:rsid w:val="00403195"/>
    <w:rsid w:val="004033A9"/>
    <w:rsid w:val="0040341B"/>
    <w:rsid w:val="00403E55"/>
    <w:rsid w:val="0040407C"/>
    <w:rsid w:val="0040416C"/>
    <w:rsid w:val="00404681"/>
    <w:rsid w:val="00405445"/>
    <w:rsid w:val="00405AC1"/>
    <w:rsid w:val="00406923"/>
    <w:rsid w:val="00406A46"/>
    <w:rsid w:val="00407198"/>
    <w:rsid w:val="0040763D"/>
    <w:rsid w:val="00407C13"/>
    <w:rsid w:val="00410D17"/>
    <w:rsid w:val="00410EBA"/>
    <w:rsid w:val="00412039"/>
    <w:rsid w:val="00412AA9"/>
    <w:rsid w:val="00413442"/>
    <w:rsid w:val="00413821"/>
    <w:rsid w:val="00413BA5"/>
    <w:rsid w:val="004141A3"/>
    <w:rsid w:val="0041421A"/>
    <w:rsid w:val="00414909"/>
    <w:rsid w:val="0041582F"/>
    <w:rsid w:val="00416112"/>
    <w:rsid w:val="00417AE0"/>
    <w:rsid w:val="00417BAA"/>
    <w:rsid w:val="0042042B"/>
    <w:rsid w:val="00420B45"/>
    <w:rsid w:val="00420D7A"/>
    <w:rsid w:val="00421257"/>
    <w:rsid w:val="00422193"/>
    <w:rsid w:val="004223DE"/>
    <w:rsid w:val="00422A10"/>
    <w:rsid w:val="00424D17"/>
    <w:rsid w:val="00425DA4"/>
    <w:rsid w:val="00425DFD"/>
    <w:rsid w:val="004263A3"/>
    <w:rsid w:val="00427713"/>
    <w:rsid w:val="00427CCC"/>
    <w:rsid w:val="0043013A"/>
    <w:rsid w:val="00430421"/>
    <w:rsid w:val="00430A36"/>
    <w:rsid w:val="00430B4F"/>
    <w:rsid w:val="00431084"/>
    <w:rsid w:val="004310D7"/>
    <w:rsid w:val="004322D6"/>
    <w:rsid w:val="00432589"/>
    <w:rsid w:val="00432A94"/>
    <w:rsid w:val="00432C95"/>
    <w:rsid w:val="004336F3"/>
    <w:rsid w:val="00433827"/>
    <w:rsid w:val="00433A40"/>
    <w:rsid w:val="00434B70"/>
    <w:rsid w:val="00435779"/>
    <w:rsid w:val="004360C8"/>
    <w:rsid w:val="004360CB"/>
    <w:rsid w:val="00436823"/>
    <w:rsid w:val="004371D5"/>
    <w:rsid w:val="0044006B"/>
    <w:rsid w:val="0044033F"/>
    <w:rsid w:val="00440630"/>
    <w:rsid w:val="00440B89"/>
    <w:rsid w:val="00441F0F"/>
    <w:rsid w:val="00442965"/>
    <w:rsid w:val="00442CBC"/>
    <w:rsid w:val="004432B6"/>
    <w:rsid w:val="00444157"/>
    <w:rsid w:val="0044417C"/>
    <w:rsid w:val="0044433F"/>
    <w:rsid w:val="00444DB3"/>
    <w:rsid w:val="00445617"/>
    <w:rsid w:val="00445A2F"/>
    <w:rsid w:val="0044684E"/>
    <w:rsid w:val="004468BF"/>
    <w:rsid w:val="00446F22"/>
    <w:rsid w:val="0045019F"/>
    <w:rsid w:val="00450320"/>
    <w:rsid w:val="004503A4"/>
    <w:rsid w:val="0045052E"/>
    <w:rsid w:val="00450555"/>
    <w:rsid w:val="004506FA"/>
    <w:rsid w:val="00450DC6"/>
    <w:rsid w:val="004516A5"/>
    <w:rsid w:val="00451753"/>
    <w:rsid w:val="00451E9C"/>
    <w:rsid w:val="0045226B"/>
    <w:rsid w:val="0045280F"/>
    <w:rsid w:val="004535AE"/>
    <w:rsid w:val="00454249"/>
    <w:rsid w:val="0045444D"/>
    <w:rsid w:val="0045463A"/>
    <w:rsid w:val="00454AC9"/>
    <w:rsid w:val="00455050"/>
    <w:rsid w:val="004554A3"/>
    <w:rsid w:val="00455A6E"/>
    <w:rsid w:val="00455EAD"/>
    <w:rsid w:val="004569EA"/>
    <w:rsid w:val="004578EB"/>
    <w:rsid w:val="004604D5"/>
    <w:rsid w:val="00460697"/>
    <w:rsid w:val="0046117B"/>
    <w:rsid w:val="00461747"/>
    <w:rsid w:val="00461FC2"/>
    <w:rsid w:val="004639AD"/>
    <w:rsid w:val="00463C5A"/>
    <w:rsid w:val="00464AB7"/>
    <w:rsid w:val="00465DE5"/>
    <w:rsid w:val="00467EF8"/>
    <w:rsid w:val="00472429"/>
    <w:rsid w:val="004725E5"/>
    <w:rsid w:val="00472751"/>
    <w:rsid w:val="00473128"/>
    <w:rsid w:val="00475078"/>
    <w:rsid w:val="00475767"/>
    <w:rsid w:val="004761F7"/>
    <w:rsid w:val="004779A0"/>
    <w:rsid w:val="004808E3"/>
    <w:rsid w:val="00481016"/>
    <w:rsid w:val="0048204C"/>
    <w:rsid w:val="004821BB"/>
    <w:rsid w:val="0048237A"/>
    <w:rsid w:val="00482698"/>
    <w:rsid w:val="004826FE"/>
    <w:rsid w:val="004827D5"/>
    <w:rsid w:val="00482AF2"/>
    <w:rsid w:val="004830C9"/>
    <w:rsid w:val="00483347"/>
    <w:rsid w:val="00483E2E"/>
    <w:rsid w:val="00484B69"/>
    <w:rsid w:val="00485406"/>
    <w:rsid w:val="0048590F"/>
    <w:rsid w:val="00486D60"/>
    <w:rsid w:val="004876B2"/>
    <w:rsid w:val="00491049"/>
    <w:rsid w:val="00491FA1"/>
    <w:rsid w:val="00492A25"/>
    <w:rsid w:val="004938A3"/>
    <w:rsid w:val="0049558B"/>
    <w:rsid w:val="00496350"/>
    <w:rsid w:val="0049797C"/>
    <w:rsid w:val="004A0DAD"/>
    <w:rsid w:val="004A1405"/>
    <w:rsid w:val="004A1FC6"/>
    <w:rsid w:val="004A2E5F"/>
    <w:rsid w:val="004A38C2"/>
    <w:rsid w:val="004A3C03"/>
    <w:rsid w:val="004A3DB7"/>
    <w:rsid w:val="004A3EC2"/>
    <w:rsid w:val="004A463B"/>
    <w:rsid w:val="004A5088"/>
    <w:rsid w:val="004A5255"/>
    <w:rsid w:val="004A6CB0"/>
    <w:rsid w:val="004A70FF"/>
    <w:rsid w:val="004A7EDE"/>
    <w:rsid w:val="004B0D93"/>
    <w:rsid w:val="004B1FA4"/>
    <w:rsid w:val="004B23EC"/>
    <w:rsid w:val="004B29AC"/>
    <w:rsid w:val="004B35DF"/>
    <w:rsid w:val="004B3627"/>
    <w:rsid w:val="004B4922"/>
    <w:rsid w:val="004B57DF"/>
    <w:rsid w:val="004B5976"/>
    <w:rsid w:val="004B60F7"/>
    <w:rsid w:val="004B6A0C"/>
    <w:rsid w:val="004B722E"/>
    <w:rsid w:val="004B72E8"/>
    <w:rsid w:val="004C01A5"/>
    <w:rsid w:val="004C0412"/>
    <w:rsid w:val="004C2138"/>
    <w:rsid w:val="004C3940"/>
    <w:rsid w:val="004C51FD"/>
    <w:rsid w:val="004C65A8"/>
    <w:rsid w:val="004C6689"/>
    <w:rsid w:val="004C691F"/>
    <w:rsid w:val="004D139A"/>
    <w:rsid w:val="004D14DC"/>
    <w:rsid w:val="004D17C6"/>
    <w:rsid w:val="004D18BE"/>
    <w:rsid w:val="004D2858"/>
    <w:rsid w:val="004D2E49"/>
    <w:rsid w:val="004D35BA"/>
    <w:rsid w:val="004D38E5"/>
    <w:rsid w:val="004D3C5A"/>
    <w:rsid w:val="004D449A"/>
    <w:rsid w:val="004D4701"/>
    <w:rsid w:val="004D47C7"/>
    <w:rsid w:val="004D4AD8"/>
    <w:rsid w:val="004D4B2B"/>
    <w:rsid w:val="004D4F35"/>
    <w:rsid w:val="004D51EE"/>
    <w:rsid w:val="004D5D45"/>
    <w:rsid w:val="004D618D"/>
    <w:rsid w:val="004D62A9"/>
    <w:rsid w:val="004D6FC3"/>
    <w:rsid w:val="004D7476"/>
    <w:rsid w:val="004D7716"/>
    <w:rsid w:val="004E0306"/>
    <w:rsid w:val="004E0572"/>
    <w:rsid w:val="004E15DE"/>
    <w:rsid w:val="004E1641"/>
    <w:rsid w:val="004E1686"/>
    <w:rsid w:val="004E1818"/>
    <w:rsid w:val="004E1990"/>
    <w:rsid w:val="004E25A8"/>
    <w:rsid w:val="004E3930"/>
    <w:rsid w:val="004E3ED9"/>
    <w:rsid w:val="004E5866"/>
    <w:rsid w:val="004E6097"/>
    <w:rsid w:val="004E61EF"/>
    <w:rsid w:val="004E63C6"/>
    <w:rsid w:val="004E67AC"/>
    <w:rsid w:val="004E6DF3"/>
    <w:rsid w:val="004E76A7"/>
    <w:rsid w:val="004E7B03"/>
    <w:rsid w:val="004F0064"/>
    <w:rsid w:val="004F06AC"/>
    <w:rsid w:val="004F0E50"/>
    <w:rsid w:val="004F1D2A"/>
    <w:rsid w:val="004F243F"/>
    <w:rsid w:val="004F252C"/>
    <w:rsid w:val="004F36A3"/>
    <w:rsid w:val="004F3E0C"/>
    <w:rsid w:val="004F4308"/>
    <w:rsid w:val="004F7160"/>
    <w:rsid w:val="00500258"/>
    <w:rsid w:val="00500B2D"/>
    <w:rsid w:val="00501A99"/>
    <w:rsid w:val="005030EC"/>
    <w:rsid w:val="005030F1"/>
    <w:rsid w:val="00503180"/>
    <w:rsid w:val="005038A4"/>
    <w:rsid w:val="00504FB1"/>
    <w:rsid w:val="00505450"/>
    <w:rsid w:val="00507211"/>
    <w:rsid w:val="005100B7"/>
    <w:rsid w:val="005105DE"/>
    <w:rsid w:val="005113C9"/>
    <w:rsid w:val="00512050"/>
    <w:rsid w:val="00512055"/>
    <w:rsid w:val="0051280C"/>
    <w:rsid w:val="00512842"/>
    <w:rsid w:val="005128BE"/>
    <w:rsid w:val="0051356F"/>
    <w:rsid w:val="00513E78"/>
    <w:rsid w:val="00513E7C"/>
    <w:rsid w:val="005140BB"/>
    <w:rsid w:val="005142C6"/>
    <w:rsid w:val="00514FBE"/>
    <w:rsid w:val="00514FD9"/>
    <w:rsid w:val="0051550A"/>
    <w:rsid w:val="00516059"/>
    <w:rsid w:val="0051608F"/>
    <w:rsid w:val="00516480"/>
    <w:rsid w:val="00520815"/>
    <w:rsid w:val="00520843"/>
    <w:rsid w:val="00520EF8"/>
    <w:rsid w:val="005210F7"/>
    <w:rsid w:val="00521753"/>
    <w:rsid w:val="00521F1C"/>
    <w:rsid w:val="0052239D"/>
    <w:rsid w:val="005224EE"/>
    <w:rsid w:val="00522879"/>
    <w:rsid w:val="00523BB1"/>
    <w:rsid w:val="00524997"/>
    <w:rsid w:val="00524B23"/>
    <w:rsid w:val="0052570E"/>
    <w:rsid w:val="005260CD"/>
    <w:rsid w:val="00526265"/>
    <w:rsid w:val="0052655D"/>
    <w:rsid w:val="005265E0"/>
    <w:rsid w:val="00526BC3"/>
    <w:rsid w:val="00531761"/>
    <w:rsid w:val="0053248F"/>
    <w:rsid w:val="00532561"/>
    <w:rsid w:val="005327AB"/>
    <w:rsid w:val="00532AB8"/>
    <w:rsid w:val="00532D98"/>
    <w:rsid w:val="0053332A"/>
    <w:rsid w:val="0053358A"/>
    <w:rsid w:val="00534668"/>
    <w:rsid w:val="00534DDD"/>
    <w:rsid w:val="00535291"/>
    <w:rsid w:val="00535A94"/>
    <w:rsid w:val="00537874"/>
    <w:rsid w:val="0053795F"/>
    <w:rsid w:val="00537D3D"/>
    <w:rsid w:val="00540511"/>
    <w:rsid w:val="00540578"/>
    <w:rsid w:val="00540808"/>
    <w:rsid w:val="0054080E"/>
    <w:rsid w:val="00540D1A"/>
    <w:rsid w:val="00540EA1"/>
    <w:rsid w:val="00541E5A"/>
    <w:rsid w:val="005420BE"/>
    <w:rsid w:val="0054358E"/>
    <w:rsid w:val="00543AF4"/>
    <w:rsid w:val="00543C50"/>
    <w:rsid w:val="00543F53"/>
    <w:rsid w:val="00544191"/>
    <w:rsid w:val="0054440C"/>
    <w:rsid w:val="005448EC"/>
    <w:rsid w:val="00544C0A"/>
    <w:rsid w:val="00544F39"/>
    <w:rsid w:val="005457FB"/>
    <w:rsid w:val="005458CD"/>
    <w:rsid w:val="00546CC7"/>
    <w:rsid w:val="00546F90"/>
    <w:rsid w:val="00547EFB"/>
    <w:rsid w:val="005522F2"/>
    <w:rsid w:val="00552B13"/>
    <w:rsid w:val="005531DF"/>
    <w:rsid w:val="00553874"/>
    <w:rsid w:val="0055397C"/>
    <w:rsid w:val="00554577"/>
    <w:rsid w:val="00554AD8"/>
    <w:rsid w:val="00554F78"/>
    <w:rsid w:val="00555DA1"/>
    <w:rsid w:val="00556366"/>
    <w:rsid w:val="005565DF"/>
    <w:rsid w:val="00556BF7"/>
    <w:rsid w:val="00556E53"/>
    <w:rsid w:val="00557F60"/>
    <w:rsid w:val="00561730"/>
    <w:rsid w:val="00561B97"/>
    <w:rsid w:val="00562149"/>
    <w:rsid w:val="00562F5A"/>
    <w:rsid w:val="00563E4A"/>
    <w:rsid w:val="005640EB"/>
    <w:rsid w:val="00566256"/>
    <w:rsid w:val="00567B5D"/>
    <w:rsid w:val="00570757"/>
    <w:rsid w:val="00573733"/>
    <w:rsid w:val="00573F8B"/>
    <w:rsid w:val="00574528"/>
    <w:rsid w:val="00574554"/>
    <w:rsid w:val="00574737"/>
    <w:rsid w:val="00574E06"/>
    <w:rsid w:val="005751BB"/>
    <w:rsid w:val="00576089"/>
    <w:rsid w:val="00576415"/>
    <w:rsid w:val="005764B1"/>
    <w:rsid w:val="00576601"/>
    <w:rsid w:val="00576852"/>
    <w:rsid w:val="00576D06"/>
    <w:rsid w:val="005779E4"/>
    <w:rsid w:val="00577A03"/>
    <w:rsid w:val="00577ED0"/>
    <w:rsid w:val="00580EC7"/>
    <w:rsid w:val="0058289C"/>
    <w:rsid w:val="005835A5"/>
    <w:rsid w:val="005836C7"/>
    <w:rsid w:val="005837F8"/>
    <w:rsid w:val="0058408E"/>
    <w:rsid w:val="00585374"/>
    <w:rsid w:val="005854CA"/>
    <w:rsid w:val="00585FAB"/>
    <w:rsid w:val="005901F7"/>
    <w:rsid w:val="00590B77"/>
    <w:rsid w:val="00590D9A"/>
    <w:rsid w:val="005913A3"/>
    <w:rsid w:val="005916F1"/>
    <w:rsid w:val="00592C0F"/>
    <w:rsid w:val="005940D4"/>
    <w:rsid w:val="00594A7B"/>
    <w:rsid w:val="0059580E"/>
    <w:rsid w:val="00595D90"/>
    <w:rsid w:val="00596A6F"/>
    <w:rsid w:val="00596D75"/>
    <w:rsid w:val="00596FCE"/>
    <w:rsid w:val="005A11BC"/>
    <w:rsid w:val="005A11CC"/>
    <w:rsid w:val="005A1525"/>
    <w:rsid w:val="005A1E17"/>
    <w:rsid w:val="005A24EF"/>
    <w:rsid w:val="005A252B"/>
    <w:rsid w:val="005A2A8F"/>
    <w:rsid w:val="005A2FDF"/>
    <w:rsid w:val="005A3204"/>
    <w:rsid w:val="005A3341"/>
    <w:rsid w:val="005A3C3D"/>
    <w:rsid w:val="005A46EC"/>
    <w:rsid w:val="005A4D85"/>
    <w:rsid w:val="005A5EAE"/>
    <w:rsid w:val="005A6407"/>
    <w:rsid w:val="005A726C"/>
    <w:rsid w:val="005B07EC"/>
    <w:rsid w:val="005B2B11"/>
    <w:rsid w:val="005B32A4"/>
    <w:rsid w:val="005B3371"/>
    <w:rsid w:val="005B338D"/>
    <w:rsid w:val="005B33A1"/>
    <w:rsid w:val="005B3852"/>
    <w:rsid w:val="005B3BAF"/>
    <w:rsid w:val="005B4DA3"/>
    <w:rsid w:val="005B5BEE"/>
    <w:rsid w:val="005B77D2"/>
    <w:rsid w:val="005C019B"/>
    <w:rsid w:val="005C08D0"/>
    <w:rsid w:val="005C1AED"/>
    <w:rsid w:val="005C2136"/>
    <w:rsid w:val="005C2D8A"/>
    <w:rsid w:val="005C30F5"/>
    <w:rsid w:val="005C51A5"/>
    <w:rsid w:val="005C557A"/>
    <w:rsid w:val="005C566F"/>
    <w:rsid w:val="005C5C47"/>
    <w:rsid w:val="005C61DD"/>
    <w:rsid w:val="005C6438"/>
    <w:rsid w:val="005C6B8B"/>
    <w:rsid w:val="005C705A"/>
    <w:rsid w:val="005C727F"/>
    <w:rsid w:val="005D02E3"/>
    <w:rsid w:val="005D1F34"/>
    <w:rsid w:val="005D2C1F"/>
    <w:rsid w:val="005D34B2"/>
    <w:rsid w:val="005D3B54"/>
    <w:rsid w:val="005D40CD"/>
    <w:rsid w:val="005D5D54"/>
    <w:rsid w:val="005D6B59"/>
    <w:rsid w:val="005D784B"/>
    <w:rsid w:val="005E03E4"/>
    <w:rsid w:val="005E0454"/>
    <w:rsid w:val="005E05F6"/>
    <w:rsid w:val="005E2442"/>
    <w:rsid w:val="005E3111"/>
    <w:rsid w:val="005E3CA0"/>
    <w:rsid w:val="005E3F85"/>
    <w:rsid w:val="005E4A5F"/>
    <w:rsid w:val="005E57B0"/>
    <w:rsid w:val="005E5B01"/>
    <w:rsid w:val="005E6D3B"/>
    <w:rsid w:val="005F009E"/>
    <w:rsid w:val="005F0DF1"/>
    <w:rsid w:val="005F11B0"/>
    <w:rsid w:val="005F1516"/>
    <w:rsid w:val="005F229E"/>
    <w:rsid w:val="005F2564"/>
    <w:rsid w:val="005F3822"/>
    <w:rsid w:val="005F4635"/>
    <w:rsid w:val="005F4900"/>
    <w:rsid w:val="005F4E52"/>
    <w:rsid w:val="005F4E80"/>
    <w:rsid w:val="005F572D"/>
    <w:rsid w:val="005F6181"/>
    <w:rsid w:val="005F6338"/>
    <w:rsid w:val="005F6D58"/>
    <w:rsid w:val="005F7383"/>
    <w:rsid w:val="005F7BA2"/>
    <w:rsid w:val="0060058E"/>
    <w:rsid w:val="00601AEA"/>
    <w:rsid w:val="00602A3C"/>
    <w:rsid w:val="00603992"/>
    <w:rsid w:val="00603EFD"/>
    <w:rsid w:val="0060475B"/>
    <w:rsid w:val="00604BED"/>
    <w:rsid w:val="00604FB6"/>
    <w:rsid w:val="00605387"/>
    <w:rsid w:val="00606302"/>
    <w:rsid w:val="00606D8C"/>
    <w:rsid w:val="006076FD"/>
    <w:rsid w:val="0061143F"/>
    <w:rsid w:val="006114D8"/>
    <w:rsid w:val="00611DA9"/>
    <w:rsid w:val="00613553"/>
    <w:rsid w:val="00613601"/>
    <w:rsid w:val="00613791"/>
    <w:rsid w:val="00614132"/>
    <w:rsid w:val="00614AF6"/>
    <w:rsid w:val="006150D6"/>
    <w:rsid w:val="00615245"/>
    <w:rsid w:val="0061590D"/>
    <w:rsid w:val="0061732A"/>
    <w:rsid w:val="006176FB"/>
    <w:rsid w:val="00617EEE"/>
    <w:rsid w:val="00620A1F"/>
    <w:rsid w:val="00621262"/>
    <w:rsid w:val="0062169D"/>
    <w:rsid w:val="0062181E"/>
    <w:rsid w:val="0062211B"/>
    <w:rsid w:val="00622BB7"/>
    <w:rsid w:val="00622C1E"/>
    <w:rsid w:val="00623389"/>
    <w:rsid w:val="006236D4"/>
    <w:rsid w:val="00623DAA"/>
    <w:rsid w:val="00623FAF"/>
    <w:rsid w:val="0062568E"/>
    <w:rsid w:val="006265C4"/>
    <w:rsid w:val="0062670C"/>
    <w:rsid w:val="0062678A"/>
    <w:rsid w:val="006270AF"/>
    <w:rsid w:val="006311E2"/>
    <w:rsid w:val="00633C69"/>
    <w:rsid w:val="00634367"/>
    <w:rsid w:val="00640082"/>
    <w:rsid w:val="006400BF"/>
    <w:rsid w:val="00640291"/>
    <w:rsid w:val="00640EFE"/>
    <w:rsid w:val="00641D6D"/>
    <w:rsid w:val="00641FAC"/>
    <w:rsid w:val="00643664"/>
    <w:rsid w:val="00643CAA"/>
    <w:rsid w:val="0064437A"/>
    <w:rsid w:val="00644F16"/>
    <w:rsid w:val="006453F1"/>
    <w:rsid w:val="006455EB"/>
    <w:rsid w:val="006456C2"/>
    <w:rsid w:val="00645A65"/>
    <w:rsid w:val="006477F0"/>
    <w:rsid w:val="006478E4"/>
    <w:rsid w:val="0065171A"/>
    <w:rsid w:val="00652680"/>
    <w:rsid w:val="00652E4A"/>
    <w:rsid w:val="00653CDE"/>
    <w:rsid w:val="00653EC6"/>
    <w:rsid w:val="00654585"/>
    <w:rsid w:val="0065566E"/>
    <w:rsid w:val="00655AB6"/>
    <w:rsid w:val="00656061"/>
    <w:rsid w:val="00656281"/>
    <w:rsid w:val="0065636A"/>
    <w:rsid w:val="00657003"/>
    <w:rsid w:val="00660238"/>
    <w:rsid w:val="006602EF"/>
    <w:rsid w:val="00661277"/>
    <w:rsid w:val="006619E0"/>
    <w:rsid w:val="00661EE8"/>
    <w:rsid w:val="00663AE1"/>
    <w:rsid w:val="00663FEA"/>
    <w:rsid w:val="00664803"/>
    <w:rsid w:val="006657C5"/>
    <w:rsid w:val="006661A4"/>
    <w:rsid w:val="00666AC0"/>
    <w:rsid w:val="006670E0"/>
    <w:rsid w:val="006671B8"/>
    <w:rsid w:val="00667275"/>
    <w:rsid w:val="00667532"/>
    <w:rsid w:val="0066783E"/>
    <w:rsid w:val="00667E53"/>
    <w:rsid w:val="006711C4"/>
    <w:rsid w:val="006713AB"/>
    <w:rsid w:val="00672CA5"/>
    <w:rsid w:val="00673711"/>
    <w:rsid w:val="00673F82"/>
    <w:rsid w:val="00674F74"/>
    <w:rsid w:val="0067508F"/>
    <w:rsid w:val="00677576"/>
    <w:rsid w:val="0068051E"/>
    <w:rsid w:val="00680B9D"/>
    <w:rsid w:val="00681F13"/>
    <w:rsid w:val="0068231C"/>
    <w:rsid w:val="00682344"/>
    <w:rsid w:val="00682F28"/>
    <w:rsid w:val="00683515"/>
    <w:rsid w:val="00684842"/>
    <w:rsid w:val="00685543"/>
    <w:rsid w:val="006859AA"/>
    <w:rsid w:val="00685BD6"/>
    <w:rsid w:val="006860CC"/>
    <w:rsid w:val="00687116"/>
    <w:rsid w:val="006878A6"/>
    <w:rsid w:val="00687D5F"/>
    <w:rsid w:val="00690437"/>
    <w:rsid w:val="00690DC3"/>
    <w:rsid w:val="00690E65"/>
    <w:rsid w:val="00690FB5"/>
    <w:rsid w:val="006911B7"/>
    <w:rsid w:val="00691387"/>
    <w:rsid w:val="0069188E"/>
    <w:rsid w:val="00691974"/>
    <w:rsid w:val="00692BF6"/>
    <w:rsid w:val="00692CE6"/>
    <w:rsid w:val="00693186"/>
    <w:rsid w:val="00693381"/>
    <w:rsid w:val="00693B6C"/>
    <w:rsid w:val="006942AE"/>
    <w:rsid w:val="00695421"/>
    <w:rsid w:val="006956FF"/>
    <w:rsid w:val="00697BD3"/>
    <w:rsid w:val="00697DFA"/>
    <w:rsid w:val="006A16D5"/>
    <w:rsid w:val="006A1772"/>
    <w:rsid w:val="006A1780"/>
    <w:rsid w:val="006A21DD"/>
    <w:rsid w:val="006A26C6"/>
    <w:rsid w:val="006A3302"/>
    <w:rsid w:val="006A3B28"/>
    <w:rsid w:val="006A418C"/>
    <w:rsid w:val="006A4FEE"/>
    <w:rsid w:val="006A5549"/>
    <w:rsid w:val="006A703E"/>
    <w:rsid w:val="006A7BE3"/>
    <w:rsid w:val="006A7D32"/>
    <w:rsid w:val="006B01D1"/>
    <w:rsid w:val="006B0DF4"/>
    <w:rsid w:val="006B16EA"/>
    <w:rsid w:val="006B1780"/>
    <w:rsid w:val="006B224E"/>
    <w:rsid w:val="006B376E"/>
    <w:rsid w:val="006B4589"/>
    <w:rsid w:val="006B4A81"/>
    <w:rsid w:val="006B5157"/>
    <w:rsid w:val="006B610E"/>
    <w:rsid w:val="006B6805"/>
    <w:rsid w:val="006B6C07"/>
    <w:rsid w:val="006B6DE0"/>
    <w:rsid w:val="006C0527"/>
    <w:rsid w:val="006C16C3"/>
    <w:rsid w:val="006C2187"/>
    <w:rsid w:val="006C32F4"/>
    <w:rsid w:val="006C3C54"/>
    <w:rsid w:val="006C4B6B"/>
    <w:rsid w:val="006C4CE1"/>
    <w:rsid w:val="006C4F9F"/>
    <w:rsid w:val="006C653C"/>
    <w:rsid w:val="006C71A2"/>
    <w:rsid w:val="006C73EC"/>
    <w:rsid w:val="006C7E3D"/>
    <w:rsid w:val="006D03D4"/>
    <w:rsid w:val="006D0C1D"/>
    <w:rsid w:val="006D2E9D"/>
    <w:rsid w:val="006D4A4E"/>
    <w:rsid w:val="006D4C42"/>
    <w:rsid w:val="006D5389"/>
    <w:rsid w:val="006D53A2"/>
    <w:rsid w:val="006D5809"/>
    <w:rsid w:val="006D607E"/>
    <w:rsid w:val="006D6E12"/>
    <w:rsid w:val="006D70CB"/>
    <w:rsid w:val="006D715C"/>
    <w:rsid w:val="006D7363"/>
    <w:rsid w:val="006D774E"/>
    <w:rsid w:val="006E0754"/>
    <w:rsid w:val="006E2668"/>
    <w:rsid w:val="006E26F2"/>
    <w:rsid w:val="006E2D39"/>
    <w:rsid w:val="006E2D63"/>
    <w:rsid w:val="006E32B0"/>
    <w:rsid w:val="006E348E"/>
    <w:rsid w:val="006E396A"/>
    <w:rsid w:val="006E3D63"/>
    <w:rsid w:val="006E585E"/>
    <w:rsid w:val="006E58BF"/>
    <w:rsid w:val="006E5DD8"/>
    <w:rsid w:val="006E5EA1"/>
    <w:rsid w:val="006E5F7C"/>
    <w:rsid w:val="006E6DEE"/>
    <w:rsid w:val="006E7D4B"/>
    <w:rsid w:val="006F0527"/>
    <w:rsid w:val="006F0760"/>
    <w:rsid w:val="006F0A94"/>
    <w:rsid w:val="006F11E2"/>
    <w:rsid w:val="006F2574"/>
    <w:rsid w:val="006F2A91"/>
    <w:rsid w:val="006F3231"/>
    <w:rsid w:val="006F3DE3"/>
    <w:rsid w:val="006F4787"/>
    <w:rsid w:val="006F4BE6"/>
    <w:rsid w:val="006F5902"/>
    <w:rsid w:val="006F61D8"/>
    <w:rsid w:val="006F62B7"/>
    <w:rsid w:val="006F70BC"/>
    <w:rsid w:val="006F726C"/>
    <w:rsid w:val="006F7E7C"/>
    <w:rsid w:val="0070174E"/>
    <w:rsid w:val="007018DB"/>
    <w:rsid w:val="00701DE6"/>
    <w:rsid w:val="00702740"/>
    <w:rsid w:val="0070381B"/>
    <w:rsid w:val="00703D9F"/>
    <w:rsid w:val="0070796C"/>
    <w:rsid w:val="007109BB"/>
    <w:rsid w:val="00710EBF"/>
    <w:rsid w:val="007110B8"/>
    <w:rsid w:val="0071209F"/>
    <w:rsid w:val="007121DA"/>
    <w:rsid w:val="007125A2"/>
    <w:rsid w:val="007128F4"/>
    <w:rsid w:val="00713DD9"/>
    <w:rsid w:val="00713F79"/>
    <w:rsid w:val="007148A8"/>
    <w:rsid w:val="0071594E"/>
    <w:rsid w:val="00716AC8"/>
    <w:rsid w:val="00716E54"/>
    <w:rsid w:val="0072033C"/>
    <w:rsid w:val="00720B1B"/>
    <w:rsid w:val="00720EDC"/>
    <w:rsid w:val="00721062"/>
    <w:rsid w:val="00721E5D"/>
    <w:rsid w:val="00721F2B"/>
    <w:rsid w:val="007229D4"/>
    <w:rsid w:val="007230F8"/>
    <w:rsid w:val="0072318A"/>
    <w:rsid w:val="007233F4"/>
    <w:rsid w:val="00724044"/>
    <w:rsid w:val="007248D3"/>
    <w:rsid w:val="00724DF8"/>
    <w:rsid w:val="00725137"/>
    <w:rsid w:val="00725378"/>
    <w:rsid w:val="007256F1"/>
    <w:rsid w:val="00727A43"/>
    <w:rsid w:val="00727FF2"/>
    <w:rsid w:val="00730550"/>
    <w:rsid w:val="00730C2A"/>
    <w:rsid w:val="00731434"/>
    <w:rsid w:val="00731E59"/>
    <w:rsid w:val="00731F63"/>
    <w:rsid w:val="007323E0"/>
    <w:rsid w:val="00732911"/>
    <w:rsid w:val="00732B4E"/>
    <w:rsid w:val="0073360F"/>
    <w:rsid w:val="00733721"/>
    <w:rsid w:val="00733DE2"/>
    <w:rsid w:val="00734142"/>
    <w:rsid w:val="007352EA"/>
    <w:rsid w:val="0073792F"/>
    <w:rsid w:val="00740C81"/>
    <w:rsid w:val="00740DA6"/>
    <w:rsid w:val="00741B4B"/>
    <w:rsid w:val="00741C33"/>
    <w:rsid w:val="00741D1E"/>
    <w:rsid w:val="00741DD6"/>
    <w:rsid w:val="00741EE2"/>
    <w:rsid w:val="0074207F"/>
    <w:rsid w:val="00742367"/>
    <w:rsid w:val="00742EAA"/>
    <w:rsid w:val="00743360"/>
    <w:rsid w:val="00743818"/>
    <w:rsid w:val="00743857"/>
    <w:rsid w:val="007441FB"/>
    <w:rsid w:val="00744517"/>
    <w:rsid w:val="0074522A"/>
    <w:rsid w:val="00747295"/>
    <w:rsid w:val="00747386"/>
    <w:rsid w:val="00747829"/>
    <w:rsid w:val="00747DE2"/>
    <w:rsid w:val="007502D0"/>
    <w:rsid w:val="007504BF"/>
    <w:rsid w:val="007506CD"/>
    <w:rsid w:val="0075245E"/>
    <w:rsid w:val="0075267F"/>
    <w:rsid w:val="007526EC"/>
    <w:rsid w:val="00753C48"/>
    <w:rsid w:val="00754250"/>
    <w:rsid w:val="00754FE4"/>
    <w:rsid w:val="00755216"/>
    <w:rsid w:val="00755926"/>
    <w:rsid w:val="00756236"/>
    <w:rsid w:val="00756271"/>
    <w:rsid w:val="00756348"/>
    <w:rsid w:val="0075641E"/>
    <w:rsid w:val="00756521"/>
    <w:rsid w:val="007565F0"/>
    <w:rsid w:val="00756637"/>
    <w:rsid w:val="00756AB7"/>
    <w:rsid w:val="00757673"/>
    <w:rsid w:val="0076106D"/>
    <w:rsid w:val="007623FB"/>
    <w:rsid w:val="00762517"/>
    <w:rsid w:val="00763240"/>
    <w:rsid w:val="0076354C"/>
    <w:rsid w:val="0076376A"/>
    <w:rsid w:val="007648AD"/>
    <w:rsid w:val="0076504E"/>
    <w:rsid w:val="00767BFD"/>
    <w:rsid w:val="00767EA0"/>
    <w:rsid w:val="0077068F"/>
    <w:rsid w:val="00771430"/>
    <w:rsid w:val="00771EDF"/>
    <w:rsid w:val="00771FEC"/>
    <w:rsid w:val="007724B4"/>
    <w:rsid w:val="00772A90"/>
    <w:rsid w:val="00772F8D"/>
    <w:rsid w:val="0077408D"/>
    <w:rsid w:val="00774270"/>
    <w:rsid w:val="007743F6"/>
    <w:rsid w:val="00775679"/>
    <w:rsid w:val="0077574F"/>
    <w:rsid w:val="00775823"/>
    <w:rsid w:val="00777153"/>
    <w:rsid w:val="007774D0"/>
    <w:rsid w:val="007777CC"/>
    <w:rsid w:val="00777B32"/>
    <w:rsid w:val="0078051E"/>
    <w:rsid w:val="00781089"/>
    <w:rsid w:val="00781D65"/>
    <w:rsid w:val="00782B6A"/>
    <w:rsid w:val="007834AD"/>
    <w:rsid w:val="007838F3"/>
    <w:rsid w:val="00784754"/>
    <w:rsid w:val="00785184"/>
    <w:rsid w:val="007856FE"/>
    <w:rsid w:val="00785F46"/>
    <w:rsid w:val="007865F4"/>
    <w:rsid w:val="00786D5C"/>
    <w:rsid w:val="00786E96"/>
    <w:rsid w:val="00787BB6"/>
    <w:rsid w:val="00787DFF"/>
    <w:rsid w:val="00787F93"/>
    <w:rsid w:val="00791E6D"/>
    <w:rsid w:val="00791EB5"/>
    <w:rsid w:val="00793307"/>
    <w:rsid w:val="0079343F"/>
    <w:rsid w:val="00793696"/>
    <w:rsid w:val="007955DA"/>
    <w:rsid w:val="00796F65"/>
    <w:rsid w:val="007A11C2"/>
    <w:rsid w:val="007A18BB"/>
    <w:rsid w:val="007A27DD"/>
    <w:rsid w:val="007A3BB0"/>
    <w:rsid w:val="007A41BF"/>
    <w:rsid w:val="007A490A"/>
    <w:rsid w:val="007A6268"/>
    <w:rsid w:val="007A7B95"/>
    <w:rsid w:val="007B0297"/>
    <w:rsid w:val="007B02FA"/>
    <w:rsid w:val="007B08C7"/>
    <w:rsid w:val="007B0F53"/>
    <w:rsid w:val="007B21AE"/>
    <w:rsid w:val="007B2570"/>
    <w:rsid w:val="007B3113"/>
    <w:rsid w:val="007B3304"/>
    <w:rsid w:val="007B3BF0"/>
    <w:rsid w:val="007B55FE"/>
    <w:rsid w:val="007B5DFC"/>
    <w:rsid w:val="007B7490"/>
    <w:rsid w:val="007C0525"/>
    <w:rsid w:val="007C13F7"/>
    <w:rsid w:val="007C152F"/>
    <w:rsid w:val="007C218D"/>
    <w:rsid w:val="007C2D28"/>
    <w:rsid w:val="007C3E22"/>
    <w:rsid w:val="007C4E19"/>
    <w:rsid w:val="007C58C1"/>
    <w:rsid w:val="007C5F56"/>
    <w:rsid w:val="007C6050"/>
    <w:rsid w:val="007C6218"/>
    <w:rsid w:val="007C638C"/>
    <w:rsid w:val="007C6484"/>
    <w:rsid w:val="007C67C6"/>
    <w:rsid w:val="007C78BE"/>
    <w:rsid w:val="007C79AA"/>
    <w:rsid w:val="007C7A5D"/>
    <w:rsid w:val="007C7E59"/>
    <w:rsid w:val="007D0476"/>
    <w:rsid w:val="007D0B91"/>
    <w:rsid w:val="007D1452"/>
    <w:rsid w:val="007D1563"/>
    <w:rsid w:val="007D3DCB"/>
    <w:rsid w:val="007D460C"/>
    <w:rsid w:val="007D4996"/>
    <w:rsid w:val="007D4AD3"/>
    <w:rsid w:val="007D4B4D"/>
    <w:rsid w:val="007D5D19"/>
    <w:rsid w:val="007D5FDC"/>
    <w:rsid w:val="007D6176"/>
    <w:rsid w:val="007D69CD"/>
    <w:rsid w:val="007D6D68"/>
    <w:rsid w:val="007E1D01"/>
    <w:rsid w:val="007E32DA"/>
    <w:rsid w:val="007E4998"/>
    <w:rsid w:val="007E4A9C"/>
    <w:rsid w:val="007E6914"/>
    <w:rsid w:val="007E7F78"/>
    <w:rsid w:val="007F0179"/>
    <w:rsid w:val="007F2C13"/>
    <w:rsid w:val="007F2CEC"/>
    <w:rsid w:val="007F3435"/>
    <w:rsid w:val="007F44B0"/>
    <w:rsid w:val="007F531B"/>
    <w:rsid w:val="007F55DE"/>
    <w:rsid w:val="007F59DE"/>
    <w:rsid w:val="007F6AE1"/>
    <w:rsid w:val="007F762D"/>
    <w:rsid w:val="007F78F0"/>
    <w:rsid w:val="007F78FF"/>
    <w:rsid w:val="008001C5"/>
    <w:rsid w:val="00800F6C"/>
    <w:rsid w:val="00801065"/>
    <w:rsid w:val="00802C0B"/>
    <w:rsid w:val="008037AE"/>
    <w:rsid w:val="00805040"/>
    <w:rsid w:val="008051FC"/>
    <w:rsid w:val="008055A9"/>
    <w:rsid w:val="008056C4"/>
    <w:rsid w:val="008057FD"/>
    <w:rsid w:val="00805D8B"/>
    <w:rsid w:val="00806031"/>
    <w:rsid w:val="0081010F"/>
    <w:rsid w:val="0081091F"/>
    <w:rsid w:val="00810A0B"/>
    <w:rsid w:val="00810BB6"/>
    <w:rsid w:val="00810E1F"/>
    <w:rsid w:val="00810E8E"/>
    <w:rsid w:val="00812C44"/>
    <w:rsid w:val="008135E1"/>
    <w:rsid w:val="00813779"/>
    <w:rsid w:val="00813E26"/>
    <w:rsid w:val="0081481D"/>
    <w:rsid w:val="00814BE8"/>
    <w:rsid w:val="00814F6E"/>
    <w:rsid w:val="00815B84"/>
    <w:rsid w:val="008166F6"/>
    <w:rsid w:val="00816BE9"/>
    <w:rsid w:val="00817D10"/>
    <w:rsid w:val="00822518"/>
    <w:rsid w:val="008226F5"/>
    <w:rsid w:val="00823FC6"/>
    <w:rsid w:val="00824306"/>
    <w:rsid w:val="00825C74"/>
    <w:rsid w:val="00825CFA"/>
    <w:rsid w:val="00826AB9"/>
    <w:rsid w:val="00826E0E"/>
    <w:rsid w:val="0082744E"/>
    <w:rsid w:val="00827D11"/>
    <w:rsid w:val="00827E0F"/>
    <w:rsid w:val="00827F6E"/>
    <w:rsid w:val="00831758"/>
    <w:rsid w:val="008317D9"/>
    <w:rsid w:val="0083279F"/>
    <w:rsid w:val="00832C2F"/>
    <w:rsid w:val="00833250"/>
    <w:rsid w:val="008334DB"/>
    <w:rsid w:val="008335D4"/>
    <w:rsid w:val="00833B7F"/>
    <w:rsid w:val="00833E8E"/>
    <w:rsid w:val="00834906"/>
    <w:rsid w:val="00836075"/>
    <w:rsid w:val="00836417"/>
    <w:rsid w:val="00837526"/>
    <w:rsid w:val="00837B5A"/>
    <w:rsid w:val="008407A7"/>
    <w:rsid w:val="0084322B"/>
    <w:rsid w:val="0084341D"/>
    <w:rsid w:val="00843711"/>
    <w:rsid w:val="00843831"/>
    <w:rsid w:val="00843F81"/>
    <w:rsid w:val="00844087"/>
    <w:rsid w:val="008448F1"/>
    <w:rsid w:val="0084519E"/>
    <w:rsid w:val="00845CAE"/>
    <w:rsid w:val="008462C5"/>
    <w:rsid w:val="00846370"/>
    <w:rsid w:val="008463C4"/>
    <w:rsid w:val="00846873"/>
    <w:rsid w:val="008477E7"/>
    <w:rsid w:val="00847C2B"/>
    <w:rsid w:val="00850272"/>
    <w:rsid w:val="008506B9"/>
    <w:rsid w:val="0085086F"/>
    <w:rsid w:val="00851822"/>
    <w:rsid w:val="00851C16"/>
    <w:rsid w:val="008532BF"/>
    <w:rsid w:val="008539B2"/>
    <w:rsid w:val="00853BF4"/>
    <w:rsid w:val="00854294"/>
    <w:rsid w:val="00854295"/>
    <w:rsid w:val="0085572E"/>
    <w:rsid w:val="0085788B"/>
    <w:rsid w:val="00857A9E"/>
    <w:rsid w:val="00857DE2"/>
    <w:rsid w:val="0086003D"/>
    <w:rsid w:val="008607CC"/>
    <w:rsid w:val="00863A8E"/>
    <w:rsid w:val="00863B59"/>
    <w:rsid w:val="00864025"/>
    <w:rsid w:val="0086407F"/>
    <w:rsid w:val="008645E3"/>
    <w:rsid w:val="00864E79"/>
    <w:rsid w:val="00866411"/>
    <w:rsid w:val="0086661F"/>
    <w:rsid w:val="00866A0D"/>
    <w:rsid w:val="00866DB5"/>
    <w:rsid w:val="0086701D"/>
    <w:rsid w:val="0086702B"/>
    <w:rsid w:val="008672E2"/>
    <w:rsid w:val="0086784E"/>
    <w:rsid w:val="0087121C"/>
    <w:rsid w:val="008719D4"/>
    <w:rsid w:val="00871FD2"/>
    <w:rsid w:val="00872084"/>
    <w:rsid w:val="00872827"/>
    <w:rsid w:val="00872A32"/>
    <w:rsid w:val="00873394"/>
    <w:rsid w:val="00874911"/>
    <w:rsid w:val="008754E4"/>
    <w:rsid w:val="00876EAE"/>
    <w:rsid w:val="00880106"/>
    <w:rsid w:val="00880F95"/>
    <w:rsid w:val="00882B44"/>
    <w:rsid w:val="008838AD"/>
    <w:rsid w:val="00885019"/>
    <w:rsid w:val="00885BC9"/>
    <w:rsid w:val="008864B3"/>
    <w:rsid w:val="008865E5"/>
    <w:rsid w:val="008871B0"/>
    <w:rsid w:val="00890B57"/>
    <w:rsid w:val="008916BA"/>
    <w:rsid w:val="00891DEB"/>
    <w:rsid w:val="0089217C"/>
    <w:rsid w:val="00892790"/>
    <w:rsid w:val="00893671"/>
    <w:rsid w:val="00894D50"/>
    <w:rsid w:val="00895838"/>
    <w:rsid w:val="008959C7"/>
    <w:rsid w:val="00895A1E"/>
    <w:rsid w:val="00895A72"/>
    <w:rsid w:val="00895CDF"/>
    <w:rsid w:val="00896679"/>
    <w:rsid w:val="00896D8C"/>
    <w:rsid w:val="008A0FC9"/>
    <w:rsid w:val="008A1956"/>
    <w:rsid w:val="008A1A7C"/>
    <w:rsid w:val="008A2CE2"/>
    <w:rsid w:val="008A30EB"/>
    <w:rsid w:val="008A40D3"/>
    <w:rsid w:val="008A469C"/>
    <w:rsid w:val="008A51D1"/>
    <w:rsid w:val="008A52C2"/>
    <w:rsid w:val="008A5DCE"/>
    <w:rsid w:val="008A63FD"/>
    <w:rsid w:val="008A7364"/>
    <w:rsid w:val="008A75D3"/>
    <w:rsid w:val="008A79A7"/>
    <w:rsid w:val="008B04AE"/>
    <w:rsid w:val="008B05DD"/>
    <w:rsid w:val="008B07B8"/>
    <w:rsid w:val="008B17E8"/>
    <w:rsid w:val="008B2B46"/>
    <w:rsid w:val="008B2E7C"/>
    <w:rsid w:val="008B368E"/>
    <w:rsid w:val="008B399A"/>
    <w:rsid w:val="008B3EC8"/>
    <w:rsid w:val="008B45F0"/>
    <w:rsid w:val="008B4A70"/>
    <w:rsid w:val="008B502F"/>
    <w:rsid w:val="008B6DFC"/>
    <w:rsid w:val="008B7227"/>
    <w:rsid w:val="008B7B00"/>
    <w:rsid w:val="008C02FB"/>
    <w:rsid w:val="008C04E0"/>
    <w:rsid w:val="008C191C"/>
    <w:rsid w:val="008C1DA4"/>
    <w:rsid w:val="008C2138"/>
    <w:rsid w:val="008C29B0"/>
    <w:rsid w:val="008C2CD5"/>
    <w:rsid w:val="008C3618"/>
    <w:rsid w:val="008C39E7"/>
    <w:rsid w:val="008C43AD"/>
    <w:rsid w:val="008C6118"/>
    <w:rsid w:val="008C6341"/>
    <w:rsid w:val="008C653D"/>
    <w:rsid w:val="008C731F"/>
    <w:rsid w:val="008C74D9"/>
    <w:rsid w:val="008C7B1D"/>
    <w:rsid w:val="008D0FEC"/>
    <w:rsid w:val="008D137C"/>
    <w:rsid w:val="008D1804"/>
    <w:rsid w:val="008D2050"/>
    <w:rsid w:val="008D337B"/>
    <w:rsid w:val="008D3B2D"/>
    <w:rsid w:val="008D461A"/>
    <w:rsid w:val="008D58D9"/>
    <w:rsid w:val="008D5AD4"/>
    <w:rsid w:val="008D695E"/>
    <w:rsid w:val="008D6DD5"/>
    <w:rsid w:val="008D6E59"/>
    <w:rsid w:val="008D7155"/>
    <w:rsid w:val="008D76E0"/>
    <w:rsid w:val="008E0B29"/>
    <w:rsid w:val="008E141A"/>
    <w:rsid w:val="008E1A44"/>
    <w:rsid w:val="008E211F"/>
    <w:rsid w:val="008E28E6"/>
    <w:rsid w:val="008E3232"/>
    <w:rsid w:val="008E3674"/>
    <w:rsid w:val="008E3B6C"/>
    <w:rsid w:val="008E3DE7"/>
    <w:rsid w:val="008E5227"/>
    <w:rsid w:val="008E562C"/>
    <w:rsid w:val="008E6540"/>
    <w:rsid w:val="008E666E"/>
    <w:rsid w:val="008E77D4"/>
    <w:rsid w:val="008E7ADD"/>
    <w:rsid w:val="008F0869"/>
    <w:rsid w:val="008F091F"/>
    <w:rsid w:val="008F0AA9"/>
    <w:rsid w:val="008F1634"/>
    <w:rsid w:val="008F17B2"/>
    <w:rsid w:val="008F22B3"/>
    <w:rsid w:val="008F357B"/>
    <w:rsid w:val="008F3C1E"/>
    <w:rsid w:val="008F44CA"/>
    <w:rsid w:val="008F49D3"/>
    <w:rsid w:val="008F6519"/>
    <w:rsid w:val="008F7012"/>
    <w:rsid w:val="008F715C"/>
    <w:rsid w:val="008F7ADA"/>
    <w:rsid w:val="008F7B17"/>
    <w:rsid w:val="00900042"/>
    <w:rsid w:val="0090008E"/>
    <w:rsid w:val="0090034B"/>
    <w:rsid w:val="0090087C"/>
    <w:rsid w:val="00901121"/>
    <w:rsid w:val="00901B35"/>
    <w:rsid w:val="00902623"/>
    <w:rsid w:val="00902A67"/>
    <w:rsid w:val="00902C5E"/>
    <w:rsid w:val="00902F6B"/>
    <w:rsid w:val="00903ABB"/>
    <w:rsid w:val="00903CF9"/>
    <w:rsid w:val="00904BE4"/>
    <w:rsid w:val="0090504A"/>
    <w:rsid w:val="009051F5"/>
    <w:rsid w:val="00905221"/>
    <w:rsid w:val="00905A7C"/>
    <w:rsid w:val="00905D7E"/>
    <w:rsid w:val="00907037"/>
    <w:rsid w:val="0091112C"/>
    <w:rsid w:val="0091160A"/>
    <w:rsid w:val="0091199D"/>
    <w:rsid w:val="00911B4E"/>
    <w:rsid w:val="00912E04"/>
    <w:rsid w:val="00913258"/>
    <w:rsid w:val="00913851"/>
    <w:rsid w:val="0091389B"/>
    <w:rsid w:val="00913BB0"/>
    <w:rsid w:val="0091400C"/>
    <w:rsid w:val="0091456C"/>
    <w:rsid w:val="00914C58"/>
    <w:rsid w:val="00914D78"/>
    <w:rsid w:val="0091564D"/>
    <w:rsid w:val="009156DA"/>
    <w:rsid w:val="00915774"/>
    <w:rsid w:val="00916BC5"/>
    <w:rsid w:val="0091726A"/>
    <w:rsid w:val="00917C01"/>
    <w:rsid w:val="00920184"/>
    <w:rsid w:val="00920EA4"/>
    <w:rsid w:val="00920EB0"/>
    <w:rsid w:val="00921792"/>
    <w:rsid w:val="00921BEA"/>
    <w:rsid w:val="009227BE"/>
    <w:rsid w:val="009238FD"/>
    <w:rsid w:val="00923998"/>
    <w:rsid w:val="00923DB4"/>
    <w:rsid w:val="0092420B"/>
    <w:rsid w:val="0092430E"/>
    <w:rsid w:val="00924E21"/>
    <w:rsid w:val="00926112"/>
    <w:rsid w:val="0092625F"/>
    <w:rsid w:val="00926B28"/>
    <w:rsid w:val="00926D9C"/>
    <w:rsid w:val="00927028"/>
    <w:rsid w:val="00927763"/>
    <w:rsid w:val="00927A2D"/>
    <w:rsid w:val="00927B37"/>
    <w:rsid w:val="0093183B"/>
    <w:rsid w:val="009321B1"/>
    <w:rsid w:val="00932ED7"/>
    <w:rsid w:val="0093422D"/>
    <w:rsid w:val="0093483B"/>
    <w:rsid w:val="00934CF9"/>
    <w:rsid w:val="00934DD7"/>
    <w:rsid w:val="00935CB2"/>
    <w:rsid w:val="009369A9"/>
    <w:rsid w:val="00936CF7"/>
    <w:rsid w:val="00937783"/>
    <w:rsid w:val="00937EAD"/>
    <w:rsid w:val="00937F28"/>
    <w:rsid w:val="00940FE1"/>
    <w:rsid w:val="00942306"/>
    <w:rsid w:val="009424B8"/>
    <w:rsid w:val="009432E2"/>
    <w:rsid w:val="00944668"/>
    <w:rsid w:val="00944DC6"/>
    <w:rsid w:val="00944F3C"/>
    <w:rsid w:val="009458B0"/>
    <w:rsid w:val="00945B52"/>
    <w:rsid w:val="00945B7A"/>
    <w:rsid w:val="00945F05"/>
    <w:rsid w:val="00946348"/>
    <w:rsid w:val="009463FF"/>
    <w:rsid w:val="00947224"/>
    <w:rsid w:val="00947797"/>
    <w:rsid w:val="009478A2"/>
    <w:rsid w:val="009533BD"/>
    <w:rsid w:val="00953808"/>
    <w:rsid w:val="009539A6"/>
    <w:rsid w:val="00953CC3"/>
    <w:rsid w:val="00954032"/>
    <w:rsid w:val="00954537"/>
    <w:rsid w:val="0095472D"/>
    <w:rsid w:val="00955342"/>
    <w:rsid w:val="00955FBB"/>
    <w:rsid w:val="0095694B"/>
    <w:rsid w:val="00956BD5"/>
    <w:rsid w:val="00956D84"/>
    <w:rsid w:val="0095760F"/>
    <w:rsid w:val="009577B5"/>
    <w:rsid w:val="00957B44"/>
    <w:rsid w:val="009608E6"/>
    <w:rsid w:val="00960F57"/>
    <w:rsid w:val="00961C90"/>
    <w:rsid w:val="00965443"/>
    <w:rsid w:val="00965954"/>
    <w:rsid w:val="00965A21"/>
    <w:rsid w:val="00965E55"/>
    <w:rsid w:val="0096608E"/>
    <w:rsid w:val="00966522"/>
    <w:rsid w:val="00966C33"/>
    <w:rsid w:val="00970950"/>
    <w:rsid w:val="00970F18"/>
    <w:rsid w:val="00971652"/>
    <w:rsid w:val="00971CF1"/>
    <w:rsid w:val="00971F5D"/>
    <w:rsid w:val="009721E9"/>
    <w:rsid w:val="00972616"/>
    <w:rsid w:val="00973772"/>
    <w:rsid w:val="0097560A"/>
    <w:rsid w:val="00975E1E"/>
    <w:rsid w:val="00975E70"/>
    <w:rsid w:val="00975FBA"/>
    <w:rsid w:val="009761DE"/>
    <w:rsid w:val="009766FA"/>
    <w:rsid w:val="00977A95"/>
    <w:rsid w:val="00977CD6"/>
    <w:rsid w:val="0098048B"/>
    <w:rsid w:val="00980908"/>
    <w:rsid w:val="00980DF9"/>
    <w:rsid w:val="00981CD8"/>
    <w:rsid w:val="0098243D"/>
    <w:rsid w:val="00982D26"/>
    <w:rsid w:val="00983B6E"/>
    <w:rsid w:val="00983FE5"/>
    <w:rsid w:val="009849E9"/>
    <w:rsid w:val="00984AFF"/>
    <w:rsid w:val="00984E4B"/>
    <w:rsid w:val="009859E4"/>
    <w:rsid w:val="00985E64"/>
    <w:rsid w:val="00987812"/>
    <w:rsid w:val="00990225"/>
    <w:rsid w:val="00991307"/>
    <w:rsid w:val="00992A13"/>
    <w:rsid w:val="00992BD4"/>
    <w:rsid w:val="00994AAD"/>
    <w:rsid w:val="00995150"/>
    <w:rsid w:val="00995475"/>
    <w:rsid w:val="00995D67"/>
    <w:rsid w:val="00997613"/>
    <w:rsid w:val="009A013B"/>
    <w:rsid w:val="009A02F4"/>
    <w:rsid w:val="009A06BF"/>
    <w:rsid w:val="009A0D17"/>
    <w:rsid w:val="009A2466"/>
    <w:rsid w:val="009A2494"/>
    <w:rsid w:val="009A32B1"/>
    <w:rsid w:val="009A33A3"/>
    <w:rsid w:val="009A36F2"/>
    <w:rsid w:val="009A39E2"/>
    <w:rsid w:val="009A40C3"/>
    <w:rsid w:val="009A40D5"/>
    <w:rsid w:val="009A5268"/>
    <w:rsid w:val="009A57D0"/>
    <w:rsid w:val="009A6559"/>
    <w:rsid w:val="009A68FC"/>
    <w:rsid w:val="009A6CE4"/>
    <w:rsid w:val="009A7514"/>
    <w:rsid w:val="009A7E7A"/>
    <w:rsid w:val="009B0116"/>
    <w:rsid w:val="009B0925"/>
    <w:rsid w:val="009B1584"/>
    <w:rsid w:val="009B18F0"/>
    <w:rsid w:val="009B1F4C"/>
    <w:rsid w:val="009B2471"/>
    <w:rsid w:val="009B314F"/>
    <w:rsid w:val="009B439C"/>
    <w:rsid w:val="009B49A1"/>
    <w:rsid w:val="009B4A6C"/>
    <w:rsid w:val="009B4DA8"/>
    <w:rsid w:val="009B519A"/>
    <w:rsid w:val="009B620C"/>
    <w:rsid w:val="009B6753"/>
    <w:rsid w:val="009B676C"/>
    <w:rsid w:val="009B6A26"/>
    <w:rsid w:val="009B743A"/>
    <w:rsid w:val="009C079D"/>
    <w:rsid w:val="009C0D70"/>
    <w:rsid w:val="009C13D1"/>
    <w:rsid w:val="009C2913"/>
    <w:rsid w:val="009C2BD4"/>
    <w:rsid w:val="009C3E72"/>
    <w:rsid w:val="009C4AE8"/>
    <w:rsid w:val="009C5AFE"/>
    <w:rsid w:val="009C6606"/>
    <w:rsid w:val="009C6CE5"/>
    <w:rsid w:val="009C6D50"/>
    <w:rsid w:val="009C7547"/>
    <w:rsid w:val="009D05EC"/>
    <w:rsid w:val="009D1053"/>
    <w:rsid w:val="009D18D4"/>
    <w:rsid w:val="009D1A1F"/>
    <w:rsid w:val="009D2F60"/>
    <w:rsid w:val="009D3A2E"/>
    <w:rsid w:val="009D53C7"/>
    <w:rsid w:val="009D5ADE"/>
    <w:rsid w:val="009D5BAC"/>
    <w:rsid w:val="009D5C56"/>
    <w:rsid w:val="009D6265"/>
    <w:rsid w:val="009D64BD"/>
    <w:rsid w:val="009D6B3D"/>
    <w:rsid w:val="009D6CB1"/>
    <w:rsid w:val="009D724F"/>
    <w:rsid w:val="009D7F34"/>
    <w:rsid w:val="009E0286"/>
    <w:rsid w:val="009E153F"/>
    <w:rsid w:val="009E18C5"/>
    <w:rsid w:val="009E322A"/>
    <w:rsid w:val="009E393E"/>
    <w:rsid w:val="009E444E"/>
    <w:rsid w:val="009E4968"/>
    <w:rsid w:val="009E663C"/>
    <w:rsid w:val="009E684A"/>
    <w:rsid w:val="009E6BB1"/>
    <w:rsid w:val="009E6E14"/>
    <w:rsid w:val="009E794A"/>
    <w:rsid w:val="009E7C14"/>
    <w:rsid w:val="009F0001"/>
    <w:rsid w:val="009F0494"/>
    <w:rsid w:val="009F0CD9"/>
    <w:rsid w:val="009F1A79"/>
    <w:rsid w:val="009F1F57"/>
    <w:rsid w:val="009F2DDD"/>
    <w:rsid w:val="009F3447"/>
    <w:rsid w:val="009F65F4"/>
    <w:rsid w:val="009F676B"/>
    <w:rsid w:val="009F6D2D"/>
    <w:rsid w:val="009F6D54"/>
    <w:rsid w:val="00A004DF"/>
    <w:rsid w:val="00A00FD5"/>
    <w:rsid w:val="00A012C0"/>
    <w:rsid w:val="00A019A8"/>
    <w:rsid w:val="00A01B03"/>
    <w:rsid w:val="00A01B89"/>
    <w:rsid w:val="00A02C66"/>
    <w:rsid w:val="00A02C84"/>
    <w:rsid w:val="00A0464C"/>
    <w:rsid w:val="00A050BB"/>
    <w:rsid w:val="00A0521B"/>
    <w:rsid w:val="00A054E0"/>
    <w:rsid w:val="00A05D91"/>
    <w:rsid w:val="00A0621A"/>
    <w:rsid w:val="00A06EE5"/>
    <w:rsid w:val="00A0740B"/>
    <w:rsid w:val="00A07ED3"/>
    <w:rsid w:val="00A10CA8"/>
    <w:rsid w:val="00A10F9B"/>
    <w:rsid w:val="00A10FA1"/>
    <w:rsid w:val="00A11013"/>
    <w:rsid w:val="00A11042"/>
    <w:rsid w:val="00A12579"/>
    <w:rsid w:val="00A12CDC"/>
    <w:rsid w:val="00A12EBE"/>
    <w:rsid w:val="00A133D8"/>
    <w:rsid w:val="00A15655"/>
    <w:rsid w:val="00A160B0"/>
    <w:rsid w:val="00A1740C"/>
    <w:rsid w:val="00A17904"/>
    <w:rsid w:val="00A20069"/>
    <w:rsid w:val="00A2244D"/>
    <w:rsid w:val="00A2253D"/>
    <w:rsid w:val="00A2267F"/>
    <w:rsid w:val="00A22CDB"/>
    <w:rsid w:val="00A23C18"/>
    <w:rsid w:val="00A23E0A"/>
    <w:rsid w:val="00A247B8"/>
    <w:rsid w:val="00A2495A"/>
    <w:rsid w:val="00A24C7A"/>
    <w:rsid w:val="00A24D8F"/>
    <w:rsid w:val="00A25B8B"/>
    <w:rsid w:val="00A266D3"/>
    <w:rsid w:val="00A2689F"/>
    <w:rsid w:val="00A26ECA"/>
    <w:rsid w:val="00A27461"/>
    <w:rsid w:val="00A27B41"/>
    <w:rsid w:val="00A27D67"/>
    <w:rsid w:val="00A30ABC"/>
    <w:rsid w:val="00A33B74"/>
    <w:rsid w:val="00A3467F"/>
    <w:rsid w:val="00A34B4C"/>
    <w:rsid w:val="00A35030"/>
    <w:rsid w:val="00A3551A"/>
    <w:rsid w:val="00A366A0"/>
    <w:rsid w:val="00A37209"/>
    <w:rsid w:val="00A37584"/>
    <w:rsid w:val="00A376E8"/>
    <w:rsid w:val="00A37F8E"/>
    <w:rsid w:val="00A41537"/>
    <w:rsid w:val="00A41737"/>
    <w:rsid w:val="00A42B8F"/>
    <w:rsid w:val="00A42D8E"/>
    <w:rsid w:val="00A43254"/>
    <w:rsid w:val="00A43896"/>
    <w:rsid w:val="00A43A26"/>
    <w:rsid w:val="00A447A0"/>
    <w:rsid w:val="00A459F5"/>
    <w:rsid w:val="00A45FC0"/>
    <w:rsid w:val="00A46B74"/>
    <w:rsid w:val="00A47BF7"/>
    <w:rsid w:val="00A47ECC"/>
    <w:rsid w:val="00A50171"/>
    <w:rsid w:val="00A504FA"/>
    <w:rsid w:val="00A5102E"/>
    <w:rsid w:val="00A5132E"/>
    <w:rsid w:val="00A51375"/>
    <w:rsid w:val="00A51533"/>
    <w:rsid w:val="00A528BF"/>
    <w:rsid w:val="00A52D36"/>
    <w:rsid w:val="00A531D4"/>
    <w:rsid w:val="00A54572"/>
    <w:rsid w:val="00A575B8"/>
    <w:rsid w:val="00A61C60"/>
    <w:rsid w:val="00A61ECB"/>
    <w:rsid w:val="00A638A0"/>
    <w:rsid w:val="00A6410C"/>
    <w:rsid w:val="00A647B1"/>
    <w:rsid w:val="00A64DEF"/>
    <w:rsid w:val="00A64FE7"/>
    <w:rsid w:val="00A654D2"/>
    <w:rsid w:val="00A665DF"/>
    <w:rsid w:val="00A6699F"/>
    <w:rsid w:val="00A669F5"/>
    <w:rsid w:val="00A67FCC"/>
    <w:rsid w:val="00A70AA5"/>
    <w:rsid w:val="00A70C03"/>
    <w:rsid w:val="00A70D0D"/>
    <w:rsid w:val="00A7103D"/>
    <w:rsid w:val="00A71256"/>
    <w:rsid w:val="00A7217B"/>
    <w:rsid w:val="00A72C78"/>
    <w:rsid w:val="00A73861"/>
    <w:rsid w:val="00A739A6"/>
    <w:rsid w:val="00A740ED"/>
    <w:rsid w:val="00A74C29"/>
    <w:rsid w:val="00A74C62"/>
    <w:rsid w:val="00A75EF9"/>
    <w:rsid w:val="00A7657C"/>
    <w:rsid w:val="00A81592"/>
    <w:rsid w:val="00A82486"/>
    <w:rsid w:val="00A8311C"/>
    <w:rsid w:val="00A835D0"/>
    <w:rsid w:val="00A83F5D"/>
    <w:rsid w:val="00A84C5F"/>
    <w:rsid w:val="00A85930"/>
    <w:rsid w:val="00A863F7"/>
    <w:rsid w:val="00A86604"/>
    <w:rsid w:val="00A87519"/>
    <w:rsid w:val="00A9246D"/>
    <w:rsid w:val="00A92CCA"/>
    <w:rsid w:val="00A92F9F"/>
    <w:rsid w:val="00A93BD0"/>
    <w:rsid w:val="00A93CC2"/>
    <w:rsid w:val="00A94D4B"/>
    <w:rsid w:val="00A95009"/>
    <w:rsid w:val="00A974CC"/>
    <w:rsid w:val="00AA2001"/>
    <w:rsid w:val="00AA2B5C"/>
    <w:rsid w:val="00AA32D2"/>
    <w:rsid w:val="00AA3B8B"/>
    <w:rsid w:val="00AA4016"/>
    <w:rsid w:val="00AA4B06"/>
    <w:rsid w:val="00AA4C1F"/>
    <w:rsid w:val="00AA4E80"/>
    <w:rsid w:val="00AA5328"/>
    <w:rsid w:val="00AA5393"/>
    <w:rsid w:val="00AA5D13"/>
    <w:rsid w:val="00AA63D4"/>
    <w:rsid w:val="00AB03FD"/>
    <w:rsid w:val="00AB2000"/>
    <w:rsid w:val="00AB38CB"/>
    <w:rsid w:val="00AB3BEC"/>
    <w:rsid w:val="00AB44E4"/>
    <w:rsid w:val="00AB4522"/>
    <w:rsid w:val="00AB4AEB"/>
    <w:rsid w:val="00AB4E5F"/>
    <w:rsid w:val="00AB5352"/>
    <w:rsid w:val="00AB5544"/>
    <w:rsid w:val="00AB56AE"/>
    <w:rsid w:val="00AB62D5"/>
    <w:rsid w:val="00AB65B5"/>
    <w:rsid w:val="00AB6DCD"/>
    <w:rsid w:val="00AB6DEE"/>
    <w:rsid w:val="00AB6EE0"/>
    <w:rsid w:val="00AB73DC"/>
    <w:rsid w:val="00AC17A2"/>
    <w:rsid w:val="00AC1FD6"/>
    <w:rsid w:val="00AC2DFD"/>
    <w:rsid w:val="00AC40B7"/>
    <w:rsid w:val="00AC4680"/>
    <w:rsid w:val="00AC516B"/>
    <w:rsid w:val="00AC5235"/>
    <w:rsid w:val="00AC531F"/>
    <w:rsid w:val="00AC5AAA"/>
    <w:rsid w:val="00AC5B36"/>
    <w:rsid w:val="00AC6377"/>
    <w:rsid w:val="00AC66A4"/>
    <w:rsid w:val="00AC6CB1"/>
    <w:rsid w:val="00AC7325"/>
    <w:rsid w:val="00AC75E9"/>
    <w:rsid w:val="00AC7D6D"/>
    <w:rsid w:val="00AD0091"/>
    <w:rsid w:val="00AD0AE6"/>
    <w:rsid w:val="00AD14E6"/>
    <w:rsid w:val="00AD23EF"/>
    <w:rsid w:val="00AD2662"/>
    <w:rsid w:val="00AD307B"/>
    <w:rsid w:val="00AD4014"/>
    <w:rsid w:val="00AD41B3"/>
    <w:rsid w:val="00AD5721"/>
    <w:rsid w:val="00AD69F0"/>
    <w:rsid w:val="00AD6E0C"/>
    <w:rsid w:val="00AD7127"/>
    <w:rsid w:val="00AD730C"/>
    <w:rsid w:val="00AE123A"/>
    <w:rsid w:val="00AE1539"/>
    <w:rsid w:val="00AE28A7"/>
    <w:rsid w:val="00AE2A98"/>
    <w:rsid w:val="00AE2CF2"/>
    <w:rsid w:val="00AE3012"/>
    <w:rsid w:val="00AE310D"/>
    <w:rsid w:val="00AE31F8"/>
    <w:rsid w:val="00AE3297"/>
    <w:rsid w:val="00AE33A6"/>
    <w:rsid w:val="00AE3729"/>
    <w:rsid w:val="00AE4CCE"/>
    <w:rsid w:val="00AE5C6A"/>
    <w:rsid w:val="00AE653D"/>
    <w:rsid w:val="00AE7280"/>
    <w:rsid w:val="00AF01FA"/>
    <w:rsid w:val="00AF033A"/>
    <w:rsid w:val="00AF1699"/>
    <w:rsid w:val="00AF1FD3"/>
    <w:rsid w:val="00AF2910"/>
    <w:rsid w:val="00AF34B8"/>
    <w:rsid w:val="00AF3896"/>
    <w:rsid w:val="00AF3FC2"/>
    <w:rsid w:val="00AF4D55"/>
    <w:rsid w:val="00AF4DEC"/>
    <w:rsid w:val="00B0098A"/>
    <w:rsid w:val="00B00A5F"/>
    <w:rsid w:val="00B029B8"/>
    <w:rsid w:val="00B02F60"/>
    <w:rsid w:val="00B02F94"/>
    <w:rsid w:val="00B032B8"/>
    <w:rsid w:val="00B04721"/>
    <w:rsid w:val="00B04B15"/>
    <w:rsid w:val="00B04B46"/>
    <w:rsid w:val="00B0534D"/>
    <w:rsid w:val="00B05685"/>
    <w:rsid w:val="00B05F9F"/>
    <w:rsid w:val="00B06368"/>
    <w:rsid w:val="00B068DA"/>
    <w:rsid w:val="00B06A00"/>
    <w:rsid w:val="00B06FC6"/>
    <w:rsid w:val="00B074C9"/>
    <w:rsid w:val="00B07D9D"/>
    <w:rsid w:val="00B11AE5"/>
    <w:rsid w:val="00B12F43"/>
    <w:rsid w:val="00B12FE6"/>
    <w:rsid w:val="00B1303F"/>
    <w:rsid w:val="00B1364A"/>
    <w:rsid w:val="00B13859"/>
    <w:rsid w:val="00B13EC9"/>
    <w:rsid w:val="00B14319"/>
    <w:rsid w:val="00B14A06"/>
    <w:rsid w:val="00B158E1"/>
    <w:rsid w:val="00B15AEE"/>
    <w:rsid w:val="00B15F88"/>
    <w:rsid w:val="00B16715"/>
    <w:rsid w:val="00B1768E"/>
    <w:rsid w:val="00B17910"/>
    <w:rsid w:val="00B20229"/>
    <w:rsid w:val="00B20F18"/>
    <w:rsid w:val="00B21516"/>
    <w:rsid w:val="00B21A37"/>
    <w:rsid w:val="00B21D23"/>
    <w:rsid w:val="00B21F62"/>
    <w:rsid w:val="00B22CE0"/>
    <w:rsid w:val="00B23738"/>
    <w:rsid w:val="00B23BEF"/>
    <w:rsid w:val="00B247BB"/>
    <w:rsid w:val="00B2504A"/>
    <w:rsid w:val="00B25EE6"/>
    <w:rsid w:val="00B2685C"/>
    <w:rsid w:val="00B30CD6"/>
    <w:rsid w:val="00B3115A"/>
    <w:rsid w:val="00B31825"/>
    <w:rsid w:val="00B31A5C"/>
    <w:rsid w:val="00B32265"/>
    <w:rsid w:val="00B3276D"/>
    <w:rsid w:val="00B33986"/>
    <w:rsid w:val="00B33B06"/>
    <w:rsid w:val="00B33C19"/>
    <w:rsid w:val="00B35A15"/>
    <w:rsid w:val="00B35B45"/>
    <w:rsid w:val="00B36A99"/>
    <w:rsid w:val="00B40143"/>
    <w:rsid w:val="00B42264"/>
    <w:rsid w:val="00B434B2"/>
    <w:rsid w:val="00B43D45"/>
    <w:rsid w:val="00B459AF"/>
    <w:rsid w:val="00B467B8"/>
    <w:rsid w:val="00B468F2"/>
    <w:rsid w:val="00B469DE"/>
    <w:rsid w:val="00B47286"/>
    <w:rsid w:val="00B47EB4"/>
    <w:rsid w:val="00B50234"/>
    <w:rsid w:val="00B51BF4"/>
    <w:rsid w:val="00B52C68"/>
    <w:rsid w:val="00B5372B"/>
    <w:rsid w:val="00B542FE"/>
    <w:rsid w:val="00B54566"/>
    <w:rsid w:val="00B54A85"/>
    <w:rsid w:val="00B55A1B"/>
    <w:rsid w:val="00B561DB"/>
    <w:rsid w:val="00B5692B"/>
    <w:rsid w:val="00B56DF9"/>
    <w:rsid w:val="00B56E80"/>
    <w:rsid w:val="00B5705A"/>
    <w:rsid w:val="00B600BD"/>
    <w:rsid w:val="00B60C4A"/>
    <w:rsid w:val="00B61274"/>
    <w:rsid w:val="00B61DCE"/>
    <w:rsid w:val="00B62188"/>
    <w:rsid w:val="00B62F79"/>
    <w:rsid w:val="00B62F82"/>
    <w:rsid w:val="00B6306A"/>
    <w:rsid w:val="00B635E3"/>
    <w:rsid w:val="00B63D44"/>
    <w:rsid w:val="00B65869"/>
    <w:rsid w:val="00B662FF"/>
    <w:rsid w:val="00B66679"/>
    <w:rsid w:val="00B70145"/>
    <w:rsid w:val="00B704F8"/>
    <w:rsid w:val="00B71A92"/>
    <w:rsid w:val="00B71B0A"/>
    <w:rsid w:val="00B721D8"/>
    <w:rsid w:val="00B730CA"/>
    <w:rsid w:val="00B732EA"/>
    <w:rsid w:val="00B7390A"/>
    <w:rsid w:val="00B747C5"/>
    <w:rsid w:val="00B74F2F"/>
    <w:rsid w:val="00B753ED"/>
    <w:rsid w:val="00B7665F"/>
    <w:rsid w:val="00B769BC"/>
    <w:rsid w:val="00B77349"/>
    <w:rsid w:val="00B7761E"/>
    <w:rsid w:val="00B80A3D"/>
    <w:rsid w:val="00B80B04"/>
    <w:rsid w:val="00B821E4"/>
    <w:rsid w:val="00B823E0"/>
    <w:rsid w:val="00B8260D"/>
    <w:rsid w:val="00B82B78"/>
    <w:rsid w:val="00B845B4"/>
    <w:rsid w:val="00B84662"/>
    <w:rsid w:val="00B84C74"/>
    <w:rsid w:val="00B85191"/>
    <w:rsid w:val="00B857B9"/>
    <w:rsid w:val="00B858A1"/>
    <w:rsid w:val="00B85FEC"/>
    <w:rsid w:val="00B864A3"/>
    <w:rsid w:val="00B86C2A"/>
    <w:rsid w:val="00B87712"/>
    <w:rsid w:val="00B87C1C"/>
    <w:rsid w:val="00B902A5"/>
    <w:rsid w:val="00B90420"/>
    <w:rsid w:val="00B90848"/>
    <w:rsid w:val="00B91146"/>
    <w:rsid w:val="00B913E4"/>
    <w:rsid w:val="00B91DB9"/>
    <w:rsid w:val="00B91FF3"/>
    <w:rsid w:val="00B923F1"/>
    <w:rsid w:val="00B925F8"/>
    <w:rsid w:val="00B9370E"/>
    <w:rsid w:val="00B93EFE"/>
    <w:rsid w:val="00B944B9"/>
    <w:rsid w:val="00B94956"/>
    <w:rsid w:val="00B94C7F"/>
    <w:rsid w:val="00B94E93"/>
    <w:rsid w:val="00B956B5"/>
    <w:rsid w:val="00B95CE8"/>
    <w:rsid w:val="00B96DF2"/>
    <w:rsid w:val="00B96E18"/>
    <w:rsid w:val="00B96F5A"/>
    <w:rsid w:val="00BA0B39"/>
    <w:rsid w:val="00BA0CB2"/>
    <w:rsid w:val="00BA0E26"/>
    <w:rsid w:val="00BA11E8"/>
    <w:rsid w:val="00BA138B"/>
    <w:rsid w:val="00BA1451"/>
    <w:rsid w:val="00BA305B"/>
    <w:rsid w:val="00BA31BF"/>
    <w:rsid w:val="00BA3BC5"/>
    <w:rsid w:val="00BA3C0F"/>
    <w:rsid w:val="00BA3FC7"/>
    <w:rsid w:val="00BA4075"/>
    <w:rsid w:val="00BA478B"/>
    <w:rsid w:val="00BA5224"/>
    <w:rsid w:val="00BA575E"/>
    <w:rsid w:val="00BA76B7"/>
    <w:rsid w:val="00BA7DDB"/>
    <w:rsid w:val="00BA7E3B"/>
    <w:rsid w:val="00BB078D"/>
    <w:rsid w:val="00BB079C"/>
    <w:rsid w:val="00BB0D7A"/>
    <w:rsid w:val="00BB10E1"/>
    <w:rsid w:val="00BB1398"/>
    <w:rsid w:val="00BB186A"/>
    <w:rsid w:val="00BB1C05"/>
    <w:rsid w:val="00BB2471"/>
    <w:rsid w:val="00BB3035"/>
    <w:rsid w:val="00BB3633"/>
    <w:rsid w:val="00BB39C1"/>
    <w:rsid w:val="00BB3DF5"/>
    <w:rsid w:val="00BB3EA7"/>
    <w:rsid w:val="00BB4598"/>
    <w:rsid w:val="00BB5D16"/>
    <w:rsid w:val="00BB6180"/>
    <w:rsid w:val="00BB69E6"/>
    <w:rsid w:val="00BB6B2A"/>
    <w:rsid w:val="00BB7323"/>
    <w:rsid w:val="00BB7BE5"/>
    <w:rsid w:val="00BC0139"/>
    <w:rsid w:val="00BC08BD"/>
    <w:rsid w:val="00BC11E8"/>
    <w:rsid w:val="00BC1B7A"/>
    <w:rsid w:val="00BC2C17"/>
    <w:rsid w:val="00BC3ACD"/>
    <w:rsid w:val="00BC3B20"/>
    <w:rsid w:val="00BC3EE4"/>
    <w:rsid w:val="00BC588C"/>
    <w:rsid w:val="00BC59AA"/>
    <w:rsid w:val="00BC67FF"/>
    <w:rsid w:val="00BC6E73"/>
    <w:rsid w:val="00BC74D3"/>
    <w:rsid w:val="00BC7AB4"/>
    <w:rsid w:val="00BD0014"/>
    <w:rsid w:val="00BD01D8"/>
    <w:rsid w:val="00BD255F"/>
    <w:rsid w:val="00BD2895"/>
    <w:rsid w:val="00BD4236"/>
    <w:rsid w:val="00BD483B"/>
    <w:rsid w:val="00BD5B73"/>
    <w:rsid w:val="00BD5CD4"/>
    <w:rsid w:val="00BD5D8E"/>
    <w:rsid w:val="00BD65D9"/>
    <w:rsid w:val="00BD6DF3"/>
    <w:rsid w:val="00BD6E09"/>
    <w:rsid w:val="00BD6EF9"/>
    <w:rsid w:val="00BE0ACB"/>
    <w:rsid w:val="00BE180B"/>
    <w:rsid w:val="00BE2260"/>
    <w:rsid w:val="00BE3917"/>
    <w:rsid w:val="00BE50FD"/>
    <w:rsid w:val="00BE51CA"/>
    <w:rsid w:val="00BE537F"/>
    <w:rsid w:val="00BE5D77"/>
    <w:rsid w:val="00BE6D47"/>
    <w:rsid w:val="00BE7032"/>
    <w:rsid w:val="00BE7330"/>
    <w:rsid w:val="00BF01C5"/>
    <w:rsid w:val="00BF061A"/>
    <w:rsid w:val="00BF066A"/>
    <w:rsid w:val="00BF14CC"/>
    <w:rsid w:val="00BF1509"/>
    <w:rsid w:val="00BF1821"/>
    <w:rsid w:val="00BF30B3"/>
    <w:rsid w:val="00BF4342"/>
    <w:rsid w:val="00BF4704"/>
    <w:rsid w:val="00BF4FFC"/>
    <w:rsid w:val="00BF5050"/>
    <w:rsid w:val="00BF50D1"/>
    <w:rsid w:val="00BF5422"/>
    <w:rsid w:val="00BF59B1"/>
    <w:rsid w:val="00BF6625"/>
    <w:rsid w:val="00BF6A78"/>
    <w:rsid w:val="00BF7695"/>
    <w:rsid w:val="00BF79B4"/>
    <w:rsid w:val="00BF7C61"/>
    <w:rsid w:val="00C01427"/>
    <w:rsid w:val="00C014C7"/>
    <w:rsid w:val="00C047AB"/>
    <w:rsid w:val="00C04E43"/>
    <w:rsid w:val="00C058AF"/>
    <w:rsid w:val="00C05D1E"/>
    <w:rsid w:val="00C075B6"/>
    <w:rsid w:val="00C110FD"/>
    <w:rsid w:val="00C124C1"/>
    <w:rsid w:val="00C128AE"/>
    <w:rsid w:val="00C12BA8"/>
    <w:rsid w:val="00C12EE2"/>
    <w:rsid w:val="00C13094"/>
    <w:rsid w:val="00C136D6"/>
    <w:rsid w:val="00C13B28"/>
    <w:rsid w:val="00C13D5B"/>
    <w:rsid w:val="00C141D7"/>
    <w:rsid w:val="00C154A3"/>
    <w:rsid w:val="00C16EB9"/>
    <w:rsid w:val="00C1711B"/>
    <w:rsid w:val="00C17AE2"/>
    <w:rsid w:val="00C20140"/>
    <w:rsid w:val="00C20F27"/>
    <w:rsid w:val="00C215CF"/>
    <w:rsid w:val="00C22250"/>
    <w:rsid w:val="00C2244B"/>
    <w:rsid w:val="00C22711"/>
    <w:rsid w:val="00C2280A"/>
    <w:rsid w:val="00C22B0D"/>
    <w:rsid w:val="00C22BFF"/>
    <w:rsid w:val="00C23522"/>
    <w:rsid w:val="00C240C1"/>
    <w:rsid w:val="00C24AED"/>
    <w:rsid w:val="00C250D0"/>
    <w:rsid w:val="00C252AC"/>
    <w:rsid w:val="00C25C0F"/>
    <w:rsid w:val="00C26567"/>
    <w:rsid w:val="00C26923"/>
    <w:rsid w:val="00C27214"/>
    <w:rsid w:val="00C27597"/>
    <w:rsid w:val="00C27930"/>
    <w:rsid w:val="00C27B6F"/>
    <w:rsid w:val="00C27E5E"/>
    <w:rsid w:val="00C30382"/>
    <w:rsid w:val="00C30772"/>
    <w:rsid w:val="00C30D6F"/>
    <w:rsid w:val="00C31063"/>
    <w:rsid w:val="00C31B7E"/>
    <w:rsid w:val="00C322D1"/>
    <w:rsid w:val="00C3242A"/>
    <w:rsid w:val="00C33201"/>
    <w:rsid w:val="00C33A39"/>
    <w:rsid w:val="00C34619"/>
    <w:rsid w:val="00C348D9"/>
    <w:rsid w:val="00C35D01"/>
    <w:rsid w:val="00C360B3"/>
    <w:rsid w:val="00C37027"/>
    <w:rsid w:val="00C37B19"/>
    <w:rsid w:val="00C37D56"/>
    <w:rsid w:val="00C40D4B"/>
    <w:rsid w:val="00C413CB"/>
    <w:rsid w:val="00C42752"/>
    <w:rsid w:val="00C42973"/>
    <w:rsid w:val="00C43EEA"/>
    <w:rsid w:val="00C44206"/>
    <w:rsid w:val="00C46B95"/>
    <w:rsid w:val="00C4712A"/>
    <w:rsid w:val="00C47F88"/>
    <w:rsid w:val="00C5034F"/>
    <w:rsid w:val="00C50830"/>
    <w:rsid w:val="00C52479"/>
    <w:rsid w:val="00C5266E"/>
    <w:rsid w:val="00C52C59"/>
    <w:rsid w:val="00C5349E"/>
    <w:rsid w:val="00C539FF"/>
    <w:rsid w:val="00C544BD"/>
    <w:rsid w:val="00C54D3D"/>
    <w:rsid w:val="00C55A30"/>
    <w:rsid w:val="00C56384"/>
    <w:rsid w:val="00C568B6"/>
    <w:rsid w:val="00C60F8C"/>
    <w:rsid w:val="00C61794"/>
    <w:rsid w:val="00C61CB4"/>
    <w:rsid w:val="00C62A48"/>
    <w:rsid w:val="00C62AC4"/>
    <w:rsid w:val="00C62B59"/>
    <w:rsid w:val="00C62F96"/>
    <w:rsid w:val="00C631E1"/>
    <w:rsid w:val="00C638D8"/>
    <w:rsid w:val="00C63AE7"/>
    <w:rsid w:val="00C63D26"/>
    <w:rsid w:val="00C6540A"/>
    <w:rsid w:val="00C668A1"/>
    <w:rsid w:val="00C67223"/>
    <w:rsid w:val="00C707B8"/>
    <w:rsid w:val="00C712AC"/>
    <w:rsid w:val="00C71C15"/>
    <w:rsid w:val="00C71F3D"/>
    <w:rsid w:val="00C72F53"/>
    <w:rsid w:val="00C73BA9"/>
    <w:rsid w:val="00C74035"/>
    <w:rsid w:val="00C748EA"/>
    <w:rsid w:val="00C75531"/>
    <w:rsid w:val="00C759EE"/>
    <w:rsid w:val="00C77818"/>
    <w:rsid w:val="00C8063F"/>
    <w:rsid w:val="00C80BAC"/>
    <w:rsid w:val="00C81282"/>
    <w:rsid w:val="00C827B4"/>
    <w:rsid w:val="00C829BD"/>
    <w:rsid w:val="00C82B40"/>
    <w:rsid w:val="00C83214"/>
    <w:rsid w:val="00C8329F"/>
    <w:rsid w:val="00C84F8A"/>
    <w:rsid w:val="00C85BA4"/>
    <w:rsid w:val="00C8618F"/>
    <w:rsid w:val="00C8625D"/>
    <w:rsid w:val="00C866F3"/>
    <w:rsid w:val="00C87F3F"/>
    <w:rsid w:val="00C90372"/>
    <w:rsid w:val="00C9041F"/>
    <w:rsid w:val="00C91186"/>
    <w:rsid w:val="00C9166B"/>
    <w:rsid w:val="00C91945"/>
    <w:rsid w:val="00C91A45"/>
    <w:rsid w:val="00C91BA9"/>
    <w:rsid w:val="00C91FB4"/>
    <w:rsid w:val="00C92150"/>
    <w:rsid w:val="00C92328"/>
    <w:rsid w:val="00C92D42"/>
    <w:rsid w:val="00C938C2"/>
    <w:rsid w:val="00C93F8A"/>
    <w:rsid w:val="00C94EA1"/>
    <w:rsid w:val="00C95745"/>
    <w:rsid w:val="00C95902"/>
    <w:rsid w:val="00C962E3"/>
    <w:rsid w:val="00C978E2"/>
    <w:rsid w:val="00C97997"/>
    <w:rsid w:val="00CA10A2"/>
    <w:rsid w:val="00CA1D83"/>
    <w:rsid w:val="00CA25C0"/>
    <w:rsid w:val="00CA3082"/>
    <w:rsid w:val="00CA3451"/>
    <w:rsid w:val="00CA35C6"/>
    <w:rsid w:val="00CA4948"/>
    <w:rsid w:val="00CA4FA3"/>
    <w:rsid w:val="00CA4FF9"/>
    <w:rsid w:val="00CA52F9"/>
    <w:rsid w:val="00CA5368"/>
    <w:rsid w:val="00CA568B"/>
    <w:rsid w:val="00CA56E1"/>
    <w:rsid w:val="00CA573A"/>
    <w:rsid w:val="00CA584D"/>
    <w:rsid w:val="00CA5C58"/>
    <w:rsid w:val="00CB19D7"/>
    <w:rsid w:val="00CB19FE"/>
    <w:rsid w:val="00CB1C3F"/>
    <w:rsid w:val="00CB2364"/>
    <w:rsid w:val="00CB304C"/>
    <w:rsid w:val="00CB3933"/>
    <w:rsid w:val="00CB5010"/>
    <w:rsid w:val="00CB53E8"/>
    <w:rsid w:val="00CB594A"/>
    <w:rsid w:val="00CB5CB2"/>
    <w:rsid w:val="00CB6979"/>
    <w:rsid w:val="00CB7DDE"/>
    <w:rsid w:val="00CC0A3D"/>
    <w:rsid w:val="00CC3C53"/>
    <w:rsid w:val="00CC3C74"/>
    <w:rsid w:val="00CC3D24"/>
    <w:rsid w:val="00CC3F91"/>
    <w:rsid w:val="00CC4ACD"/>
    <w:rsid w:val="00CC4B0A"/>
    <w:rsid w:val="00CC544A"/>
    <w:rsid w:val="00CC57EA"/>
    <w:rsid w:val="00CC5954"/>
    <w:rsid w:val="00CC629B"/>
    <w:rsid w:val="00CC6C4E"/>
    <w:rsid w:val="00CD009D"/>
    <w:rsid w:val="00CD05A2"/>
    <w:rsid w:val="00CD2850"/>
    <w:rsid w:val="00CD29D4"/>
    <w:rsid w:val="00CD2B5C"/>
    <w:rsid w:val="00CD2FF3"/>
    <w:rsid w:val="00CD3323"/>
    <w:rsid w:val="00CD38F5"/>
    <w:rsid w:val="00CD3BF2"/>
    <w:rsid w:val="00CD437E"/>
    <w:rsid w:val="00CD540B"/>
    <w:rsid w:val="00CD5DAD"/>
    <w:rsid w:val="00CD7037"/>
    <w:rsid w:val="00CD72C5"/>
    <w:rsid w:val="00CD79A7"/>
    <w:rsid w:val="00CE0789"/>
    <w:rsid w:val="00CE0E8D"/>
    <w:rsid w:val="00CE1A03"/>
    <w:rsid w:val="00CE2346"/>
    <w:rsid w:val="00CE25B2"/>
    <w:rsid w:val="00CE33D7"/>
    <w:rsid w:val="00CE3529"/>
    <w:rsid w:val="00CE35C8"/>
    <w:rsid w:val="00CE3962"/>
    <w:rsid w:val="00CE4D0A"/>
    <w:rsid w:val="00CE4D1A"/>
    <w:rsid w:val="00CE4E8A"/>
    <w:rsid w:val="00CE5105"/>
    <w:rsid w:val="00CE56BD"/>
    <w:rsid w:val="00CE56C2"/>
    <w:rsid w:val="00CE5EC0"/>
    <w:rsid w:val="00CE68AD"/>
    <w:rsid w:val="00CE6F9F"/>
    <w:rsid w:val="00CE781A"/>
    <w:rsid w:val="00CE7B08"/>
    <w:rsid w:val="00CE7D52"/>
    <w:rsid w:val="00CF0AB7"/>
    <w:rsid w:val="00CF1D74"/>
    <w:rsid w:val="00CF2BE2"/>
    <w:rsid w:val="00CF3DEB"/>
    <w:rsid w:val="00CF55F9"/>
    <w:rsid w:val="00CF7074"/>
    <w:rsid w:val="00CF7495"/>
    <w:rsid w:val="00D00E12"/>
    <w:rsid w:val="00D01CF9"/>
    <w:rsid w:val="00D02BF7"/>
    <w:rsid w:val="00D02FFD"/>
    <w:rsid w:val="00D0334D"/>
    <w:rsid w:val="00D0374D"/>
    <w:rsid w:val="00D052DB"/>
    <w:rsid w:val="00D06851"/>
    <w:rsid w:val="00D06D7B"/>
    <w:rsid w:val="00D06DA5"/>
    <w:rsid w:val="00D07191"/>
    <w:rsid w:val="00D07F1D"/>
    <w:rsid w:val="00D10558"/>
    <w:rsid w:val="00D11D4D"/>
    <w:rsid w:val="00D126DC"/>
    <w:rsid w:val="00D12B03"/>
    <w:rsid w:val="00D13E70"/>
    <w:rsid w:val="00D15FCD"/>
    <w:rsid w:val="00D16C58"/>
    <w:rsid w:val="00D17019"/>
    <w:rsid w:val="00D17FC8"/>
    <w:rsid w:val="00D20B44"/>
    <w:rsid w:val="00D21168"/>
    <w:rsid w:val="00D2246F"/>
    <w:rsid w:val="00D240C6"/>
    <w:rsid w:val="00D2438C"/>
    <w:rsid w:val="00D24CF3"/>
    <w:rsid w:val="00D2585A"/>
    <w:rsid w:val="00D259B0"/>
    <w:rsid w:val="00D26C3F"/>
    <w:rsid w:val="00D27185"/>
    <w:rsid w:val="00D3028A"/>
    <w:rsid w:val="00D31CDD"/>
    <w:rsid w:val="00D33488"/>
    <w:rsid w:val="00D33AB3"/>
    <w:rsid w:val="00D33F24"/>
    <w:rsid w:val="00D34160"/>
    <w:rsid w:val="00D346B8"/>
    <w:rsid w:val="00D34BD4"/>
    <w:rsid w:val="00D34DCA"/>
    <w:rsid w:val="00D3575F"/>
    <w:rsid w:val="00D35AC8"/>
    <w:rsid w:val="00D36F87"/>
    <w:rsid w:val="00D37E4E"/>
    <w:rsid w:val="00D4056F"/>
    <w:rsid w:val="00D417D8"/>
    <w:rsid w:val="00D41AC7"/>
    <w:rsid w:val="00D41F78"/>
    <w:rsid w:val="00D42E6C"/>
    <w:rsid w:val="00D4351C"/>
    <w:rsid w:val="00D4353A"/>
    <w:rsid w:val="00D43B80"/>
    <w:rsid w:val="00D43C49"/>
    <w:rsid w:val="00D44988"/>
    <w:rsid w:val="00D4519B"/>
    <w:rsid w:val="00D45B4C"/>
    <w:rsid w:val="00D45BA4"/>
    <w:rsid w:val="00D45E1D"/>
    <w:rsid w:val="00D45EF6"/>
    <w:rsid w:val="00D471AF"/>
    <w:rsid w:val="00D471E2"/>
    <w:rsid w:val="00D4724F"/>
    <w:rsid w:val="00D50519"/>
    <w:rsid w:val="00D50614"/>
    <w:rsid w:val="00D50622"/>
    <w:rsid w:val="00D51601"/>
    <w:rsid w:val="00D51ECB"/>
    <w:rsid w:val="00D5264C"/>
    <w:rsid w:val="00D52BBC"/>
    <w:rsid w:val="00D537FE"/>
    <w:rsid w:val="00D53CC9"/>
    <w:rsid w:val="00D53DC6"/>
    <w:rsid w:val="00D54A6A"/>
    <w:rsid w:val="00D54B8F"/>
    <w:rsid w:val="00D55848"/>
    <w:rsid w:val="00D55951"/>
    <w:rsid w:val="00D559F0"/>
    <w:rsid w:val="00D57EB6"/>
    <w:rsid w:val="00D608C0"/>
    <w:rsid w:val="00D60D6D"/>
    <w:rsid w:val="00D6128C"/>
    <w:rsid w:val="00D66D8B"/>
    <w:rsid w:val="00D672EF"/>
    <w:rsid w:val="00D679C6"/>
    <w:rsid w:val="00D70695"/>
    <w:rsid w:val="00D70849"/>
    <w:rsid w:val="00D72297"/>
    <w:rsid w:val="00D7264F"/>
    <w:rsid w:val="00D72A1C"/>
    <w:rsid w:val="00D7308F"/>
    <w:rsid w:val="00D7313E"/>
    <w:rsid w:val="00D73580"/>
    <w:rsid w:val="00D73802"/>
    <w:rsid w:val="00D73C2C"/>
    <w:rsid w:val="00D73D52"/>
    <w:rsid w:val="00D741CA"/>
    <w:rsid w:val="00D744FF"/>
    <w:rsid w:val="00D745E7"/>
    <w:rsid w:val="00D7581F"/>
    <w:rsid w:val="00D774ED"/>
    <w:rsid w:val="00D777C3"/>
    <w:rsid w:val="00D7797C"/>
    <w:rsid w:val="00D77C44"/>
    <w:rsid w:val="00D77F88"/>
    <w:rsid w:val="00D81AFA"/>
    <w:rsid w:val="00D81EAA"/>
    <w:rsid w:val="00D81FE2"/>
    <w:rsid w:val="00D8259F"/>
    <w:rsid w:val="00D825F2"/>
    <w:rsid w:val="00D8285C"/>
    <w:rsid w:val="00D828B1"/>
    <w:rsid w:val="00D82A55"/>
    <w:rsid w:val="00D83190"/>
    <w:rsid w:val="00D83D49"/>
    <w:rsid w:val="00D84181"/>
    <w:rsid w:val="00D846AD"/>
    <w:rsid w:val="00D84754"/>
    <w:rsid w:val="00D84F27"/>
    <w:rsid w:val="00D853F0"/>
    <w:rsid w:val="00D85862"/>
    <w:rsid w:val="00D86D47"/>
    <w:rsid w:val="00D8710C"/>
    <w:rsid w:val="00D873C6"/>
    <w:rsid w:val="00D9074A"/>
    <w:rsid w:val="00D9099E"/>
    <w:rsid w:val="00D9193A"/>
    <w:rsid w:val="00D91BC7"/>
    <w:rsid w:val="00D91EA3"/>
    <w:rsid w:val="00D923B2"/>
    <w:rsid w:val="00D92463"/>
    <w:rsid w:val="00D93E64"/>
    <w:rsid w:val="00D93F64"/>
    <w:rsid w:val="00D94CA4"/>
    <w:rsid w:val="00D95E99"/>
    <w:rsid w:val="00D965D5"/>
    <w:rsid w:val="00D97DA2"/>
    <w:rsid w:val="00DA0485"/>
    <w:rsid w:val="00DA1A3A"/>
    <w:rsid w:val="00DA2351"/>
    <w:rsid w:val="00DA249E"/>
    <w:rsid w:val="00DA29C6"/>
    <w:rsid w:val="00DA2D3D"/>
    <w:rsid w:val="00DA3855"/>
    <w:rsid w:val="00DA3EA5"/>
    <w:rsid w:val="00DA4C30"/>
    <w:rsid w:val="00DA5C8A"/>
    <w:rsid w:val="00DA6A44"/>
    <w:rsid w:val="00DA74E9"/>
    <w:rsid w:val="00DA7A3C"/>
    <w:rsid w:val="00DB0E38"/>
    <w:rsid w:val="00DB145E"/>
    <w:rsid w:val="00DB1604"/>
    <w:rsid w:val="00DB1A94"/>
    <w:rsid w:val="00DB1D52"/>
    <w:rsid w:val="00DB1E2B"/>
    <w:rsid w:val="00DB1F62"/>
    <w:rsid w:val="00DB21E7"/>
    <w:rsid w:val="00DB2E03"/>
    <w:rsid w:val="00DB3742"/>
    <w:rsid w:val="00DB3E9B"/>
    <w:rsid w:val="00DB3F4B"/>
    <w:rsid w:val="00DB5050"/>
    <w:rsid w:val="00DB5375"/>
    <w:rsid w:val="00DB67C1"/>
    <w:rsid w:val="00DB6C0B"/>
    <w:rsid w:val="00DB70F4"/>
    <w:rsid w:val="00DB748A"/>
    <w:rsid w:val="00DC1056"/>
    <w:rsid w:val="00DC11DA"/>
    <w:rsid w:val="00DC1442"/>
    <w:rsid w:val="00DC15D3"/>
    <w:rsid w:val="00DC205F"/>
    <w:rsid w:val="00DC21D8"/>
    <w:rsid w:val="00DC282A"/>
    <w:rsid w:val="00DC2DE8"/>
    <w:rsid w:val="00DC34DC"/>
    <w:rsid w:val="00DC3780"/>
    <w:rsid w:val="00DC3ADA"/>
    <w:rsid w:val="00DC3CC6"/>
    <w:rsid w:val="00DC3F55"/>
    <w:rsid w:val="00DC4782"/>
    <w:rsid w:val="00DC514A"/>
    <w:rsid w:val="00DC6249"/>
    <w:rsid w:val="00DC67B1"/>
    <w:rsid w:val="00DC7FBC"/>
    <w:rsid w:val="00DD0019"/>
    <w:rsid w:val="00DD132B"/>
    <w:rsid w:val="00DD1725"/>
    <w:rsid w:val="00DD2159"/>
    <w:rsid w:val="00DD218B"/>
    <w:rsid w:val="00DD2A18"/>
    <w:rsid w:val="00DD3044"/>
    <w:rsid w:val="00DD37B7"/>
    <w:rsid w:val="00DD3985"/>
    <w:rsid w:val="00DD50B6"/>
    <w:rsid w:val="00DD61E8"/>
    <w:rsid w:val="00DD62C0"/>
    <w:rsid w:val="00DD64DE"/>
    <w:rsid w:val="00DD7859"/>
    <w:rsid w:val="00DD7B41"/>
    <w:rsid w:val="00DE0784"/>
    <w:rsid w:val="00DE0A1D"/>
    <w:rsid w:val="00DE15B2"/>
    <w:rsid w:val="00DE1A9A"/>
    <w:rsid w:val="00DE2D81"/>
    <w:rsid w:val="00DE3617"/>
    <w:rsid w:val="00DE3D2C"/>
    <w:rsid w:val="00DE5E82"/>
    <w:rsid w:val="00DE5FA6"/>
    <w:rsid w:val="00DE6792"/>
    <w:rsid w:val="00DE6AA1"/>
    <w:rsid w:val="00DE7EF7"/>
    <w:rsid w:val="00DF015B"/>
    <w:rsid w:val="00DF02EC"/>
    <w:rsid w:val="00DF10FC"/>
    <w:rsid w:val="00DF1185"/>
    <w:rsid w:val="00DF1299"/>
    <w:rsid w:val="00DF1A70"/>
    <w:rsid w:val="00DF1E5F"/>
    <w:rsid w:val="00DF23A8"/>
    <w:rsid w:val="00DF24BA"/>
    <w:rsid w:val="00DF2F27"/>
    <w:rsid w:val="00DF36B6"/>
    <w:rsid w:val="00DF37C8"/>
    <w:rsid w:val="00DF4296"/>
    <w:rsid w:val="00DF5267"/>
    <w:rsid w:val="00DF53F0"/>
    <w:rsid w:val="00DF5F38"/>
    <w:rsid w:val="00DF6144"/>
    <w:rsid w:val="00DF6608"/>
    <w:rsid w:val="00DF6A44"/>
    <w:rsid w:val="00DF6CCC"/>
    <w:rsid w:val="00DF6D0C"/>
    <w:rsid w:val="00DF6F64"/>
    <w:rsid w:val="00DF721E"/>
    <w:rsid w:val="00DF7549"/>
    <w:rsid w:val="00DF7B8A"/>
    <w:rsid w:val="00DF7C87"/>
    <w:rsid w:val="00E009B0"/>
    <w:rsid w:val="00E00A12"/>
    <w:rsid w:val="00E00B39"/>
    <w:rsid w:val="00E00C49"/>
    <w:rsid w:val="00E01C9C"/>
    <w:rsid w:val="00E0219D"/>
    <w:rsid w:val="00E04C0F"/>
    <w:rsid w:val="00E0570B"/>
    <w:rsid w:val="00E06FB8"/>
    <w:rsid w:val="00E10913"/>
    <w:rsid w:val="00E10B87"/>
    <w:rsid w:val="00E121CE"/>
    <w:rsid w:val="00E12209"/>
    <w:rsid w:val="00E129EF"/>
    <w:rsid w:val="00E1478B"/>
    <w:rsid w:val="00E14FAC"/>
    <w:rsid w:val="00E15007"/>
    <w:rsid w:val="00E16277"/>
    <w:rsid w:val="00E16EC7"/>
    <w:rsid w:val="00E17DCC"/>
    <w:rsid w:val="00E21684"/>
    <w:rsid w:val="00E219CE"/>
    <w:rsid w:val="00E21D93"/>
    <w:rsid w:val="00E23812"/>
    <w:rsid w:val="00E24071"/>
    <w:rsid w:val="00E24074"/>
    <w:rsid w:val="00E24EBC"/>
    <w:rsid w:val="00E25149"/>
    <w:rsid w:val="00E2522C"/>
    <w:rsid w:val="00E2552F"/>
    <w:rsid w:val="00E2599B"/>
    <w:rsid w:val="00E2710C"/>
    <w:rsid w:val="00E272BD"/>
    <w:rsid w:val="00E27428"/>
    <w:rsid w:val="00E305B4"/>
    <w:rsid w:val="00E31AFA"/>
    <w:rsid w:val="00E31CB7"/>
    <w:rsid w:val="00E324EE"/>
    <w:rsid w:val="00E3279C"/>
    <w:rsid w:val="00E34A0A"/>
    <w:rsid w:val="00E34DB1"/>
    <w:rsid w:val="00E35931"/>
    <w:rsid w:val="00E359FF"/>
    <w:rsid w:val="00E3699A"/>
    <w:rsid w:val="00E402C5"/>
    <w:rsid w:val="00E402F4"/>
    <w:rsid w:val="00E405F1"/>
    <w:rsid w:val="00E417DB"/>
    <w:rsid w:val="00E4198D"/>
    <w:rsid w:val="00E43054"/>
    <w:rsid w:val="00E43655"/>
    <w:rsid w:val="00E44440"/>
    <w:rsid w:val="00E46013"/>
    <w:rsid w:val="00E47099"/>
    <w:rsid w:val="00E47284"/>
    <w:rsid w:val="00E477C3"/>
    <w:rsid w:val="00E51E16"/>
    <w:rsid w:val="00E52AF0"/>
    <w:rsid w:val="00E52DED"/>
    <w:rsid w:val="00E53730"/>
    <w:rsid w:val="00E5438D"/>
    <w:rsid w:val="00E54511"/>
    <w:rsid w:val="00E54E50"/>
    <w:rsid w:val="00E54EC9"/>
    <w:rsid w:val="00E55288"/>
    <w:rsid w:val="00E57577"/>
    <w:rsid w:val="00E60BD7"/>
    <w:rsid w:val="00E62043"/>
    <w:rsid w:val="00E626B9"/>
    <w:rsid w:val="00E627C9"/>
    <w:rsid w:val="00E63005"/>
    <w:rsid w:val="00E630F3"/>
    <w:rsid w:val="00E6332F"/>
    <w:rsid w:val="00E637C9"/>
    <w:rsid w:val="00E639E6"/>
    <w:rsid w:val="00E63E92"/>
    <w:rsid w:val="00E6402D"/>
    <w:rsid w:val="00E6680A"/>
    <w:rsid w:val="00E66F0D"/>
    <w:rsid w:val="00E67741"/>
    <w:rsid w:val="00E67CAE"/>
    <w:rsid w:val="00E70615"/>
    <w:rsid w:val="00E7161E"/>
    <w:rsid w:val="00E71B40"/>
    <w:rsid w:val="00E7207B"/>
    <w:rsid w:val="00E7347A"/>
    <w:rsid w:val="00E74714"/>
    <w:rsid w:val="00E75A47"/>
    <w:rsid w:val="00E75BB6"/>
    <w:rsid w:val="00E75D8C"/>
    <w:rsid w:val="00E76790"/>
    <w:rsid w:val="00E777BB"/>
    <w:rsid w:val="00E777F2"/>
    <w:rsid w:val="00E802C9"/>
    <w:rsid w:val="00E80BFB"/>
    <w:rsid w:val="00E80F0A"/>
    <w:rsid w:val="00E815D4"/>
    <w:rsid w:val="00E8291B"/>
    <w:rsid w:val="00E82E70"/>
    <w:rsid w:val="00E82F92"/>
    <w:rsid w:val="00E8395F"/>
    <w:rsid w:val="00E8410F"/>
    <w:rsid w:val="00E849D7"/>
    <w:rsid w:val="00E85E41"/>
    <w:rsid w:val="00E85EA1"/>
    <w:rsid w:val="00E86030"/>
    <w:rsid w:val="00E86703"/>
    <w:rsid w:val="00E877F8"/>
    <w:rsid w:val="00E900DA"/>
    <w:rsid w:val="00E91044"/>
    <w:rsid w:val="00E910D3"/>
    <w:rsid w:val="00E912B4"/>
    <w:rsid w:val="00E92154"/>
    <w:rsid w:val="00E923CF"/>
    <w:rsid w:val="00E93685"/>
    <w:rsid w:val="00E93B65"/>
    <w:rsid w:val="00E93C8C"/>
    <w:rsid w:val="00E95111"/>
    <w:rsid w:val="00E95FDF"/>
    <w:rsid w:val="00EA1198"/>
    <w:rsid w:val="00EA14C8"/>
    <w:rsid w:val="00EA2110"/>
    <w:rsid w:val="00EA283A"/>
    <w:rsid w:val="00EA2C90"/>
    <w:rsid w:val="00EA2E07"/>
    <w:rsid w:val="00EA383B"/>
    <w:rsid w:val="00EA48F3"/>
    <w:rsid w:val="00EA60BF"/>
    <w:rsid w:val="00EA6847"/>
    <w:rsid w:val="00EA7083"/>
    <w:rsid w:val="00EA7365"/>
    <w:rsid w:val="00EA763F"/>
    <w:rsid w:val="00EA77E9"/>
    <w:rsid w:val="00EB05D0"/>
    <w:rsid w:val="00EB1151"/>
    <w:rsid w:val="00EB1D49"/>
    <w:rsid w:val="00EB23D9"/>
    <w:rsid w:val="00EB39A0"/>
    <w:rsid w:val="00EB559F"/>
    <w:rsid w:val="00EB566C"/>
    <w:rsid w:val="00EB5A18"/>
    <w:rsid w:val="00EB5F3D"/>
    <w:rsid w:val="00EB6C97"/>
    <w:rsid w:val="00EC04BB"/>
    <w:rsid w:val="00EC1CEB"/>
    <w:rsid w:val="00EC1DC0"/>
    <w:rsid w:val="00EC1DC2"/>
    <w:rsid w:val="00EC1E09"/>
    <w:rsid w:val="00EC21EC"/>
    <w:rsid w:val="00EC24B8"/>
    <w:rsid w:val="00EC268C"/>
    <w:rsid w:val="00EC29E5"/>
    <w:rsid w:val="00EC3479"/>
    <w:rsid w:val="00EC3753"/>
    <w:rsid w:val="00EC3959"/>
    <w:rsid w:val="00EC4E71"/>
    <w:rsid w:val="00EC5F1C"/>
    <w:rsid w:val="00ED0365"/>
    <w:rsid w:val="00ED05A4"/>
    <w:rsid w:val="00ED0865"/>
    <w:rsid w:val="00ED1C60"/>
    <w:rsid w:val="00ED2E25"/>
    <w:rsid w:val="00ED2EB9"/>
    <w:rsid w:val="00ED3722"/>
    <w:rsid w:val="00ED3A31"/>
    <w:rsid w:val="00ED4469"/>
    <w:rsid w:val="00ED44F6"/>
    <w:rsid w:val="00ED5424"/>
    <w:rsid w:val="00ED5F23"/>
    <w:rsid w:val="00ED6A63"/>
    <w:rsid w:val="00ED6DC0"/>
    <w:rsid w:val="00ED7572"/>
    <w:rsid w:val="00ED7A7A"/>
    <w:rsid w:val="00EE0327"/>
    <w:rsid w:val="00EE038C"/>
    <w:rsid w:val="00EE28C5"/>
    <w:rsid w:val="00EE2C3C"/>
    <w:rsid w:val="00EE2F09"/>
    <w:rsid w:val="00EE47C5"/>
    <w:rsid w:val="00EE490C"/>
    <w:rsid w:val="00EE4E57"/>
    <w:rsid w:val="00EE516C"/>
    <w:rsid w:val="00EE5415"/>
    <w:rsid w:val="00EE5738"/>
    <w:rsid w:val="00EE57EE"/>
    <w:rsid w:val="00EE58BD"/>
    <w:rsid w:val="00EE5B98"/>
    <w:rsid w:val="00EE5E59"/>
    <w:rsid w:val="00EE66FA"/>
    <w:rsid w:val="00EE73D0"/>
    <w:rsid w:val="00EE7CB0"/>
    <w:rsid w:val="00EF08A8"/>
    <w:rsid w:val="00EF167B"/>
    <w:rsid w:val="00EF20BE"/>
    <w:rsid w:val="00EF41A8"/>
    <w:rsid w:val="00EF44FB"/>
    <w:rsid w:val="00EF49C0"/>
    <w:rsid w:val="00EF4DF5"/>
    <w:rsid w:val="00EF5122"/>
    <w:rsid w:val="00EF5553"/>
    <w:rsid w:val="00EF5554"/>
    <w:rsid w:val="00EF5AD8"/>
    <w:rsid w:val="00EF6B90"/>
    <w:rsid w:val="00EF724F"/>
    <w:rsid w:val="00EF7807"/>
    <w:rsid w:val="00EF79F7"/>
    <w:rsid w:val="00F006C0"/>
    <w:rsid w:val="00F007F4"/>
    <w:rsid w:val="00F0125F"/>
    <w:rsid w:val="00F019AA"/>
    <w:rsid w:val="00F0267E"/>
    <w:rsid w:val="00F02686"/>
    <w:rsid w:val="00F030C0"/>
    <w:rsid w:val="00F03291"/>
    <w:rsid w:val="00F032EE"/>
    <w:rsid w:val="00F03A85"/>
    <w:rsid w:val="00F0459B"/>
    <w:rsid w:val="00F04E15"/>
    <w:rsid w:val="00F05DF3"/>
    <w:rsid w:val="00F069EA"/>
    <w:rsid w:val="00F06E85"/>
    <w:rsid w:val="00F070E5"/>
    <w:rsid w:val="00F07DDE"/>
    <w:rsid w:val="00F11675"/>
    <w:rsid w:val="00F12557"/>
    <w:rsid w:val="00F13599"/>
    <w:rsid w:val="00F13B28"/>
    <w:rsid w:val="00F14542"/>
    <w:rsid w:val="00F1520A"/>
    <w:rsid w:val="00F156A0"/>
    <w:rsid w:val="00F15730"/>
    <w:rsid w:val="00F176A6"/>
    <w:rsid w:val="00F17A61"/>
    <w:rsid w:val="00F202C2"/>
    <w:rsid w:val="00F20E70"/>
    <w:rsid w:val="00F212A8"/>
    <w:rsid w:val="00F212F6"/>
    <w:rsid w:val="00F22756"/>
    <w:rsid w:val="00F23248"/>
    <w:rsid w:val="00F23890"/>
    <w:rsid w:val="00F2504D"/>
    <w:rsid w:val="00F2637F"/>
    <w:rsid w:val="00F268F7"/>
    <w:rsid w:val="00F30B83"/>
    <w:rsid w:val="00F30BDB"/>
    <w:rsid w:val="00F30CF8"/>
    <w:rsid w:val="00F31EDF"/>
    <w:rsid w:val="00F32CDE"/>
    <w:rsid w:val="00F32D4C"/>
    <w:rsid w:val="00F3327E"/>
    <w:rsid w:val="00F337E0"/>
    <w:rsid w:val="00F338C3"/>
    <w:rsid w:val="00F34B14"/>
    <w:rsid w:val="00F34F58"/>
    <w:rsid w:val="00F3524B"/>
    <w:rsid w:val="00F35DA7"/>
    <w:rsid w:val="00F36A6A"/>
    <w:rsid w:val="00F36DE0"/>
    <w:rsid w:val="00F40101"/>
    <w:rsid w:val="00F404F7"/>
    <w:rsid w:val="00F40CCA"/>
    <w:rsid w:val="00F40F46"/>
    <w:rsid w:val="00F42D97"/>
    <w:rsid w:val="00F436B2"/>
    <w:rsid w:val="00F43813"/>
    <w:rsid w:val="00F43B06"/>
    <w:rsid w:val="00F43B64"/>
    <w:rsid w:val="00F43FEE"/>
    <w:rsid w:val="00F4492F"/>
    <w:rsid w:val="00F45A72"/>
    <w:rsid w:val="00F46723"/>
    <w:rsid w:val="00F467B5"/>
    <w:rsid w:val="00F4703B"/>
    <w:rsid w:val="00F4706D"/>
    <w:rsid w:val="00F476E1"/>
    <w:rsid w:val="00F47D1D"/>
    <w:rsid w:val="00F47F29"/>
    <w:rsid w:val="00F50016"/>
    <w:rsid w:val="00F50451"/>
    <w:rsid w:val="00F50A80"/>
    <w:rsid w:val="00F5118A"/>
    <w:rsid w:val="00F51A21"/>
    <w:rsid w:val="00F52614"/>
    <w:rsid w:val="00F5276E"/>
    <w:rsid w:val="00F52E9F"/>
    <w:rsid w:val="00F53304"/>
    <w:rsid w:val="00F53B81"/>
    <w:rsid w:val="00F540FE"/>
    <w:rsid w:val="00F5478C"/>
    <w:rsid w:val="00F556FF"/>
    <w:rsid w:val="00F55D12"/>
    <w:rsid w:val="00F56684"/>
    <w:rsid w:val="00F5687F"/>
    <w:rsid w:val="00F56D3F"/>
    <w:rsid w:val="00F575C7"/>
    <w:rsid w:val="00F57FD0"/>
    <w:rsid w:val="00F60305"/>
    <w:rsid w:val="00F61B12"/>
    <w:rsid w:val="00F61C70"/>
    <w:rsid w:val="00F63264"/>
    <w:rsid w:val="00F634E4"/>
    <w:rsid w:val="00F6379E"/>
    <w:rsid w:val="00F64047"/>
    <w:rsid w:val="00F65171"/>
    <w:rsid w:val="00F6560D"/>
    <w:rsid w:val="00F66AC7"/>
    <w:rsid w:val="00F67844"/>
    <w:rsid w:val="00F70799"/>
    <w:rsid w:val="00F70A8B"/>
    <w:rsid w:val="00F70B8D"/>
    <w:rsid w:val="00F71936"/>
    <w:rsid w:val="00F724FB"/>
    <w:rsid w:val="00F726B8"/>
    <w:rsid w:val="00F72A26"/>
    <w:rsid w:val="00F733C3"/>
    <w:rsid w:val="00F746A1"/>
    <w:rsid w:val="00F74820"/>
    <w:rsid w:val="00F75282"/>
    <w:rsid w:val="00F756DD"/>
    <w:rsid w:val="00F77384"/>
    <w:rsid w:val="00F77518"/>
    <w:rsid w:val="00F77F4E"/>
    <w:rsid w:val="00F80047"/>
    <w:rsid w:val="00F800C7"/>
    <w:rsid w:val="00F8104D"/>
    <w:rsid w:val="00F8153F"/>
    <w:rsid w:val="00F81587"/>
    <w:rsid w:val="00F81769"/>
    <w:rsid w:val="00F8288F"/>
    <w:rsid w:val="00F8376E"/>
    <w:rsid w:val="00F8409F"/>
    <w:rsid w:val="00F84802"/>
    <w:rsid w:val="00F85B72"/>
    <w:rsid w:val="00F86540"/>
    <w:rsid w:val="00F865CE"/>
    <w:rsid w:val="00F8766F"/>
    <w:rsid w:val="00F90282"/>
    <w:rsid w:val="00F902C7"/>
    <w:rsid w:val="00F91082"/>
    <w:rsid w:val="00F9116D"/>
    <w:rsid w:val="00F91250"/>
    <w:rsid w:val="00F91342"/>
    <w:rsid w:val="00F91A9A"/>
    <w:rsid w:val="00F92634"/>
    <w:rsid w:val="00F933F3"/>
    <w:rsid w:val="00F93ABB"/>
    <w:rsid w:val="00F94D79"/>
    <w:rsid w:val="00F954FC"/>
    <w:rsid w:val="00F95C6E"/>
    <w:rsid w:val="00F9658C"/>
    <w:rsid w:val="00F96E05"/>
    <w:rsid w:val="00F97A7F"/>
    <w:rsid w:val="00FA0889"/>
    <w:rsid w:val="00FA16E7"/>
    <w:rsid w:val="00FA31C7"/>
    <w:rsid w:val="00FA472D"/>
    <w:rsid w:val="00FA4E4C"/>
    <w:rsid w:val="00FA664B"/>
    <w:rsid w:val="00FA681F"/>
    <w:rsid w:val="00FB0CBF"/>
    <w:rsid w:val="00FB18F6"/>
    <w:rsid w:val="00FB26F7"/>
    <w:rsid w:val="00FB2A52"/>
    <w:rsid w:val="00FB2B7B"/>
    <w:rsid w:val="00FB2CDD"/>
    <w:rsid w:val="00FB3F92"/>
    <w:rsid w:val="00FB52C7"/>
    <w:rsid w:val="00FB57DC"/>
    <w:rsid w:val="00FB6E19"/>
    <w:rsid w:val="00FB71F6"/>
    <w:rsid w:val="00FB78C5"/>
    <w:rsid w:val="00FB7CF2"/>
    <w:rsid w:val="00FC07AF"/>
    <w:rsid w:val="00FC0AF8"/>
    <w:rsid w:val="00FC0B69"/>
    <w:rsid w:val="00FC1483"/>
    <w:rsid w:val="00FC1C47"/>
    <w:rsid w:val="00FC3102"/>
    <w:rsid w:val="00FC39ED"/>
    <w:rsid w:val="00FC3E7C"/>
    <w:rsid w:val="00FC4419"/>
    <w:rsid w:val="00FC47E2"/>
    <w:rsid w:val="00FC4AA5"/>
    <w:rsid w:val="00FC4B88"/>
    <w:rsid w:val="00FC4BB8"/>
    <w:rsid w:val="00FC5148"/>
    <w:rsid w:val="00FC5C18"/>
    <w:rsid w:val="00FC6524"/>
    <w:rsid w:val="00FC6B58"/>
    <w:rsid w:val="00FC75AC"/>
    <w:rsid w:val="00FC7984"/>
    <w:rsid w:val="00FD01BF"/>
    <w:rsid w:val="00FD0525"/>
    <w:rsid w:val="00FD0AB7"/>
    <w:rsid w:val="00FD0D46"/>
    <w:rsid w:val="00FD297D"/>
    <w:rsid w:val="00FD2D13"/>
    <w:rsid w:val="00FD322A"/>
    <w:rsid w:val="00FD374D"/>
    <w:rsid w:val="00FD6071"/>
    <w:rsid w:val="00FD633B"/>
    <w:rsid w:val="00FD7ECD"/>
    <w:rsid w:val="00FE0794"/>
    <w:rsid w:val="00FE1041"/>
    <w:rsid w:val="00FE1A47"/>
    <w:rsid w:val="00FE24CB"/>
    <w:rsid w:val="00FE29CD"/>
    <w:rsid w:val="00FE2AF0"/>
    <w:rsid w:val="00FE2FC2"/>
    <w:rsid w:val="00FE323F"/>
    <w:rsid w:val="00FE3473"/>
    <w:rsid w:val="00FE35CC"/>
    <w:rsid w:val="00FE4049"/>
    <w:rsid w:val="00FE4794"/>
    <w:rsid w:val="00FE480F"/>
    <w:rsid w:val="00FE4998"/>
    <w:rsid w:val="00FE56B7"/>
    <w:rsid w:val="00FE57DE"/>
    <w:rsid w:val="00FE7A68"/>
    <w:rsid w:val="00FF0231"/>
    <w:rsid w:val="00FF0C1E"/>
    <w:rsid w:val="00FF1C9B"/>
    <w:rsid w:val="00FF1D49"/>
    <w:rsid w:val="00FF203B"/>
    <w:rsid w:val="00FF2562"/>
    <w:rsid w:val="00FF2B6C"/>
    <w:rsid w:val="00FF3A41"/>
    <w:rsid w:val="00FF3E5B"/>
    <w:rsid w:val="00FF4C8E"/>
    <w:rsid w:val="00FF57E4"/>
    <w:rsid w:val="00FF62AA"/>
    <w:rsid w:val="00FF78E5"/>
    <w:rsid w:val="012B706E"/>
    <w:rsid w:val="012C5FAF"/>
    <w:rsid w:val="012C72A5"/>
    <w:rsid w:val="018640ED"/>
    <w:rsid w:val="01AF3D99"/>
    <w:rsid w:val="021358C1"/>
    <w:rsid w:val="02511F9D"/>
    <w:rsid w:val="02FE2580"/>
    <w:rsid w:val="038A02AB"/>
    <w:rsid w:val="03980CD9"/>
    <w:rsid w:val="03A314B8"/>
    <w:rsid w:val="03B43619"/>
    <w:rsid w:val="03CA1FAF"/>
    <w:rsid w:val="03D82B98"/>
    <w:rsid w:val="03F83E8B"/>
    <w:rsid w:val="04614794"/>
    <w:rsid w:val="048019AF"/>
    <w:rsid w:val="05067536"/>
    <w:rsid w:val="050679BE"/>
    <w:rsid w:val="0515485D"/>
    <w:rsid w:val="051617F5"/>
    <w:rsid w:val="05477718"/>
    <w:rsid w:val="05792584"/>
    <w:rsid w:val="05C56868"/>
    <w:rsid w:val="05D16568"/>
    <w:rsid w:val="05EC5B44"/>
    <w:rsid w:val="060317A8"/>
    <w:rsid w:val="06472F82"/>
    <w:rsid w:val="06B11926"/>
    <w:rsid w:val="06C70113"/>
    <w:rsid w:val="06EF31F8"/>
    <w:rsid w:val="07297CB8"/>
    <w:rsid w:val="07350CA8"/>
    <w:rsid w:val="07A725EC"/>
    <w:rsid w:val="07B72767"/>
    <w:rsid w:val="07CA6A21"/>
    <w:rsid w:val="07DE427B"/>
    <w:rsid w:val="08077E72"/>
    <w:rsid w:val="081A04A6"/>
    <w:rsid w:val="082069E6"/>
    <w:rsid w:val="08882DD0"/>
    <w:rsid w:val="09364131"/>
    <w:rsid w:val="09666396"/>
    <w:rsid w:val="0981726F"/>
    <w:rsid w:val="09CC2AAC"/>
    <w:rsid w:val="0A652D3E"/>
    <w:rsid w:val="0AD91FF4"/>
    <w:rsid w:val="0AEA04F5"/>
    <w:rsid w:val="0B326F2A"/>
    <w:rsid w:val="0C1E2888"/>
    <w:rsid w:val="0C8F7941"/>
    <w:rsid w:val="0C92213C"/>
    <w:rsid w:val="0C9F142E"/>
    <w:rsid w:val="0CC2027E"/>
    <w:rsid w:val="0D3A00FD"/>
    <w:rsid w:val="0D4C612B"/>
    <w:rsid w:val="0D64626B"/>
    <w:rsid w:val="0D703BC7"/>
    <w:rsid w:val="0D84032B"/>
    <w:rsid w:val="0DB13EEB"/>
    <w:rsid w:val="0E9F3E75"/>
    <w:rsid w:val="0F2A74C4"/>
    <w:rsid w:val="0FA61347"/>
    <w:rsid w:val="0FB6156B"/>
    <w:rsid w:val="0FB770A2"/>
    <w:rsid w:val="102B2BD1"/>
    <w:rsid w:val="106612B1"/>
    <w:rsid w:val="109B71AD"/>
    <w:rsid w:val="10A27F31"/>
    <w:rsid w:val="10AA3894"/>
    <w:rsid w:val="10C55C5E"/>
    <w:rsid w:val="10F94AA3"/>
    <w:rsid w:val="1111061C"/>
    <w:rsid w:val="11233916"/>
    <w:rsid w:val="11803E93"/>
    <w:rsid w:val="11927058"/>
    <w:rsid w:val="12187797"/>
    <w:rsid w:val="13AF4F03"/>
    <w:rsid w:val="14275FF0"/>
    <w:rsid w:val="142C636E"/>
    <w:rsid w:val="143648D0"/>
    <w:rsid w:val="14736E66"/>
    <w:rsid w:val="14771844"/>
    <w:rsid w:val="147F458F"/>
    <w:rsid w:val="149A00A4"/>
    <w:rsid w:val="1534169A"/>
    <w:rsid w:val="15C03E03"/>
    <w:rsid w:val="15C26F8A"/>
    <w:rsid w:val="15FF1F8C"/>
    <w:rsid w:val="162A25EB"/>
    <w:rsid w:val="16735895"/>
    <w:rsid w:val="168603B4"/>
    <w:rsid w:val="16C14285"/>
    <w:rsid w:val="16E82A20"/>
    <w:rsid w:val="16FD2A55"/>
    <w:rsid w:val="17067C1A"/>
    <w:rsid w:val="17244882"/>
    <w:rsid w:val="17366761"/>
    <w:rsid w:val="177C01F0"/>
    <w:rsid w:val="179E3EFA"/>
    <w:rsid w:val="17CE6630"/>
    <w:rsid w:val="18FC0298"/>
    <w:rsid w:val="19410B0E"/>
    <w:rsid w:val="19B85EE4"/>
    <w:rsid w:val="1A9B5FFB"/>
    <w:rsid w:val="1AA66E35"/>
    <w:rsid w:val="1ACC4574"/>
    <w:rsid w:val="1ADC2403"/>
    <w:rsid w:val="1AFF0AFE"/>
    <w:rsid w:val="1B4F19F8"/>
    <w:rsid w:val="1B864FB8"/>
    <w:rsid w:val="1D0817C9"/>
    <w:rsid w:val="1D490410"/>
    <w:rsid w:val="1D4F1E7E"/>
    <w:rsid w:val="1D706EB2"/>
    <w:rsid w:val="1D992CC6"/>
    <w:rsid w:val="1E26427E"/>
    <w:rsid w:val="1EC7235C"/>
    <w:rsid w:val="1ECC44FA"/>
    <w:rsid w:val="1ED146E2"/>
    <w:rsid w:val="1F063325"/>
    <w:rsid w:val="1F7B3932"/>
    <w:rsid w:val="1FBC5DF5"/>
    <w:rsid w:val="1FDF61B4"/>
    <w:rsid w:val="1FE71BD5"/>
    <w:rsid w:val="1FF90588"/>
    <w:rsid w:val="2056255B"/>
    <w:rsid w:val="20676D41"/>
    <w:rsid w:val="20C2444A"/>
    <w:rsid w:val="20C3623F"/>
    <w:rsid w:val="20CC60C0"/>
    <w:rsid w:val="20E62B2A"/>
    <w:rsid w:val="21494A03"/>
    <w:rsid w:val="214E2429"/>
    <w:rsid w:val="21593E3A"/>
    <w:rsid w:val="21781212"/>
    <w:rsid w:val="217A6BD0"/>
    <w:rsid w:val="21A14141"/>
    <w:rsid w:val="21AB774E"/>
    <w:rsid w:val="21B83F86"/>
    <w:rsid w:val="21C1459A"/>
    <w:rsid w:val="221178A8"/>
    <w:rsid w:val="221213CF"/>
    <w:rsid w:val="22145011"/>
    <w:rsid w:val="22260F03"/>
    <w:rsid w:val="22327A92"/>
    <w:rsid w:val="227855A0"/>
    <w:rsid w:val="229D6DB5"/>
    <w:rsid w:val="22AA30C3"/>
    <w:rsid w:val="231D53A2"/>
    <w:rsid w:val="235A7A36"/>
    <w:rsid w:val="236D5383"/>
    <w:rsid w:val="23B7504C"/>
    <w:rsid w:val="2423296F"/>
    <w:rsid w:val="24571307"/>
    <w:rsid w:val="248014F2"/>
    <w:rsid w:val="24A01762"/>
    <w:rsid w:val="24BA1FC0"/>
    <w:rsid w:val="25110A2A"/>
    <w:rsid w:val="256C0944"/>
    <w:rsid w:val="26263732"/>
    <w:rsid w:val="26357304"/>
    <w:rsid w:val="26446DE3"/>
    <w:rsid w:val="269669E7"/>
    <w:rsid w:val="26A270C1"/>
    <w:rsid w:val="26D7699F"/>
    <w:rsid w:val="26D97D1E"/>
    <w:rsid w:val="270F5DA7"/>
    <w:rsid w:val="27215C5A"/>
    <w:rsid w:val="278B0D13"/>
    <w:rsid w:val="27A33318"/>
    <w:rsid w:val="27BB083C"/>
    <w:rsid w:val="27C546B8"/>
    <w:rsid w:val="27CF148D"/>
    <w:rsid w:val="280759E7"/>
    <w:rsid w:val="282236CB"/>
    <w:rsid w:val="288D4A53"/>
    <w:rsid w:val="28B422C0"/>
    <w:rsid w:val="29D75F7F"/>
    <w:rsid w:val="2A312CB6"/>
    <w:rsid w:val="2B774624"/>
    <w:rsid w:val="2BB505CA"/>
    <w:rsid w:val="2C7A72BE"/>
    <w:rsid w:val="2C9A7D75"/>
    <w:rsid w:val="2C9E66E2"/>
    <w:rsid w:val="2CB74326"/>
    <w:rsid w:val="2CC17412"/>
    <w:rsid w:val="2D06559E"/>
    <w:rsid w:val="2D306F2B"/>
    <w:rsid w:val="2D625585"/>
    <w:rsid w:val="2D707F92"/>
    <w:rsid w:val="2D7C1E99"/>
    <w:rsid w:val="2E173370"/>
    <w:rsid w:val="2E5844D8"/>
    <w:rsid w:val="2E7F0981"/>
    <w:rsid w:val="2E83482C"/>
    <w:rsid w:val="2E9976CE"/>
    <w:rsid w:val="2EF01DEE"/>
    <w:rsid w:val="2EF75A9F"/>
    <w:rsid w:val="2F0E37F3"/>
    <w:rsid w:val="2F3960B7"/>
    <w:rsid w:val="2F401D3C"/>
    <w:rsid w:val="2F5B24E1"/>
    <w:rsid w:val="2FA95C88"/>
    <w:rsid w:val="2FB95054"/>
    <w:rsid w:val="3041370F"/>
    <w:rsid w:val="30B87FED"/>
    <w:rsid w:val="31242DF3"/>
    <w:rsid w:val="312B50A3"/>
    <w:rsid w:val="31894FD2"/>
    <w:rsid w:val="31D03522"/>
    <w:rsid w:val="320A5AE9"/>
    <w:rsid w:val="32194605"/>
    <w:rsid w:val="32453A27"/>
    <w:rsid w:val="3263064A"/>
    <w:rsid w:val="32A43132"/>
    <w:rsid w:val="32AC0C06"/>
    <w:rsid w:val="331550E7"/>
    <w:rsid w:val="33344EF5"/>
    <w:rsid w:val="33BE0579"/>
    <w:rsid w:val="34360E17"/>
    <w:rsid w:val="35325790"/>
    <w:rsid w:val="3537750C"/>
    <w:rsid w:val="3537798C"/>
    <w:rsid w:val="35C13FC9"/>
    <w:rsid w:val="364257B6"/>
    <w:rsid w:val="36E7289C"/>
    <w:rsid w:val="37810DA6"/>
    <w:rsid w:val="37B85195"/>
    <w:rsid w:val="37E1109A"/>
    <w:rsid w:val="37EA5922"/>
    <w:rsid w:val="37F52D97"/>
    <w:rsid w:val="38206066"/>
    <w:rsid w:val="38276B93"/>
    <w:rsid w:val="3865586D"/>
    <w:rsid w:val="38AC3431"/>
    <w:rsid w:val="38CB5A30"/>
    <w:rsid w:val="38EC7275"/>
    <w:rsid w:val="392F2E16"/>
    <w:rsid w:val="395A55A8"/>
    <w:rsid w:val="398C331E"/>
    <w:rsid w:val="399651CC"/>
    <w:rsid w:val="39E00529"/>
    <w:rsid w:val="39F92BC8"/>
    <w:rsid w:val="3A0B64A7"/>
    <w:rsid w:val="3A2A7661"/>
    <w:rsid w:val="3A370C3C"/>
    <w:rsid w:val="3A5405D4"/>
    <w:rsid w:val="3A574DDA"/>
    <w:rsid w:val="3A5E1015"/>
    <w:rsid w:val="3AD3075A"/>
    <w:rsid w:val="3AF74C02"/>
    <w:rsid w:val="3B084535"/>
    <w:rsid w:val="3B183024"/>
    <w:rsid w:val="3C0059A5"/>
    <w:rsid w:val="3C134E78"/>
    <w:rsid w:val="3C666B0C"/>
    <w:rsid w:val="3D56425E"/>
    <w:rsid w:val="3D735C03"/>
    <w:rsid w:val="3DD24C73"/>
    <w:rsid w:val="3DF6345D"/>
    <w:rsid w:val="3E0E32F0"/>
    <w:rsid w:val="3E2B5515"/>
    <w:rsid w:val="3E4D4F28"/>
    <w:rsid w:val="3ED92EC4"/>
    <w:rsid w:val="3EE13701"/>
    <w:rsid w:val="3F1A4BB3"/>
    <w:rsid w:val="3F74179D"/>
    <w:rsid w:val="3FD42EC4"/>
    <w:rsid w:val="3FEA1F67"/>
    <w:rsid w:val="40192BA6"/>
    <w:rsid w:val="40E368A3"/>
    <w:rsid w:val="41766EA9"/>
    <w:rsid w:val="41A56E41"/>
    <w:rsid w:val="422601A7"/>
    <w:rsid w:val="42345558"/>
    <w:rsid w:val="42550A18"/>
    <w:rsid w:val="427E4F13"/>
    <w:rsid w:val="42875623"/>
    <w:rsid w:val="429D496A"/>
    <w:rsid w:val="42F473A1"/>
    <w:rsid w:val="432B58BF"/>
    <w:rsid w:val="437217EA"/>
    <w:rsid w:val="43AB7156"/>
    <w:rsid w:val="43EC76D0"/>
    <w:rsid w:val="441E62C0"/>
    <w:rsid w:val="445A658E"/>
    <w:rsid w:val="447500EF"/>
    <w:rsid w:val="44A74FCC"/>
    <w:rsid w:val="44D87DBC"/>
    <w:rsid w:val="44E20D42"/>
    <w:rsid w:val="45291399"/>
    <w:rsid w:val="45325D14"/>
    <w:rsid w:val="45811C7C"/>
    <w:rsid w:val="45906116"/>
    <w:rsid w:val="45931B8C"/>
    <w:rsid w:val="459C60A2"/>
    <w:rsid w:val="45A37D73"/>
    <w:rsid w:val="45E5628D"/>
    <w:rsid w:val="45EF2552"/>
    <w:rsid w:val="46210257"/>
    <w:rsid w:val="46225813"/>
    <w:rsid w:val="463B15B5"/>
    <w:rsid w:val="463B576E"/>
    <w:rsid w:val="46403B1B"/>
    <w:rsid w:val="468B3EFB"/>
    <w:rsid w:val="470A6193"/>
    <w:rsid w:val="470E4030"/>
    <w:rsid w:val="471D19C3"/>
    <w:rsid w:val="47385210"/>
    <w:rsid w:val="474B2EDB"/>
    <w:rsid w:val="478737CC"/>
    <w:rsid w:val="47DC4F5C"/>
    <w:rsid w:val="48117779"/>
    <w:rsid w:val="484D5A30"/>
    <w:rsid w:val="488A14A0"/>
    <w:rsid w:val="48A82426"/>
    <w:rsid w:val="48B40671"/>
    <w:rsid w:val="48D73CCE"/>
    <w:rsid w:val="492A637E"/>
    <w:rsid w:val="49405703"/>
    <w:rsid w:val="497E3790"/>
    <w:rsid w:val="499B5738"/>
    <w:rsid w:val="499F244D"/>
    <w:rsid w:val="49BF4FB3"/>
    <w:rsid w:val="49C41687"/>
    <w:rsid w:val="4A0A6957"/>
    <w:rsid w:val="4A9324E3"/>
    <w:rsid w:val="4A973F3F"/>
    <w:rsid w:val="4AD700A3"/>
    <w:rsid w:val="4AF96BC7"/>
    <w:rsid w:val="4B862A85"/>
    <w:rsid w:val="4C1E2B5E"/>
    <w:rsid w:val="4C7044F7"/>
    <w:rsid w:val="4C851B9F"/>
    <w:rsid w:val="4C98298E"/>
    <w:rsid w:val="4C9B5863"/>
    <w:rsid w:val="4CE90782"/>
    <w:rsid w:val="4CEF36E2"/>
    <w:rsid w:val="4CEF4DC5"/>
    <w:rsid w:val="4D671BE9"/>
    <w:rsid w:val="4D682CD8"/>
    <w:rsid w:val="4D8E53C8"/>
    <w:rsid w:val="4DBA1C07"/>
    <w:rsid w:val="4DED0A9D"/>
    <w:rsid w:val="4E037C3C"/>
    <w:rsid w:val="4E257655"/>
    <w:rsid w:val="4ED13714"/>
    <w:rsid w:val="4F372380"/>
    <w:rsid w:val="4F372FFB"/>
    <w:rsid w:val="501A2F43"/>
    <w:rsid w:val="5025116D"/>
    <w:rsid w:val="50416279"/>
    <w:rsid w:val="504D2799"/>
    <w:rsid w:val="515A00BB"/>
    <w:rsid w:val="518442D1"/>
    <w:rsid w:val="51FC47E2"/>
    <w:rsid w:val="52395ECD"/>
    <w:rsid w:val="525D7E1D"/>
    <w:rsid w:val="52C10D75"/>
    <w:rsid w:val="5334256E"/>
    <w:rsid w:val="539D6F14"/>
    <w:rsid w:val="53BB3033"/>
    <w:rsid w:val="53C27FF8"/>
    <w:rsid w:val="54280325"/>
    <w:rsid w:val="54595D0A"/>
    <w:rsid w:val="549E1A80"/>
    <w:rsid w:val="54C658F4"/>
    <w:rsid w:val="550C4BD7"/>
    <w:rsid w:val="554C1D56"/>
    <w:rsid w:val="554C618C"/>
    <w:rsid w:val="555109BF"/>
    <w:rsid w:val="55572986"/>
    <w:rsid w:val="558E2819"/>
    <w:rsid w:val="55CD64D1"/>
    <w:rsid w:val="55D2686D"/>
    <w:rsid w:val="561E0A91"/>
    <w:rsid w:val="56233DAE"/>
    <w:rsid w:val="565340FA"/>
    <w:rsid w:val="567F5F1A"/>
    <w:rsid w:val="568A4760"/>
    <w:rsid w:val="568C38D5"/>
    <w:rsid w:val="56AD5F59"/>
    <w:rsid w:val="57643120"/>
    <w:rsid w:val="57791941"/>
    <w:rsid w:val="57930844"/>
    <w:rsid w:val="57A10A0D"/>
    <w:rsid w:val="57B12A52"/>
    <w:rsid w:val="57CF1AC2"/>
    <w:rsid w:val="582636A6"/>
    <w:rsid w:val="58422EFE"/>
    <w:rsid w:val="585A3911"/>
    <w:rsid w:val="586D7FC9"/>
    <w:rsid w:val="589F1321"/>
    <w:rsid w:val="58C2438F"/>
    <w:rsid w:val="58C65A30"/>
    <w:rsid w:val="58CB127E"/>
    <w:rsid w:val="59001A4B"/>
    <w:rsid w:val="59490D2D"/>
    <w:rsid w:val="59851D75"/>
    <w:rsid w:val="59941FB8"/>
    <w:rsid w:val="59B43CF0"/>
    <w:rsid w:val="59C3534E"/>
    <w:rsid w:val="5A2F2CC8"/>
    <w:rsid w:val="5A4A08C9"/>
    <w:rsid w:val="5A8E4C59"/>
    <w:rsid w:val="5A982DB1"/>
    <w:rsid w:val="5AD54636"/>
    <w:rsid w:val="5AED7BD2"/>
    <w:rsid w:val="5B412E4D"/>
    <w:rsid w:val="5B824C82"/>
    <w:rsid w:val="5BB46184"/>
    <w:rsid w:val="5BB723DB"/>
    <w:rsid w:val="5BDE576D"/>
    <w:rsid w:val="5C02145B"/>
    <w:rsid w:val="5C0C7E11"/>
    <w:rsid w:val="5C10702D"/>
    <w:rsid w:val="5C152601"/>
    <w:rsid w:val="5C591F03"/>
    <w:rsid w:val="5C5A6A77"/>
    <w:rsid w:val="5C5E7457"/>
    <w:rsid w:val="5C8A1B2F"/>
    <w:rsid w:val="5C9F74BE"/>
    <w:rsid w:val="5D6323CD"/>
    <w:rsid w:val="5D9D1CA7"/>
    <w:rsid w:val="5DC0271C"/>
    <w:rsid w:val="5DF03CB4"/>
    <w:rsid w:val="5E2F22B0"/>
    <w:rsid w:val="5E455888"/>
    <w:rsid w:val="5E7256C6"/>
    <w:rsid w:val="5E79177D"/>
    <w:rsid w:val="5E7B0FFF"/>
    <w:rsid w:val="5E7F4AF6"/>
    <w:rsid w:val="5E947C3F"/>
    <w:rsid w:val="5EBA34F6"/>
    <w:rsid w:val="5F1A0A9B"/>
    <w:rsid w:val="5F1F40D2"/>
    <w:rsid w:val="5F561B72"/>
    <w:rsid w:val="5FBA0581"/>
    <w:rsid w:val="5FE5376E"/>
    <w:rsid w:val="602D1FF5"/>
    <w:rsid w:val="603C442A"/>
    <w:rsid w:val="606007BB"/>
    <w:rsid w:val="606F1089"/>
    <w:rsid w:val="60AC7F66"/>
    <w:rsid w:val="60B701E1"/>
    <w:rsid w:val="61340EF0"/>
    <w:rsid w:val="61845E30"/>
    <w:rsid w:val="61BD341C"/>
    <w:rsid w:val="61BF10D9"/>
    <w:rsid w:val="620A72BB"/>
    <w:rsid w:val="625A5D6A"/>
    <w:rsid w:val="6263784C"/>
    <w:rsid w:val="62AC22DC"/>
    <w:rsid w:val="62C87CC4"/>
    <w:rsid w:val="631A5823"/>
    <w:rsid w:val="635767BA"/>
    <w:rsid w:val="638A3663"/>
    <w:rsid w:val="63A22BFD"/>
    <w:rsid w:val="63FE15F1"/>
    <w:rsid w:val="64262FF7"/>
    <w:rsid w:val="646A1066"/>
    <w:rsid w:val="64DD2A65"/>
    <w:rsid w:val="64E45EF7"/>
    <w:rsid w:val="65055867"/>
    <w:rsid w:val="65F959D4"/>
    <w:rsid w:val="662A16EF"/>
    <w:rsid w:val="6677360F"/>
    <w:rsid w:val="6691014E"/>
    <w:rsid w:val="66BC2B4E"/>
    <w:rsid w:val="66C87CCE"/>
    <w:rsid w:val="66E93E57"/>
    <w:rsid w:val="676E7D45"/>
    <w:rsid w:val="677435B2"/>
    <w:rsid w:val="67DA328C"/>
    <w:rsid w:val="67EF75F1"/>
    <w:rsid w:val="684F4F11"/>
    <w:rsid w:val="68B379A9"/>
    <w:rsid w:val="68B93CF2"/>
    <w:rsid w:val="68B97345"/>
    <w:rsid w:val="68ED5F24"/>
    <w:rsid w:val="6908207B"/>
    <w:rsid w:val="69124F16"/>
    <w:rsid w:val="69CD5C14"/>
    <w:rsid w:val="69CF0D33"/>
    <w:rsid w:val="6A4F66FC"/>
    <w:rsid w:val="6A6F3121"/>
    <w:rsid w:val="6AB80FA0"/>
    <w:rsid w:val="6B397FBC"/>
    <w:rsid w:val="6B9946B3"/>
    <w:rsid w:val="6BB62B13"/>
    <w:rsid w:val="6C1F5711"/>
    <w:rsid w:val="6C276F3A"/>
    <w:rsid w:val="6C4C4602"/>
    <w:rsid w:val="6C7007C7"/>
    <w:rsid w:val="6CC30C03"/>
    <w:rsid w:val="6D0B5802"/>
    <w:rsid w:val="6D546EA7"/>
    <w:rsid w:val="6DDF1B46"/>
    <w:rsid w:val="6DE035C6"/>
    <w:rsid w:val="6DE76850"/>
    <w:rsid w:val="6DF70BC5"/>
    <w:rsid w:val="6E731D44"/>
    <w:rsid w:val="6F6E2973"/>
    <w:rsid w:val="6FA54EE8"/>
    <w:rsid w:val="6FB20BD4"/>
    <w:rsid w:val="6FBA59BE"/>
    <w:rsid w:val="6FBC4CD2"/>
    <w:rsid w:val="6FC34F4E"/>
    <w:rsid w:val="70296B3E"/>
    <w:rsid w:val="70611204"/>
    <w:rsid w:val="706276BE"/>
    <w:rsid w:val="707029DF"/>
    <w:rsid w:val="71062FFD"/>
    <w:rsid w:val="71453E6C"/>
    <w:rsid w:val="7165620F"/>
    <w:rsid w:val="717039F8"/>
    <w:rsid w:val="71790EBA"/>
    <w:rsid w:val="71EB02FE"/>
    <w:rsid w:val="72E72D01"/>
    <w:rsid w:val="72F84F0E"/>
    <w:rsid w:val="7306551C"/>
    <w:rsid w:val="73465987"/>
    <w:rsid w:val="73D7234E"/>
    <w:rsid w:val="74650E1E"/>
    <w:rsid w:val="749D7B1B"/>
    <w:rsid w:val="74CE794D"/>
    <w:rsid w:val="74D13AD5"/>
    <w:rsid w:val="74E07130"/>
    <w:rsid w:val="74FA2C30"/>
    <w:rsid w:val="754D5C4B"/>
    <w:rsid w:val="76097061"/>
    <w:rsid w:val="760A11E0"/>
    <w:rsid w:val="765814BF"/>
    <w:rsid w:val="765929B4"/>
    <w:rsid w:val="76C240A7"/>
    <w:rsid w:val="76D15D21"/>
    <w:rsid w:val="76DA416A"/>
    <w:rsid w:val="76DD6D5F"/>
    <w:rsid w:val="76E25746"/>
    <w:rsid w:val="770B7EE6"/>
    <w:rsid w:val="775246B7"/>
    <w:rsid w:val="779E0BA6"/>
    <w:rsid w:val="77D61C0D"/>
    <w:rsid w:val="77F53B40"/>
    <w:rsid w:val="781E69D1"/>
    <w:rsid w:val="78AE7B7F"/>
    <w:rsid w:val="7901747F"/>
    <w:rsid w:val="798961F5"/>
    <w:rsid w:val="79961FE6"/>
    <w:rsid w:val="799F7E92"/>
    <w:rsid w:val="79C7024D"/>
    <w:rsid w:val="7A263B6B"/>
    <w:rsid w:val="7A5B2F1D"/>
    <w:rsid w:val="7A650681"/>
    <w:rsid w:val="7AF46346"/>
    <w:rsid w:val="7B0F5EBF"/>
    <w:rsid w:val="7B130FB9"/>
    <w:rsid w:val="7B172DF2"/>
    <w:rsid w:val="7BA50274"/>
    <w:rsid w:val="7BA97571"/>
    <w:rsid w:val="7BD71E38"/>
    <w:rsid w:val="7BF64EDE"/>
    <w:rsid w:val="7C2A7CEC"/>
    <w:rsid w:val="7C400C1E"/>
    <w:rsid w:val="7C9218D6"/>
    <w:rsid w:val="7CF33CCA"/>
    <w:rsid w:val="7D0038F4"/>
    <w:rsid w:val="7D553689"/>
    <w:rsid w:val="7D715D16"/>
    <w:rsid w:val="7DD11708"/>
    <w:rsid w:val="7DEE4A4F"/>
    <w:rsid w:val="7E5321B9"/>
    <w:rsid w:val="7EAD12A3"/>
    <w:rsid w:val="7EAD3051"/>
    <w:rsid w:val="7EAE6230"/>
    <w:rsid w:val="7EBD579E"/>
    <w:rsid w:val="7EC167BD"/>
    <w:rsid w:val="7F0E3631"/>
    <w:rsid w:val="7F144E7E"/>
    <w:rsid w:val="7F2351A1"/>
    <w:rsid w:val="7F272D9E"/>
    <w:rsid w:val="7F674754"/>
    <w:rsid w:val="7FAE4B1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qFormat="1" w:unhideWhenUsed="0" w:uiPriority="99" w:name="index 1"/>
    <w:lsdException w:qFormat="1" w:unhideWhenUsed="0" w:uiPriority="99" w:name="index 2"/>
    <w:lsdException w:qFormat="1" w:unhideWhenUsed="0" w:uiPriority="99" w:name="index 3"/>
    <w:lsdException w:qFormat="1" w:unhideWhenUsed="0" w:uiPriority="99" w:name="index 4"/>
    <w:lsdException w:qFormat="1" w:unhideWhenUsed="0" w:uiPriority="99" w:name="index 5"/>
    <w:lsdException w:qFormat="1" w:unhideWhenUsed="0" w:uiPriority="99" w:name="index 6"/>
    <w:lsdException w:qFormat="1" w:unhideWhenUsed="0" w:uiPriority="99" w:name="index 7"/>
    <w:lsdException w:qFormat="1" w:unhideWhenUsed="0" w:uiPriority="99" w:name="index 8"/>
    <w:lsdException w:qFormat="1" w:unhideWhenUsed="0" w:uiPriority="99" w:name="index 9"/>
    <w:lsdException w:qFormat="1" w:unhideWhenUsed="0" w:uiPriority="99" w:name="toc 1"/>
    <w:lsdException w:qFormat="1" w:unhideWhenUsed="0" w:uiPriority="99" w:name="toc 2"/>
    <w:lsdException w:qFormat="1" w:unhideWhenUsed="0" w:uiPriority="99" w:name="toc 3"/>
    <w:lsdException w:qFormat="1" w:unhideWhenUsed="0" w:uiPriority="99" w:name="toc 4"/>
    <w:lsdException w:qFormat="1" w:unhideWhenUsed="0" w:uiPriority="99" w:name="toc 5"/>
    <w:lsdException w:qFormat="1" w:unhideWhenUsed="0" w:uiPriority="99" w:name="toc 6"/>
    <w:lsdException w:qFormat="1" w:unhideWhenUsed="0" w:uiPriority="99" w:name="toc 7"/>
    <w:lsdException w:qFormat="1" w:unhideWhenUsed="0" w:uiPriority="99" w:name="toc 8"/>
    <w:lsdException w:qFormat="1" w:unhideWhenUsed="0" w:uiPriority="99" w:name="toc 9"/>
    <w:lsdException w:qFormat="1" w:unhideWhenUsed="0" w:uiPriority="99" w:semiHidden="0" w:name="Normal Indent"/>
    <w:lsdException w:qFormat="1" w:unhideWhenUsed="0" w:uiPriority="99" w:name="footnote text"/>
    <w:lsdException w:qFormat="1" w:unhideWhenUsed="0" w:uiPriority="99" w:name="annotation text"/>
    <w:lsdException w:qFormat="1" w:unhideWhenUsed="0" w:uiPriority="99" w:semiHidden="0" w:name="header"/>
    <w:lsdException w:qFormat="1" w:unhideWhenUsed="0" w:uiPriority="99" w:semiHidden="0" w:name="footer"/>
    <w:lsdException w:qFormat="1" w:unhideWhenUsed="0" w:uiPriority="99" w:name="index heading"/>
    <w:lsdException w:qFormat="1" w:unhideWhenUsed="0" w:uiPriority="99" w:semiHidden="0" w:name="caption"/>
    <w:lsdException w:uiPriority="99" w:name="table of figures" w:locked="1"/>
    <w:lsdException w:uiPriority="99" w:name="envelope address" w:locked="1"/>
    <w:lsdException w:uiPriority="99" w:name="envelope return" w:locked="1"/>
    <w:lsdException w:qFormat="1" w:unhideWhenUsed="0" w:uiPriority="99" w:name="footnote reference"/>
    <w:lsdException w:qFormat="1" w:unhideWhenUsed="0" w:uiPriority="99" w:name="annotation reference"/>
    <w:lsdException w:uiPriority="99" w:name="line number" w:locked="1"/>
    <w:lsdException w:qFormat="1" w:unhideWhenUsed="0" w:uiPriority="99" w:semiHidden="0" w:name="page number"/>
    <w:lsdException w:qFormat="1" w:unhideWhenUsed="0" w:uiPriority="99" w:name="endnote reference"/>
    <w:lsdException w:qFormat="1" w:unhideWhenUsed="0" w:uiPriority="99" w:name="endnote text"/>
    <w:lsdException w:uiPriority="99" w:name="table of authorities" w:locked="1"/>
    <w:lsdException w:uiPriority="99" w:name="macro" w:locked="1"/>
    <w:lsdException w:uiPriority="99" w:name="toa heading" w:locked="1"/>
    <w:lsdException w:qFormat="1" w:unhideWhenUsed="0" w:uiPriority="99" w:semiHidden="0" w:name="List"/>
    <w:lsdException w:uiPriority="99" w:name="List Bullet" w:locked="1"/>
    <w:lsdException w:qFormat="1" w:unhideWhenUsed="0" w:uiPriority="99" w:semiHidden="0" w:name="List Number"/>
    <w:lsdException w:qFormat="1" w:unhideWhenUsed="0" w:uiPriority="99" w:semiHidden="0" w:name="List 2"/>
    <w:lsdException w:uiPriority="99" w:name="List 3" w:locked="1"/>
    <w:lsdException w:uiPriority="99" w:name="List 4" w:locked="1"/>
    <w:lsdException w:qFormat="1" w:unhideWhenUsed="0" w:uiPriority="99" w:semiHidden="0" w:name="List 5"/>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qFormat="1" w:unhideWhenUsed="0" w:uiPriority="99" w:semiHidden="0" w:name="List Number 3"/>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99" w:semiHidden="0" w:name="Subtitle"/>
    <w:lsdException w:uiPriority="99" w:name="Salutation" w:locked="1"/>
    <w:lsdException w:qFormat="1" w:unhideWhenUsed="0" w:uiPriority="99" w:semiHidden="0" w:name="Date"/>
    <w:lsdException w:uiPriority="99" w:name="Body Text First Indent" w:locked="1"/>
    <w:lsdException w:qFormat="1" w:unhideWhenUsed="0" w:uiPriority="99" w:semiHidden="0" w:name="Body Text First Indent 2"/>
    <w:lsdException w:uiPriority="99" w:name="Note Heading" w:locked="1"/>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qFormat="1" w:unhideWhenUsed="0" w:uiPriority="99" w:semiHidden="0"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qFormat="1" w:unhideWhenUsed="0" w:uiPriority="99" w:name="Document Map"/>
    <w:lsdException w:qFormat="1" w:unhideWhenUsed="0" w:uiPriority="99" w:semiHidden="0" w:name="Plain Text"/>
    <w:lsdException w:uiPriority="99" w:name="E-mail Signature" w:locked="1"/>
    <w:lsdException w:qFormat="1" w:unhideWhenUsed="0" w:uiPriority="99" w:semiHidden="0" w:name="Normal (Web)"/>
    <w:lsdException w:qFormat="1" w:unhideWhenUsed="0" w:uiPriority="99" w:semiHidden="0" w:name="HTML Acronym"/>
    <w:lsdException w:uiPriority="99" w:name="HTML Address" w:locked="1"/>
    <w:lsdException w:qFormat="1" w:unhideWhenUsed="0" w:uiPriority="99" w:semiHidden="0" w:name="HTML Cite"/>
    <w:lsdException w:qFormat="1" w:unhideWhenUsed="0" w:uiPriority="99" w:semiHidden="0" w:name="HTML Code"/>
    <w:lsdException w:qFormat="1" w:unhideWhenUsed="0" w:uiPriority="99" w:semiHidden="0" w:name="HTML Definition"/>
    <w:lsdException w:uiPriority="99" w:name="HTML Keyboard" w:locked="1"/>
    <w:lsdException w:qFormat="1" w:unhideWhenUsed="0" w:uiPriority="99" w:semiHidden="0" w:name="HTML Preformatted"/>
    <w:lsdException w:qFormat="1" w:unhideWhenUsed="0" w:uiPriority="99" w:semiHidden="0" w:name="HTML Sample"/>
    <w:lsdException w:uiPriority="99" w:name="HTML Typewriter" w:locked="1"/>
    <w:lsdException w:qFormat="1" w:unhideWhenUsed="0" w:uiPriority="99" w:semiHidden="0" w:name="HTML Variable"/>
    <w:lsdException w:qFormat="1" w:uiPriority="99"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qFormat="1" w:unhideWhenUsed="0" w:uiPriority="99" w:semiHidden="0" w:name="Quote"/>
    <w:lsdException w:qFormat="1" w:unhideWhenUsed="0" w:uiPriority="99"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105"/>
    <w:qFormat/>
    <w:uiPriority w:val="99"/>
    <w:pPr>
      <w:keepNext/>
      <w:keepLines/>
      <w:spacing w:before="340" w:after="330" w:line="578" w:lineRule="auto"/>
      <w:outlineLvl w:val="0"/>
    </w:pPr>
    <w:rPr>
      <w:b/>
      <w:bCs/>
      <w:kern w:val="44"/>
      <w:sz w:val="44"/>
      <w:szCs w:val="44"/>
    </w:rPr>
  </w:style>
  <w:style w:type="paragraph" w:styleId="3">
    <w:name w:val="heading 2"/>
    <w:basedOn w:val="1"/>
    <w:next w:val="1"/>
    <w:link w:val="106"/>
    <w:qFormat/>
    <w:uiPriority w:val="99"/>
    <w:pPr>
      <w:keepNext/>
      <w:keepLines/>
      <w:spacing w:before="260" w:after="260" w:line="416" w:lineRule="auto"/>
      <w:outlineLvl w:val="1"/>
    </w:pPr>
    <w:rPr>
      <w:rFonts w:ascii="Cambria" w:hAnsi="Cambria" w:cs="Cambria"/>
      <w:b/>
      <w:bCs/>
      <w:sz w:val="32"/>
      <w:szCs w:val="32"/>
    </w:rPr>
  </w:style>
  <w:style w:type="paragraph" w:styleId="4">
    <w:name w:val="heading 3"/>
    <w:basedOn w:val="1"/>
    <w:next w:val="1"/>
    <w:link w:val="107"/>
    <w:qFormat/>
    <w:uiPriority w:val="99"/>
    <w:pPr>
      <w:keepNext/>
      <w:keepLines/>
      <w:spacing w:before="260" w:after="260" w:line="416" w:lineRule="auto"/>
      <w:outlineLvl w:val="2"/>
    </w:pPr>
    <w:rPr>
      <w:b/>
      <w:bCs/>
      <w:sz w:val="32"/>
      <w:szCs w:val="32"/>
    </w:rPr>
  </w:style>
  <w:style w:type="paragraph" w:styleId="5">
    <w:name w:val="heading 4"/>
    <w:basedOn w:val="1"/>
    <w:next w:val="1"/>
    <w:link w:val="108"/>
    <w:qFormat/>
    <w:uiPriority w:val="99"/>
    <w:pPr>
      <w:keepNext/>
      <w:keepLines/>
      <w:numPr>
        <w:ilvl w:val="3"/>
        <w:numId w:val="1"/>
      </w:numPr>
      <w:spacing w:before="280" w:after="290" w:line="372" w:lineRule="auto"/>
      <w:outlineLvl w:val="3"/>
    </w:pPr>
    <w:rPr>
      <w:rFonts w:ascii="宋体" w:hAnsi="Arial" w:eastAsia="黑体" w:cs="宋体"/>
      <w:b/>
      <w:bCs/>
      <w:sz w:val="24"/>
      <w:szCs w:val="24"/>
    </w:rPr>
  </w:style>
  <w:style w:type="paragraph" w:styleId="6">
    <w:name w:val="heading 5"/>
    <w:basedOn w:val="1"/>
    <w:next w:val="1"/>
    <w:link w:val="109"/>
    <w:qFormat/>
    <w:uiPriority w:val="99"/>
    <w:pPr>
      <w:keepNext/>
      <w:keepLines/>
      <w:spacing w:before="280" w:after="290" w:line="376" w:lineRule="auto"/>
      <w:outlineLvl w:val="4"/>
    </w:pPr>
    <w:rPr>
      <w:b/>
      <w:bCs/>
      <w:sz w:val="28"/>
      <w:szCs w:val="28"/>
    </w:rPr>
  </w:style>
  <w:style w:type="paragraph" w:styleId="7">
    <w:name w:val="heading 6"/>
    <w:basedOn w:val="1"/>
    <w:next w:val="8"/>
    <w:link w:val="81"/>
    <w:qFormat/>
    <w:uiPriority w:val="99"/>
    <w:pPr>
      <w:keepNext/>
      <w:keepLines/>
      <w:numPr>
        <w:ilvl w:val="5"/>
        <w:numId w:val="1"/>
      </w:numPr>
      <w:spacing w:before="240" w:after="64" w:line="317" w:lineRule="auto"/>
      <w:outlineLvl w:val="5"/>
    </w:pPr>
    <w:rPr>
      <w:rFonts w:ascii="Arial" w:hAnsi="Arial" w:eastAsia="黑体" w:cs="Arial"/>
      <w:b/>
      <w:bCs/>
      <w:sz w:val="24"/>
      <w:szCs w:val="24"/>
    </w:rPr>
  </w:style>
  <w:style w:type="paragraph" w:styleId="9">
    <w:name w:val="heading 7"/>
    <w:basedOn w:val="1"/>
    <w:next w:val="1"/>
    <w:link w:val="82"/>
    <w:qFormat/>
    <w:uiPriority w:val="99"/>
    <w:pPr>
      <w:keepNext/>
      <w:keepLines/>
      <w:spacing w:before="240" w:after="64" w:line="320" w:lineRule="auto"/>
      <w:outlineLvl w:val="6"/>
    </w:pPr>
    <w:rPr>
      <w:b/>
      <w:bCs/>
      <w:sz w:val="24"/>
      <w:szCs w:val="24"/>
    </w:rPr>
  </w:style>
  <w:style w:type="paragraph" w:styleId="10">
    <w:name w:val="heading 8"/>
    <w:basedOn w:val="1"/>
    <w:next w:val="1"/>
    <w:link w:val="83"/>
    <w:qFormat/>
    <w:uiPriority w:val="99"/>
    <w:pPr>
      <w:keepNext/>
      <w:keepLines/>
      <w:spacing w:before="240" w:after="64" w:line="320" w:lineRule="auto"/>
      <w:outlineLvl w:val="7"/>
    </w:pPr>
    <w:rPr>
      <w:rFonts w:ascii="等线 Light" w:hAnsi="等线 Light" w:eastAsia="等线 Light" w:cs="等线 Light"/>
      <w:sz w:val="24"/>
      <w:szCs w:val="24"/>
    </w:rPr>
  </w:style>
  <w:style w:type="paragraph" w:styleId="11">
    <w:name w:val="heading 9"/>
    <w:basedOn w:val="1"/>
    <w:next w:val="8"/>
    <w:link w:val="84"/>
    <w:qFormat/>
    <w:uiPriority w:val="99"/>
    <w:pPr>
      <w:keepNext/>
      <w:keepLines/>
      <w:numPr>
        <w:ilvl w:val="8"/>
        <w:numId w:val="1"/>
      </w:numPr>
      <w:spacing w:before="240" w:after="64" w:line="317" w:lineRule="auto"/>
      <w:outlineLvl w:val="8"/>
    </w:pPr>
    <w:rPr>
      <w:rFonts w:ascii="Arial" w:hAnsi="Arial" w:eastAsia="黑体" w:cs="Arial"/>
    </w:rPr>
  </w:style>
  <w:style w:type="character" w:default="1" w:styleId="61">
    <w:name w:val="Default Paragraph Font"/>
    <w:semiHidden/>
    <w:unhideWhenUsed/>
    <w:qFormat/>
    <w:uiPriority w:val="1"/>
  </w:style>
  <w:style w:type="table" w:default="1" w:styleId="59">
    <w:name w:val="Normal Table"/>
    <w:semiHidden/>
    <w:unhideWhenUsed/>
    <w:qFormat/>
    <w:uiPriority w:val="99"/>
    <w:tblPr>
      <w:tblCellMar>
        <w:top w:w="0" w:type="dxa"/>
        <w:left w:w="108" w:type="dxa"/>
        <w:bottom w:w="0" w:type="dxa"/>
        <w:right w:w="108" w:type="dxa"/>
      </w:tblCellMar>
    </w:tblPr>
  </w:style>
  <w:style w:type="paragraph" w:styleId="8">
    <w:name w:val="Normal Indent"/>
    <w:basedOn w:val="1"/>
    <w:qFormat/>
    <w:uiPriority w:val="99"/>
    <w:pPr>
      <w:ind w:firstLine="420"/>
    </w:pPr>
  </w:style>
  <w:style w:type="paragraph" w:styleId="12">
    <w:name w:val="toc 7"/>
    <w:basedOn w:val="1"/>
    <w:next w:val="1"/>
    <w:autoRedefine/>
    <w:semiHidden/>
    <w:qFormat/>
    <w:uiPriority w:val="99"/>
    <w:pPr>
      <w:tabs>
        <w:tab w:val="right" w:leader="dot" w:pos="9185"/>
      </w:tabs>
      <w:adjustRightInd w:val="0"/>
      <w:spacing w:line="312" w:lineRule="atLeast"/>
      <w:ind w:left="2520"/>
      <w:textAlignment w:val="baseline"/>
    </w:pPr>
    <w:rPr>
      <w:kern w:val="0"/>
    </w:rPr>
  </w:style>
  <w:style w:type="paragraph" w:styleId="13">
    <w:name w:val="index 8"/>
    <w:basedOn w:val="1"/>
    <w:next w:val="1"/>
    <w:autoRedefine/>
    <w:semiHidden/>
    <w:qFormat/>
    <w:uiPriority w:val="99"/>
    <w:pPr>
      <w:widowControl/>
      <w:ind w:left="1400" w:leftChars="1400"/>
      <w:jc w:val="left"/>
    </w:pPr>
    <w:rPr>
      <w:kern w:val="0"/>
      <w:sz w:val="20"/>
      <w:szCs w:val="20"/>
    </w:rPr>
  </w:style>
  <w:style w:type="paragraph" w:styleId="14">
    <w:name w:val="List Number"/>
    <w:basedOn w:val="1"/>
    <w:qFormat/>
    <w:uiPriority w:val="99"/>
    <w:pPr>
      <w:widowControl/>
      <w:tabs>
        <w:tab w:val="left" w:pos="454"/>
        <w:tab w:val="left" w:pos="720"/>
        <w:tab w:val="left" w:pos="840"/>
      </w:tabs>
      <w:spacing w:afterLines="50"/>
      <w:ind w:left="454" w:hanging="284"/>
      <w:jc w:val="left"/>
    </w:pPr>
    <w:rPr>
      <w:kern w:val="0"/>
      <w:sz w:val="24"/>
      <w:szCs w:val="24"/>
    </w:rPr>
  </w:style>
  <w:style w:type="paragraph" w:styleId="15">
    <w:name w:val="caption"/>
    <w:basedOn w:val="1"/>
    <w:next w:val="1"/>
    <w:qFormat/>
    <w:uiPriority w:val="99"/>
    <w:pPr>
      <w:spacing w:before="152" w:after="160"/>
    </w:pPr>
    <w:rPr>
      <w:rFonts w:ascii="Arial" w:hAnsi="Arial" w:eastAsia="黑体" w:cs="Arial"/>
      <w:sz w:val="20"/>
      <w:szCs w:val="20"/>
    </w:rPr>
  </w:style>
  <w:style w:type="paragraph" w:styleId="16">
    <w:name w:val="index 5"/>
    <w:basedOn w:val="1"/>
    <w:next w:val="1"/>
    <w:autoRedefine/>
    <w:semiHidden/>
    <w:qFormat/>
    <w:uiPriority w:val="99"/>
    <w:pPr>
      <w:widowControl/>
      <w:ind w:left="800" w:leftChars="800"/>
      <w:jc w:val="left"/>
    </w:pPr>
    <w:rPr>
      <w:kern w:val="0"/>
      <w:sz w:val="20"/>
      <w:szCs w:val="20"/>
    </w:rPr>
  </w:style>
  <w:style w:type="paragraph" w:styleId="17">
    <w:name w:val="Document Map"/>
    <w:basedOn w:val="1"/>
    <w:link w:val="110"/>
    <w:semiHidden/>
    <w:qFormat/>
    <w:uiPriority w:val="99"/>
    <w:pPr>
      <w:shd w:val="clear" w:color="auto" w:fill="000080"/>
    </w:pPr>
  </w:style>
  <w:style w:type="paragraph" w:styleId="18">
    <w:name w:val="annotation text"/>
    <w:basedOn w:val="1"/>
    <w:link w:val="111"/>
    <w:semiHidden/>
    <w:qFormat/>
    <w:uiPriority w:val="99"/>
    <w:pPr>
      <w:jc w:val="left"/>
    </w:pPr>
  </w:style>
  <w:style w:type="paragraph" w:styleId="19">
    <w:name w:val="index 6"/>
    <w:basedOn w:val="1"/>
    <w:next w:val="1"/>
    <w:autoRedefine/>
    <w:semiHidden/>
    <w:qFormat/>
    <w:uiPriority w:val="99"/>
    <w:pPr>
      <w:widowControl/>
      <w:ind w:left="1000" w:leftChars="1000"/>
      <w:jc w:val="left"/>
    </w:pPr>
    <w:rPr>
      <w:kern w:val="0"/>
      <w:sz w:val="20"/>
      <w:szCs w:val="20"/>
    </w:rPr>
  </w:style>
  <w:style w:type="paragraph" w:styleId="20">
    <w:name w:val="Body Text 3"/>
    <w:basedOn w:val="1"/>
    <w:link w:val="87"/>
    <w:qFormat/>
    <w:uiPriority w:val="99"/>
    <w:pPr>
      <w:spacing w:after="120"/>
    </w:pPr>
    <w:rPr>
      <w:sz w:val="16"/>
      <w:szCs w:val="16"/>
    </w:rPr>
  </w:style>
  <w:style w:type="paragraph" w:styleId="21">
    <w:name w:val="Body Text"/>
    <w:basedOn w:val="1"/>
    <w:next w:val="1"/>
    <w:link w:val="88"/>
    <w:qFormat/>
    <w:uiPriority w:val="99"/>
    <w:pPr>
      <w:spacing w:after="120"/>
    </w:pPr>
  </w:style>
  <w:style w:type="paragraph" w:styleId="22">
    <w:name w:val="Body Text Indent"/>
    <w:basedOn w:val="1"/>
    <w:link w:val="112"/>
    <w:qFormat/>
    <w:uiPriority w:val="99"/>
    <w:pPr>
      <w:ind w:firstLine="830" w:firstLineChars="352"/>
    </w:pPr>
    <w:rPr>
      <w:rFonts w:ascii="仿宋_GB2312" w:eastAsia="仿宋_GB2312" w:cs="仿宋_GB2312"/>
      <w:kern w:val="0"/>
      <w:sz w:val="32"/>
      <w:szCs w:val="32"/>
    </w:rPr>
  </w:style>
  <w:style w:type="paragraph" w:styleId="23">
    <w:name w:val="List Number 3"/>
    <w:basedOn w:val="1"/>
    <w:qFormat/>
    <w:uiPriority w:val="99"/>
    <w:pPr>
      <w:numPr>
        <w:ilvl w:val="0"/>
        <w:numId w:val="2"/>
      </w:numPr>
      <w:ind w:left="0" w:firstLine="0"/>
    </w:pPr>
  </w:style>
  <w:style w:type="paragraph" w:styleId="24">
    <w:name w:val="List 2"/>
    <w:basedOn w:val="1"/>
    <w:qFormat/>
    <w:uiPriority w:val="99"/>
    <w:pPr>
      <w:ind w:left="100" w:leftChars="200" w:hanging="200" w:hangingChars="200"/>
    </w:pPr>
  </w:style>
  <w:style w:type="paragraph" w:styleId="25">
    <w:name w:val="Block Text"/>
    <w:basedOn w:val="1"/>
    <w:qFormat/>
    <w:uiPriority w:val="99"/>
    <w:pPr>
      <w:adjustRightInd w:val="0"/>
      <w:ind w:left="420" w:right="33"/>
      <w:jc w:val="left"/>
      <w:textAlignment w:val="baseline"/>
    </w:pPr>
    <w:rPr>
      <w:kern w:val="0"/>
      <w:sz w:val="24"/>
      <w:szCs w:val="24"/>
    </w:rPr>
  </w:style>
  <w:style w:type="paragraph" w:styleId="26">
    <w:name w:val="index 4"/>
    <w:basedOn w:val="1"/>
    <w:next w:val="1"/>
    <w:autoRedefine/>
    <w:semiHidden/>
    <w:qFormat/>
    <w:uiPriority w:val="99"/>
    <w:pPr>
      <w:widowControl/>
      <w:ind w:left="600" w:leftChars="600"/>
      <w:jc w:val="left"/>
    </w:pPr>
    <w:rPr>
      <w:kern w:val="0"/>
      <w:sz w:val="20"/>
      <w:szCs w:val="20"/>
    </w:rPr>
  </w:style>
  <w:style w:type="paragraph" w:styleId="27">
    <w:name w:val="toc 5"/>
    <w:basedOn w:val="1"/>
    <w:next w:val="1"/>
    <w:autoRedefine/>
    <w:semiHidden/>
    <w:qFormat/>
    <w:uiPriority w:val="99"/>
    <w:pPr>
      <w:tabs>
        <w:tab w:val="right" w:leader="dot" w:pos="9185"/>
      </w:tabs>
      <w:adjustRightInd w:val="0"/>
      <w:spacing w:line="312" w:lineRule="atLeast"/>
      <w:ind w:left="1680"/>
      <w:textAlignment w:val="baseline"/>
    </w:pPr>
    <w:rPr>
      <w:kern w:val="0"/>
    </w:rPr>
  </w:style>
  <w:style w:type="paragraph" w:styleId="28">
    <w:name w:val="toc 3"/>
    <w:basedOn w:val="1"/>
    <w:next w:val="1"/>
    <w:autoRedefine/>
    <w:semiHidden/>
    <w:qFormat/>
    <w:uiPriority w:val="99"/>
    <w:pPr>
      <w:ind w:left="840" w:leftChars="400"/>
    </w:pPr>
  </w:style>
  <w:style w:type="paragraph" w:styleId="29">
    <w:name w:val="Plain Text"/>
    <w:basedOn w:val="1"/>
    <w:next w:val="5"/>
    <w:link w:val="113"/>
    <w:qFormat/>
    <w:uiPriority w:val="99"/>
    <w:rPr>
      <w:rFonts w:ascii="宋体" w:hAnsi="Courier New" w:cs="宋体"/>
      <w:kern w:val="0"/>
      <w:sz w:val="20"/>
      <w:szCs w:val="20"/>
    </w:rPr>
  </w:style>
  <w:style w:type="paragraph" w:styleId="30">
    <w:name w:val="toc 8"/>
    <w:basedOn w:val="1"/>
    <w:next w:val="1"/>
    <w:autoRedefine/>
    <w:semiHidden/>
    <w:qFormat/>
    <w:uiPriority w:val="99"/>
    <w:pPr>
      <w:tabs>
        <w:tab w:val="right" w:leader="dot" w:pos="9185"/>
      </w:tabs>
      <w:adjustRightInd w:val="0"/>
      <w:spacing w:line="312" w:lineRule="atLeast"/>
      <w:ind w:left="2940"/>
      <w:textAlignment w:val="baseline"/>
    </w:pPr>
    <w:rPr>
      <w:kern w:val="0"/>
    </w:rPr>
  </w:style>
  <w:style w:type="paragraph" w:styleId="31">
    <w:name w:val="index 3"/>
    <w:basedOn w:val="1"/>
    <w:next w:val="1"/>
    <w:autoRedefine/>
    <w:semiHidden/>
    <w:qFormat/>
    <w:uiPriority w:val="99"/>
    <w:pPr>
      <w:widowControl/>
      <w:ind w:left="400" w:leftChars="400"/>
      <w:jc w:val="left"/>
    </w:pPr>
    <w:rPr>
      <w:kern w:val="0"/>
      <w:sz w:val="20"/>
      <w:szCs w:val="20"/>
    </w:rPr>
  </w:style>
  <w:style w:type="paragraph" w:styleId="32">
    <w:name w:val="Date"/>
    <w:basedOn w:val="1"/>
    <w:next w:val="1"/>
    <w:link w:val="114"/>
    <w:qFormat/>
    <w:uiPriority w:val="99"/>
    <w:pPr>
      <w:ind w:left="100" w:leftChars="2500"/>
    </w:pPr>
  </w:style>
  <w:style w:type="paragraph" w:styleId="33">
    <w:name w:val="Body Text Indent 2"/>
    <w:basedOn w:val="1"/>
    <w:link w:val="115"/>
    <w:qFormat/>
    <w:uiPriority w:val="99"/>
    <w:pPr>
      <w:spacing w:line="400" w:lineRule="exact"/>
      <w:ind w:firstLine="480"/>
    </w:pPr>
  </w:style>
  <w:style w:type="paragraph" w:styleId="34">
    <w:name w:val="endnote text"/>
    <w:basedOn w:val="1"/>
    <w:link w:val="93"/>
    <w:semiHidden/>
    <w:qFormat/>
    <w:uiPriority w:val="99"/>
    <w:pPr>
      <w:widowControl/>
      <w:snapToGrid w:val="0"/>
      <w:jc w:val="left"/>
    </w:pPr>
    <w:rPr>
      <w:kern w:val="0"/>
      <w:sz w:val="20"/>
      <w:szCs w:val="20"/>
    </w:rPr>
  </w:style>
  <w:style w:type="paragraph" w:styleId="35">
    <w:name w:val="Balloon Text"/>
    <w:basedOn w:val="1"/>
    <w:link w:val="116"/>
    <w:semiHidden/>
    <w:qFormat/>
    <w:uiPriority w:val="99"/>
    <w:rPr>
      <w:sz w:val="18"/>
      <w:szCs w:val="18"/>
    </w:rPr>
  </w:style>
  <w:style w:type="paragraph" w:styleId="36">
    <w:name w:val="footer"/>
    <w:basedOn w:val="1"/>
    <w:link w:val="117"/>
    <w:qFormat/>
    <w:uiPriority w:val="99"/>
    <w:pPr>
      <w:tabs>
        <w:tab w:val="center" w:pos="4153"/>
        <w:tab w:val="right" w:pos="8306"/>
      </w:tabs>
      <w:snapToGrid w:val="0"/>
      <w:jc w:val="left"/>
    </w:pPr>
    <w:rPr>
      <w:kern w:val="0"/>
      <w:sz w:val="18"/>
      <w:szCs w:val="18"/>
    </w:rPr>
  </w:style>
  <w:style w:type="paragraph" w:styleId="37">
    <w:name w:val="header"/>
    <w:basedOn w:val="1"/>
    <w:link w:val="118"/>
    <w:qFormat/>
    <w:uiPriority w:val="99"/>
    <w:pPr>
      <w:pBdr>
        <w:bottom w:val="single" w:color="auto" w:sz="6" w:space="1"/>
      </w:pBdr>
      <w:tabs>
        <w:tab w:val="center" w:pos="4153"/>
        <w:tab w:val="right" w:pos="8306"/>
      </w:tabs>
      <w:snapToGrid w:val="0"/>
      <w:jc w:val="center"/>
    </w:pPr>
    <w:rPr>
      <w:kern w:val="0"/>
      <w:sz w:val="18"/>
      <w:szCs w:val="18"/>
    </w:rPr>
  </w:style>
  <w:style w:type="paragraph" w:styleId="38">
    <w:name w:val="toc 1"/>
    <w:basedOn w:val="1"/>
    <w:next w:val="1"/>
    <w:autoRedefine/>
    <w:semiHidden/>
    <w:qFormat/>
    <w:uiPriority w:val="99"/>
  </w:style>
  <w:style w:type="paragraph" w:styleId="39">
    <w:name w:val="toc 4"/>
    <w:basedOn w:val="1"/>
    <w:next w:val="1"/>
    <w:autoRedefine/>
    <w:semiHidden/>
    <w:qFormat/>
    <w:uiPriority w:val="99"/>
    <w:pPr>
      <w:tabs>
        <w:tab w:val="right" w:leader="dot" w:pos="9185"/>
      </w:tabs>
      <w:adjustRightInd w:val="0"/>
      <w:spacing w:line="312" w:lineRule="atLeast"/>
      <w:ind w:left="1260"/>
      <w:textAlignment w:val="baseline"/>
    </w:pPr>
    <w:rPr>
      <w:kern w:val="0"/>
    </w:rPr>
  </w:style>
  <w:style w:type="paragraph" w:styleId="40">
    <w:name w:val="index heading"/>
    <w:basedOn w:val="1"/>
    <w:next w:val="41"/>
    <w:semiHidden/>
    <w:qFormat/>
    <w:uiPriority w:val="99"/>
    <w:pPr>
      <w:widowControl/>
      <w:jc w:val="left"/>
    </w:pPr>
    <w:rPr>
      <w:kern w:val="0"/>
      <w:sz w:val="20"/>
      <w:szCs w:val="20"/>
    </w:rPr>
  </w:style>
  <w:style w:type="paragraph" w:styleId="41">
    <w:name w:val="index 1"/>
    <w:basedOn w:val="1"/>
    <w:next w:val="1"/>
    <w:autoRedefine/>
    <w:semiHidden/>
    <w:qFormat/>
    <w:uiPriority w:val="99"/>
    <w:pPr>
      <w:spacing w:line="360" w:lineRule="exact"/>
      <w:ind w:firstLine="432" w:firstLineChars="240"/>
    </w:pPr>
    <w:rPr>
      <w:rFonts w:ascii="宋体" w:hAnsi="宋体" w:cs="宋体"/>
      <w:sz w:val="18"/>
      <w:szCs w:val="18"/>
    </w:rPr>
  </w:style>
  <w:style w:type="paragraph" w:styleId="42">
    <w:name w:val="Subtitle"/>
    <w:basedOn w:val="1"/>
    <w:next w:val="1"/>
    <w:link w:val="97"/>
    <w:qFormat/>
    <w:uiPriority w:val="99"/>
    <w:pPr>
      <w:spacing w:before="240" w:after="60" w:line="312" w:lineRule="auto"/>
      <w:jc w:val="center"/>
      <w:outlineLvl w:val="1"/>
    </w:pPr>
    <w:rPr>
      <w:rFonts w:ascii="宋体" w:hAnsi="Courier New" w:cs="宋体"/>
    </w:rPr>
  </w:style>
  <w:style w:type="paragraph" w:styleId="43">
    <w:name w:val="List"/>
    <w:basedOn w:val="1"/>
    <w:qFormat/>
    <w:uiPriority w:val="99"/>
    <w:pPr>
      <w:ind w:left="200" w:hanging="200" w:hangingChars="200"/>
    </w:pPr>
    <w:rPr>
      <w:sz w:val="28"/>
      <w:szCs w:val="28"/>
    </w:rPr>
  </w:style>
  <w:style w:type="paragraph" w:styleId="44">
    <w:name w:val="footnote text"/>
    <w:basedOn w:val="1"/>
    <w:link w:val="119"/>
    <w:semiHidden/>
    <w:qFormat/>
    <w:uiPriority w:val="99"/>
    <w:pPr>
      <w:adjustRightInd w:val="0"/>
      <w:spacing w:line="312" w:lineRule="atLeast"/>
      <w:jc w:val="left"/>
      <w:textAlignment w:val="baseline"/>
    </w:pPr>
    <w:rPr>
      <w:kern w:val="0"/>
      <w:sz w:val="18"/>
      <w:szCs w:val="18"/>
    </w:rPr>
  </w:style>
  <w:style w:type="paragraph" w:styleId="45">
    <w:name w:val="toc 6"/>
    <w:basedOn w:val="1"/>
    <w:next w:val="1"/>
    <w:autoRedefine/>
    <w:semiHidden/>
    <w:qFormat/>
    <w:uiPriority w:val="99"/>
    <w:pPr>
      <w:tabs>
        <w:tab w:val="right" w:leader="dot" w:pos="9185"/>
      </w:tabs>
      <w:adjustRightInd w:val="0"/>
      <w:spacing w:line="312" w:lineRule="atLeast"/>
      <w:ind w:left="2100"/>
      <w:textAlignment w:val="baseline"/>
    </w:pPr>
    <w:rPr>
      <w:kern w:val="0"/>
    </w:rPr>
  </w:style>
  <w:style w:type="paragraph" w:styleId="46">
    <w:name w:val="List 5"/>
    <w:basedOn w:val="1"/>
    <w:qFormat/>
    <w:uiPriority w:val="99"/>
    <w:pPr>
      <w:ind w:left="2100" w:hanging="420"/>
    </w:pPr>
  </w:style>
  <w:style w:type="paragraph" w:styleId="47">
    <w:name w:val="Body Text Indent 3"/>
    <w:basedOn w:val="1"/>
    <w:link w:val="99"/>
    <w:qFormat/>
    <w:uiPriority w:val="99"/>
    <w:pPr>
      <w:spacing w:line="360" w:lineRule="auto"/>
      <w:ind w:firstLine="359" w:firstLineChars="171"/>
    </w:pPr>
  </w:style>
  <w:style w:type="paragraph" w:styleId="48">
    <w:name w:val="index 7"/>
    <w:basedOn w:val="1"/>
    <w:next w:val="1"/>
    <w:autoRedefine/>
    <w:semiHidden/>
    <w:qFormat/>
    <w:uiPriority w:val="99"/>
    <w:pPr>
      <w:widowControl/>
      <w:ind w:left="1200" w:leftChars="1200"/>
      <w:jc w:val="left"/>
    </w:pPr>
    <w:rPr>
      <w:kern w:val="0"/>
      <w:sz w:val="20"/>
      <w:szCs w:val="20"/>
    </w:rPr>
  </w:style>
  <w:style w:type="paragraph" w:styleId="49">
    <w:name w:val="index 9"/>
    <w:basedOn w:val="1"/>
    <w:next w:val="1"/>
    <w:autoRedefine/>
    <w:semiHidden/>
    <w:qFormat/>
    <w:uiPriority w:val="99"/>
    <w:pPr>
      <w:widowControl/>
      <w:ind w:left="1600" w:leftChars="1600"/>
      <w:jc w:val="left"/>
    </w:pPr>
    <w:rPr>
      <w:kern w:val="0"/>
      <w:sz w:val="20"/>
      <w:szCs w:val="20"/>
    </w:rPr>
  </w:style>
  <w:style w:type="paragraph" w:styleId="50">
    <w:name w:val="toc 2"/>
    <w:basedOn w:val="1"/>
    <w:next w:val="1"/>
    <w:autoRedefine/>
    <w:semiHidden/>
    <w:qFormat/>
    <w:uiPriority w:val="99"/>
    <w:pPr>
      <w:tabs>
        <w:tab w:val="right" w:leader="dot" w:pos="8296"/>
      </w:tabs>
      <w:ind w:left="420" w:leftChars="200"/>
    </w:pPr>
  </w:style>
  <w:style w:type="paragraph" w:styleId="51">
    <w:name w:val="toc 9"/>
    <w:basedOn w:val="1"/>
    <w:next w:val="1"/>
    <w:autoRedefine/>
    <w:semiHidden/>
    <w:qFormat/>
    <w:uiPriority w:val="99"/>
    <w:pPr>
      <w:tabs>
        <w:tab w:val="right" w:leader="dot" w:pos="9185"/>
      </w:tabs>
      <w:adjustRightInd w:val="0"/>
      <w:spacing w:line="312" w:lineRule="atLeast"/>
      <w:ind w:left="3360"/>
      <w:textAlignment w:val="baseline"/>
    </w:pPr>
    <w:rPr>
      <w:kern w:val="0"/>
    </w:rPr>
  </w:style>
  <w:style w:type="paragraph" w:styleId="52">
    <w:name w:val="Body Text 2"/>
    <w:basedOn w:val="1"/>
    <w:link w:val="100"/>
    <w:qFormat/>
    <w:uiPriority w:val="99"/>
    <w:pPr>
      <w:spacing w:after="120" w:line="480" w:lineRule="auto"/>
    </w:pPr>
  </w:style>
  <w:style w:type="paragraph" w:styleId="53">
    <w:name w:val="HTML Preformatted"/>
    <w:basedOn w:val="1"/>
    <w:link w:val="101"/>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黑体"/>
      <w:kern w:val="0"/>
      <w:sz w:val="20"/>
      <w:szCs w:val="20"/>
    </w:rPr>
  </w:style>
  <w:style w:type="paragraph" w:styleId="54">
    <w:name w:val="Normal (Web)"/>
    <w:basedOn w:val="1"/>
    <w:qFormat/>
    <w:uiPriority w:val="99"/>
    <w:rPr>
      <w:rFonts w:ascii="Calibri" w:hAnsi="Calibri" w:cs="Calibri"/>
      <w:kern w:val="0"/>
      <w:sz w:val="24"/>
      <w:szCs w:val="24"/>
    </w:rPr>
  </w:style>
  <w:style w:type="paragraph" w:styleId="55">
    <w:name w:val="index 2"/>
    <w:basedOn w:val="1"/>
    <w:next w:val="1"/>
    <w:autoRedefine/>
    <w:semiHidden/>
    <w:qFormat/>
    <w:uiPriority w:val="99"/>
    <w:pPr>
      <w:widowControl/>
      <w:ind w:left="200" w:leftChars="200"/>
      <w:jc w:val="left"/>
    </w:pPr>
    <w:rPr>
      <w:kern w:val="0"/>
      <w:sz w:val="20"/>
      <w:szCs w:val="20"/>
    </w:rPr>
  </w:style>
  <w:style w:type="paragraph" w:styleId="56">
    <w:name w:val="Title"/>
    <w:basedOn w:val="1"/>
    <w:link w:val="120"/>
    <w:qFormat/>
    <w:uiPriority w:val="99"/>
    <w:pPr>
      <w:spacing w:before="240" w:after="60"/>
      <w:jc w:val="center"/>
      <w:outlineLvl w:val="0"/>
    </w:pPr>
    <w:rPr>
      <w:rFonts w:ascii="Arial" w:hAnsi="Arial" w:cs="Arial"/>
      <w:b/>
      <w:bCs/>
      <w:sz w:val="32"/>
      <w:szCs w:val="32"/>
    </w:rPr>
  </w:style>
  <w:style w:type="paragraph" w:styleId="57">
    <w:name w:val="annotation subject"/>
    <w:basedOn w:val="18"/>
    <w:next w:val="18"/>
    <w:link w:val="121"/>
    <w:semiHidden/>
    <w:qFormat/>
    <w:uiPriority w:val="99"/>
    <w:rPr>
      <w:b/>
      <w:bCs/>
    </w:rPr>
  </w:style>
  <w:style w:type="paragraph" w:styleId="58">
    <w:name w:val="Body Text First Indent 2"/>
    <w:basedOn w:val="22"/>
    <w:next w:val="1"/>
    <w:link w:val="104"/>
    <w:qFormat/>
    <w:uiPriority w:val="99"/>
    <w:pPr>
      <w:tabs>
        <w:tab w:val="left" w:pos="0"/>
      </w:tabs>
      <w:spacing w:after="120"/>
      <w:ind w:left="420" w:leftChars="200" w:firstLine="420" w:firstLineChars="200"/>
    </w:pPr>
    <w:rPr>
      <w:spacing w:val="-4"/>
      <w:sz w:val="21"/>
      <w:szCs w:val="21"/>
    </w:rPr>
  </w:style>
  <w:style w:type="table" w:styleId="60">
    <w:name w:val="Table Grid"/>
    <w:basedOn w:val="59"/>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62">
    <w:name w:val="Strong"/>
    <w:basedOn w:val="61"/>
    <w:qFormat/>
    <w:uiPriority w:val="99"/>
    <w:rPr>
      <w:b/>
      <w:bCs/>
    </w:rPr>
  </w:style>
  <w:style w:type="character" w:styleId="63">
    <w:name w:val="endnote reference"/>
    <w:basedOn w:val="61"/>
    <w:semiHidden/>
    <w:qFormat/>
    <w:uiPriority w:val="99"/>
    <w:rPr>
      <w:vertAlign w:val="superscript"/>
    </w:rPr>
  </w:style>
  <w:style w:type="character" w:styleId="64">
    <w:name w:val="page number"/>
    <w:basedOn w:val="61"/>
    <w:qFormat/>
    <w:uiPriority w:val="99"/>
  </w:style>
  <w:style w:type="character" w:styleId="65">
    <w:name w:val="FollowedHyperlink"/>
    <w:basedOn w:val="61"/>
    <w:qFormat/>
    <w:uiPriority w:val="99"/>
    <w:rPr>
      <w:color w:val="800080"/>
      <w:u w:val="single"/>
    </w:rPr>
  </w:style>
  <w:style w:type="character" w:styleId="66">
    <w:name w:val="Emphasis"/>
    <w:basedOn w:val="61"/>
    <w:qFormat/>
    <w:uiPriority w:val="99"/>
  </w:style>
  <w:style w:type="character" w:styleId="67">
    <w:name w:val="HTML Definition"/>
    <w:basedOn w:val="61"/>
    <w:qFormat/>
    <w:uiPriority w:val="99"/>
  </w:style>
  <w:style w:type="character" w:styleId="68">
    <w:name w:val="HTML Acronym"/>
    <w:basedOn w:val="61"/>
    <w:qFormat/>
    <w:uiPriority w:val="99"/>
  </w:style>
  <w:style w:type="character" w:styleId="69">
    <w:name w:val="HTML Variable"/>
    <w:basedOn w:val="61"/>
    <w:qFormat/>
    <w:uiPriority w:val="99"/>
  </w:style>
  <w:style w:type="character" w:styleId="70">
    <w:name w:val="Hyperlink"/>
    <w:basedOn w:val="61"/>
    <w:qFormat/>
    <w:uiPriority w:val="99"/>
    <w:rPr>
      <w:color w:val="0000FF"/>
      <w:u w:val="single"/>
    </w:rPr>
  </w:style>
  <w:style w:type="character" w:styleId="71">
    <w:name w:val="HTML Code"/>
    <w:basedOn w:val="61"/>
    <w:qFormat/>
    <w:uiPriority w:val="99"/>
    <w:rPr>
      <w:rFonts w:ascii="宋体" w:hAnsi="宋体" w:eastAsia="宋体" w:cs="宋体"/>
      <w:sz w:val="24"/>
      <w:szCs w:val="24"/>
    </w:rPr>
  </w:style>
  <w:style w:type="character" w:styleId="72">
    <w:name w:val="annotation reference"/>
    <w:basedOn w:val="61"/>
    <w:semiHidden/>
    <w:qFormat/>
    <w:uiPriority w:val="99"/>
    <w:rPr>
      <w:sz w:val="21"/>
      <w:szCs w:val="21"/>
    </w:rPr>
  </w:style>
  <w:style w:type="character" w:styleId="73">
    <w:name w:val="HTML Cite"/>
    <w:basedOn w:val="61"/>
    <w:qFormat/>
    <w:uiPriority w:val="99"/>
  </w:style>
  <w:style w:type="character" w:styleId="74">
    <w:name w:val="footnote reference"/>
    <w:basedOn w:val="61"/>
    <w:semiHidden/>
    <w:qFormat/>
    <w:uiPriority w:val="99"/>
    <w:rPr>
      <w:vertAlign w:val="superscript"/>
    </w:rPr>
  </w:style>
  <w:style w:type="character" w:styleId="75">
    <w:name w:val="HTML Sample"/>
    <w:basedOn w:val="61"/>
    <w:qFormat/>
    <w:uiPriority w:val="99"/>
    <w:rPr>
      <w:rFonts w:ascii="Courier New" w:hAnsi="Courier New" w:cs="Courier New"/>
    </w:rPr>
  </w:style>
  <w:style w:type="character" w:customStyle="1" w:styleId="76">
    <w:name w:val="Heading 1 Char"/>
    <w:basedOn w:val="61"/>
    <w:qFormat/>
    <w:uiPriority w:val="99"/>
    <w:rPr>
      <w:rFonts w:eastAsia="宋体"/>
      <w:b/>
      <w:bCs/>
      <w:kern w:val="44"/>
      <w:sz w:val="44"/>
      <w:szCs w:val="44"/>
      <w:lang w:val="en-US" w:eastAsia="zh-CN"/>
    </w:rPr>
  </w:style>
  <w:style w:type="character" w:customStyle="1" w:styleId="77">
    <w:name w:val="Heading 2 Char"/>
    <w:basedOn w:val="61"/>
    <w:qFormat/>
    <w:uiPriority w:val="99"/>
    <w:rPr>
      <w:rFonts w:ascii="Arial" w:hAnsi="Arial" w:eastAsia="黑体" w:cs="Arial"/>
      <w:b/>
      <w:bCs/>
      <w:kern w:val="2"/>
      <w:sz w:val="32"/>
      <w:szCs w:val="32"/>
      <w:lang w:val="en-US" w:eastAsia="zh-CN"/>
    </w:rPr>
  </w:style>
  <w:style w:type="character" w:customStyle="1" w:styleId="78">
    <w:name w:val="Heading 3 Char"/>
    <w:basedOn w:val="61"/>
    <w:qFormat/>
    <w:uiPriority w:val="99"/>
    <w:rPr>
      <w:b/>
      <w:bCs/>
      <w:kern w:val="2"/>
      <w:sz w:val="32"/>
      <w:szCs w:val="32"/>
    </w:rPr>
  </w:style>
  <w:style w:type="character" w:customStyle="1" w:styleId="79">
    <w:name w:val="Heading 4 Char"/>
    <w:basedOn w:val="61"/>
    <w:qFormat/>
    <w:uiPriority w:val="99"/>
    <w:rPr>
      <w:rFonts w:ascii="Arial" w:hAnsi="Arial" w:eastAsia="宋体" w:cs="Arial"/>
      <w:b/>
      <w:bCs/>
      <w:kern w:val="2"/>
      <w:sz w:val="28"/>
      <w:szCs w:val="28"/>
      <w:lang w:val="en-US" w:eastAsia="zh-CN"/>
    </w:rPr>
  </w:style>
  <w:style w:type="character" w:customStyle="1" w:styleId="80">
    <w:name w:val="Heading 5 Char"/>
    <w:basedOn w:val="61"/>
    <w:qFormat/>
    <w:uiPriority w:val="99"/>
    <w:rPr>
      <w:rFonts w:eastAsia="宋体"/>
      <w:b/>
      <w:bCs/>
      <w:kern w:val="2"/>
      <w:sz w:val="28"/>
      <w:szCs w:val="28"/>
      <w:lang w:val="en-US" w:eastAsia="zh-CN"/>
    </w:rPr>
  </w:style>
  <w:style w:type="character" w:customStyle="1" w:styleId="81">
    <w:name w:val="标题 6 Char"/>
    <w:basedOn w:val="61"/>
    <w:link w:val="7"/>
    <w:qFormat/>
    <w:locked/>
    <w:uiPriority w:val="99"/>
    <w:rPr>
      <w:rFonts w:ascii="Arial" w:hAnsi="Arial" w:eastAsia="黑体" w:cs="Arial"/>
      <w:b/>
      <w:bCs/>
      <w:sz w:val="24"/>
      <w:szCs w:val="24"/>
    </w:rPr>
  </w:style>
  <w:style w:type="character" w:customStyle="1" w:styleId="82">
    <w:name w:val="标题 7 Char"/>
    <w:basedOn w:val="61"/>
    <w:link w:val="9"/>
    <w:qFormat/>
    <w:locked/>
    <w:uiPriority w:val="99"/>
    <w:rPr>
      <w:b/>
      <w:bCs/>
      <w:kern w:val="2"/>
      <w:sz w:val="24"/>
      <w:szCs w:val="24"/>
    </w:rPr>
  </w:style>
  <w:style w:type="character" w:customStyle="1" w:styleId="83">
    <w:name w:val="标题 8 Char1"/>
    <w:basedOn w:val="61"/>
    <w:link w:val="10"/>
    <w:semiHidden/>
    <w:qFormat/>
    <w:locked/>
    <w:uiPriority w:val="99"/>
    <w:rPr>
      <w:rFonts w:ascii="等线 Light" w:hAnsi="等线 Light" w:eastAsia="等线 Light" w:cs="等线 Light"/>
      <w:kern w:val="2"/>
      <w:sz w:val="24"/>
      <w:szCs w:val="24"/>
    </w:rPr>
  </w:style>
  <w:style w:type="character" w:customStyle="1" w:styleId="84">
    <w:name w:val="标题 9 Char"/>
    <w:basedOn w:val="61"/>
    <w:link w:val="11"/>
    <w:qFormat/>
    <w:locked/>
    <w:uiPriority w:val="99"/>
    <w:rPr>
      <w:rFonts w:ascii="Arial" w:hAnsi="Arial" w:eastAsia="黑体" w:cs="Arial"/>
      <w:szCs w:val="21"/>
    </w:rPr>
  </w:style>
  <w:style w:type="character" w:customStyle="1" w:styleId="85">
    <w:name w:val="Document Map Char"/>
    <w:basedOn w:val="61"/>
    <w:qFormat/>
    <w:uiPriority w:val="99"/>
    <w:rPr>
      <w:rFonts w:eastAsia="宋体"/>
      <w:kern w:val="2"/>
      <w:sz w:val="24"/>
      <w:szCs w:val="24"/>
      <w:lang w:val="en-US" w:eastAsia="zh-CN"/>
    </w:rPr>
  </w:style>
  <w:style w:type="character" w:customStyle="1" w:styleId="86">
    <w:name w:val="Comment Text Char"/>
    <w:basedOn w:val="61"/>
    <w:qFormat/>
    <w:uiPriority w:val="99"/>
    <w:rPr>
      <w:sz w:val="24"/>
      <w:szCs w:val="24"/>
    </w:rPr>
  </w:style>
  <w:style w:type="character" w:customStyle="1" w:styleId="87">
    <w:name w:val="正文文本 3 Char"/>
    <w:basedOn w:val="61"/>
    <w:link w:val="20"/>
    <w:qFormat/>
    <w:locked/>
    <w:uiPriority w:val="99"/>
    <w:rPr>
      <w:kern w:val="2"/>
      <w:sz w:val="16"/>
      <w:szCs w:val="16"/>
    </w:rPr>
  </w:style>
  <w:style w:type="character" w:customStyle="1" w:styleId="88">
    <w:name w:val="正文文本 Char1"/>
    <w:basedOn w:val="61"/>
    <w:link w:val="21"/>
    <w:qFormat/>
    <w:locked/>
    <w:uiPriority w:val="99"/>
    <w:rPr>
      <w:rFonts w:ascii="Times New Roman" w:hAnsi="Times New Roman" w:cs="Times New Roman"/>
      <w:kern w:val="2"/>
      <w:sz w:val="24"/>
      <w:szCs w:val="24"/>
    </w:rPr>
  </w:style>
  <w:style w:type="character" w:customStyle="1" w:styleId="89">
    <w:name w:val="Body Text Indent Char"/>
    <w:basedOn w:val="61"/>
    <w:qFormat/>
    <w:uiPriority w:val="99"/>
    <w:rPr>
      <w:rFonts w:ascii="宋体" w:hAnsi="宋体" w:eastAsia="宋体" w:cs="宋体"/>
      <w:kern w:val="2"/>
      <w:sz w:val="21"/>
      <w:szCs w:val="21"/>
      <w:lang w:val="en-US" w:eastAsia="zh-CN"/>
    </w:rPr>
  </w:style>
  <w:style w:type="character" w:customStyle="1" w:styleId="90">
    <w:name w:val="Plain Text Char"/>
    <w:basedOn w:val="61"/>
    <w:qFormat/>
    <w:uiPriority w:val="99"/>
    <w:rPr>
      <w:rFonts w:ascii="宋体" w:hAnsi="Courier New" w:eastAsia="宋体" w:cs="宋体"/>
      <w:sz w:val="24"/>
      <w:szCs w:val="24"/>
    </w:rPr>
  </w:style>
  <w:style w:type="character" w:customStyle="1" w:styleId="91">
    <w:name w:val="Date Char"/>
    <w:basedOn w:val="61"/>
    <w:qFormat/>
    <w:uiPriority w:val="99"/>
    <w:rPr>
      <w:rFonts w:eastAsia="宋体"/>
      <w:kern w:val="2"/>
      <w:sz w:val="24"/>
      <w:szCs w:val="24"/>
      <w:lang w:val="en-US" w:eastAsia="zh-CN"/>
    </w:rPr>
  </w:style>
  <w:style w:type="character" w:customStyle="1" w:styleId="92">
    <w:name w:val="Body Text Indent 2 Char"/>
    <w:basedOn w:val="61"/>
    <w:qFormat/>
    <w:uiPriority w:val="99"/>
    <w:rPr>
      <w:rFonts w:eastAsia="宋体"/>
      <w:kern w:val="2"/>
      <w:sz w:val="24"/>
      <w:szCs w:val="24"/>
      <w:lang w:val="en-US" w:eastAsia="zh-CN"/>
    </w:rPr>
  </w:style>
  <w:style w:type="character" w:customStyle="1" w:styleId="93">
    <w:name w:val="尾注文本 Char"/>
    <w:basedOn w:val="61"/>
    <w:link w:val="34"/>
    <w:qFormat/>
    <w:locked/>
    <w:uiPriority w:val="99"/>
  </w:style>
  <w:style w:type="character" w:customStyle="1" w:styleId="94">
    <w:name w:val="Balloon Text Char"/>
    <w:basedOn w:val="61"/>
    <w:qFormat/>
    <w:uiPriority w:val="99"/>
    <w:rPr>
      <w:sz w:val="18"/>
      <w:szCs w:val="18"/>
    </w:rPr>
  </w:style>
  <w:style w:type="character" w:customStyle="1" w:styleId="95">
    <w:name w:val="Footer Char"/>
    <w:basedOn w:val="61"/>
    <w:qFormat/>
    <w:uiPriority w:val="99"/>
    <w:rPr>
      <w:rFonts w:eastAsia="宋体"/>
      <w:kern w:val="2"/>
      <w:sz w:val="18"/>
      <w:szCs w:val="18"/>
      <w:lang w:val="en-US" w:eastAsia="zh-CN"/>
    </w:rPr>
  </w:style>
  <w:style w:type="character" w:customStyle="1" w:styleId="96">
    <w:name w:val="Header Char"/>
    <w:basedOn w:val="61"/>
    <w:qFormat/>
    <w:uiPriority w:val="99"/>
    <w:rPr>
      <w:rFonts w:eastAsia="宋体"/>
      <w:kern w:val="2"/>
      <w:sz w:val="18"/>
      <w:szCs w:val="18"/>
      <w:lang w:val="en-US" w:eastAsia="zh-CN"/>
    </w:rPr>
  </w:style>
  <w:style w:type="character" w:customStyle="1" w:styleId="97">
    <w:name w:val="副标题 Char"/>
    <w:basedOn w:val="61"/>
    <w:link w:val="42"/>
    <w:qFormat/>
    <w:locked/>
    <w:uiPriority w:val="99"/>
    <w:rPr>
      <w:rFonts w:ascii="宋体" w:hAnsi="Courier New" w:cs="宋体"/>
      <w:kern w:val="2"/>
      <w:sz w:val="21"/>
      <w:szCs w:val="21"/>
    </w:rPr>
  </w:style>
  <w:style w:type="character" w:customStyle="1" w:styleId="98">
    <w:name w:val="Footnote Text Char"/>
    <w:basedOn w:val="61"/>
    <w:qFormat/>
    <w:uiPriority w:val="99"/>
    <w:rPr>
      <w:rFonts w:eastAsia="宋体"/>
      <w:sz w:val="18"/>
      <w:szCs w:val="18"/>
      <w:lang w:val="en-US" w:eastAsia="zh-CN"/>
    </w:rPr>
  </w:style>
  <w:style w:type="character" w:customStyle="1" w:styleId="99">
    <w:name w:val="正文文本缩进 3 Char"/>
    <w:basedOn w:val="61"/>
    <w:link w:val="47"/>
    <w:qFormat/>
    <w:locked/>
    <w:uiPriority w:val="99"/>
    <w:rPr>
      <w:kern w:val="2"/>
      <w:sz w:val="24"/>
      <w:szCs w:val="24"/>
    </w:rPr>
  </w:style>
  <w:style w:type="character" w:customStyle="1" w:styleId="100">
    <w:name w:val="正文文本 2 Char"/>
    <w:basedOn w:val="61"/>
    <w:link w:val="52"/>
    <w:qFormat/>
    <w:locked/>
    <w:uiPriority w:val="99"/>
    <w:rPr>
      <w:kern w:val="2"/>
      <w:sz w:val="24"/>
      <w:szCs w:val="24"/>
    </w:rPr>
  </w:style>
  <w:style w:type="character" w:customStyle="1" w:styleId="101">
    <w:name w:val="HTML 预设格式 Char"/>
    <w:basedOn w:val="61"/>
    <w:link w:val="53"/>
    <w:qFormat/>
    <w:locked/>
    <w:uiPriority w:val="99"/>
    <w:rPr>
      <w:rFonts w:ascii="黑体" w:hAnsi="Courier New" w:eastAsia="黑体" w:cs="黑体"/>
    </w:rPr>
  </w:style>
  <w:style w:type="character" w:customStyle="1" w:styleId="102">
    <w:name w:val="Title Char"/>
    <w:basedOn w:val="61"/>
    <w:qFormat/>
    <w:uiPriority w:val="99"/>
    <w:rPr>
      <w:rFonts w:ascii="Cambria" w:hAnsi="Cambria" w:cs="Cambria"/>
      <w:b/>
      <w:bCs/>
      <w:sz w:val="32"/>
      <w:szCs w:val="32"/>
    </w:rPr>
  </w:style>
  <w:style w:type="character" w:customStyle="1" w:styleId="103">
    <w:name w:val="Comment Subject Char"/>
    <w:basedOn w:val="86"/>
    <w:qFormat/>
    <w:uiPriority w:val="99"/>
    <w:rPr>
      <w:b/>
      <w:bCs/>
      <w:sz w:val="24"/>
      <w:szCs w:val="24"/>
    </w:rPr>
  </w:style>
  <w:style w:type="character" w:customStyle="1" w:styleId="104">
    <w:name w:val="正文首行缩进 2 Char"/>
    <w:basedOn w:val="89"/>
    <w:link w:val="58"/>
    <w:semiHidden/>
    <w:qFormat/>
    <w:uiPriority w:val="99"/>
    <w:rPr>
      <w:rFonts w:ascii="宋体" w:hAnsi="宋体" w:eastAsia="宋体" w:cs="宋体"/>
      <w:kern w:val="2"/>
      <w:sz w:val="21"/>
      <w:szCs w:val="21"/>
      <w:lang w:val="en-US" w:eastAsia="zh-CN"/>
    </w:rPr>
  </w:style>
  <w:style w:type="character" w:customStyle="1" w:styleId="105">
    <w:name w:val="标题 1 Char"/>
    <w:link w:val="2"/>
    <w:qFormat/>
    <w:locked/>
    <w:uiPriority w:val="99"/>
    <w:rPr>
      <w:b/>
      <w:bCs/>
      <w:kern w:val="44"/>
      <w:sz w:val="44"/>
      <w:szCs w:val="44"/>
    </w:rPr>
  </w:style>
  <w:style w:type="character" w:customStyle="1" w:styleId="106">
    <w:name w:val="标题 2 Char1"/>
    <w:link w:val="3"/>
    <w:qFormat/>
    <w:locked/>
    <w:uiPriority w:val="99"/>
    <w:rPr>
      <w:rFonts w:ascii="Cambria" w:hAnsi="Cambria" w:eastAsia="宋体" w:cs="Cambria"/>
      <w:b/>
      <w:bCs/>
      <w:kern w:val="2"/>
      <w:sz w:val="32"/>
      <w:szCs w:val="32"/>
    </w:rPr>
  </w:style>
  <w:style w:type="character" w:customStyle="1" w:styleId="107">
    <w:name w:val="标题 3 Char"/>
    <w:link w:val="4"/>
    <w:qFormat/>
    <w:locked/>
    <w:uiPriority w:val="99"/>
    <w:rPr>
      <w:b/>
      <w:bCs/>
      <w:kern w:val="2"/>
      <w:sz w:val="32"/>
      <w:szCs w:val="32"/>
    </w:rPr>
  </w:style>
  <w:style w:type="character" w:customStyle="1" w:styleId="108">
    <w:name w:val="标题 4 Char"/>
    <w:link w:val="5"/>
    <w:qFormat/>
    <w:locked/>
    <w:uiPriority w:val="99"/>
    <w:rPr>
      <w:rFonts w:ascii="宋体" w:hAnsi="Arial" w:eastAsia="黑体" w:cs="宋体"/>
      <w:b/>
      <w:bCs/>
      <w:sz w:val="24"/>
      <w:szCs w:val="24"/>
    </w:rPr>
  </w:style>
  <w:style w:type="character" w:customStyle="1" w:styleId="109">
    <w:name w:val="标题 5 Char"/>
    <w:link w:val="6"/>
    <w:qFormat/>
    <w:locked/>
    <w:uiPriority w:val="99"/>
    <w:rPr>
      <w:rFonts w:ascii="Times New Roman" w:hAnsi="Times New Roman" w:cs="Times New Roman"/>
      <w:b/>
      <w:bCs/>
      <w:kern w:val="2"/>
      <w:sz w:val="28"/>
      <w:szCs w:val="28"/>
    </w:rPr>
  </w:style>
  <w:style w:type="character" w:customStyle="1" w:styleId="110">
    <w:name w:val="文档结构图 Char"/>
    <w:link w:val="17"/>
    <w:qFormat/>
    <w:locked/>
    <w:uiPriority w:val="99"/>
    <w:rPr>
      <w:kern w:val="2"/>
      <w:sz w:val="24"/>
      <w:szCs w:val="24"/>
      <w:shd w:val="clear" w:color="auto" w:fill="000080"/>
    </w:rPr>
  </w:style>
  <w:style w:type="character" w:customStyle="1" w:styleId="111">
    <w:name w:val="批注文字 Char1"/>
    <w:link w:val="18"/>
    <w:qFormat/>
    <w:locked/>
    <w:uiPriority w:val="99"/>
    <w:rPr>
      <w:rFonts w:ascii="Times New Roman" w:hAnsi="Times New Roman" w:cs="Times New Roman"/>
      <w:kern w:val="2"/>
      <w:sz w:val="24"/>
      <w:szCs w:val="24"/>
    </w:rPr>
  </w:style>
  <w:style w:type="character" w:customStyle="1" w:styleId="112">
    <w:name w:val="正文文本缩进 Char"/>
    <w:link w:val="22"/>
    <w:qFormat/>
    <w:locked/>
    <w:uiPriority w:val="99"/>
    <w:rPr>
      <w:rFonts w:ascii="仿宋_GB2312" w:hAnsi="Times New Roman" w:eastAsia="仿宋_GB2312" w:cs="仿宋_GB2312"/>
      <w:sz w:val="20"/>
      <w:szCs w:val="20"/>
    </w:rPr>
  </w:style>
  <w:style w:type="character" w:customStyle="1" w:styleId="113">
    <w:name w:val="纯文本 Char1"/>
    <w:link w:val="29"/>
    <w:qFormat/>
    <w:locked/>
    <w:uiPriority w:val="99"/>
    <w:rPr>
      <w:rFonts w:ascii="宋体" w:hAnsi="Courier New" w:eastAsia="宋体" w:cs="宋体"/>
      <w:sz w:val="21"/>
      <w:szCs w:val="21"/>
    </w:rPr>
  </w:style>
  <w:style w:type="character" w:customStyle="1" w:styleId="114">
    <w:name w:val="日期 Char"/>
    <w:link w:val="32"/>
    <w:qFormat/>
    <w:locked/>
    <w:uiPriority w:val="99"/>
    <w:rPr>
      <w:rFonts w:ascii="Times New Roman" w:hAnsi="Times New Roman" w:cs="Times New Roman"/>
      <w:kern w:val="2"/>
      <w:sz w:val="24"/>
      <w:szCs w:val="24"/>
    </w:rPr>
  </w:style>
  <w:style w:type="character" w:customStyle="1" w:styleId="115">
    <w:name w:val="正文文本缩进 2 Char"/>
    <w:link w:val="33"/>
    <w:qFormat/>
    <w:locked/>
    <w:uiPriority w:val="99"/>
    <w:rPr>
      <w:kern w:val="2"/>
      <w:sz w:val="24"/>
      <w:szCs w:val="24"/>
    </w:rPr>
  </w:style>
  <w:style w:type="character" w:customStyle="1" w:styleId="116">
    <w:name w:val="批注框文本 Char"/>
    <w:link w:val="35"/>
    <w:qFormat/>
    <w:locked/>
    <w:uiPriority w:val="99"/>
    <w:rPr>
      <w:kern w:val="2"/>
      <w:sz w:val="18"/>
      <w:szCs w:val="18"/>
    </w:rPr>
  </w:style>
  <w:style w:type="character" w:customStyle="1" w:styleId="117">
    <w:name w:val="页脚 Char"/>
    <w:link w:val="36"/>
    <w:qFormat/>
    <w:locked/>
    <w:uiPriority w:val="99"/>
    <w:rPr>
      <w:sz w:val="18"/>
      <w:szCs w:val="18"/>
    </w:rPr>
  </w:style>
  <w:style w:type="character" w:customStyle="1" w:styleId="118">
    <w:name w:val="页眉 Char"/>
    <w:link w:val="37"/>
    <w:qFormat/>
    <w:locked/>
    <w:uiPriority w:val="99"/>
    <w:rPr>
      <w:sz w:val="18"/>
      <w:szCs w:val="18"/>
    </w:rPr>
  </w:style>
  <w:style w:type="character" w:customStyle="1" w:styleId="119">
    <w:name w:val="脚注文本 Char"/>
    <w:link w:val="44"/>
    <w:qFormat/>
    <w:locked/>
    <w:uiPriority w:val="99"/>
    <w:rPr>
      <w:sz w:val="18"/>
      <w:szCs w:val="18"/>
    </w:rPr>
  </w:style>
  <w:style w:type="character" w:customStyle="1" w:styleId="120">
    <w:name w:val="标题 Char"/>
    <w:link w:val="56"/>
    <w:qFormat/>
    <w:locked/>
    <w:uiPriority w:val="99"/>
    <w:rPr>
      <w:rFonts w:ascii="Arial" w:hAnsi="Arial" w:cs="Arial"/>
      <w:b/>
      <w:bCs/>
      <w:kern w:val="2"/>
      <w:sz w:val="32"/>
      <w:szCs w:val="32"/>
    </w:rPr>
  </w:style>
  <w:style w:type="character" w:customStyle="1" w:styleId="121">
    <w:name w:val="批注主题 Char"/>
    <w:link w:val="57"/>
    <w:qFormat/>
    <w:locked/>
    <w:uiPriority w:val="99"/>
    <w:rPr>
      <w:rFonts w:ascii="Times New Roman" w:hAnsi="Times New Roman" w:cs="Times New Roman"/>
      <w:b/>
      <w:bCs/>
      <w:kern w:val="2"/>
      <w:sz w:val="24"/>
      <w:szCs w:val="24"/>
    </w:rPr>
  </w:style>
  <w:style w:type="paragraph" w:customStyle="1" w:styleId="122">
    <w:name w:val="样式 0正文 + 首行缩进:  2 字符1"/>
    <w:basedOn w:val="1"/>
    <w:qFormat/>
    <w:uiPriority w:val="99"/>
    <w:pPr>
      <w:spacing w:line="360" w:lineRule="auto"/>
      <w:ind w:firstLine="200" w:firstLineChars="200"/>
    </w:pPr>
    <w:rPr>
      <w:sz w:val="28"/>
      <w:szCs w:val="28"/>
    </w:rPr>
  </w:style>
  <w:style w:type="character" w:customStyle="1" w:styleId="123">
    <w:name w:val="标题 1 字符1"/>
    <w:qFormat/>
    <w:uiPriority w:val="99"/>
    <w:rPr>
      <w:b/>
      <w:bCs/>
      <w:kern w:val="44"/>
      <w:sz w:val="44"/>
      <w:szCs w:val="44"/>
    </w:rPr>
  </w:style>
  <w:style w:type="character" w:customStyle="1" w:styleId="124">
    <w:name w:val="textcontents"/>
    <w:qFormat/>
    <w:uiPriority w:val="99"/>
  </w:style>
  <w:style w:type="character" w:customStyle="1" w:styleId="125">
    <w:name w:val="批注文字 Char"/>
    <w:qFormat/>
    <w:uiPriority w:val="99"/>
    <w:rPr>
      <w:rFonts w:ascii="Times New Roman" w:hAnsi="Times New Roman" w:cs="Times New Roman"/>
      <w:kern w:val="2"/>
      <w:sz w:val="24"/>
      <w:szCs w:val="24"/>
    </w:rPr>
  </w:style>
  <w:style w:type="character" w:customStyle="1" w:styleId="126">
    <w:name w:val="纯文本 字符"/>
    <w:qFormat/>
    <w:uiPriority w:val="99"/>
    <w:rPr>
      <w:rFonts w:ascii="宋体" w:hAnsi="Courier New" w:eastAsia="宋体" w:cs="宋体"/>
      <w:sz w:val="21"/>
      <w:szCs w:val="21"/>
    </w:rPr>
  </w:style>
  <w:style w:type="character" w:customStyle="1" w:styleId="127">
    <w:name w:val="纯文本 Char"/>
    <w:qFormat/>
    <w:uiPriority w:val="99"/>
    <w:rPr>
      <w:rFonts w:ascii="宋体" w:hAnsi="Courier New" w:eastAsia="宋体" w:cs="宋体"/>
      <w:sz w:val="21"/>
      <w:szCs w:val="21"/>
    </w:rPr>
  </w:style>
  <w:style w:type="character" w:customStyle="1" w:styleId="128">
    <w:name w:val="纯文本 字符2"/>
    <w:qFormat/>
    <w:uiPriority w:val="99"/>
    <w:rPr>
      <w:rFonts w:ascii="宋体" w:hAnsi="Courier New" w:eastAsia="宋体" w:cs="宋体"/>
      <w:sz w:val="21"/>
      <w:szCs w:val="21"/>
    </w:rPr>
  </w:style>
  <w:style w:type="character" w:customStyle="1" w:styleId="129">
    <w:name w:val="批注文字 字符1"/>
    <w:qFormat/>
    <w:uiPriority w:val="99"/>
    <w:rPr>
      <w:rFonts w:ascii="Times New Roman" w:hAnsi="Times New Roman" w:cs="Times New Roman"/>
      <w:kern w:val="2"/>
      <w:sz w:val="24"/>
      <w:szCs w:val="24"/>
    </w:rPr>
  </w:style>
  <w:style w:type="character" w:customStyle="1" w:styleId="130">
    <w:name w:val="正文文本 (26) + 间距 0 pt"/>
    <w:qFormat/>
    <w:uiPriority w:val="99"/>
    <w:rPr>
      <w:rFonts w:ascii="宋体" w:hAnsi="宋体" w:eastAsia="宋体" w:cs="宋体"/>
      <w:color w:val="000000"/>
      <w:spacing w:val="0"/>
      <w:w w:val="100"/>
      <w:position w:val="0"/>
      <w:sz w:val="22"/>
      <w:szCs w:val="22"/>
      <w:u w:val="none"/>
      <w:lang w:val="zh-CN" w:eastAsia="zh-CN"/>
    </w:rPr>
  </w:style>
  <w:style w:type="character" w:customStyle="1" w:styleId="131">
    <w:name w:val="纯文本 字符1"/>
    <w:qFormat/>
    <w:uiPriority w:val="99"/>
    <w:rPr>
      <w:rFonts w:ascii="宋体" w:hAnsi="Courier New" w:cs="宋体"/>
    </w:rPr>
  </w:style>
  <w:style w:type="character" w:customStyle="1" w:styleId="132">
    <w:name w:val="正文文本 Char"/>
    <w:qFormat/>
    <w:uiPriority w:val="99"/>
    <w:rPr>
      <w:rFonts w:ascii="Times New Roman" w:hAnsi="Times New Roman" w:cs="Times New Roman"/>
      <w:kern w:val="2"/>
      <w:sz w:val="24"/>
      <w:szCs w:val="24"/>
    </w:rPr>
  </w:style>
  <w:style w:type="character" w:customStyle="1" w:styleId="133">
    <w:name w:val="批注文字 字符"/>
    <w:qFormat/>
    <w:uiPriority w:val="99"/>
    <w:rPr>
      <w:rFonts w:ascii="Times New Roman" w:hAnsi="Times New Roman" w:cs="Times New Roman"/>
      <w:kern w:val="2"/>
      <w:sz w:val="24"/>
      <w:szCs w:val="24"/>
    </w:rPr>
  </w:style>
  <w:style w:type="character" w:customStyle="1" w:styleId="134">
    <w:name w:val="标题 2 Char"/>
    <w:qFormat/>
    <w:uiPriority w:val="99"/>
    <w:rPr>
      <w:rFonts w:ascii="Cambria" w:hAnsi="Cambria" w:eastAsia="宋体" w:cs="Cambria"/>
      <w:b/>
      <w:bCs/>
      <w:kern w:val="2"/>
      <w:sz w:val="32"/>
      <w:szCs w:val="32"/>
    </w:rPr>
  </w:style>
  <w:style w:type="character" w:customStyle="1" w:styleId="135">
    <w:name w:val="标题 8 Char"/>
    <w:qFormat/>
    <w:uiPriority w:val="99"/>
    <w:rPr>
      <w:rFonts w:ascii="Arial" w:hAnsi="Arial" w:eastAsia="黑体" w:cs="Arial"/>
      <w:kern w:val="2"/>
      <w:sz w:val="24"/>
      <w:szCs w:val="24"/>
    </w:rPr>
  </w:style>
  <w:style w:type="character" w:customStyle="1" w:styleId="136">
    <w:name w:val="apple-style-span"/>
    <w:qFormat/>
    <w:uiPriority w:val="99"/>
  </w:style>
  <w:style w:type="paragraph" w:customStyle="1" w:styleId="137">
    <w:name w:val="默认段落字体 Para Char Char Char Char Char Char Char Char Char1 Char Char Char Char"/>
    <w:basedOn w:val="1"/>
    <w:qFormat/>
    <w:uiPriority w:val="99"/>
    <w:rPr>
      <w:rFonts w:ascii="Tahoma" w:hAnsi="Tahoma" w:cs="Tahoma"/>
      <w:sz w:val="24"/>
      <w:szCs w:val="24"/>
    </w:rPr>
  </w:style>
  <w:style w:type="paragraph" w:customStyle="1" w:styleId="138">
    <w:name w:val="表内文字"/>
    <w:basedOn w:val="1"/>
    <w:qFormat/>
    <w:uiPriority w:val="99"/>
    <w:pPr>
      <w:snapToGrid w:val="0"/>
      <w:spacing w:before="50" w:after="50"/>
      <w:jc w:val="center"/>
    </w:pPr>
    <w:rPr>
      <w:rFonts w:ascii="仿宋_GB2312" w:hAnsi="宋体" w:eastAsia="仿宋_GB2312" w:cs="仿宋_GB2312"/>
      <w:b/>
      <w:bCs/>
      <w:color w:val="000000"/>
      <w:sz w:val="32"/>
      <w:szCs w:val="32"/>
    </w:rPr>
  </w:style>
  <w:style w:type="paragraph" w:styleId="139">
    <w:name w:val="List Paragraph"/>
    <w:basedOn w:val="1"/>
    <w:qFormat/>
    <w:uiPriority w:val="99"/>
    <w:pPr>
      <w:ind w:firstLine="420" w:firstLineChars="200"/>
    </w:pPr>
  </w:style>
  <w:style w:type="paragraph" w:customStyle="1" w:styleId="140">
    <w:name w:val="Table Paragraph"/>
    <w:basedOn w:val="1"/>
    <w:qFormat/>
    <w:uiPriority w:val="99"/>
    <w:pPr>
      <w:jc w:val="left"/>
    </w:pPr>
    <w:rPr>
      <w:rFonts w:ascii="Calibri" w:hAnsi="Calibri" w:cs="Calibri"/>
      <w:kern w:val="0"/>
      <w:sz w:val="22"/>
      <w:szCs w:val="22"/>
      <w:lang w:eastAsia="en-US"/>
    </w:rPr>
  </w:style>
  <w:style w:type="character" w:customStyle="1" w:styleId="141">
    <w:name w:val="正文文本 字符"/>
    <w:qFormat/>
    <w:uiPriority w:val="99"/>
    <w:rPr>
      <w:rFonts w:ascii="Times New Roman" w:hAnsi="Times New Roman" w:cs="Times New Roman"/>
      <w:kern w:val="2"/>
      <w:sz w:val="24"/>
      <w:szCs w:val="24"/>
    </w:rPr>
  </w:style>
  <w:style w:type="character" w:customStyle="1" w:styleId="142">
    <w:name w:val="批注文字 Char2"/>
    <w:qFormat/>
    <w:uiPriority w:val="99"/>
    <w:rPr>
      <w:rFonts w:ascii="Times New Roman" w:hAnsi="Times New Roman" w:cs="Times New Roman"/>
      <w:kern w:val="2"/>
      <w:sz w:val="24"/>
      <w:szCs w:val="24"/>
    </w:rPr>
  </w:style>
  <w:style w:type="character" w:customStyle="1" w:styleId="143">
    <w:name w:val="style31"/>
    <w:qFormat/>
    <w:uiPriority w:val="99"/>
    <w:rPr>
      <w:sz w:val="18"/>
      <w:szCs w:val="18"/>
    </w:rPr>
  </w:style>
  <w:style w:type="character" w:customStyle="1" w:styleId="144">
    <w:name w:val="style54"/>
    <w:qFormat/>
    <w:uiPriority w:val="99"/>
  </w:style>
  <w:style w:type="character" w:customStyle="1" w:styleId="145">
    <w:name w:val="1051"/>
    <w:qFormat/>
    <w:uiPriority w:val="99"/>
    <w:rPr>
      <w:sz w:val="21"/>
      <w:szCs w:val="21"/>
    </w:rPr>
  </w:style>
  <w:style w:type="character" w:customStyle="1" w:styleId="146">
    <w:name w:val="unnamed21"/>
    <w:qFormat/>
    <w:uiPriority w:val="99"/>
  </w:style>
  <w:style w:type="character" w:customStyle="1" w:styleId="147">
    <w:name w:val="Char Char2"/>
    <w:qFormat/>
    <w:uiPriority w:val="99"/>
    <w:rPr>
      <w:rFonts w:ascii="宋体" w:hAnsi="Courier New" w:eastAsia="宋体" w:cs="宋体"/>
      <w:spacing w:val="-4"/>
      <w:kern w:val="2"/>
      <w:sz w:val="18"/>
      <w:szCs w:val="18"/>
      <w:lang w:val="en-US" w:eastAsia="zh-CN"/>
    </w:rPr>
  </w:style>
  <w:style w:type="character" w:customStyle="1" w:styleId="148">
    <w:name w:val="style51"/>
    <w:qFormat/>
    <w:uiPriority w:val="99"/>
  </w:style>
  <w:style w:type="paragraph" w:customStyle="1" w:styleId="149">
    <w:name w:val="_Style 81"/>
    <w:qFormat/>
    <w:uiPriority w:val="99"/>
    <w:pPr>
      <w:widowControl w:val="0"/>
      <w:jc w:val="both"/>
    </w:pPr>
    <w:rPr>
      <w:rFonts w:ascii="Times New Roman" w:hAnsi="Times New Roman" w:eastAsia="宋体" w:cs="Times New Roman"/>
      <w:kern w:val="2"/>
      <w:sz w:val="21"/>
      <w:szCs w:val="21"/>
      <w:lang w:val="en-US" w:eastAsia="zh-CN" w:bidi="ar-SA"/>
    </w:rPr>
  </w:style>
  <w:style w:type="character" w:customStyle="1" w:styleId="150">
    <w:name w:val="普通文字 Char Char1"/>
    <w:qFormat/>
    <w:uiPriority w:val="99"/>
    <w:rPr>
      <w:rFonts w:ascii="宋体" w:hAnsi="Courier New" w:eastAsia="宋体" w:cs="宋体"/>
      <w:kern w:val="2"/>
      <w:sz w:val="21"/>
      <w:szCs w:val="21"/>
      <w:lang w:val="en-US" w:eastAsia="zh-CN"/>
    </w:rPr>
  </w:style>
  <w:style w:type="paragraph" w:customStyle="1" w:styleId="151">
    <w:name w:val="Char Char Char Char Char Char Char"/>
    <w:basedOn w:val="1"/>
    <w:qFormat/>
    <w:uiPriority w:val="99"/>
  </w:style>
  <w:style w:type="paragraph" w:customStyle="1" w:styleId="152">
    <w:name w:val="默认段落字体 Para Char1"/>
    <w:next w:val="1"/>
    <w:qFormat/>
    <w:uiPriority w:val="99"/>
    <w:pPr>
      <w:keepNext/>
      <w:keepLines/>
      <w:tabs>
        <w:tab w:val="left" w:pos="360"/>
      </w:tabs>
      <w:snapToGrid w:val="0"/>
      <w:spacing w:before="240" w:after="240"/>
      <w:outlineLvl w:val="7"/>
    </w:pPr>
    <w:rPr>
      <w:rFonts w:ascii="Arial" w:hAnsi="Arial" w:eastAsia="宋体" w:cs="Arial"/>
      <w:kern w:val="2"/>
      <w:lang w:val="en-US" w:eastAsia="zh-CN" w:bidi="ar-SA"/>
    </w:rPr>
  </w:style>
  <w:style w:type="paragraph" w:customStyle="1" w:styleId="153">
    <w:name w:val="xl2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54">
    <w:name w:val="默认段落字体 Char Char Char"/>
    <w:basedOn w:val="1"/>
    <w:qFormat/>
    <w:uiPriority w:val="99"/>
    <w:pPr>
      <w:widowControl/>
    </w:pPr>
    <w:rPr>
      <w:rFonts w:ascii="Arial" w:hAnsi="Arial" w:cs="Arial"/>
      <w:sz w:val="22"/>
      <w:szCs w:val="22"/>
      <w:lang w:eastAsia="en-US"/>
    </w:rPr>
  </w:style>
  <w:style w:type="paragraph" w:customStyle="1" w:styleId="155">
    <w:name w:val="样式1"/>
    <w:basedOn w:val="1"/>
    <w:qFormat/>
    <w:uiPriority w:val="99"/>
  </w:style>
  <w:style w:type="paragraph" w:customStyle="1" w:styleId="156">
    <w:name w:val="Char"/>
    <w:basedOn w:val="17"/>
    <w:qFormat/>
    <w:uiPriority w:val="99"/>
    <w:rPr>
      <w:rFonts w:ascii="Tahoma" w:hAnsi="Tahoma" w:cs="Tahoma"/>
      <w:sz w:val="24"/>
      <w:szCs w:val="24"/>
    </w:rPr>
  </w:style>
  <w:style w:type="paragraph" w:customStyle="1" w:styleId="157">
    <w:name w:val="Char Char Char"/>
    <w:basedOn w:val="1"/>
    <w:qFormat/>
    <w:uiPriority w:val="99"/>
    <w:rPr>
      <w:rFonts w:ascii="Tahoma" w:hAnsi="Tahoma" w:cs="Tahoma"/>
      <w:sz w:val="24"/>
      <w:szCs w:val="24"/>
    </w:rPr>
  </w:style>
  <w:style w:type="paragraph" w:customStyle="1" w:styleId="158">
    <w:name w:val="font5"/>
    <w:basedOn w:val="1"/>
    <w:qFormat/>
    <w:uiPriority w:val="99"/>
    <w:pPr>
      <w:widowControl/>
      <w:spacing w:before="100" w:beforeAutospacing="1" w:after="100" w:afterAutospacing="1"/>
      <w:jc w:val="left"/>
    </w:pPr>
    <w:rPr>
      <w:rFonts w:ascii="宋体" w:hAnsi="宋体" w:cs="宋体"/>
      <w:kern w:val="0"/>
      <w:sz w:val="18"/>
      <w:szCs w:val="18"/>
    </w:rPr>
  </w:style>
  <w:style w:type="paragraph" w:customStyle="1" w:styleId="159">
    <w:name w:val="默认段落字体 Para Char Char Char Char Char Char Char Char Char Char"/>
    <w:basedOn w:val="1"/>
    <w:qFormat/>
    <w:uiPriority w:val="99"/>
  </w:style>
  <w:style w:type="paragraph" w:customStyle="1" w:styleId="160">
    <w:name w:val="F2"/>
    <w:basedOn w:val="1"/>
    <w:qFormat/>
    <w:uiPriority w:val="99"/>
    <w:pPr>
      <w:autoSpaceDE w:val="0"/>
      <w:autoSpaceDN w:val="0"/>
      <w:adjustRightInd w:val="0"/>
      <w:ind w:firstLine="601"/>
      <w:textAlignment w:val="baseline"/>
    </w:pPr>
    <w:rPr>
      <w:kern w:val="0"/>
      <w:sz w:val="24"/>
      <w:szCs w:val="24"/>
    </w:rPr>
  </w:style>
  <w:style w:type="paragraph" w:customStyle="1" w:styleId="161">
    <w:name w:val="xl31"/>
    <w:basedOn w:val="1"/>
    <w:qFormat/>
    <w:uiPriority w:val="99"/>
    <w:pPr>
      <w:widowControl/>
      <w:pBdr>
        <w:bottom w:val="single" w:color="auto" w:sz="4" w:space="0"/>
        <w:right w:val="single" w:color="auto" w:sz="4" w:space="0"/>
      </w:pBdr>
      <w:spacing w:before="100" w:beforeAutospacing="1" w:after="100" w:afterAutospacing="1"/>
      <w:jc w:val="center"/>
    </w:pPr>
    <w:rPr>
      <w:rFonts w:ascii="宋体" w:hAnsi="宋体" w:cs="宋体"/>
      <w:kern w:val="0"/>
    </w:rPr>
  </w:style>
  <w:style w:type="paragraph" w:customStyle="1" w:styleId="162">
    <w:name w:val="xl2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63">
    <w:name w:val="xl2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64">
    <w:name w:val="Char Char Char Char Char Char1 Char"/>
    <w:basedOn w:val="1"/>
    <w:qFormat/>
    <w:uiPriority w:val="99"/>
    <w:pPr>
      <w:widowControl/>
      <w:spacing w:after="160" w:line="240" w:lineRule="exact"/>
      <w:jc w:val="left"/>
    </w:pPr>
    <w:rPr>
      <w:rFonts w:ascii="Arial" w:hAnsi="Arial" w:cs="Arial"/>
      <w:b/>
      <w:bCs/>
      <w:kern w:val="0"/>
      <w:sz w:val="24"/>
      <w:szCs w:val="24"/>
      <w:lang w:eastAsia="en-US"/>
    </w:rPr>
  </w:style>
  <w:style w:type="paragraph" w:customStyle="1" w:styleId="165">
    <w:name w:val="xl25"/>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166">
    <w:name w:val="样式3"/>
    <w:basedOn w:val="21"/>
    <w:qFormat/>
    <w:uiPriority w:val="99"/>
    <w:pPr>
      <w:spacing w:line="360" w:lineRule="auto"/>
    </w:pPr>
    <w:rPr>
      <w:rFonts w:ascii="宋体" w:cs="宋体"/>
    </w:rPr>
  </w:style>
  <w:style w:type="paragraph" w:customStyle="1" w:styleId="167">
    <w:name w:val="xl26"/>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pPr>
    <w:rPr>
      <w:kern w:val="0"/>
    </w:rPr>
  </w:style>
  <w:style w:type="paragraph" w:customStyle="1" w:styleId="168">
    <w:name w:val="Char Char Char Char Char Char1 Char1"/>
    <w:basedOn w:val="1"/>
    <w:qFormat/>
    <w:uiPriority w:val="99"/>
    <w:pPr>
      <w:widowControl/>
      <w:spacing w:after="160" w:line="240" w:lineRule="exact"/>
      <w:jc w:val="left"/>
    </w:pPr>
    <w:rPr>
      <w:rFonts w:ascii="Arial" w:hAnsi="Arial" w:eastAsia="楷体_GB2312" w:cs="Arial"/>
      <w:b/>
      <w:bCs/>
      <w:kern w:val="0"/>
      <w:sz w:val="24"/>
      <w:szCs w:val="24"/>
      <w:lang w:eastAsia="en-US"/>
    </w:rPr>
  </w:style>
  <w:style w:type="character" w:customStyle="1" w:styleId="169">
    <w:name w:val="apple-converted-space"/>
    <w:qFormat/>
    <w:uiPriority w:val="99"/>
  </w:style>
  <w:style w:type="paragraph" w:customStyle="1" w:styleId="170">
    <w:name w:val="Char Char Char Char"/>
    <w:basedOn w:val="1"/>
    <w:qFormat/>
    <w:uiPriority w:val="99"/>
  </w:style>
  <w:style w:type="character" w:customStyle="1" w:styleId="171">
    <w:name w:val="chart1"/>
    <w:qFormat/>
    <w:uiPriority w:val="99"/>
    <w:rPr>
      <w:rFonts w:ascii="Verdana" w:hAnsi="Verdana" w:cs="Verdana"/>
      <w:color w:val="000000"/>
      <w:sz w:val="16"/>
      <w:szCs w:val="16"/>
    </w:rPr>
  </w:style>
  <w:style w:type="character" w:customStyle="1" w:styleId="172">
    <w:name w:val="1ji Char Char"/>
    <w:link w:val="173"/>
    <w:qFormat/>
    <w:locked/>
    <w:uiPriority w:val="99"/>
    <w:rPr>
      <w:rFonts w:ascii="宋体" w:eastAsia="宋体" w:cs="宋体"/>
      <w:b/>
      <w:bCs/>
      <w:kern w:val="44"/>
      <w:sz w:val="44"/>
      <w:szCs w:val="44"/>
    </w:rPr>
  </w:style>
  <w:style w:type="paragraph" w:customStyle="1" w:styleId="173">
    <w:name w:val="1ji"/>
    <w:basedOn w:val="2"/>
    <w:link w:val="172"/>
    <w:qFormat/>
    <w:uiPriority w:val="99"/>
    <w:pPr>
      <w:keepLines w:val="0"/>
      <w:widowControl/>
      <w:spacing w:before="0" w:after="0" w:line="240" w:lineRule="auto"/>
      <w:jc w:val="center"/>
    </w:pPr>
    <w:rPr>
      <w:rFonts w:ascii="宋体" w:hAnsi="宋体" w:cs="宋体"/>
      <w:sz w:val="36"/>
      <w:szCs w:val="36"/>
    </w:rPr>
  </w:style>
  <w:style w:type="character" w:customStyle="1" w:styleId="174">
    <w:name w:val="Char Char3"/>
    <w:qFormat/>
    <w:uiPriority w:val="99"/>
    <w:rPr>
      <w:rFonts w:eastAsia="宋体"/>
      <w:kern w:val="2"/>
      <w:sz w:val="24"/>
      <w:szCs w:val="24"/>
      <w:lang w:val="en-US" w:eastAsia="zh-CN"/>
    </w:rPr>
  </w:style>
  <w:style w:type="character" w:customStyle="1" w:styleId="175">
    <w:name w:val="1ji Char Char Char"/>
    <w:qFormat/>
    <w:uiPriority w:val="99"/>
    <w:rPr>
      <w:rFonts w:ascii="宋体" w:hAnsi="宋体" w:eastAsia="宋体" w:cs="宋体"/>
      <w:b/>
      <w:bCs/>
      <w:kern w:val="44"/>
      <w:sz w:val="44"/>
      <w:szCs w:val="44"/>
      <w:lang w:val="en-US" w:eastAsia="zh-CN"/>
    </w:rPr>
  </w:style>
  <w:style w:type="character" w:customStyle="1" w:styleId="176">
    <w:name w:val="case31"/>
    <w:qFormat/>
    <w:uiPriority w:val="99"/>
    <w:rPr>
      <w:rFonts w:ascii="_x000B__x000C_" w:hAnsi="_x000B__x000C_" w:cs="_x000B__x000C_"/>
      <w:sz w:val="21"/>
      <w:szCs w:val="21"/>
    </w:rPr>
  </w:style>
  <w:style w:type="character" w:customStyle="1" w:styleId="177">
    <w:name w:val="062"/>
    <w:qFormat/>
    <w:uiPriority w:val="99"/>
    <w:rPr>
      <w:rFonts w:ascii="宋体" w:eastAsia="宋体" w:cs="宋体"/>
      <w:b/>
      <w:bCs/>
      <w:sz w:val="32"/>
      <w:szCs w:val="32"/>
    </w:rPr>
  </w:style>
  <w:style w:type="character" w:customStyle="1" w:styleId="178">
    <w:name w:val="正文YANG Char Char"/>
    <w:link w:val="179"/>
    <w:qFormat/>
    <w:locked/>
    <w:uiPriority w:val="99"/>
    <w:rPr>
      <w:rFonts w:ascii="Calibri" w:hAnsi="Calibri" w:eastAsia="华文中宋" w:cs="Calibri"/>
      <w:kern w:val="2"/>
      <w:sz w:val="24"/>
      <w:szCs w:val="24"/>
    </w:rPr>
  </w:style>
  <w:style w:type="paragraph" w:customStyle="1" w:styleId="179">
    <w:name w:val="正文YANG"/>
    <w:basedOn w:val="1"/>
    <w:link w:val="178"/>
    <w:qFormat/>
    <w:uiPriority w:val="99"/>
    <w:rPr>
      <w:rFonts w:ascii="Calibri" w:hAnsi="Calibri" w:eastAsia="华文中宋" w:cs="Calibri"/>
      <w:sz w:val="24"/>
      <w:szCs w:val="24"/>
    </w:rPr>
  </w:style>
  <w:style w:type="character" w:customStyle="1" w:styleId="180">
    <w:name w:val="Char Char5"/>
    <w:qFormat/>
    <w:uiPriority w:val="99"/>
    <w:rPr>
      <w:rFonts w:ascii="仿宋_GB2312" w:eastAsia="仿宋_GB2312" w:cs="仿宋_GB2312"/>
      <w:kern w:val="2"/>
      <w:sz w:val="32"/>
      <w:szCs w:val="32"/>
      <w:lang w:val="en-US" w:eastAsia="zh-CN"/>
    </w:rPr>
  </w:style>
  <w:style w:type="character" w:customStyle="1" w:styleId="181">
    <w:name w:val="Normal Indent Char Char"/>
    <w:qFormat/>
    <w:uiPriority w:val="99"/>
    <w:rPr>
      <w:rFonts w:eastAsia="宋体"/>
      <w:kern w:val="2"/>
      <w:sz w:val="21"/>
      <w:szCs w:val="21"/>
      <w:lang w:val="en-US" w:eastAsia="zh-CN"/>
    </w:rPr>
  </w:style>
  <w:style w:type="character" w:customStyle="1" w:styleId="182">
    <w:name w:val="body1"/>
    <w:qFormat/>
    <w:uiPriority w:val="99"/>
    <w:rPr>
      <w:rFonts w:ascii="Verdana" w:hAnsi="Verdana" w:cs="Verdana"/>
      <w:color w:val="000000"/>
      <w:sz w:val="19"/>
      <w:szCs w:val="19"/>
    </w:rPr>
  </w:style>
  <w:style w:type="paragraph" w:customStyle="1" w:styleId="183">
    <w:name w:val="Char1 Char Char Char Char Char Char1"/>
    <w:basedOn w:val="1"/>
    <w:qFormat/>
    <w:uiPriority w:val="99"/>
    <w:pPr>
      <w:widowControl/>
      <w:spacing w:after="160" w:line="240" w:lineRule="exact"/>
      <w:jc w:val="left"/>
    </w:pPr>
    <w:rPr>
      <w:rFonts w:ascii="Verdana" w:hAnsi="Verdana" w:cs="Verdana"/>
      <w:kern w:val="0"/>
      <w:sz w:val="20"/>
      <w:szCs w:val="20"/>
      <w:lang w:eastAsia="en-US"/>
    </w:rPr>
  </w:style>
  <w:style w:type="paragraph" w:customStyle="1" w:styleId="184">
    <w:name w:val="彩色列表 - 强调文字颜色 11"/>
    <w:basedOn w:val="1"/>
    <w:qFormat/>
    <w:uiPriority w:val="99"/>
    <w:pPr>
      <w:ind w:firstLine="200" w:firstLineChars="200"/>
    </w:pPr>
    <w:rPr>
      <w:rFonts w:ascii="Calibri" w:hAnsi="Calibri" w:cs="Calibri"/>
      <w:sz w:val="24"/>
      <w:szCs w:val="24"/>
    </w:rPr>
  </w:style>
  <w:style w:type="paragraph" w:customStyle="1" w:styleId="185">
    <w:name w:val="Char Char Char1"/>
    <w:basedOn w:val="1"/>
    <w:qFormat/>
    <w:uiPriority w:val="99"/>
    <w:rPr>
      <w:rFonts w:ascii="Tahoma" w:hAnsi="Tahoma" w:cs="Tahoma"/>
      <w:sz w:val="24"/>
      <w:szCs w:val="24"/>
    </w:rPr>
  </w:style>
  <w:style w:type="paragraph" w:customStyle="1" w:styleId="186">
    <w:name w:val="正文段"/>
    <w:basedOn w:val="1"/>
    <w:qFormat/>
    <w:uiPriority w:val="99"/>
    <w:pPr>
      <w:widowControl/>
      <w:snapToGrid w:val="0"/>
      <w:spacing w:afterLines="50"/>
      <w:ind w:firstLine="200" w:firstLineChars="200"/>
    </w:pPr>
    <w:rPr>
      <w:kern w:val="0"/>
      <w:sz w:val="24"/>
      <w:szCs w:val="24"/>
    </w:rPr>
  </w:style>
  <w:style w:type="paragraph" w:customStyle="1" w:styleId="187">
    <w:name w:val="Default Paragraph Font Para Char Char Char Char Char Char"/>
    <w:basedOn w:val="1"/>
    <w:qFormat/>
    <w:uiPriority w:val="99"/>
    <w:pPr>
      <w:widowControl/>
      <w:spacing w:after="160" w:line="240" w:lineRule="exact"/>
      <w:jc w:val="left"/>
    </w:pPr>
    <w:rPr>
      <w:rFonts w:ascii="Verdana" w:hAnsi="Verdana" w:cs="Verdana"/>
      <w:kern w:val="0"/>
      <w:sz w:val="20"/>
      <w:szCs w:val="20"/>
      <w:lang w:eastAsia="en-US"/>
    </w:rPr>
  </w:style>
  <w:style w:type="paragraph" w:customStyle="1" w:styleId="188">
    <w:name w:val="默认段落字体 Para Char Char Char Char Char Char Char"/>
    <w:basedOn w:val="1"/>
    <w:qFormat/>
    <w:uiPriority w:val="99"/>
    <w:rPr>
      <w:rFonts w:ascii="Tahoma" w:hAnsi="Tahoma" w:cs="Tahoma"/>
      <w:sz w:val="24"/>
      <w:szCs w:val="24"/>
    </w:rPr>
  </w:style>
  <w:style w:type="paragraph" w:customStyle="1" w:styleId="189">
    <w:name w:val="表格"/>
    <w:basedOn w:val="1"/>
    <w:link w:val="190"/>
    <w:qFormat/>
    <w:uiPriority w:val="99"/>
    <w:pPr>
      <w:spacing w:line="400" w:lineRule="exact"/>
    </w:pPr>
    <w:rPr>
      <w:sz w:val="24"/>
      <w:szCs w:val="24"/>
    </w:rPr>
  </w:style>
  <w:style w:type="character" w:customStyle="1" w:styleId="190">
    <w:name w:val="表格 Char"/>
    <w:link w:val="189"/>
    <w:qFormat/>
    <w:locked/>
    <w:uiPriority w:val="99"/>
    <w:rPr>
      <w:kern w:val="2"/>
      <w:sz w:val="24"/>
      <w:szCs w:val="24"/>
    </w:rPr>
  </w:style>
  <w:style w:type="paragraph" w:customStyle="1" w:styleId="191">
    <w:name w:val="List Paragraph1"/>
    <w:basedOn w:val="1"/>
    <w:qFormat/>
    <w:uiPriority w:val="99"/>
    <w:pPr>
      <w:ind w:firstLine="420" w:firstLineChars="200"/>
    </w:pPr>
    <w:rPr>
      <w:rFonts w:ascii="Calibri" w:hAnsi="Calibri" w:cs="Calibri"/>
    </w:rPr>
  </w:style>
  <w:style w:type="paragraph" w:customStyle="1" w:styleId="192">
    <w:name w:val="1"/>
    <w:basedOn w:val="1"/>
    <w:next w:val="29"/>
    <w:qFormat/>
    <w:uiPriority w:val="99"/>
    <w:rPr>
      <w:rFonts w:ascii="宋体" w:hAnsi="Courier New" w:cs="宋体"/>
    </w:rPr>
  </w:style>
  <w:style w:type="paragraph" w:customStyle="1" w:styleId="193">
    <w:name w:val="样式 标题 2 + Times New Roman 四号 非加粗 段前: 5 磅 段后: 0 磅 行距: 固定值 20..."/>
    <w:basedOn w:val="3"/>
    <w:qFormat/>
    <w:uiPriority w:val="99"/>
    <w:pPr>
      <w:spacing w:before="100" w:after="0" w:line="400" w:lineRule="exact"/>
    </w:pPr>
    <w:rPr>
      <w:rFonts w:ascii="Times New Roman" w:hAnsi="Times New Roman" w:eastAsia="黑体" w:cs="Times New Roman"/>
      <w:b w:val="0"/>
      <w:bCs w:val="0"/>
      <w:sz w:val="28"/>
      <w:szCs w:val="28"/>
    </w:rPr>
  </w:style>
  <w:style w:type="paragraph" w:customStyle="1" w:styleId="194">
    <w:name w:val="默认段落字体 Para Char Char Char Char"/>
    <w:basedOn w:val="1"/>
    <w:qFormat/>
    <w:uiPriority w:val="99"/>
    <w:pPr>
      <w:spacing w:line="560" w:lineRule="exact"/>
      <w:ind w:firstLine="640" w:firstLineChars="200"/>
    </w:pPr>
    <w:rPr>
      <w:rFonts w:eastAsia="仿宋_GB2312"/>
      <w:kern w:val="0"/>
      <w:sz w:val="32"/>
      <w:szCs w:val="32"/>
    </w:rPr>
  </w:style>
  <w:style w:type="paragraph" w:customStyle="1" w:styleId="195">
    <w:name w:val="2ji"/>
    <w:basedOn w:val="3"/>
    <w:qFormat/>
    <w:uiPriority w:val="99"/>
    <w:pPr>
      <w:adjustRightInd w:val="0"/>
      <w:spacing w:before="0" w:after="0" w:line="360" w:lineRule="auto"/>
      <w:textAlignment w:val="baseline"/>
    </w:pPr>
    <w:rPr>
      <w:rFonts w:ascii="宋体" w:hAnsi="宋体" w:cs="宋体"/>
      <w:kern w:val="0"/>
      <w:sz w:val="21"/>
      <w:szCs w:val="21"/>
    </w:rPr>
  </w:style>
  <w:style w:type="paragraph" w:customStyle="1" w:styleId="196">
    <w:name w:val="444"/>
    <w:basedOn w:val="1"/>
    <w:qFormat/>
    <w:uiPriority w:val="99"/>
    <w:pPr>
      <w:adjustRightInd w:val="0"/>
      <w:spacing w:line="312" w:lineRule="atLeast"/>
      <w:jc w:val="center"/>
      <w:textAlignment w:val="baseline"/>
    </w:pPr>
    <w:rPr>
      <w:b/>
      <w:bCs/>
      <w:kern w:val="0"/>
      <w:sz w:val="36"/>
      <w:szCs w:val="36"/>
    </w:rPr>
  </w:style>
  <w:style w:type="paragraph" w:customStyle="1" w:styleId="197">
    <w:name w:val="Char1"/>
    <w:basedOn w:val="1"/>
    <w:qFormat/>
    <w:uiPriority w:val="99"/>
  </w:style>
  <w:style w:type="paragraph" w:customStyle="1" w:styleId="198">
    <w:name w:val="Char3"/>
    <w:basedOn w:val="1"/>
    <w:qFormat/>
    <w:uiPriority w:val="99"/>
    <w:pPr>
      <w:widowControl/>
      <w:spacing w:line="500" w:lineRule="exact"/>
      <w:outlineLvl w:val="2"/>
    </w:pPr>
    <w:rPr>
      <w:rFonts w:ascii="黑体" w:hAnsi="Verdana" w:eastAsia="黑体" w:cs="黑体"/>
      <w:kern w:val="0"/>
      <w:sz w:val="28"/>
      <w:szCs w:val="28"/>
      <w:lang w:eastAsia="en-US"/>
    </w:rPr>
  </w:style>
  <w:style w:type="paragraph" w:customStyle="1" w:styleId="199">
    <w:name w:val="Normal (Web)1"/>
    <w:basedOn w:val="1"/>
    <w:qFormat/>
    <w:uiPriority w:val="99"/>
    <w:pPr>
      <w:widowControl/>
      <w:spacing w:beforeLines="50" w:beforeAutospacing="1" w:afterLines="50" w:afterAutospacing="1"/>
      <w:ind w:firstLine="200" w:firstLineChars="200"/>
      <w:jc w:val="left"/>
    </w:pPr>
    <w:rPr>
      <w:rFonts w:ascii="宋体" w:hAnsi="宋体" w:cs="宋体"/>
      <w:kern w:val="0"/>
      <w:sz w:val="24"/>
      <w:szCs w:val="24"/>
    </w:rPr>
  </w:style>
  <w:style w:type="paragraph" w:customStyle="1" w:styleId="200">
    <w:name w:val="样式 标题 3 + (中文) 黑体 小四 非加粗 段前: 7.8 磅 段后: 0 磅 行距: 固定值 20 磅"/>
    <w:basedOn w:val="4"/>
    <w:qFormat/>
    <w:uiPriority w:val="99"/>
    <w:pPr>
      <w:spacing w:before="0" w:after="0" w:line="400" w:lineRule="exact"/>
    </w:pPr>
    <w:rPr>
      <w:rFonts w:eastAsia="黑体"/>
      <w:b w:val="0"/>
      <w:bCs w:val="0"/>
      <w:sz w:val="24"/>
      <w:szCs w:val="24"/>
    </w:rPr>
  </w:style>
  <w:style w:type="paragraph" w:customStyle="1" w:styleId="201">
    <w:name w:val="Char Char Char Char Char Char Char1"/>
    <w:basedOn w:val="1"/>
    <w:qFormat/>
    <w:uiPriority w:val="99"/>
  </w:style>
  <w:style w:type="paragraph" w:customStyle="1" w:styleId="202">
    <w:name w:val="默认段落字体 Para Char Char Char Char Char Char Char Char Char Cha标题1r"/>
    <w:basedOn w:val="1"/>
    <w:qFormat/>
    <w:uiPriority w:val="99"/>
    <w:pPr>
      <w:jc w:val="center"/>
    </w:pPr>
  </w:style>
  <w:style w:type="paragraph" w:customStyle="1" w:styleId="203">
    <w:name w:val="样式"/>
    <w:qFormat/>
    <w:uiPriority w:val="99"/>
    <w:pPr>
      <w:widowControl w:val="0"/>
      <w:autoSpaceDE w:val="0"/>
      <w:autoSpaceDN w:val="0"/>
      <w:adjustRightInd w:val="0"/>
    </w:pPr>
    <w:rPr>
      <w:rFonts w:ascii="宋体" w:hAnsi="宋体" w:eastAsia="宋体" w:cs="宋体"/>
      <w:sz w:val="24"/>
      <w:szCs w:val="24"/>
      <w:lang w:val="en-US" w:eastAsia="zh-CN" w:bidi="ar-SA"/>
    </w:rPr>
  </w:style>
  <w:style w:type="paragraph" w:customStyle="1" w:styleId="204">
    <w:name w:val="2-2ji"/>
    <w:basedOn w:val="3"/>
    <w:qFormat/>
    <w:uiPriority w:val="99"/>
    <w:pPr>
      <w:adjustRightInd w:val="0"/>
      <w:spacing w:before="0" w:after="0" w:line="360" w:lineRule="auto"/>
      <w:jc w:val="center"/>
      <w:textAlignment w:val="baseline"/>
    </w:pPr>
    <w:rPr>
      <w:rFonts w:ascii="宋体" w:hAnsi="宋体" w:cs="宋体"/>
      <w:kern w:val="0"/>
      <w:sz w:val="36"/>
      <w:szCs w:val="36"/>
    </w:rPr>
  </w:style>
  <w:style w:type="paragraph" w:customStyle="1" w:styleId="205">
    <w:name w:val="样式 首行缩进:  2 字符"/>
    <w:basedOn w:val="1"/>
    <w:qFormat/>
    <w:uiPriority w:val="99"/>
    <w:pPr>
      <w:spacing w:line="400" w:lineRule="exact"/>
      <w:ind w:firstLine="200" w:firstLineChars="200"/>
    </w:pPr>
    <w:rPr>
      <w:sz w:val="24"/>
      <w:szCs w:val="24"/>
    </w:rPr>
  </w:style>
  <w:style w:type="paragraph" w:styleId="206">
    <w:name w:val="No Spacing"/>
    <w:qFormat/>
    <w:uiPriority w:val="99"/>
    <w:pPr>
      <w:widowControl w:val="0"/>
      <w:jc w:val="both"/>
    </w:pPr>
    <w:rPr>
      <w:rFonts w:ascii="Calibri" w:hAnsi="Calibri" w:eastAsia="宋体" w:cs="Calibri"/>
      <w:kern w:val="2"/>
      <w:sz w:val="21"/>
      <w:szCs w:val="21"/>
      <w:lang w:val="en-US" w:eastAsia="zh-CN" w:bidi="ar-SA"/>
    </w:rPr>
  </w:style>
  <w:style w:type="paragraph" w:customStyle="1" w:styleId="207">
    <w:name w:val="正文首行缩进两字符"/>
    <w:basedOn w:val="1"/>
    <w:qFormat/>
    <w:uiPriority w:val="99"/>
    <w:pPr>
      <w:spacing w:line="360" w:lineRule="auto"/>
      <w:ind w:firstLine="200" w:firstLineChars="200"/>
    </w:pPr>
  </w:style>
  <w:style w:type="character" w:customStyle="1" w:styleId="208">
    <w:name w:val="H1 Char"/>
    <w:qFormat/>
    <w:uiPriority w:val="99"/>
    <w:rPr>
      <w:rFonts w:eastAsia="宋体"/>
      <w:b/>
      <w:bCs/>
      <w:kern w:val="44"/>
      <w:sz w:val="44"/>
      <w:szCs w:val="44"/>
      <w:lang w:val="en-US" w:eastAsia="zh-CN"/>
    </w:rPr>
  </w:style>
  <w:style w:type="character" w:customStyle="1" w:styleId="209">
    <w:name w:val="小标题 Char"/>
    <w:qFormat/>
    <w:uiPriority w:val="99"/>
    <w:rPr>
      <w:rFonts w:eastAsia="宋体"/>
      <w:b/>
      <w:bCs/>
      <w:kern w:val="2"/>
      <w:sz w:val="32"/>
      <w:szCs w:val="32"/>
      <w:lang w:val="en-US" w:eastAsia="zh-CN"/>
    </w:rPr>
  </w:style>
  <w:style w:type="table" w:customStyle="1" w:styleId="210">
    <w:name w:val="代码集表格1"/>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211">
    <w:name w:val="1ji Char"/>
    <w:qFormat/>
    <w:uiPriority w:val="99"/>
    <w:rPr>
      <w:rFonts w:ascii="宋体" w:hAnsi="宋体" w:eastAsia="宋体" w:cs="宋体"/>
      <w:b/>
      <w:bCs/>
      <w:kern w:val="44"/>
      <w:sz w:val="44"/>
      <w:szCs w:val="44"/>
      <w:lang w:val="en-US" w:eastAsia="zh-CN"/>
    </w:rPr>
  </w:style>
  <w:style w:type="character" w:customStyle="1" w:styleId="212">
    <w:name w:val="h Char"/>
    <w:qFormat/>
    <w:uiPriority w:val="99"/>
    <w:rPr>
      <w:rFonts w:eastAsia="宋体"/>
      <w:kern w:val="2"/>
      <w:sz w:val="18"/>
      <w:szCs w:val="18"/>
      <w:lang w:val="en-US" w:eastAsia="zh-CN"/>
    </w:rPr>
  </w:style>
  <w:style w:type="character" w:customStyle="1" w:styleId="213">
    <w:name w:val="fo Char"/>
    <w:qFormat/>
    <w:uiPriority w:val="99"/>
    <w:rPr>
      <w:rFonts w:eastAsia="宋体"/>
      <w:kern w:val="2"/>
      <w:sz w:val="18"/>
      <w:szCs w:val="18"/>
      <w:lang w:val="en-US" w:eastAsia="zh-CN"/>
    </w:rPr>
  </w:style>
  <w:style w:type="paragraph" w:customStyle="1" w:styleId="214">
    <w:name w:val="Char11"/>
    <w:basedOn w:val="1"/>
    <w:qFormat/>
    <w:uiPriority w:val="99"/>
    <w:rPr>
      <w:rFonts w:ascii="仿宋_GB2312" w:eastAsia="仿宋_GB2312" w:cs="仿宋_GB2312"/>
      <w:b/>
      <w:bCs/>
      <w:sz w:val="32"/>
      <w:szCs w:val="32"/>
    </w:rPr>
  </w:style>
  <w:style w:type="character" w:customStyle="1" w:styleId="215">
    <w:name w:val="unnamed11"/>
    <w:qFormat/>
    <w:uiPriority w:val="99"/>
    <w:rPr>
      <w:color w:val="auto"/>
      <w:sz w:val="18"/>
      <w:szCs w:val="18"/>
    </w:rPr>
  </w:style>
  <w:style w:type="paragraph" w:customStyle="1" w:styleId="216">
    <w:name w:val="Default"/>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217">
    <w:name w:val="A4"/>
    <w:qFormat/>
    <w:uiPriority w:val="99"/>
    <w:rPr>
      <w:color w:val="000000"/>
    </w:rPr>
  </w:style>
  <w:style w:type="character" w:customStyle="1" w:styleId="218">
    <w:name w:val="正文文字首行缩进 Char"/>
    <w:qFormat/>
    <w:uiPriority w:val="99"/>
    <w:rPr>
      <w:rFonts w:ascii="仿宋_GB2312" w:eastAsia="仿宋_GB2312" w:cs="仿宋_GB2312"/>
      <w:kern w:val="2"/>
      <w:sz w:val="32"/>
      <w:szCs w:val="32"/>
      <w:lang w:val="en-US" w:eastAsia="zh-CN"/>
    </w:rPr>
  </w:style>
  <w:style w:type="paragraph" w:customStyle="1" w:styleId="219">
    <w:name w:val="列出段落2"/>
    <w:basedOn w:val="1"/>
    <w:qFormat/>
    <w:uiPriority w:val="99"/>
    <w:pPr>
      <w:ind w:firstLine="420" w:firstLineChars="200"/>
    </w:pPr>
    <w:rPr>
      <w:rFonts w:ascii="Calibri" w:hAnsi="Calibri" w:cs="Calibri"/>
    </w:rPr>
  </w:style>
  <w:style w:type="character" w:customStyle="1" w:styleId="220">
    <w:name w:val="Heading 2 Hidden Char"/>
    <w:qFormat/>
    <w:uiPriority w:val="99"/>
    <w:rPr>
      <w:rFonts w:ascii="Arial" w:hAnsi="Arial" w:eastAsia="黑体" w:cs="Arial"/>
      <w:b/>
      <w:bCs/>
      <w:kern w:val="2"/>
      <w:sz w:val="32"/>
      <w:szCs w:val="32"/>
      <w:lang w:val="en-US" w:eastAsia="zh-CN"/>
    </w:rPr>
  </w:style>
  <w:style w:type="character" w:customStyle="1" w:styleId="221">
    <w:name w:val="18h1"/>
    <w:qFormat/>
    <w:uiPriority w:val="99"/>
    <w:rPr>
      <w:color w:val="auto"/>
    </w:rPr>
  </w:style>
  <w:style w:type="character" w:customStyle="1" w:styleId="222">
    <w:name w:val="链接"/>
    <w:qFormat/>
    <w:uiPriority w:val="99"/>
    <w:rPr>
      <w:rFonts w:ascii="Times New Roman" w:eastAsia="宋体" w:cs="Times New Roman"/>
      <w:color w:val="0000FF"/>
      <w:sz w:val="21"/>
      <w:szCs w:val="21"/>
      <w:u w:val="single" w:color="0000FF"/>
      <w:vertAlign w:val="baseline"/>
      <w:lang w:val="en-US" w:eastAsia="zh-CN"/>
    </w:rPr>
  </w:style>
  <w:style w:type="character" w:customStyle="1" w:styleId="223">
    <w:name w:val="超级链接"/>
    <w:qFormat/>
    <w:uiPriority w:val="99"/>
    <w:rPr>
      <w:rFonts w:ascii="Times New Roman" w:eastAsia="宋体" w:cs="Times New Roman"/>
      <w:color w:val="0000FF"/>
      <w:sz w:val="21"/>
      <w:szCs w:val="21"/>
      <w:u w:val="single" w:color="0000FF"/>
      <w:vertAlign w:val="baseline"/>
      <w:lang w:val="en-US" w:eastAsia="zh-CN"/>
    </w:rPr>
  </w:style>
  <w:style w:type="paragraph" w:customStyle="1" w:styleId="224">
    <w:name w:val="目录1"/>
    <w:basedOn w:val="1"/>
    <w:next w:val="1"/>
    <w:qFormat/>
    <w:uiPriority w:val="99"/>
    <w:pPr>
      <w:widowControl/>
      <w:tabs>
        <w:tab w:val="left" w:leader="dot" w:pos="8503"/>
      </w:tabs>
      <w:spacing w:after="136" w:line="289" w:lineRule="atLeast"/>
      <w:jc w:val="left"/>
      <w:textAlignment w:val="baseline"/>
    </w:pPr>
    <w:rPr>
      <w:rFonts w:ascii="Arial" w:eastAsia="黑体" w:cs="Arial"/>
      <w:color w:val="000000"/>
      <w:kern w:val="0"/>
      <w:sz w:val="28"/>
      <w:szCs w:val="28"/>
      <w:u w:color="000000"/>
    </w:rPr>
  </w:style>
  <w:style w:type="paragraph" w:customStyle="1" w:styleId="225">
    <w:name w:val="目录标题"/>
    <w:basedOn w:val="1"/>
    <w:next w:val="1"/>
    <w:qFormat/>
    <w:uiPriority w:val="99"/>
    <w:pPr>
      <w:widowControl/>
      <w:spacing w:before="566" w:after="544" w:line="566" w:lineRule="atLeast"/>
      <w:ind w:firstLine="419"/>
      <w:jc w:val="center"/>
      <w:textAlignment w:val="baseline"/>
    </w:pPr>
    <w:rPr>
      <w:rFonts w:ascii="Arial" w:eastAsia="黑体" w:cs="Arial"/>
      <w:color w:val="000000"/>
      <w:spacing w:val="566"/>
      <w:kern w:val="0"/>
      <w:sz w:val="54"/>
      <w:szCs w:val="54"/>
      <w:u w:color="000000"/>
    </w:rPr>
  </w:style>
  <w:style w:type="paragraph" w:customStyle="1" w:styleId="226">
    <w:name w:val="文章总标题"/>
    <w:basedOn w:val="1"/>
    <w:next w:val="227"/>
    <w:qFormat/>
    <w:uiPriority w:val="99"/>
    <w:pPr>
      <w:widowControl/>
      <w:spacing w:before="566" w:after="544" w:line="566" w:lineRule="atLeast"/>
      <w:jc w:val="center"/>
      <w:textAlignment w:val="baseline"/>
    </w:pPr>
    <w:rPr>
      <w:rFonts w:ascii="Arial" w:eastAsia="黑体" w:cs="Arial"/>
      <w:color w:val="000000"/>
      <w:kern w:val="0"/>
      <w:sz w:val="54"/>
      <w:szCs w:val="54"/>
      <w:u w:color="000000"/>
    </w:rPr>
  </w:style>
  <w:style w:type="paragraph" w:customStyle="1" w:styleId="227">
    <w:name w:val="文章附标题"/>
    <w:basedOn w:val="1"/>
    <w:next w:val="2"/>
    <w:qFormat/>
    <w:uiPriority w:val="99"/>
    <w:pPr>
      <w:widowControl/>
      <w:spacing w:before="187" w:after="175" w:line="374" w:lineRule="atLeast"/>
      <w:jc w:val="center"/>
      <w:textAlignment w:val="baseline"/>
    </w:pPr>
    <w:rPr>
      <w:color w:val="000000"/>
      <w:kern w:val="0"/>
      <w:sz w:val="36"/>
      <w:szCs w:val="36"/>
      <w:u w:color="000000"/>
    </w:rPr>
  </w:style>
  <w:style w:type="paragraph" w:customStyle="1" w:styleId="228">
    <w:name w:val="节标题"/>
    <w:basedOn w:val="1"/>
    <w:next w:val="229"/>
    <w:qFormat/>
    <w:uiPriority w:val="99"/>
    <w:pPr>
      <w:widowControl/>
      <w:spacing w:line="289" w:lineRule="atLeast"/>
      <w:jc w:val="center"/>
      <w:textAlignment w:val="baseline"/>
    </w:pPr>
    <w:rPr>
      <w:color w:val="000000"/>
      <w:kern w:val="0"/>
      <w:sz w:val="28"/>
      <w:szCs w:val="28"/>
      <w:u w:color="000000"/>
    </w:rPr>
  </w:style>
  <w:style w:type="paragraph" w:customStyle="1" w:styleId="229">
    <w:name w:val="小节标题"/>
    <w:basedOn w:val="1"/>
    <w:next w:val="1"/>
    <w:qFormat/>
    <w:uiPriority w:val="99"/>
    <w:pPr>
      <w:widowControl/>
      <w:spacing w:before="175" w:after="102" w:line="351" w:lineRule="atLeast"/>
      <w:textAlignment w:val="baseline"/>
    </w:pPr>
    <w:rPr>
      <w:rFonts w:eastAsia="黑体"/>
      <w:color w:val="000000"/>
      <w:kern w:val="0"/>
      <w:u w:color="000000"/>
    </w:rPr>
  </w:style>
  <w:style w:type="paragraph" w:customStyle="1" w:styleId="230">
    <w:name w:val="目录3"/>
    <w:basedOn w:val="1"/>
    <w:next w:val="1"/>
    <w:qFormat/>
    <w:uiPriority w:val="99"/>
    <w:pPr>
      <w:widowControl/>
      <w:tabs>
        <w:tab w:val="left" w:leader="dot" w:pos="8503"/>
      </w:tabs>
      <w:spacing w:line="317" w:lineRule="atLeast"/>
      <w:ind w:firstLine="419"/>
      <w:textAlignment w:val="baseline"/>
    </w:pPr>
    <w:rPr>
      <w:color w:val="000000"/>
      <w:kern w:val="0"/>
      <w:u w:color="000000"/>
    </w:rPr>
  </w:style>
  <w:style w:type="paragraph" w:customStyle="1" w:styleId="231">
    <w:name w:val="目录2"/>
    <w:basedOn w:val="1"/>
    <w:next w:val="1"/>
    <w:qFormat/>
    <w:uiPriority w:val="99"/>
    <w:pPr>
      <w:widowControl/>
      <w:tabs>
        <w:tab w:val="left" w:leader="dot" w:pos="8503"/>
      </w:tabs>
      <w:spacing w:line="317" w:lineRule="atLeast"/>
      <w:ind w:firstLine="209"/>
      <w:textAlignment w:val="baseline"/>
    </w:pPr>
    <w:rPr>
      <w:color w:val="000000"/>
      <w:kern w:val="0"/>
      <w:u w:color="000000"/>
    </w:rPr>
  </w:style>
  <w:style w:type="paragraph" w:customStyle="1" w:styleId="232">
    <w:name w:val="目录4"/>
    <w:basedOn w:val="1"/>
    <w:next w:val="1"/>
    <w:qFormat/>
    <w:uiPriority w:val="99"/>
    <w:pPr>
      <w:widowControl/>
      <w:tabs>
        <w:tab w:val="left" w:leader="dot" w:pos="8503"/>
      </w:tabs>
      <w:spacing w:line="317" w:lineRule="atLeast"/>
      <w:ind w:firstLine="629"/>
      <w:textAlignment w:val="baseline"/>
    </w:pPr>
    <w:rPr>
      <w:color w:val="000000"/>
      <w:kern w:val="0"/>
      <w:u w:color="000000"/>
    </w:rPr>
  </w:style>
  <w:style w:type="paragraph" w:customStyle="1" w:styleId="233">
    <w:name w:val="Char2"/>
    <w:basedOn w:val="1"/>
    <w:qFormat/>
    <w:uiPriority w:val="99"/>
    <w:pPr>
      <w:widowControl/>
      <w:spacing w:after="160" w:line="240" w:lineRule="exact"/>
      <w:jc w:val="left"/>
    </w:pPr>
    <w:rPr>
      <w:rFonts w:ascii="Verdana" w:hAnsi="Verdana" w:cs="Verdana"/>
      <w:kern w:val="0"/>
      <w:lang w:eastAsia="en-US"/>
    </w:rPr>
  </w:style>
  <w:style w:type="paragraph" w:customStyle="1" w:styleId="234">
    <w:name w:val="Char Char Char Char Char Char Char Char Char Char Char Char Char Char Char Char"/>
    <w:basedOn w:val="1"/>
    <w:qFormat/>
    <w:uiPriority w:val="99"/>
    <w:pPr>
      <w:tabs>
        <w:tab w:val="left" w:pos="360"/>
      </w:tabs>
      <w:spacing w:line="360" w:lineRule="auto"/>
      <w:ind w:left="482" w:firstLine="200" w:firstLineChars="200"/>
    </w:pPr>
    <w:rPr>
      <w:rFonts w:ascii="宋体" w:cs="宋体"/>
      <w:sz w:val="24"/>
      <w:szCs w:val="24"/>
    </w:rPr>
  </w:style>
  <w:style w:type="paragraph" w:customStyle="1" w:styleId="235">
    <w:name w:val="样式 标题 2 + (西文) 宋体 非加粗 居中"/>
    <w:basedOn w:val="3"/>
    <w:qFormat/>
    <w:uiPriority w:val="99"/>
    <w:pPr>
      <w:jc w:val="center"/>
    </w:pPr>
    <w:rPr>
      <w:rFonts w:ascii="宋体" w:hAnsi="宋体" w:eastAsia="黑体" w:cs="宋体"/>
      <w:b w:val="0"/>
      <w:bCs w:val="0"/>
      <w:spacing w:val="2"/>
      <w:sz w:val="28"/>
      <w:szCs w:val="28"/>
    </w:rPr>
  </w:style>
  <w:style w:type="character" w:customStyle="1" w:styleId="236">
    <w:name w:val="btn-lnk-alignl2"/>
    <w:qFormat/>
    <w:uiPriority w:val="99"/>
  </w:style>
  <w:style w:type="paragraph" w:customStyle="1" w:styleId="237">
    <w:name w:val="Char Char Char Char1"/>
    <w:basedOn w:val="17"/>
    <w:qFormat/>
    <w:uiPriority w:val="99"/>
    <w:pPr>
      <w:adjustRightInd w:val="0"/>
      <w:snapToGrid w:val="0"/>
      <w:spacing w:line="360" w:lineRule="auto"/>
    </w:pPr>
    <w:rPr>
      <w:rFonts w:ascii="Tahoma" w:hAnsi="Tahoma" w:cs="Tahoma"/>
      <w:sz w:val="24"/>
      <w:szCs w:val="24"/>
    </w:rPr>
  </w:style>
  <w:style w:type="paragraph" w:customStyle="1" w:styleId="238">
    <w:name w:val="Char21"/>
    <w:basedOn w:val="1"/>
    <w:qFormat/>
    <w:uiPriority w:val="99"/>
    <w:pPr>
      <w:widowControl/>
      <w:spacing w:after="160" w:line="240" w:lineRule="exact"/>
      <w:jc w:val="left"/>
    </w:pPr>
    <w:rPr>
      <w:rFonts w:ascii="Verdana" w:hAnsi="Verdana" w:cs="Verdana"/>
      <w:kern w:val="0"/>
      <w:lang w:eastAsia="en-US"/>
    </w:rPr>
  </w:style>
  <w:style w:type="paragraph" w:customStyle="1" w:styleId="239">
    <w:name w:val="段"/>
    <w:link w:val="240"/>
    <w:qFormat/>
    <w:uiPriority w:val="99"/>
    <w:pPr>
      <w:autoSpaceDE w:val="0"/>
      <w:autoSpaceDN w:val="0"/>
      <w:ind w:firstLine="200" w:firstLineChars="200"/>
      <w:jc w:val="both"/>
    </w:pPr>
    <w:rPr>
      <w:rFonts w:ascii="宋体" w:hAnsi="Times New Roman" w:eastAsia="宋体" w:cs="宋体"/>
      <w:sz w:val="21"/>
      <w:szCs w:val="21"/>
      <w:lang w:val="en-US" w:eastAsia="zh-CN" w:bidi="ar-SA"/>
    </w:rPr>
  </w:style>
  <w:style w:type="character" w:customStyle="1" w:styleId="240">
    <w:name w:val="段 Char"/>
    <w:link w:val="239"/>
    <w:qFormat/>
    <w:locked/>
    <w:uiPriority w:val="99"/>
    <w:rPr>
      <w:rFonts w:ascii="宋体" w:cs="宋体"/>
      <w:sz w:val="21"/>
      <w:szCs w:val="21"/>
    </w:rPr>
  </w:style>
  <w:style w:type="character" w:customStyle="1" w:styleId="241">
    <w:name w:val="d1"/>
    <w:qFormat/>
    <w:uiPriority w:val="99"/>
    <w:rPr>
      <w:color w:val="000000"/>
      <w:sz w:val="21"/>
      <w:szCs w:val="21"/>
      <w:u w:val="none"/>
    </w:rPr>
  </w:style>
  <w:style w:type="paragraph" w:customStyle="1" w:styleId="242">
    <w:name w:val="xl35"/>
    <w:basedOn w:val="1"/>
    <w:qFormat/>
    <w:uiPriority w:val="99"/>
    <w:pPr>
      <w:widowControl/>
      <w:spacing w:before="100" w:beforeAutospacing="1" w:after="100" w:afterAutospacing="1"/>
      <w:jc w:val="right"/>
    </w:pPr>
    <w:rPr>
      <w:rFonts w:ascii="宋体" w:hAnsi="宋体" w:cs="宋体"/>
      <w:kern w:val="0"/>
      <w:sz w:val="24"/>
      <w:szCs w:val="24"/>
    </w:rPr>
  </w:style>
  <w:style w:type="paragraph" w:customStyle="1" w:styleId="243">
    <w:name w:val="6"/>
    <w:basedOn w:val="1"/>
    <w:qFormat/>
    <w:uiPriority w:val="99"/>
    <w:rPr>
      <w:rFonts w:ascii="Tahoma" w:hAnsi="Tahoma" w:cs="Tahoma"/>
      <w:sz w:val="24"/>
      <w:szCs w:val="24"/>
      <w:u w:val="single"/>
    </w:rPr>
  </w:style>
  <w:style w:type="paragraph" w:customStyle="1" w:styleId="244">
    <w:name w:val="p0"/>
    <w:basedOn w:val="1"/>
    <w:qFormat/>
    <w:uiPriority w:val="99"/>
    <w:pPr>
      <w:widowControl/>
    </w:pPr>
    <w:rPr>
      <w:kern w:val="0"/>
    </w:rPr>
  </w:style>
  <w:style w:type="character" w:customStyle="1" w:styleId="245">
    <w:name w:val="c lh15"/>
    <w:qFormat/>
    <w:uiPriority w:val="99"/>
  </w:style>
  <w:style w:type="paragraph" w:customStyle="1" w:styleId="246">
    <w:name w:val="正文 New New New"/>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247">
    <w:name w:val="正文 New New New New New New New New New New New New New New New New New"/>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248">
    <w:name w:val="pa-4"/>
    <w:basedOn w:val="1"/>
    <w:qFormat/>
    <w:uiPriority w:val="99"/>
    <w:pPr>
      <w:widowControl/>
      <w:spacing w:before="150" w:after="150"/>
      <w:jc w:val="left"/>
    </w:pPr>
    <w:rPr>
      <w:rFonts w:ascii="宋体" w:hAnsi="宋体" w:cs="宋体"/>
      <w:kern w:val="0"/>
      <w:sz w:val="24"/>
      <w:szCs w:val="24"/>
    </w:rPr>
  </w:style>
  <w:style w:type="character" w:customStyle="1" w:styleId="249">
    <w:name w:val="ca-1"/>
    <w:qFormat/>
    <w:uiPriority w:val="99"/>
  </w:style>
  <w:style w:type="character" w:customStyle="1" w:styleId="250">
    <w:name w:val="ca-4"/>
    <w:qFormat/>
    <w:uiPriority w:val="99"/>
  </w:style>
  <w:style w:type="character" w:customStyle="1" w:styleId="251">
    <w:name w:val="ca-5"/>
    <w:qFormat/>
    <w:uiPriority w:val="99"/>
  </w:style>
  <w:style w:type="paragraph" w:customStyle="1" w:styleId="252">
    <w:name w:val="正文缩进1"/>
    <w:basedOn w:val="1"/>
    <w:qFormat/>
    <w:uiPriority w:val="99"/>
    <w:pPr>
      <w:autoSpaceDE w:val="0"/>
      <w:autoSpaceDN w:val="0"/>
      <w:adjustRightInd w:val="0"/>
      <w:spacing w:after="80" w:line="300" w:lineRule="atLeast"/>
      <w:ind w:firstLine="482"/>
      <w:textAlignment w:val="baseline"/>
    </w:pPr>
    <w:rPr>
      <w:rFonts w:ascii="Arial" w:hAnsi="Arial" w:cs="Arial"/>
      <w:sz w:val="24"/>
      <w:szCs w:val="24"/>
    </w:rPr>
  </w:style>
  <w:style w:type="paragraph" w:customStyle="1" w:styleId="253">
    <w:name w:val="font6"/>
    <w:basedOn w:val="1"/>
    <w:qFormat/>
    <w:uiPriority w:val="99"/>
    <w:pPr>
      <w:widowControl/>
      <w:spacing w:before="100" w:beforeAutospacing="1" w:after="100" w:afterAutospacing="1"/>
      <w:jc w:val="left"/>
    </w:pPr>
    <w:rPr>
      <w:rFonts w:ascii="宋体" w:hAnsi="宋体" w:cs="宋体"/>
      <w:kern w:val="0"/>
      <w:sz w:val="20"/>
      <w:szCs w:val="20"/>
    </w:rPr>
  </w:style>
  <w:style w:type="paragraph" w:customStyle="1" w:styleId="254">
    <w:name w:val="xl2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0"/>
      <w:szCs w:val="20"/>
    </w:rPr>
  </w:style>
  <w:style w:type="paragraph" w:customStyle="1" w:styleId="255">
    <w:name w:val="xl3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256">
    <w:name w:val="xl32"/>
    <w:basedOn w:val="1"/>
    <w:qFormat/>
    <w:uiPriority w:val="99"/>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257">
    <w:name w:val="xl3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58">
    <w:name w:val="xl3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259">
    <w:name w:val="xl36"/>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kern w:val="0"/>
      <w:sz w:val="20"/>
      <w:szCs w:val="20"/>
    </w:rPr>
  </w:style>
  <w:style w:type="paragraph" w:customStyle="1" w:styleId="260">
    <w:name w:val="xl37"/>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Arial" w:hAnsi="Arial" w:cs="Arial"/>
      <w:kern w:val="0"/>
      <w:sz w:val="20"/>
      <w:szCs w:val="20"/>
    </w:rPr>
  </w:style>
  <w:style w:type="paragraph" w:customStyle="1" w:styleId="261">
    <w:name w:val="xl38"/>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color w:val="000000"/>
      <w:kern w:val="0"/>
      <w:sz w:val="20"/>
      <w:szCs w:val="20"/>
    </w:rPr>
  </w:style>
  <w:style w:type="paragraph" w:customStyle="1" w:styleId="262">
    <w:name w:val="xl3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263">
    <w:name w:val="xl4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64">
    <w:name w:val="xl4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65">
    <w:name w:val="xl42"/>
    <w:basedOn w:val="1"/>
    <w:qFormat/>
    <w:uiPriority w:val="99"/>
    <w:pPr>
      <w:widowControl/>
      <w:pBdr>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color w:val="000000"/>
      <w:kern w:val="0"/>
      <w:sz w:val="20"/>
      <w:szCs w:val="20"/>
    </w:rPr>
  </w:style>
  <w:style w:type="paragraph" w:customStyle="1" w:styleId="266">
    <w:name w:val="xl43"/>
    <w:basedOn w:val="1"/>
    <w:qFormat/>
    <w:uiPriority w:val="99"/>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67">
    <w:name w:val="xl44"/>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color w:val="000000"/>
      <w:kern w:val="0"/>
      <w:sz w:val="20"/>
      <w:szCs w:val="20"/>
    </w:rPr>
  </w:style>
  <w:style w:type="paragraph" w:customStyle="1" w:styleId="268">
    <w:name w:val="xl4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269">
    <w:name w:val="xl46"/>
    <w:basedOn w:val="1"/>
    <w:qFormat/>
    <w:uiPriority w:val="99"/>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270">
    <w:name w:val="xl47"/>
    <w:basedOn w:val="1"/>
    <w:qFormat/>
    <w:uiPriority w:val="99"/>
    <w:pPr>
      <w:widowControl/>
      <w:pBdr>
        <w:left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271">
    <w:name w:val="xl48"/>
    <w:basedOn w:val="1"/>
    <w:qFormat/>
    <w:uiPriority w:val="99"/>
    <w:pPr>
      <w:widowControl/>
      <w:pBdr>
        <w:left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72">
    <w:name w:val="xl49"/>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273">
    <w:name w:val="xl5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274">
    <w:name w:val="xl51"/>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cs="宋体"/>
      <w:b/>
      <w:bCs/>
      <w:kern w:val="0"/>
      <w:sz w:val="20"/>
      <w:szCs w:val="20"/>
    </w:rPr>
  </w:style>
  <w:style w:type="paragraph" w:customStyle="1" w:styleId="275">
    <w:name w:val="xl52"/>
    <w:basedOn w:val="1"/>
    <w:qFormat/>
    <w:uiPriority w:val="99"/>
    <w:pPr>
      <w:widowControl/>
      <w:pBdr>
        <w:top w:val="single" w:color="auto" w:sz="4" w:space="0"/>
        <w:bottom w:val="single" w:color="auto" w:sz="4" w:space="0"/>
      </w:pBdr>
      <w:spacing w:before="100" w:beforeAutospacing="1" w:after="100" w:afterAutospacing="1"/>
      <w:jc w:val="left"/>
    </w:pPr>
    <w:rPr>
      <w:rFonts w:ascii="宋体" w:hAnsi="宋体" w:cs="宋体"/>
      <w:b/>
      <w:bCs/>
      <w:kern w:val="0"/>
      <w:sz w:val="20"/>
      <w:szCs w:val="20"/>
    </w:rPr>
  </w:style>
  <w:style w:type="paragraph" w:customStyle="1" w:styleId="276">
    <w:name w:val="xl53"/>
    <w:basedOn w:val="1"/>
    <w:qFormat/>
    <w:uiPriority w:val="99"/>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szCs w:val="20"/>
    </w:rPr>
  </w:style>
  <w:style w:type="paragraph" w:customStyle="1" w:styleId="277">
    <w:name w:val="xl54"/>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cs="宋体"/>
      <w:b/>
      <w:bCs/>
      <w:kern w:val="0"/>
      <w:sz w:val="20"/>
      <w:szCs w:val="20"/>
    </w:rPr>
  </w:style>
  <w:style w:type="paragraph" w:customStyle="1" w:styleId="278">
    <w:name w:val="xl55"/>
    <w:basedOn w:val="1"/>
    <w:qFormat/>
    <w:uiPriority w:val="99"/>
    <w:pPr>
      <w:widowControl/>
      <w:pBdr>
        <w:top w:val="single" w:color="auto" w:sz="4" w:space="0"/>
        <w:bottom w:val="single" w:color="auto" w:sz="4" w:space="0"/>
      </w:pBdr>
      <w:spacing w:before="100" w:beforeAutospacing="1" w:after="100" w:afterAutospacing="1"/>
      <w:jc w:val="left"/>
    </w:pPr>
    <w:rPr>
      <w:rFonts w:ascii="宋体" w:hAnsi="宋体" w:cs="宋体"/>
      <w:b/>
      <w:bCs/>
      <w:kern w:val="0"/>
      <w:sz w:val="20"/>
      <w:szCs w:val="20"/>
    </w:rPr>
  </w:style>
  <w:style w:type="paragraph" w:customStyle="1" w:styleId="279">
    <w:name w:val="xl56"/>
    <w:basedOn w:val="1"/>
    <w:qFormat/>
    <w:uiPriority w:val="99"/>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szCs w:val="20"/>
    </w:rPr>
  </w:style>
  <w:style w:type="paragraph" w:customStyle="1" w:styleId="280">
    <w:name w:val="xl5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szCs w:val="20"/>
    </w:rPr>
  </w:style>
  <w:style w:type="paragraph" w:customStyle="1" w:styleId="281">
    <w:name w:val="xl58"/>
    <w:basedOn w:val="1"/>
    <w:qFormat/>
    <w:uiPriority w:val="99"/>
    <w:pPr>
      <w:widowControl/>
      <w:pBdr>
        <w:bottom w:val="single" w:color="auto" w:sz="4" w:space="0"/>
      </w:pBdr>
      <w:spacing w:before="100" w:beforeAutospacing="1" w:after="100" w:afterAutospacing="1"/>
      <w:jc w:val="center"/>
    </w:pPr>
    <w:rPr>
      <w:rFonts w:ascii="宋体" w:hAnsi="宋体" w:cs="宋体"/>
      <w:kern w:val="0"/>
      <w:sz w:val="24"/>
      <w:szCs w:val="24"/>
    </w:rPr>
  </w:style>
  <w:style w:type="paragraph" w:customStyle="1" w:styleId="282">
    <w:name w:val="xl6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color w:val="000000"/>
      <w:kern w:val="0"/>
      <w:sz w:val="18"/>
      <w:szCs w:val="18"/>
    </w:rPr>
  </w:style>
  <w:style w:type="paragraph" w:customStyle="1" w:styleId="283">
    <w:name w:val="xl67"/>
    <w:basedOn w:val="1"/>
    <w:qFormat/>
    <w:uiPriority w:val="99"/>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2"/>
      <w:szCs w:val="22"/>
    </w:rPr>
  </w:style>
  <w:style w:type="paragraph" w:customStyle="1" w:styleId="284">
    <w:name w:val="xl6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2"/>
      <w:szCs w:val="22"/>
    </w:rPr>
  </w:style>
  <w:style w:type="paragraph" w:customStyle="1" w:styleId="285">
    <w:name w:val="xl69"/>
    <w:basedOn w:val="1"/>
    <w:qFormat/>
    <w:uiPriority w:val="99"/>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color w:val="000000"/>
      <w:kern w:val="0"/>
      <w:sz w:val="22"/>
      <w:szCs w:val="22"/>
    </w:rPr>
  </w:style>
  <w:style w:type="paragraph" w:customStyle="1" w:styleId="286">
    <w:name w:val="xl7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2"/>
      <w:szCs w:val="22"/>
    </w:rPr>
  </w:style>
  <w:style w:type="paragraph" w:customStyle="1" w:styleId="287">
    <w:name w:val="xl7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color w:val="FF0000"/>
      <w:kern w:val="0"/>
    </w:rPr>
  </w:style>
  <w:style w:type="paragraph" w:customStyle="1" w:styleId="288">
    <w:name w:val="xl72"/>
    <w:basedOn w:val="1"/>
    <w:qFormat/>
    <w:uiPriority w:val="99"/>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kern w:val="0"/>
      <w:sz w:val="18"/>
      <w:szCs w:val="18"/>
    </w:rPr>
  </w:style>
  <w:style w:type="paragraph" w:customStyle="1" w:styleId="289">
    <w:name w:val="xl73"/>
    <w:basedOn w:val="1"/>
    <w:qFormat/>
    <w:uiPriority w:val="99"/>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kern w:val="0"/>
      <w:sz w:val="18"/>
      <w:szCs w:val="18"/>
    </w:rPr>
  </w:style>
  <w:style w:type="paragraph" w:customStyle="1" w:styleId="290">
    <w:name w:val="xl74"/>
    <w:basedOn w:val="1"/>
    <w:qFormat/>
    <w:uiPriority w:val="99"/>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right"/>
    </w:pPr>
    <w:rPr>
      <w:rFonts w:ascii="宋体" w:hAnsi="宋体" w:cs="宋体"/>
      <w:kern w:val="0"/>
      <w:sz w:val="18"/>
      <w:szCs w:val="18"/>
    </w:rPr>
  </w:style>
  <w:style w:type="paragraph" w:customStyle="1" w:styleId="291">
    <w:name w:val="xl7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2"/>
      <w:szCs w:val="22"/>
    </w:rPr>
  </w:style>
  <w:style w:type="paragraph" w:customStyle="1" w:styleId="292">
    <w:name w:val="xl76"/>
    <w:basedOn w:val="1"/>
    <w:qFormat/>
    <w:uiPriority w:val="99"/>
    <w:pPr>
      <w:widowControl/>
      <w:pBdr>
        <w:bottom w:val="single" w:color="auto" w:sz="8" w:space="0"/>
        <w:right w:val="single" w:color="auto" w:sz="8" w:space="0"/>
      </w:pBdr>
      <w:spacing w:before="100" w:beforeAutospacing="1" w:after="100" w:afterAutospacing="1"/>
      <w:jc w:val="left"/>
    </w:pPr>
    <w:rPr>
      <w:rFonts w:ascii="宋体" w:hAnsi="宋体" w:cs="宋体"/>
      <w:color w:val="FF0000"/>
      <w:kern w:val="0"/>
    </w:rPr>
  </w:style>
  <w:style w:type="paragraph" w:customStyle="1" w:styleId="293">
    <w:name w:val="xl7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294">
    <w:name w:val="xl78"/>
    <w:basedOn w:val="1"/>
    <w:qFormat/>
    <w:uiPriority w:val="99"/>
    <w:pPr>
      <w:widowControl/>
      <w:pBdr>
        <w:top w:val="single" w:color="000000" w:sz="4" w:space="0"/>
        <w:left w:val="single" w:color="000000" w:sz="4" w:space="0"/>
        <w:right w:val="single" w:color="000000" w:sz="4" w:space="0"/>
      </w:pBdr>
      <w:spacing w:before="100" w:beforeAutospacing="1" w:after="100" w:afterAutospacing="1"/>
      <w:jc w:val="left"/>
    </w:pPr>
    <w:rPr>
      <w:rFonts w:ascii="宋体" w:hAnsi="宋体" w:cs="宋体"/>
      <w:kern w:val="0"/>
      <w:sz w:val="18"/>
      <w:szCs w:val="18"/>
    </w:rPr>
  </w:style>
  <w:style w:type="paragraph" w:customStyle="1" w:styleId="295">
    <w:name w:val="xl79"/>
    <w:basedOn w:val="1"/>
    <w:qFormat/>
    <w:uiPriority w:val="99"/>
    <w:pPr>
      <w:widowControl/>
      <w:pBdr>
        <w:top w:val="single" w:color="000000" w:sz="4" w:space="0"/>
        <w:left w:val="single" w:color="000000" w:sz="4" w:space="0"/>
        <w:right w:val="single" w:color="000000" w:sz="4" w:space="0"/>
      </w:pBdr>
      <w:spacing w:before="100" w:beforeAutospacing="1" w:after="100" w:afterAutospacing="1"/>
      <w:jc w:val="center"/>
    </w:pPr>
    <w:rPr>
      <w:rFonts w:ascii="宋体" w:hAnsi="宋体" w:cs="宋体"/>
      <w:kern w:val="0"/>
      <w:sz w:val="18"/>
      <w:szCs w:val="18"/>
    </w:rPr>
  </w:style>
  <w:style w:type="paragraph" w:customStyle="1" w:styleId="296">
    <w:name w:val="xl80"/>
    <w:basedOn w:val="1"/>
    <w:qFormat/>
    <w:uiPriority w:val="99"/>
    <w:pPr>
      <w:widowControl/>
      <w:pBdr>
        <w:top w:val="single" w:color="000000" w:sz="4" w:space="0"/>
        <w:left w:val="single" w:color="000000" w:sz="4" w:space="0"/>
        <w:right w:val="single" w:color="000000" w:sz="4" w:space="0"/>
      </w:pBdr>
      <w:spacing w:before="100" w:beforeAutospacing="1" w:after="100" w:afterAutospacing="1"/>
      <w:jc w:val="right"/>
    </w:pPr>
    <w:rPr>
      <w:rFonts w:ascii="宋体" w:hAnsi="宋体" w:cs="宋体"/>
      <w:kern w:val="0"/>
      <w:sz w:val="18"/>
      <w:szCs w:val="18"/>
    </w:rPr>
  </w:style>
  <w:style w:type="paragraph" w:customStyle="1" w:styleId="297">
    <w:name w:val="xl81"/>
    <w:basedOn w:val="1"/>
    <w:qFormat/>
    <w:uiPriority w:val="99"/>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kern w:val="0"/>
      <w:sz w:val="18"/>
      <w:szCs w:val="18"/>
    </w:rPr>
  </w:style>
  <w:style w:type="paragraph" w:customStyle="1" w:styleId="298">
    <w:name w:val="xl82"/>
    <w:basedOn w:val="1"/>
    <w:qFormat/>
    <w:uiPriority w:val="99"/>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kern w:val="0"/>
      <w:sz w:val="18"/>
      <w:szCs w:val="18"/>
    </w:rPr>
  </w:style>
  <w:style w:type="paragraph" w:customStyle="1" w:styleId="299">
    <w:name w:val="xl83"/>
    <w:basedOn w:val="1"/>
    <w:qFormat/>
    <w:uiPriority w:val="99"/>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right"/>
    </w:pPr>
    <w:rPr>
      <w:rFonts w:ascii="宋体" w:hAnsi="宋体" w:cs="宋体"/>
      <w:kern w:val="0"/>
      <w:sz w:val="18"/>
      <w:szCs w:val="18"/>
    </w:rPr>
  </w:style>
  <w:style w:type="paragraph" w:customStyle="1" w:styleId="300">
    <w:name w:val="xl8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301">
    <w:name w:val="xl8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302">
    <w:name w:val="xl86"/>
    <w:basedOn w:val="1"/>
    <w:qFormat/>
    <w:uiPriority w:val="99"/>
    <w:pPr>
      <w:widowControl/>
      <w:pBdr>
        <w:top w:val="single" w:color="000000" w:sz="4" w:space="0"/>
        <w:left w:val="single" w:color="000000" w:sz="4" w:space="0"/>
        <w:right w:val="single" w:color="000000" w:sz="4" w:space="0"/>
      </w:pBdr>
      <w:spacing w:before="100" w:beforeAutospacing="1" w:after="100" w:afterAutospacing="1"/>
      <w:jc w:val="left"/>
    </w:pPr>
    <w:rPr>
      <w:rFonts w:ascii="宋体" w:hAnsi="宋体" w:cs="宋体"/>
      <w:kern w:val="0"/>
      <w:sz w:val="18"/>
      <w:szCs w:val="18"/>
    </w:rPr>
  </w:style>
  <w:style w:type="paragraph" w:customStyle="1" w:styleId="303">
    <w:name w:val="xl87"/>
    <w:basedOn w:val="1"/>
    <w:qFormat/>
    <w:uiPriority w:val="99"/>
    <w:pPr>
      <w:widowControl/>
      <w:pBdr>
        <w:top w:val="single" w:color="000000" w:sz="4" w:space="0"/>
        <w:left w:val="single" w:color="000000" w:sz="4" w:space="0"/>
        <w:right w:val="single" w:color="000000" w:sz="4" w:space="0"/>
      </w:pBdr>
      <w:spacing w:before="100" w:beforeAutospacing="1" w:after="100" w:afterAutospacing="1"/>
      <w:jc w:val="center"/>
    </w:pPr>
    <w:rPr>
      <w:rFonts w:ascii="宋体" w:hAnsi="宋体" w:cs="宋体"/>
      <w:kern w:val="0"/>
      <w:sz w:val="18"/>
      <w:szCs w:val="18"/>
    </w:rPr>
  </w:style>
  <w:style w:type="paragraph" w:customStyle="1" w:styleId="304">
    <w:name w:val="xl88"/>
    <w:basedOn w:val="1"/>
    <w:qFormat/>
    <w:uiPriority w:val="99"/>
    <w:pPr>
      <w:widowControl/>
      <w:pBdr>
        <w:top w:val="single" w:color="000000" w:sz="4" w:space="0"/>
        <w:left w:val="single" w:color="000000" w:sz="4" w:space="0"/>
        <w:right w:val="single" w:color="000000" w:sz="4" w:space="0"/>
      </w:pBdr>
      <w:spacing w:before="100" w:beforeAutospacing="1" w:after="100" w:afterAutospacing="1"/>
      <w:jc w:val="right"/>
    </w:pPr>
    <w:rPr>
      <w:rFonts w:ascii="宋体" w:hAnsi="宋体" w:cs="宋体"/>
      <w:kern w:val="0"/>
      <w:sz w:val="18"/>
      <w:szCs w:val="18"/>
    </w:rPr>
  </w:style>
  <w:style w:type="paragraph" w:customStyle="1" w:styleId="305">
    <w:name w:val="xl8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306">
    <w:name w:val="xl9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307">
    <w:name w:val="Char Char2 Char Char Char Char"/>
    <w:basedOn w:val="1"/>
    <w:qFormat/>
    <w:uiPriority w:val="99"/>
    <w:rPr>
      <w:rFonts w:ascii="Tahoma" w:hAnsi="Tahoma" w:cs="Tahoma"/>
      <w:sz w:val="24"/>
      <w:szCs w:val="24"/>
      <w:u w:val="single"/>
    </w:rPr>
  </w:style>
  <w:style w:type="paragraph" w:customStyle="1" w:styleId="308">
    <w:name w:val="Char Char1 Char Char1"/>
    <w:basedOn w:val="1"/>
    <w:qFormat/>
    <w:uiPriority w:val="99"/>
    <w:rPr>
      <w:rFonts w:ascii="Tahoma" w:hAnsi="Tahoma" w:cs="Tahoma"/>
      <w:sz w:val="24"/>
      <w:szCs w:val="24"/>
    </w:rPr>
  </w:style>
  <w:style w:type="paragraph" w:customStyle="1" w:styleId="309">
    <w:name w:val="Char Char13"/>
    <w:basedOn w:val="1"/>
    <w:qFormat/>
    <w:uiPriority w:val="99"/>
    <w:pPr>
      <w:widowControl/>
      <w:spacing w:after="160" w:line="240" w:lineRule="exact"/>
      <w:jc w:val="left"/>
    </w:pPr>
    <w:rPr>
      <w:rFonts w:ascii="Verdana" w:hAnsi="Verdana" w:cs="Verdana"/>
      <w:kern w:val="0"/>
      <w:sz w:val="20"/>
      <w:szCs w:val="20"/>
      <w:lang w:eastAsia="en-US"/>
    </w:rPr>
  </w:style>
  <w:style w:type="paragraph" w:customStyle="1" w:styleId="310">
    <w:name w:val="_Style 52"/>
    <w:basedOn w:val="1"/>
    <w:qFormat/>
    <w:uiPriority w:val="99"/>
    <w:pPr>
      <w:widowControl/>
      <w:spacing w:after="160" w:line="240" w:lineRule="exact"/>
      <w:jc w:val="left"/>
    </w:pPr>
  </w:style>
  <w:style w:type="character" w:customStyle="1" w:styleId="311">
    <w:name w:val="font5 Char"/>
    <w:qFormat/>
    <w:uiPriority w:val="99"/>
    <w:rPr>
      <w:rFonts w:ascii="宋体" w:hAnsi="宋体" w:eastAsia="宋体" w:cs="宋体"/>
      <w:kern w:val="2"/>
      <w:sz w:val="24"/>
      <w:szCs w:val="24"/>
      <w:lang w:val="en-US" w:eastAsia="zh-CN"/>
    </w:rPr>
  </w:style>
  <w:style w:type="character" w:customStyle="1" w:styleId="312">
    <w:name w:val="标题 3 Char1"/>
    <w:qFormat/>
    <w:uiPriority w:val="99"/>
    <w:rPr>
      <w:rFonts w:eastAsia="宋体"/>
      <w:b/>
      <w:bCs/>
      <w:kern w:val="2"/>
      <w:sz w:val="24"/>
      <w:szCs w:val="24"/>
      <w:lang w:val="en-US" w:eastAsia="zh-CN"/>
    </w:rPr>
  </w:style>
  <w:style w:type="character" w:customStyle="1" w:styleId="313">
    <w:name w:val="脚注文本 Char1"/>
    <w:qFormat/>
    <w:uiPriority w:val="99"/>
    <w:rPr>
      <w:kern w:val="2"/>
      <w:sz w:val="18"/>
      <w:szCs w:val="18"/>
    </w:rPr>
  </w:style>
  <w:style w:type="character" w:customStyle="1" w:styleId="314">
    <w:name w:val="文档结构图 Char1"/>
    <w:qFormat/>
    <w:uiPriority w:val="99"/>
    <w:rPr>
      <w:rFonts w:ascii="宋体" w:hAnsi="宋体" w:eastAsia="宋体" w:cs="宋体"/>
      <w:kern w:val="2"/>
      <w:sz w:val="18"/>
      <w:szCs w:val="18"/>
    </w:rPr>
  </w:style>
  <w:style w:type="character" w:customStyle="1" w:styleId="315">
    <w:name w:val="尾注文本 Char1"/>
    <w:qFormat/>
    <w:uiPriority w:val="99"/>
    <w:rPr>
      <w:kern w:val="2"/>
      <w:sz w:val="24"/>
      <w:szCs w:val="24"/>
    </w:rPr>
  </w:style>
  <w:style w:type="character" w:customStyle="1" w:styleId="316">
    <w:name w:val="Char Char91"/>
    <w:qFormat/>
    <w:uiPriority w:val="99"/>
    <w:rPr>
      <w:rFonts w:eastAsia="宋体"/>
      <w:b/>
      <w:bCs/>
      <w:kern w:val="44"/>
      <w:sz w:val="44"/>
      <w:szCs w:val="44"/>
      <w:lang w:val="en-US" w:eastAsia="zh-CN"/>
    </w:rPr>
  </w:style>
  <w:style w:type="character" w:customStyle="1" w:styleId="317">
    <w:name w:val="Char Char6"/>
    <w:qFormat/>
    <w:locked/>
    <w:uiPriority w:val="99"/>
    <w:rPr>
      <w:rFonts w:eastAsia="宋体"/>
      <w:b/>
      <w:bCs/>
      <w:kern w:val="44"/>
      <w:sz w:val="44"/>
      <w:szCs w:val="44"/>
      <w:lang w:val="en-US" w:eastAsia="zh-CN"/>
    </w:rPr>
  </w:style>
  <w:style w:type="character" w:customStyle="1" w:styleId="318">
    <w:name w:val="明显引用 Char1"/>
    <w:qFormat/>
    <w:uiPriority w:val="99"/>
    <w:rPr>
      <w:b/>
      <w:bCs/>
      <w:i/>
      <w:iCs/>
      <w:color w:val="4F81BD"/>
      <w:kern w:val="2"/>
      <w:sz w:val="24"/>
      <w:szCs w:val="24"/>
    </w:rPr>
  </w:style>
  <w:style w:type="character" w:customStyle="1" w:styleId="319">
    <w:name w:val="Char Char22"/>
    <w:qFormat/>
    <w:uiPriority w:val="99"/>
    <w:rPr>
      <w:rFonts w:ascii="Times New Roman" w:hAnsi="Times New Roman" w:eastAsia="宋体" w:cs="Times New Roman"/>
      <w:b/>
      <w:bCs/>
      <w:kern w:val="44"/>
      <w:sz w:val="44"/>
      <w:szCs w:val="44"/>
    </w:rPr>
  </w:style>
  <w:style w:type="character" w:customStyle="1" w:styleId="320">
    <w:name w:val="Heading 3 Char1"/>
    <w:qFormat/>
    <w:uiPriority w:val="99"/>
    <w:rPr>
      <w:rFonts w:eastAsia="宋体"/>
      <w:b/>
      <w:bCs/>
      <w:kern w:val="2"/>
      <w:sz w:val="32"/>
      <w:szCs w:val="32"/>
      <w:lang w:val="en-US" w:eastAsia="zh-CN"/>
    </w:rPr>
  </w:style>
  <w:style w:type="character" w:customStyle="1" w:styleId="321">
    <w:name w:val="displayarti"/>
    <w:qFormat/>
    <w:uiPriority w:val="99"/>
    <w:rPr>
      <w:color w:val="FFFFFF"/>
      <w:shd w:val="clear" w:color="auto" w:fill="auto"/>
    </w:rPr>
  </w:style>
  <w:style w:type="character" w:customStyle="1" w:styleId="322">
    <w:name w:val="Char Char8"/>
    <w:qFormat/>
    <w:uiPriority w:val="99"/>
    <w:rPr>
      <w:rFonts w:ascii="宋体" w:hAnsi="Courier New" w:eastAsia="宋体" w:cs="宋体"/>
      <w:kern w:val="2"/>
      <w:sz w:val="24"/>
      <w:szCs w:val="24"/>
      <w:lang w:val="en-US" w:eastAsia="zh-CN"/>
    </w:rPr>
  </w:style>
  <w:style w:type="character" w:customStyle="1" w:styleId="323">
    <w:name w:val="Char Char24"/>
    <w:qFormat/>
    <w:uiPriority w:val="99"/>
    <w:rPr>
      <w:rFonts w:eastAsia="宋体"/>
      <w:b/>
      <w:bCs/>
      <w:kern w:val="44"/>
      <w:sz w:val="44"/>
      <w:szCs w:val="44"/>
      <w:lang w:val="en-US" w:eastAsia="zh-CN"/>
    </w:rPr>
  </w:style>
  <w:style w:type="character" w:customStyle="1" w:styleId="324">
    <w:name w:val="Comment Text Char1"/>
    <w:qFormat/>
    <w:uiPriority w:val="99"/>
    <w:rPr>
      <w:sz w:val="24"/>
      <w:szCs w:val="24"/>
    </w:rPr>
  </w:style>
  <w:style w:type="character" w:customStyle="1" w:styleId="325">
    <w:name w:val="Char Char181"/>
    <w:qFormat/>
    <w:uiPriority w:val="99"/>
    <w:rPr>
      <w:b/>
      <w:bCs/>
      <w:kern w:val="44"/>
      <w:sz w:val="44"/>
      <w:szCs w:val="44"/>
    </w:rPr>
  </w:style>
  <w:style w:type="character" w:customStyle="1" w:styleId="326">
    <w:name w:val="Quote Char1"/>
    <w:link w:val="327"/>
    <w:qFormat/>
    <w:locked/>
    <w:uiPriority w:val="99"/>
    <w:rPr>
      <w:i/>
      <w:iCs/>
      <w:color w:val="000000"/>
      <w:kern w:val="2"/>
      <w:sz w:val="22"/>
      <w:szCs w:val="22"/>
    </w:rPr>
  </w:style>
  <w:style w:type="paragraph" w:customStyle="1" w:styleId="327">
    <w:name w:val="Quote1"/>
    <w:basedOn w:val="1"/>
    <w:next w:val="1"/>
    <w:link w:val="326"/>
    <w:qFormat/>
    <w:uiPriority w:val="99"/>
    <w:rPr>
      <w:i/>
      <w:iCs/>
      <w:color w:val="000000"/>
      <w:sz w:val="22"/>
      <w:szCs w:val="22"/>
    </w:rPr>
  </w:style>
  <w:style w:type="character" w:customStyle="1" w:styleId="328">
    <w:name w:val="Char Char18"/>
    <w:qFormat/>
    <w:uiPriority w:val="99"/>
    <w:rPr>
      <w:b/>
      <w:bCs/>
      <w:kern w:val="44"/>
      <w:sz w:val="44"/>
      <w:szCs w:val="44"/>
    </w:rPr>
  </w:style>
  <w:style w:type="character" w:customStyle="1" w:styleId="329">
    <w:name w:val="批注框文本 Char2"/>
    <w:semiHidden/>
    <w:qFormat/>
    <w:uiPriority w:val="99"/>
    <w:rPr>
      <w:kern w:val="2"/>
      <w:sz w:val="18"/>
      <w:szCs w:val="18"/>
    </w:rPr>
  </w:style>
  <w:style w:type="character" w:customStyle="1" w:styleId="330">
    <w:name w:val="标题 Char1"/>
    <w:qFormat/>
    <w:uiPriority w:val="99"/>
    <w:rPr>
      <w:rFonts w:ascii="Cambria" w:hAnsi="Cambria" w:cs="Cambria"/>
      <w:b/>
      <w:bCs/>
      <w:kern w:val="2"/>
      <w:sz w:val="32"/>
      <w:szCs w:val="32"/>
    </w:rPr>
  </w:style>
  <w:style w:type="character" w:customStyle="1" w:styleId="331">
    <w:name w:val="正文文本缩进 2 Char1"/>
    <w:semiHidden/>
    <w:qFormat/>
    <w:uiPriority w:val="99"/>
    <w:rPr>
      <w:kern w:val="2"/>
      <w:sz w:val="24"/>
      <w:szCs w:val="24"/>
    </w:rPr>
  </w:style>
  <w:style w:type="character" w:customStyle="1" w:styleId="332">
    <w:name w:val="_Style 319"/>
    <w:qFormat/>
    <w:uiPriority w:val="99"/>
    <w:rPr>
      <w:b/>
      <w:bCs/>
      <w:smallCaps/>
      <w:spacing w:val="5"/>
    </w:rPr>
  </w:style>
  <w:style w:type="character" w:customStyle="1" w:styleId="333">
    <w:name w:val="批注主题 Char2"/>
    <w:semiHidden/>
    <w:qFormat/>
    <w:uiPriority w:val="99"/>
    <w:rPr>
      <w:b/>
      <w:bCs/>
      <w:kern w:val="2"/>
      <w:sz w:val="24"/>
      <w:szCs w:val="24"/>
    </w:rPr>
  </w:style>
  <w:style w:type="character" w:customStyle="1" w:styleId="334">
    <w:name w:val="current"/>
    <w:qFormat/>
    <w:uiPriority w:val="99"/>
    <w:rPr>
      <w:color w:val="FFFFFF"/>
      <w:bdr w:val="single" w:color="auto" w:sz="6" w:space="0"/>
      <w:shd w:val="clear" w:color="auto" w:fill="auto"/>
    </w:rPr>
  </w:style>
  <w:style w:type="character" w:customStyle="1" w:styleId="335">
    <w:name w:val="_Style 322"/>
    <w:qFormat/>
    <w:uiPriority w:val="99"/>
    <w:rPr>
      <w:i/>
      <w:iCs/>
      <w:color w:val="808080"/>
    </w:rPr>
  </w:style>
  <w:style w:type="character" w:customStyle="1" w:styleId="336">
    <w:name w:val="bsharetext"/>
    <w:qFormat/>
    <w:uiPriority w:val="99"/>
  </w:style>
  <w:style w:type="character" w:customStyle="1" w:styleId="337">
    <w:name w:val="批注框文本 Char1"/>
    <w:qFormat/>
    <w:uiPriority w:val="99"/>
    <w:rPr>
      <w:kern w:val="2"/>
      <w:sz w:val="18"/>
      <w:szCs w:val="18"/>
    </w:rPr>
  </w:style>
  <w:style w:type="character" w:customStyle="1" w:styleId="338">
    <w:name w:val="标题 3 Char_0"/>
    <w:link w:val="339"/>
    <w:qFormat/>
    <w:locked/>
    <w:uiPriority w:val="99"/>
    <w:rPr>
      <w:b/>
      <w:bCs/>
      <w:sz w:val="32"/>
      <w:szCs w:val="32"/>
    </w:rPr>
  </w:style>
  <w:style w:type="paragraph" w:customStyle="1" w:styleId="339">
    <w:name w:val="标题 3_0"/>
    <w:basedOn w:val="340"/>
    <w:next w:val="340"/>
    <w:link w:val="338"/>
    <w:qFormat/>
    <w:uiPriority w:val="99"/>
    <w:pPr>
      <w:keepNext/>
      <w:keepLines/>
      <w:spacing w:line="360" w:lineRule="auto"/>
      <w:outlineLvl w:val="2"/>
    </w:pPr>
    <w:rPr>
      <w:b/>
      <w:bCs/>
      <w:kern w:val="0"/>
      <w:sz w:val="24"/>
      <w:szCs w:val="24"/>
    </w:rPr>
  </w:style>
  <w:style w:type="paragraph" w:customStyle="1" w:styleId="340">
    <w:name w:val="正文_0"/>
    <w:qFormat/>
    <w:uiPriority w:val="99"/>
    <w:pPr>
      <w:widowControl w:val="0"/>
      <w:jc w:val="both"/>
    </w:pPr>
    <w:rPr>
      <w:rFonts w:ascii="Times New Roman" w:hAnsi="Times New Roman" w:eastAsia="宋体" w:cs="Times New Roman"/>
      <w:kern w:val="2"/>
      <w:sz w:val="21"/>
      <w:szCs w:val="21"/>
      <w:lang w:val="en-US" w:eastAsia="zh-CN" w:bidi="ar-SA"/>
    </w:rPr>
  </w:style>
  <w:style w:type="character" w:customStyle="1" w:styleId="341">
    <w:name w:val="表头 照片 Char"/>
    <w:link w:val="342"/>
    <w:qFormat/>
    <w:locked/>
    <w:uiPriority w:val="99"/>
    <w:rPr>
      <w:b/>
      <w:bCs/>
      <w:kern w:val="2"/>
      <w:sz w:val="24"/>
      <w:szCs w:val="24"/>
    </w:rPr>
  </w:style>
  <w:style w:type="paragraph" w:customStyle="1" w:styleId="342">
    <w:name w:val="表头 照片"/>
    <w:basedOn w:val="1"/>
    <w:link w:val="341"/>
    <w:qFormat/>
    <w:uiPriority w:val="99"/>
    <w:pPr>
      <w:spacing w:beforeLines="50" w:afterLines="50"/>
      <w:jc w:val="center"/>
    </w:pPr>
    <w:rPr>
      <w:b/>
      <w:bCs/>
      <w:sz w:val="24"/>
      <w:szCs w:val="24"/>
    </w:rPr>
  </w:style>
  <w:style w:type="character" w:customStyle="1" w:styleId="343">
    <w:name w:val="手改 Char Char"/>
    <w:qFormat/>
    <w:uiPriority w:val="99"/>
    <w:rPr>
      <w:rFonts w:eastAsia="宋体"/>
      <w:kern w:val="2"/>
      <w:sz w:val="22"/>
      <w:szCs w:val="22"/>
    </w:rPr>
  </w:style>
  <w:style w:type="character" w:customStyle="1" w:styleId="344">
    <w:name w:val="标题 1 Char1"/>
    <w:qFormat/>
    <w:uiPriority w:val="99"/>
    <w:rPr>
      <w:rFonts w:eastAsia="黑体"/>
      <w:kern w:val="44"/>
      <w:sz w:val="32"/>
      <w:szCs w:val="32"/>
      <w:lang w:val="en-US" w:eastAsia="zh-CN"/>
    </w:rPr>
  </w:style>
  <w:style w:type="character" w:customStyle="1" w:styleId="345">
    <w:name w:val="selected"/>
    <w:qFormat/>
    <w:uiPriority w:val="99"/>
    <w:rPr>
      <w:shd w:val="clear" w:color="auto" w:fill="auto"/>
    </w:rPr>
  </w:style>
  <w:style w:type="character" w:customStyle="1" w:styleId="346">
    <w:name w:val="font161"/>
    <w:qFormat/>
    <w:uiPriority w:val="99"/>
    <w:rPr>
      <w:rFonts w:ascii="Arial" w:hAnsi="Arial" w:eastAsia="黑体" w:cs="Arial"/>
      <w:b/>
      <w:bCs/>
      <w:kern w:val="2"/>
      <w:sz w:val="32"/>
      <w:szCs w:val="32"/>
      <w:lang w:val="en-US" w:eastAsia="zh-CN"/>
    </w:rPr>
  </w:style>
  <w:style w:type="character" w:customStyle="1" w:styleId="347">
    <w:name w:val="gpa"/>
    <w:qFormat/>
    <w:uiPriority w:val="99"/>
    <w:rPr>
      <w:rFonts w:ascii="Arial" w:hAnsi="Arial" w:cs="Arial"/>
      <w:sz w:val="15"/>
      <w:szCs w:val="15"/>
    </w:rPr>
  </w:style>
  <w:style w:type="character" w:customStyle="1" w:styleId="348">
    <w:name w:val="Char Char23"/>
    <w:qFormat/>
    <w:uiPriority w:val="99"/>
    <w:rPr>
      <w:rFonts w:eastAsia="宋体"/>
      <w:b/>
      <w:bCs/>
      <w:kern w:val="44"/>
      <w:sz w:val="44"/>
      <w:szCs w:val="44"/>
      <w:lang w:val="en-US" w:eastAsia="zh-CN"/>
    </w:rPr>
  </w:style>
  <w:style w:type="character" w:customStyle="1" w:styleId="349">
    <w:name w:val="标题 1 Char_0"/>
    <w:link w:val="350"/>
    <w:qFormat/>
    <w:locked/>
    <w:uiPriority w:val="99"/>
    <w:rPr>
      <w:b/>
      <w:bCs/>
      <w:kern w:val="44"/>
      <w:sz w:val="44"/>
      <w:szCs w:val="44"/>
    </w:rPr>
  </w:style>
  <w:style w:type="paragraph" w:customStyle="1" w:styleId="350">
    <w:name w:val="标题 1_0"/>
    <w:basedOn w:val="340"/>
    <w:next w:val="340"/>
    <w:link w:val="349"/>
    <w:qFormat/>
    <w:uiPriority w:val="99"/>
    <w:pPr>
      <w:keepNext/>
      <w:keepLines/>
      <w:spacing w:line="360" w:lineRule="auto"/>
      <w:outlineLvl w:val="0"/>
    </w:pPr>
    <w:rPr>
      <w:b/>
      <w:bCs/>
      <w:kern w:val="44"/>
      <w:sz w:val="32"/>
      <w:szCs w:val="32"/>
    </w:rPr>
  </w:style>
  <w:style w:type="character" w:customStyle="1" w:styleId="351">
    <w:name w:val="Para head"/>
    <w:qFormat/>
    <w:uiPriority w:val="99"/>
    <w:rPr>
      <w:rFonts w:ascii="Arial" w:hAnsi="Arial" w:cs="Arial"/>
      <w:sz w:val="20"/>
      <w:szCs w:val="20"/>
    </w:rPr>
  </w:style>
  <w:style w:type="character" w:customStyle="1" w:styleId="352">
    <w:name w:val="批注文字 Char Char"/>
    <w:qFormat/>
    <w:uiPriority w:val="99"/>
    <w:rPr>
      <w:rFonts w:ascii="宋体" w:hAnsi="Times New Roman" w:eastAsia="宋体" w:cs="宋体"/>
      <w:sz w:val="20"/>
      <w:szCs w:val="20"/>
    </w:rPr>
  </w:style>
  <w:style w:type="character" w:customStyle="1" w:styleId="353">
    <w:name w:val="页脚 Char1"/>
    <w:semiHidden/>
    <w:qFormat/>
    <w:uiPriority w:val="99"/>
    <w:rPr>
      <w:kern w:val="2"/>
      <w:sz w:val="18"/>
      <w:szCs w:val="18"/>
    </w:rPr>
  </w:style>
  <w:style w:type="character" w:customStyle="1" w:styleId="354">
    <w:name w:val="纯文本 Char2"/>
    <w:semiHidden/>
    <w:qFormat/>
    <w:uiPriority w:val="99"/>
    <w:rPr>
      <w:rFonts w:ascii="宋体" w:hAnsi="Courier New" w:eastAsia="宋体" w:cs="宋体"/>
      <w:kern w:val="2"/>
      <w:sz w:val="21"/>
      <w:szCs w:val="21"/>
    </w:rPr>
  </w:style>
  <w:style w:type="character" w:customStyle="1" w:styleId="355">
    <w:name w:val="日期 Char1"/>
    <w:qFormat/>
    <w:uiPriority w:val="99"/>
    <w:rPr>
      <w:kern w:val="2"/>
      <w:sz w:val="24"/>
      <w:szCs w:val="24"/>
    </w:rPr>
  </w:style>
  <w:style w:type="character" w:customStyle="1" w:styleId="356">
    <w:name w:val="_Style 346"/>
    <w:qFormat/>
    <w:uiPriority w:val="99"/>
    <w:rPr>
      <w:smallCaps/>
      <w:color w:val="auto"/>
      <w:u w:val="single"/>
    </w:rPr>
  </w:style>
  <w:style w:type="character" w:customStyle="1" w:styleId="357">
    <w:name w:val="disabled"/>
    <w:qFormat/>
    <w:uiPriority w:val="99"/>
    <w:rPr>
      <w:vanish/>
    </w:rPr>
  </w:style>
  <w:style w:type="character" w:customStyle="1" w:styleId="358">
    <w:name w:val="批注主题 Char1"/>
    <w:qFormat/>
    <w:uiPriority w:val="99"/>
    <w:rPr>
      <w:b/>
      <w:bCs/>
      <w:kern w:val="2"/>
      <w:sz w:val="24"/>
      <w:szCs w:val="24"/>
    </w:rPr>
  </w:style>
  <w:style w:type="character" w:customStyle="1" w:styleId="359">
    <w:name w:val="副标题 Char1"/>
    <w:qFormat/>
    <w:uiPriority w:val="99"/>
    <w:rPr>
      <w:rFonts w:ascii="Cambria" w:hAnsi="Cambria" w:cs="Cambria"/>
      <w:b/>
      <w:bCs/>
      <w:kern w:val="28"/>
      <w:sz w:val="32"/>
      <w:szCs w:val="32"/>
    </w:rPr>
  </w:style>
  <w:style w:type="character" w:customStyle="1" w:styleId="360">
    <w:name w:val="标题5 Char Char"/>
    <w:link w:val="361"/>
    <w:qFormat/>
    <w:locked/>
    <w:uiPriority w:val="99"/>
    <w:rPr>
      <w:rFonts w:ascii="Arial" w:hAnsi="Arial" w:cs="Arial"/>
      <w:b/>
      <w:bCs/>
      <w:sz w:val="32"/>
      <w:szCs w:val="32"/>
    </w:rPr>
  </w:style>
  <w:style w:type="paragraph" w:customStyle="1" w:styleId="361">
    <w:name w:val="标题5"/>
    <w:basedOn w:val="4"/>
    <w:link w:val="360"/>
    <w:qFormat/>
    <w:uiPriority w:val="99"/>
    <w:pPr>
      <w:spacing w:line="413" w:lineRule="auto"/>
    </w:pPr>
    <w:rPr>
      <w:rFonts w:ascii="Arial" w:hAnsi="Arial" w:cs="Arial"/>
      <w:kern w:val="0"/>
      <w:sz w:val="24"/>
      <w:szCs w:val="24"/>
    </w:rPr>
  </w:style>
  <w:style w:type="character" w:customStyle="1" w:styleId="362">
    <w:name w:val="Char Char21"/>
    <w:qFormat/>
    <w:uiPriority w:val="99"/>
    <w:rPr>
      <w:rFonts w:ascii="Arial" w:hAnsi="Arial" w:eastAsia="黑体" w:cs="Arial"/>
      <w:b/>
      <w:bCs/>
      <w:sz w:val="32"/>
      <w:szCs w:val="32"/>
    </w:rPr>
  </w:style>
  <w:style w:type="character" w:customStyle="1" w:styleId="363">
    <w:name w:val="Char Char20"/>
    <w:qFormat/>
    <w:uiPriority w:val="99"/>
    <w:rPr>
      <w:rFonts w:ascii="Times New Roman" w:hAnsi="Times New Roman" w:eastAsia="宋体" w:cs="Times New Roman"/>
      <w:b/>
      <w:bCs/>
      <w:sz w:val="32"/>
      <w:szCs w:val="32"/>
    </w:rPr>
  </w:style>
  <w:style w:type="character" w:customStyle="1" w:styleId="364">
    <w:name w:val="标题3 Char Char"/>
    <w:link w:val="365"/>
    <w:qFormat/>
    <w:locked/>
    <w:uiPriority w:val="99"/>
    <w:rPr>
      <w:rFonts w:ascii="宋体" w:hAnsi="宋体" w:eastAsia="楷体_GB2312" w:cs="宋体"/>
      <w:kern w:val="44"/>
      <w:sz w:val="24"/>
      <w:szCs w:val="24"/>
    </w:rPr>
  </w:style>
  <w:style w:type="paragraph" w:customStyle="1" w:styleId="365">
    <w:name w:val="标题3"/>
    <w:basedOn w:val="2"/>
    <w:link w:val="364"/>
    <w:qFormat/>
    <w:uiPriority w:val="99"/>
    <w:pPr>
      <w:spacing w:beforeLines="50" w:afterLines="50" w:line="400" w:lineRule="exact"/>
      <w:jc w:val="center"/>
    </w:pPr>
    <w:rPr>
      <w:rFonts w:ascii="宋体" w:hAnsi="宋体" w:eastAsia="楷体_GB2312" w:cs="宋体"/>
      <w:b w:val="0"/>
      <w:bCs w:val="0"/>
      <w:sz w:val="28"/>
      <w:szCs w:val="28"/>
    </w:rPr>
  </w:style>
  <w:style w:type="character" w:customStyle="1" w:styleId="366">
    <w:name w:val="Char Char15"/>
    <w:qFormat/>
    <w:uiPriority w:val="99"/>
    <w:rPr>
      <w:b/>
      <w:bCs/>
      <w:kern w:val="2"/>
      <w:sz w:val="32"/>
      <w:szCs w:val="32"/>
    </w:rPr>
  </w:style>
  <w:style w:type="character" w:customStyle="1" w:styleId="367">
    <w:name w:val="Intense Quote Char1"/>
    <w:link w:val="368"/>
    <w:qFormat/>
    <w:locked/>
    <w:uiPriority w:val="99"/>
    <w:rPr>
      <w:b/>
      <w:bCs/>
      <w:i/>
      <w:iCs/>
      <w:color w:val="4F81BD"/>
      <w:kern w:val="2"/>
      <w:sz w:val="22"/>
      <w:szCs w:val="22"/>
    </w:rPr>
  </w:style>
  <w:style w:type="paragraph" w:customStyle="1" w:styleId="368">
    <w:name w:val="Intense Quote1"/>
    <w:basedOn w:val="1"/>
    <w:next w:val="1"/>
    <w:link w:val="367"/>
    <w:qFormat/>
    <w:uiPriority w:val="99"/>
    <w:pPr>
      <w:pBdr>
        <w:bottom w:val="single" w:color="4F81BD" w:sz="4" w:space="4"/>
      </w:pBdr>
      <w:spacing w:before="200" w:after="280"/>
      <w:ind w:left="936" w:right="936"/>
    </w:pPr>
    <w:rPr>
      <w:b/>
      <w:bCs/>
      <w:i/>
      <w:iCs/>
      <w:color w:val="4F81BD"/>
      <w:sz w:val="22"/>
      <w:szCs w:val="22"/>
    </w:rPr>
  </w:style>
  <w:style w:type="character" w:customStyle="1" w:styleId="369">
    <w:name w:val="标题 2 Char_0"/>
    <w:link w:val="370"/>
    <w:qFormat/>
    <w:locked/>
    <w:uiPriority w:val="99"/>
    <w:rPr>
      <w:rFonts w:ascii="Arial" w:hAnsi="Arial" w:eastAsia="黑体" w:cs="Arial"/>
      <w:b/>
      <w:bCs/>
      <w:sz w:val="32"/>
      <w:szCs w:val="32"/>
    </w:rPr>
  </w:style>
  <w:style w:type="paragraph" w:customStyle="1" w:styleId="370">
    <w:name w:val="标题 2_0"/>
    <w:basedOn w:val="340"/>
    <w:next w:val="340"/>
    <w:link w:val="369"/>
    <w:qFormat/>
    <w:uiPriority w:val="99"/>
    <w:pPr>
      <w:keepNext/>
      <w:keepLines/>
      <w:spacing w:before="260" w:after="260" w:line="413" w:lineRule="auto"/>
      <w:outlineLvl w:val="1"/>
    </w:pPr>
    <w:rPr>
      <w:rFonts w:ascii="Arial" w:hAnsi="Arial" w:eastAsia="黑体" w:cs="Arial"/>
      <w:b/>
      <w:bCs/>
      <w:kern w:val="0"/>
      <w:sz w:val="32"/>
      <w:szCs w:val="32"/>
    </w:rPr>
  </w:style>
  <w:style w:type="character" w:customStyle="1" w:styleId="371">
    <w:name w:val="标题6 Char"/>
    <w:link w:val="372"/>
    <w:qFormat/>
    <w:locked/>
    <w:uiPriority w:val="99"/>
    <w:rPr>
      <w:rFonts w:ascii="宋体" w:hAnsi="宋体" w:eastAsia="黑体" w:cs="宋体"/>
      <w:kern w:val="2"/>
      <w:sz w:val="32"/>
      <w:szCs w:val="32"/>
    </w:rPr>
  </w:style>
  <w:style w:type="paragraph" w:customStyle="1" w:styleId="372">
    <w:name w:val="标题6"/>
    <w:basedOn w:val="1"/>
    <w:link w:val="371"/>
    <w:qFormat/>
    <w:uiPriority w:val="99"/>
    <w:pPr>
      <w:keepNext/>
      <w:keepLines/>
      <w:spacing w:line="400" w:lineRule="exact"/>
      <w:jc w:val="center"/>
      <w:outlineLvl w:val="2"/>
    </w:pPr>
    <w:rPr>
      <w:rFonts w:ascii="宋体" w:hAnsi="宋体" w:eastAsia="黑体" w:cs="宋体"/>
      <w:sz w:val="32"/>
      <w:szCs w:val="32"/>
    </w:rPr>
  </w:style>
  <w:style w:type="character" w:customStyle="1" w:styleId="373">
    <w:name w:val="Char Char19"/>
    <w:qFormat/>
    <w:uiPriority w:val="99"/>
    <w:rPr>
      <w:rFonts w:ascii="Arial" w:hAnsi="Arial" w:eastAsia="宋体" w:cs="Arial"/>
      <w:b/>
      <w:bCs/>
      <w:sz w:val="28"/>
      <w:szCs w:val="28"/>
    </w:rPr>
  </w:style>
  <w:style w:type="character" w:customStyle="1" w:styleId="374">
    <w:name w:val="_Style 368"/>
    <w:qFormat/>
    <w:uiPriority w:val="99"/>
    <w:rPr>
      <w:b/>
      <w:bCs/>
      <w:smallCaps/>
      <w:color w:val="auto"/>
      <w:spacing w:val="5"/>
      <w:u w:val="single"/>
    </w:rPr>
  </w:style>
  <w:style w:type="character" w:customStyle="1" w:styleId="375">
    <w:name w:val="页眉 Char1"/>
    <w:semiHidden/>
    <w:qFormat/>
    <w:uiPriority w:val="99"/>
    <w:rPr>
      <w:kern w:val="2"/>
      <w:sz w:val="18"/>
      <w:szCs w:val="18"/>
    </w:rPr>
  </w:style>
  <w:style w:type="character" w:customStyle="1" w:styleId="376">
    <w:name w:val="正文+粗 Char"/>
    <w:link w:val="377"/>
    <w:qFormat/>
    <w:locked/>
    <w:uiPriority w:val="99"/>
    <w:rPr>
      <w:b/>
      <w:bCs/>
      <w:kern w:val="2"/>
      <w:sz w:val="24"/>
      <w:szCs w:val="24"/>
    </w:rPr>
  </w:style>
  <w:style w:type="paragraph" w:customStyle="1" w:styleId="377">
    <w:name w:val="正文+粗"/>
    <w:basedOn w:val="1"/>
    <w:link w:val="376"/>
    <w:qFormat/>
    <w:uiPriority w:val="99"/>
    <w:pPr>
      <w:spacing w:line="520" w:lineRule="exact"/>
      <w:ind w:firstLine="562" w:firstLineChars="200"/>
    </w:pPr>
    <w:rPr>
      <w:b/>
      <w:bCs/>
      <w:sz w:val="28"/>
      <w:szCs w:val="28"/>
    </w:rPr>
  </w:style>
  <w:style w:type="character" w:customStyle="1" w:styleId="378">
    <w:name w:val="Char Char9"/>
    <w:qFormat/>
    <w:uiPriority w:val="99"/>
    <w:rPr>
      <w:rFonts w:ascii="宋体" w:hAnsi="宋体" w:eastAsia="宋体" w:cs="宋体"/>
      <w:b/>
      <w:bCs/>
      <w:kern w:val="44"/>
      <w:sz w:val="44"/>
      <w:szCs w:val="44"/>
      <w:lang w:val="en-US" w:eastAsia="zh-CN"/>
    </w:rPr>
  </w:style>
  <w:style w:type="character" w:customStyle="1" w:styleId="379">
    <w:name w:val="_Style 373"/>
    <w:qFormat/>
    <w:uiPriority w:val="99"/>
    <w:rPr>
      <w:b/>
      <w:bCs/>
      <w:i/>
      <w:iCs/>
      <w:color w:val="4F81BD"/>
    </w:rPr>
  </w:style>
  <w:style w:type="character" w:customStyle="1" w:styleId="380">
    <w:name w:val="15"/>
    <w:qFormat/>
    <w:uiPriority w:val="99"/>
  </w:style>
  <w:style w:type="character" w:customStyle="1" w:styleId="381">
    <w:name w:val="Quote Char"/>
    <w:qFormat/>
    <w:locked/>
    <w:uiPriority w:val="99"/>
    <w:rPr>
      <w:i/>
      <w:iCs/>
      <w:color w:val="000000"/>
    </w:rPr>
  </w:style>
  <w:style w:type="paragraph" w:styleId="382">
    <w:name w:val="Quote"/>
    <w:basedOn w:val="1"/>
    <w:next w:val="1"/>
    <w:link w:val="383"/>
    <w:qFormat/>
    <w:uiPriority w:val="99"/>
    <w:rPr>
      <w:i/>
      <w:iCs/>
      <w:color w:val="000000"/>
      <w:kern w:val="0"/>
      <w:sz w:val="20"/>
      <w:szCs w:val="20"/>
    </w:rPr>
  </w:style>
  <w:style w:type="character" w:customStyle="1" w:styleId="383">
    <w:name w:val="引用 Char"/>
    <w:basedOn w:val="61"/>
    <w:link w:val="382"/>
    <w:qFormat/>
    <w:uiPriority w:val="29"/>
    <w:rPr>
      <w:i/>
      <w:iCs/>
      <w:color w:val="000000" w:themeColor="text1"/>
      <w:szCs w:val="21"/>
      <w14:textFill>
        <w14:solidFill>
          <w14:schemeClr w14:val="tx1"/>
        </w14:solidFill>
      </w14:textFill>
    </w:rPr>
  </w:style>
  <w:style w:type="character" w:customStyle="1" w:styleId="384">
    <w:name w:val="Intense Quote Char"/>
    <w:qFormat/>
    <w:locked/>
    <w:uiPriority w:val="99"/>
    <w:rPr>
      <w:b/>
      <w:bCs/>
      <w:i/>
      <w:iCs/>
      <w:color w:val="4F81BD"/>
    </w:rPr>
  </w:style>
  <w:style w:type="paragraph" w:styleId="385">
    <w:name w:val="Intense Quote"/>
    <w:basedOn w:val="1"/>
    <w:next w:val="1"/>
    <w:link w:val="386"/>
    <w:qFormat/>
    <w:uiPriority w:val="99"/>
    <w:pPr>
      <w:pBdr>
        <w:bottom w:val="single" w:color="4F81BD" w:sz="4" w:space="4"/>
      </w:pBdr>
      <w:spacing w:before="200" w:after="280"/>
      <w:ind w:left="936" w:right="936"/>
    </w:pPr>
    <w:rPr>
      <w:b/>
      <w:bCs/>
      <w:i/>
      <w:iCs/>
      <w:color w:val="4F81BD"/>
      <w:kern w:val="0"/>
      <w:sz w:val="20"/>
      <w:szCs w:val="20"/>
    </w:rPr>
  </w:style>
  <w:style w:type="character" w:customStyle="1" w:styleId="386">
    <w:name w:val="明显引用 Char"/>
    <w:basedOn w:val="61"/>
    <w:link w:val="385"/>
    <w:qFormat/>
    <w:uiPriority w:val="30"/>
    <w:rPr>
      <w:b/>
      <w:bCs/>
      <w:i/>
      <w:iCs/>
      <w:color w:val="4F81BD" w:themeColor="accent1"/>
      <w:szCs w:val="21"/>
      <w14:textFill>
        <w14:solidFill>
          <w14:schemeClr w14:val="accent1"/>
        </w14:solidFill>
      </w14:textFill>
    </w:rPr>
  </w:style>
  <w:style w:type="character" w:customStyle="1" w:styleId="387">
    <w:name w:val="引用 Char1"/>
    <w:qFormat/>
    <w:uiPriority w:val="99"/>
    <w:rPr>
      <w:i/>
      <w:iCs/>
      <w:color w:val="000000"/>
      <w:kern w:val="2"/>
      <w:sz w:val="24"/>
      <w:szCs w:val="24"/>
    </w:rPr>
  </w:style>
  <w:style w:type="character" w:customStyle="1" w:styleId="388">
    <w:name w:val="标题 Char2"/>
    <w:qFormat/>
    <w:uiPriority w:val="99"/>
    <w:rPr>
      <w:rFonts w:ascii="Cambria" w:hAnsi="Cambria" w:cs="Cambria"/>
      <w:b/>
      <w:bCs/>
      <w:kern w:val="2"/>
      <w:sz w:val="32"/>
      <w:szCs w:val="32"/>
    </w:rPr>
  </w:style>
  <w:style w:type="character" w:customStyle="1" w:styleId="389">
    <w:name w:val="正文文本缩进 Char1"/>
    <w:semiHidden/>
    <w:qFormat/>
    <w:uiPriority w:val="99"/>
    <w:rPr>
      <w:kern w:val="2"/>
      <w:sz w:val="24"/>
      <w:szCs w:val="24"/>
    </w:rPr>
  </w:style>
  <w:style w:type="character" w:customStyle="1" w:styleId="390">
    <w:name w:val="脚注文本 Char2"/>
    <w:qFormat/>
    <w:uiPriority w:val="99"/>
    <w:rPr>
      <w:kern w:val="2"/>
      <w:sz w:val="18"/>
      <w:szCs w:val="18"/>
    </w:rPr>
  </w:style>
  <w:style w:type="character" w:customStyle="1" w:styleId="391">
    <w:name w:val="尾注文本 Char2"/>
    <w:qFormat/>
    <w:uiPriority w:val="99"/>
    <w:rPr>
      <w:kern w:val="2"/>
      <w:sz w:val="24"/>
      <w:szCs w:val="24"/>
    </w:rPr>
  </w:style>
  <w:style w:type="character" w:customStyle="1" w:styleId="392">
    <w:name w:val="副标题 Char2"/>
    <w:qFormat/>
    <w:uiPriority w:val="99"/>
    <w:rPr>
      <w:rFonts w:ascii="Cambria" w:hAnsi="Cambria" w:cs="Cambria"/>
      <w:b/>
      <w:bCs/>
      <w:kern w:val="28"/>
      <w:sz w:val="32"/>
      <w:szCs w:val="32"/>
    </w:rPr>
  </w:style>
  <w:style w:type="paragraph" w:customStyle="1" w:styleId="393">
    <w:name w:val="正文_2"/>
    <w:qFormat/>
    <w:uiPriority w:val="99"/>
    <w:pPr>
      <w:widowControl w:val="0"/>
      <w:jc w:val="both"/>
    </w:pPr>
    <w:rPr>
      <w:rFonts w:ascii="Calibri" w:hAnsi="Calibri" w:eastAsia="宋体" w:cs="Calibri"/>
      <w:kern w:val="2"/>
      <w:sz w:val="21"/>
      <w:szCs w:val="21"/>
      <w:lang w:val="en-US" w:eastAsia="zh-CN" w:bidi="ar-SA"/>
    </w:rPr>
  </w:style>
  <w:style w:type="paragraph" w:customStyle="1" w:styleId="394">
    <w:name w:val="样式 标题 1 + (西文) 宋体 五号"/>
    <w:basedOn w:val="2"/>
    <w:qFormat/>
    <w:uiPriority w:val="99"/>
    <w:pPr>
      <w:adjustRightInd w:val="0"/>
      <w:snapToGrid w:val="0"/>
      <w:spacing w:before="0" w:after="0" w:line="400" w:lineRule="exact"/>
      <w:jc w:val="left"/>
    </w:pPr>
    <w:rPr>
      <w:rFonts w:ascii="宋体" w:hAnsi="宋体" w:cs="宋体"/>
      <w:sz w:val="21"/>
      <w:szCs w:val="21"/>
    </w:rPr>
  </w:style>
  <w:style w:type="paragraph" w:customStyle="1" w:styleId="395">
    <w:name w:val="font8"/>
    <w:basedOn w:val="1"/>
    <w:qFormat/>
    <w:uiPriority w:val="99"/>
    <w:pPr>
      <w:widowControl/>
      <w:spacing w:before="100" w:beforeAutospacing="1" w:after="100" w:afterAutospacing="1"/>
      <w:jc w:val="left"/>
    </w:pPr>
    <w:rPr>
      <w:rFonts w:ascii="宋体" w:hAnsi="宋体" w:cs="宋体"/>
      <w:kern w:val="0"/>
      <w:sz w:val="40"/>
      <w:szCs w:val="40"/>
    </w:rPr>
  </w:style>
  <w:style w:type="paragraph" w:customStyle="1" w:styleId="396">
    <w:name w:val="Normal1"/>
    <w:qFormat/>
    <w:uiPriority w:val="99"/>
    <w:pPr>
      <w:widowControl w:val="0"/>
      <w:adjustRightInd w:val="0"/>
      <w:spacing w:line="312" w:lineRule="atLeast"/>
      <w:jc w:val="both"/>
      <w:textAlignment w:val="baseline"/>
    </w:pPr>
    <w:rPr>
      <w:rFonts w:ascii="宋体" w:hAnsi="Times New Roman" w:eastAsia="宋体" w:cs="宋体"/>
      <w:sz w:val="34"/>
      <w:szCs w:val="34"/>
      <w:lang w:val="en-US" w:eastAsia="zh-CN" w:bidi="ar-SA"/>
    </w:rPr>
  </w:style>
  <w:style w:type="paragraph" w:customStyle="1" w:styleId="397">
    <w:name w:val="font10"/>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398">
    <w:name w:val="font0"/>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399">
    <w:name w:val="Plain Text1"/>
    <w:basedOn w:val="1"/>
    <w:qFormat/>
    <w:uiPriority w:val="99"/>
    <w:pPr>
      <w:adjustRightInd w:val="0"/>
      <w:jc w:val="left"/>
      <w:textAlignment w:val="baseline"/>
    </w:pPr>
    <w:rPr>
      <w:rFonts w:ascii="宋体" w:hAnsi="Courier New" w:cs="宋体"/>
    </w:rPr>
  </w:style>
  <w:style w:type="paragraph" w:customStyle="1" w:styleId="400">
    <w:name w:val="ǲÒ³1"/>
    <w:basedOn w:val="3"/>
    <w:qFormat/>
    <w:uiPriority w:val="99"/>
    <w:pPr>
      <w:widowControl/>
      <w:spacing w:before="0" w:after="0" w:line="360" w:lineRule="auto"/>
      <w:jc w:val="center"/>
    </w:pPr>
    <w:rPr>
      <w:rFonts w:ascii="黑体" w:hAnsi="宋体" w:cs="黑体"/>
      <w:b w:val="0"/>
      <w:bCs w:val="0"/>
      <w:color w:val="000000"/>
      <w:kern w:val="0"/>
      <w:sz w:val="52"/>
      <w:szCs w:val="52"/>
    </w:rPr>
  </w:style>
  <w:style w:type="paragraph" w:customStyle="1" w:styleId="401">
    <w:name w:val="文件目录"/>
    <w:basedOn w:val="1"/>
    <w:qFormat/>
    <w:uiPriority w:val="99"/>
    <w:pPr>
      <w:spacing w:line="600" w:lineRule="exact"/>
      <w:jc w:val="left"/>
    </w:pPr>
    <w:rPr>
      <w:b/>
      <w:bCs/>
      <w:sz w:val="30"/>
      <w:szCs w:val="30"/>
    </w:rPr>
  </w:style>
  <w:style w:type="paragraph" w:customStyle="1" w:styleId="402">
    <w:name w:val="标题2"/>
    <w:basedOn w:val="3"/>
    <w:next w:val="1"/>
    <w:qFormat/>
    <w:uiPriority w:val="99"/>
    <w:pPr>
      <w:snapToGrid w:val="0"/>
      <w:spacing w:before="120" w:after="120" w:line="240" w:lineRule="auto"/>
      <w:jc w:val="left"/>
    </w:pPr>
    <w:rPr>
      <w:rFonts w:ascii="Arial" w:hAnsi="Arial" w:eastAsia="黑体" w:cs="Arial"/>
      <w:b w:val="0"/>
      <w:bCs w:val="0"/>
      <w:sz w:val="21"/>
      <w:szCs w:val="21"/>
    </w:rPr>
  </w:style>
  <w:style w:type="paragraph" w:customStyle="1" w:styleId="403">
    <w:name w:val="菲页1"/>
    <w:basedOn w:val="3"/>
    <w:qFormat/>
    <w:uiPriority w:val="99"/>
    <w:pPr>
      <w:widowControl/>
      <w:spacing w:before="0" w:after="0" w:line="360" w:lineRule="auto"/>
      <w:jc w:val="center"/>
    </w:pPr>
    <w:rPr>
      <w:rFonts w:ascii="黑体" w:hAnsi="宋体" w:cs="黑体"/>
      <w:b w:val="0"/>
      <w:bCs w:val="0"/>
      <w:color w:val="000000"/>
      <w:kern w:val="0"/>
      <w:sz w:val="52"/>
      <w:szCs w:val="52"/>
    </w:rPr>
  </w:style>
  <w:style w:type="paragraph" w:customStyle="1" w:styleId="404">
    <w:name w:val="_Style 175"/>
    <w:basedOn w:val="1"/>
    <w:qFormat/>
    <w:uiPriority w:val="99"/>
    <w:rPr>
      <w:rFonts w:ascii="Tahoma" w:hAnsi="Tahoma" w:cs="Tahoma"/>
      <w:sz w:val="24"/>
      <w:szCs w:val="24"/>
      <w:u w:val="single"/>
    </w:rPr>
  </w:style>
  <w:style w:type="paragraph" w:customStyle="1" w:styleId="405">
    <w:name w:val="5 Char Char Char Char Char Char Char Char Char Char"/>
    <w:basedOn w:val="1"/>
    <w:qFormat/>
    <w:uiPriority w:val="99"/>
  </w:style>
  <w:style w:type="paragraph" w:customStyle="1" w:styleId="406">
    <w:name w:val="样式 标题 1 + (西文) 宋体 五号 行距: 固定值 23 磅"/>
    <w:basedOn w:val="2"/>
    <w:qFormat/>
    <w:uiPriority w:val="99"/>
    <w:pPr>
      <w:adjustRightInd w:val="0"/>
      <w:snapToGrid w:val="0"/>
      <w:spacing w:before="0" w:after="0" w:line="460" w:lineRule="exact"/>
      <w:jc w:val="left"/>
    </w:pPr>
    <w:rPr>
      <w:rFonts w:ascii="宋体" w:hAnsi="宋体" w:cs="宋体"/>
      <w:sz w:val="21"/>
      <w:szCs w:val="21"/>
    </w:rPr>
  </w:style>
  <w:style w:type="paragraph" w:customStyle="1" w:styleId="407">
    <w:name w:val="目录文字"/>
    <w:basedOn w:val="1"/>
    <w:qFormat/>
    <w:uiPriority w:val="99"/>
    <w:pPr>
      <w:widowControl/>
      <w:spacing w:line="480" w:lineRule="auto"/>
      <w:jc w:val="left"/>
    </w:pPr>
    <w:rPr>
      <w:rFonts w:ascii="宋体" w:hAnsi="宋体" w:cs="宋体"/>
      <w:kern w:val="0"/>
      <w:sz w:val="24"/>
      <w:szCs w:val="24"/>
    </w:rPr>
  </w:style>
  <w:style w:type="paragraph" w:customStyle="1" w:styleId="408">
    <w:name w:val="head4"/>
    <w:basedOn w:val="1"/>
    <w:qFormat/>
    <w:uiPriority w:val="99"/>
    <w:pPr>
      <w:widowControl/>
      <w:overflowPunct w:val="0"/>
      <w:autoSpaceDE w:val="0"/>
      <w:autoSpaceDN w:val="0"/>
      <w:adjustRightInd w:val="0"/>
      <w:spacing w:before="120" w:line="360" w:lineRule="auto"/>
      <w:textAlignment w:val="baseline"/>
    </w:pPr>
    <w:rPr>
      <w:rFonts w:ascii="¿¬Ìå" w:hAnsi="¿¬Ìå" w:cs="¿¬Ìå"/>
      <w:kern w:val="0"/>
      <w:sz w:val="24"/>
      <w:szCs w:val="24"/>
    </w:rPr>
  </w:style>
  <w:style w:type="paragraph" w:customStyle="1" w:styleId="409">
    <w:name w:val="reader-word-layer"/>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410">
    <w:name w:val="空半行"/>
    <w:basedOn w:val="1"/>
    <w:qFormat/>
    <w:uiPriority w:val="99"/>
    <w:pPr>
      <w:adjustRightInd w:val="0"/>
      <w:spacing w:line="120" w:lineRule="exact"/>
    </w:pPr>
    <w:rPr>
      <w:rFonts w:eastAsia="仿宋_GB2312"/>
      <w:color w:val="FFFFFF"/>
      <w:kern w:val="0"/>
      <w:sz w:val="30"/>
      <w:szCs w:val="30"/>
    </w:rPr>
  </w:style>
  <w:style w:type="paragraph" w:customStyle="1" w:styleId="411">
    <w:name w:val="菲页(卷)"/>
    <w:basedOn w:val="2"/>
    <w:next w:val="396"/>
    <w:qFormat/>
    <w:uiPriority w:val="99"/>
    <w:pPr>
      <w:keepLines w:val="0"/>
      <w:widowControl/>
      <w:numPr>
        <w:ilvl w:val="0"/>
        <w:numId w:val="1"/>
      </w:numPr>
      <w:tabs>
        <w:tab w:val="left" w:pos="840"/>
      </w:tabs>
      <w:spacing w:before="0" w:after="0" w:line="240" w:lineRule="auto"/>
      <w:jc w:val="center"/>
      <w:outlineLvl w:val="1"/>
    </w:pPr>
    <w:rPr>
      <w:rFonts w:ascii="黑体" w:eastAsia="黑体" w:cs="黑体"/>
      <w:b w:val="0"/>
      <w:bCs w:val="0"/>
      <w:kern w:val="0"/>
      <w:sz w:val="52"/>
      <w:szCs w:val="52"/>
    </w:rPr>
  </w:style>
  <w:style w:type="paragraph" w:customStyle="1" w:styleId="412">
    <w:name w:val="正文 New"/>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413">
    <w:name w:val="无间隔2"/>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414">
    <w:name w:val="Preformatted"/>
    <w:basedOn w:val="1"/>
    <w:qFormat/>
    <w:uiPriority w:val="99"/>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cs="Courier New"/>
      <w:kern w:val="0"/>
      <w:sz w:val="20"/>
      <w:szCs w:val="20"/>
    </w:rPr>
  </w:style>
  <w:style w:type="paragraph" w:customStyle="1" w:styleId="415">
    <w:name w:val="_Style 411"/>
    <w:qFormat/>
    <w:uiPriority w:val="99"/>
    <w:rPr>
      <w:rFonts w:ascii="Times New Roman" w:hAnsi="Times New Roman" w:eastAsia="宋体" w:cs="Times New Roman"/>
      <w:kern w:val="2"/>
      <w:sz w:val="21"/>
      <w:szCs w:val="21"/>
      <w:lang w:val="en-US" w:eastAsia="zh-CN" w:bidi="ar-SA"/>
    </w:rPr>
  </w:style>
  <w:style w:type="paragraph" w:customStyle="1" w:styleId="416">
    <w:name w:val="Char Char92"/>
    <w:basedOn w:val="1"/>
    <w:qFormat/>
    <w:uiPriority w:val="99"/>
    <w:rPr>
      <w:rFonts w:ascii="Tahoma" w:hAnsi="Tahoma" w:cs="Tahoma"/>
      <w:sz w:val="24"/>
      <w:szCs w:val="24"/>
      <w:u w:val="single"/>
    </w:rPr>
  </w:style>
  <w:style w:type="paragraph" w:customStyle="1" w:styleId="417">
    <w:name w:val="_Style 37"/>
    <w:basedOn w:val="1"/>
    <w:next w:val="1"/>
    <w:qFormat/>
    <w:uiPriority w:val="99"/>
  </w:style>
  <w:style w:type="character" w:customStyle="1" w:styleId="418">
    <w:name w:val="引用 Char2"/>
    <w:qFormat/>
    <w:uiPriority w:val="99"/>
    <w:rPr>
      <w:i/>
      <w:iCs/>
      <w:color w:val="000000"/>
      <w:kern w:val="2"/>
      <w:sz w:val="24"/>
      <w:szCs w:val="24"/>
    </w:rPr>
  </w:style>
  <w:style w:type="paragraph" w:customStyle="1" w:styleId="419">
    <w:name w:val="文件标题"/>
    <w:basedOn w:val="1"/>
    <w:qFormat/>
    <w:uiPriority w:val="99"/>
    <w:pPr>
      <w:jc w:val="center"/>
    </w:pPr>
    <w:rPr>
      <w:b/>
      <w:bCs/>
      <w:sz w:val="36"/>
      <w:szCs w:val="36"/>
    </w:rPr>
  </w:style>
  <w:style w:type="paragraph" w:customStyle="1" w:styleId="420">
    <w:name w:val="列出段落1"/>
    <w:basedOn w:val="1"/>
    <w:qFormat/>
    <w:uiPriority w:val="99"/>
    <w:pPr>
      <w:ind w:firstLine="420" w:firstLineChars="200"/>
    </w:pPr>
    <w:rPr>
      <w:rFonts w:ascii="Calibri" w:hAnsi="Calibri" w:cs="Calibri"/>
    </w:rPr>
  </w:style>
  <w:style w:type="paragraph" w:customStyle="1" w:styleId="421">
    <w:name w:val="font7"/>
    <w:basedOn w:val="1"/>
    <w:qFormat/>
    <w:uiPriority w:val="99"/>
    <w:pPr>
      <w:widowControl/>
      <w:spacing w:before="100" w:beforeAutospacing="1" w:after="100" w:afterAutospacing="1"/>
      <w:jc w:val="left"/>
    </w:pPr>
    <w:rPr>
      <w:rFonts w:ascii="宋体" w:hAnsi="宋体" w:cs="宋体"/>
      <w:kern w:val="0"/>
      <w:sz w:val="28"/>
      <w:szCs w:val="28"/>
    </w:rPr>
  </w:style>
  <w:style w:type="paragraph" w:customStyle="1" w:styleId="422">
    <w:name w:val="表格文字"/>
    <w:basedOn w:val="1"/>
    <w:qFormat/>
    <w:uiPriority w:val="99"/>
    <w:pPr>
      <w:adjustRightInd w:val="0"/>
      <w:spacing w:line="420" w:lineRule="atLeast"/>
      <w:jc w:val="left"/>
      <w:textAlignment w:val="baseline"/>
    </w:pPr>
    <w:rPr>
      <w:kern w:val="0"/>
    </w:rPr>
  </w:style>
  <w:style w:type="paragraph" w:customStyle="1" w:styleId="423">
    <w:name w:val="head1"/>
    <w:basedOn w:val="1"/>
    <w:qFormat/>
    <w:uiPriority w:val="99"/>
    <w:pPr>
      <w:widowControl/>
      <w:tabs>
        <w:tab w:val="left" w:pos="1680"/>
      </w:tabs>
      <w:overflowPunct w:val="0"/>
      <w:autoSpaceDE w:val="0"/>
      <w:autoSpaceDN w:val="0"/>
      <w:adjustRightInd w:val="0"/>
      <w:spacing w:before="60" w:after="60"/>
      <w:ind w:left="1680"/>
      <w:jc w:val="left"/>
      <w:textAlignment w:val="baseline"/>
      <w:outlineLvl w:val="0"/>
    </w:pPr>
    <w:rPr>
      <w:rFonts w:ascii="黑体" w:hAnsi="¿¬Ìå" w:eastAsia="黑体" w:cs="黑体"/>
      <w:kern w:val="0"/>
      <w:sz w:val="30"/>
      <w:szCs w:val="30"/>
    </w:rPr>
  </w:style>
  <w:style w:type="paragraph" w:customStyle="1" w:styleId="424">
    <w:name w:val="正文_1_0"/>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425">
    <w:name w:val="正文_1"/>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426">
    <w:name w:val="P_MsoNormal"/>
    <w:basedOn w:val="396"/>
    <w:qFormat/>
    <w:uiPriority w:val="99"/>
    <w:pPr>
      <w:widowControl/>
      <w:adjustRightInd/>
      <w:spacing w:line="240" w:lineRule="auto"/>
      <w:textAlignment w:val="auto"/>
    </w:pPr>
    <w:rPr>
      <w:rFonts w:ascii="Calibri" w:hAnsi="Calibri" w:cs="Calibri"/>
      <w:sz w:val="21"/>
      <w:szCs w:val="21"/>
    </w:rPr>
  </w:style>
  <w:style w:type="paragraph" w:customStyle="1" w:styleId="427">
    <w:name w:val="正文_2_0"/>
    <w:qFormat/>
    <w:uiPriority w:val="99"/>
    <w:pPr>
      <w:widowControl w:val="0"/>
      <w:jc w:val="both"/>
    </w:pPr>
    <w:rPr>
      <w:rFonts w:ascii="Calibri" w:hAnsi="Calibri" w:eastAsia="宋体" w:cs="Calibri"/>
      <w:kern w:val="2"/>
      <w:sz w:val="21"/>
      <w:szCs w:val="21"/>
      <w:lang w:val="en-US" w:eastAsia="zh-CN" w:bidi="ar-SA"/>
    </w:rPr>
  </w:style>
  <w:style w:type="paragraph" w:customStyle="1" w:styleId="428">
    <w:name w:val="批注框文本 Char Char"/>
    <w:basedOn w:val="1"/>
    <w:qFormat/>
    <w:uiPriority w:val="99"/>
    <w:rPr>
      <w:sz w:val="18"/>
      <w:szCs w:val="18"/>
    </w:rPr>
  </w:style>
  <w:style w:type="paragraph" w:customStyle="1" w:styleId="429">
    <w:name w:val="样式 行距: 固定值 25 磅"/>
    <w:basedOn w:val="1"/>
    <w:qFormat/>
    <w:uiPriority w:val="99"/>
    <w:pPr>
      <w:spacing w:line="500" w:lineRule="exact"/>
    </w:pPr>
    <w:rPr>
      <w:sz w:val="28"/>
      <w:szCs w:val="28"/>
    </w:rPr>
  </w:style>
  <w:style w:type="paragraph" w:customStyle="1" w:styleId="430">
    <w:name w:val="_Style 426"/>
    <w:basedOn w:val="2"/>
    <w:next w:val="1"/>
    <w:qFormat/>
    <w:uiPriority w:val="99"/>
    <w:pPr>
      <w:spacing w:line="576" w:lineRule="auto"/>
      <w:outlineLvl w:val="9"/>
    </w:pPr>
    <w:rPr>
      <w:rFonts w:ascii="Calibri" w:hAnsi="Calibri" w:cs="Calibri"/>
    </w:rPr>
  </w:style>
  <w:style w:type="paragraph" w:customStyle="1" w:styleId="431">
    <w:name w:val="表头"/>
    <w:basedOn w:val="1"/>
    <w:qFormat/>
    <w:uiPriority w:val="99"/>
    <w:pPr>
      <w:spacing w:line="300" w:lineRule="auto"/>
      <w:jc w:val="center"/>
    </w:pPr>
    <w:rPr>
      <w:rFonts w:eastAsia="黑体"/>
      <w:color w:val="000000"/>
    </w:rPr>
  </w:style>
  <w:style w:type="paragraph" w:customStyle="1" w:styleId="432">
    <w:name w:val="font9"/>
    <w:basedOn w:val="1"/>
    <w:qFormat/>
    <w:uiPriority w:val="99"/>
    <w:pPr>
      <w:widowControl/>
      <w:spacing w:before="100" w:beforeAutospacing="1" w:after="100" w:afterAutospacing="1"/>
      <w:jc w:val="left"/>
    </w:pPr>
    <w:rPr>
      <w:kern w:val="0"/>
      <w:sz w:val="40"/>
      <w:szCs w:val="40"/>
    </w:rPr>
  </w:style>
  <w:style w:type="paragraph" w:customStyle="1" w:styleId="433">
    <w:name w:val="样式 标题 2 + 小四 行距: 固定值 24 磅"/>
    <w:basedOn w:val="3"/>
    <w:qFormat/>
    <w:uiPriority w:val="99"/>
    <w:pPr>
      <w:spacing w:line="480" w:lineRule="exact"/>
    </w:pPr>
    <w:rPr>
      <w:rFonts w:ascii="Arial" w:hAnsi="Arial" w:cs="Arial"/>
      <w:kern w:val="0"/>
      <w:sz w:val="24"/>
      <w:szCs w:val="24"/>
    </w:rPr>
  </w:style>
  <w:style w:type="paragraph" w:customStyle="1" w:styleId="434">
    <w:name w:val="6'"/>
    <w:basedOn w:val="1"/>
    <w:qFormat/>
    <w:uiPriority w:val="99"/>
    <w:pPr>
      <w:autoSpaceDE w:val="0"/>
      <w:autoSpaceDN w:val="0"/>
      <w:adjustRightInd w:val="0"/>
      <w:snapToGrid w:val="0"/>
      <w:spacing w:line="320" w:lineRule="exact"/>
      <w:jc w:val="center"/>
      <w:textAlignment w:val="baseline"/>
    </w:pPr>
    <w:rPr>
      <w:spacing w:val="20"/>
      <w:kern w:val="28"/>
    </w:rPr>
  </w:style>
  <w:style w:type="paragraph" w:customStyle="1" w:styleId="435">
    <w:name w:val="Body Text 21"/>
    <w:basedOn w:val="1"/>
    <w:qFormat/>
    <w:uiPriority w:val="99"/>
    <w:pPr>
      <w:adjustRightInd w:val="0"/>
      <w:spacing w:line="460" w:lineRule="exact"/>
      <w:ind w:firstLine="635"/>
      <w:jc w:val="left"/>
      <w:textAlignment w:val="baseline"/>
    </w:pPr>
    <w:rPr>
      <w:sz w:val="28"/>
      <w:szCs w:val="28"/>
    </w:rPr>
  </w:style>
  <w:style w:type="paragraph" w:customStyle="1" w:styleId="436">
    <w:name w:val="No Spacing1"/>
    <w:qFormat/>
    <w:uiPriority w:val="99"/>
    <w:pPr>
      <w:widowControl w:val="0"/>
      <w:jc w:val="both"/>
    </w:pPr>
    <w:rPr>
      <w:rFonts w:ascii="Calibri" w:hAnsi="Calibri" w:eastAsia="宋体" w:cs="Calibri"/>
      <w:kern w:val="2"/>
      <w:sz w:val="21"/>
      <w:szCs w:val="21"/>
      <w:lang w:val="en-US" w:eastAsia="zh-CN" w:bidi="ar-SA"/>
    </w:rPr>
  </w:style>
  <w:style w:type="paragraph" w:customStyle="1" w:styleId="437">
    <w:name w:val="表格2"/>
    <w:basedOn w:val="1"/>
    <w:qFormat/>
    <w:uiPriority w:val="99"/>
    <w:pPr>
      <w:adjustRightInd w:val="0"/>
      <w:spacing w:before="60" w:after="60"/>
      <w:jc w:val="center"/>
    </w:pPr>
    <w:rPr>
      <w:rFonts w:ascii="宋体" w:cs="宋体"/>
      <w:color w:val="000000"/>
      <w:kern w:val="0"/>
      <w:sz w:val="24"/>
      <w:szCs w:val="24"/>
    </w:rPr>
  </w:style>
  <w:style w:type="paragraph" w:customStyle="1" w:styleId="438">
    <w:name w:val="正文_3"/>
    <w:qFormat/>
    <w:uiPriority w:val="99"/>
    <w:pPr>
      <w:widowControl w:val="0"/>
      <w:jc w:val="both"/>
    </w:pPr>
    <w:rPr>
      <w:rFonts w:ascii="Calibri" w:hAnsi="Calibri" w:eastAsia="宋体" w:cs="Calibri"/>
      <w:kern w:val="2"/>
      <w:sz w:val="21"/>
      <w:szCs w:val="21"/>
      <w:lang w:val="en-US" w:eastAsia="zh-CN" w:bidi="ar-SA"/>
    </w:rPr>
  </w:style>
  <w:style w:type="paragraph" w:customStyle="1" w:styleId="439">
    <w:name w:val="样式 标题 1 + 黑体 三号 非加粗 居中 段前: 6 磅 段后: 6 磅 行距: 固定值 20 磅"/>
    <w:basedOn w:val="2"/>
    <w:qFormat/>
    <w:uiPriority w:val="99"/>
    <w:pPr>
      <w:spacing w:before="120" w:after="120" w:line="400" w:lineRule="exact"/>
      <w:jc w:val="center"/>
    </w:pPr>
    <w:rPr>
      <w:rFonts w:ascii="黑体" w:hAnsi="黑体" w:eastAsia="黑体" w:cs="黑体"/>
      <w:b w:val="0"/>
      <w:bCs w:val="0"/>
      <w:sz w:val="32"/>
      <w:szCs w:val="32"/>
    </w:rPr>
  </w:style>
  <w:style w:type="paragraph" w:customStyle="1" w:styleId="440">
    <w:name w:val="Char Char Char Char Char Char Char Char Char Char Char Char Char Char Char Char1"/>
    <w:basedOn w:val="1"/>
    <w:qFormat/>
    <w:uiPriority w:val="99"/>
    <w:pPr>
      <w:tabs>
        <w:tab w:val="left" w:pos="360"/>
      </w:tabs>
    </w:pPr>
    <w:rPr>
      <w:sz w:val="24"/>
      <w:szCs w:val="24"/>
    </w:rPr>
  </w:style>
  <w:style w:type="character" w:customStyle="1" w:styleId="441">
    <w:name w:val="明显引用 Char2"/>
    <w:qFormat/>
    <w:uiPriority w:val="99"/>
    <w:rPr>
      <w:b/>
      <w:bCs/>
      <w:i/>
      <w:iCs/>
      <w:color w:val="4F81BD"/>
      <w:kern w:val="2"/>
      <w:sz w:val="24"/>
      <w:szCs w:val="24"/>
    </w:rPr>
  </w:style>
  <w:style w:type="paragraph" w:customStyle="1" w:styleId="442">
    <w:name w:val="text"/>
    <w:basedOn w:val="1"/>
    <w:qFormat/>
    <w:uiPriority w:val="99"/>
    <w:pPr>
      <w:overflowPunct w:val="0"/>
      <w:autoSpaceDE w:val="0"/>
      <w:autoSpaceDN w:val="0"/>
      <w:adjustRightInd w:val="0"/>
      <w:spacing w:before="120" w:after="120"/>
      <w:ind w:left="864"/>
      <w:textAlignment w:val="baseline"/>
    </w:pPr>
    <w:rPr>
      <w:rFonts w:ascii="宋体" w:cs="宋体"/>
      <w:spacing w:val="-14"/>
      <w:kern w:val="0"/>
      <w:sz w:val="24"/>
      <w:szCs w:val="24"/>
    </w:rPr>
  </w:style>
  <w:style w:type="paragraph" w:customStyle="1" w:styleId="443">
    <w:name w:val="无间隔1"/>
    <w:qFormat/>
    <w:uiPriority w:val="99"/>
    <w:pPr>
      <w:widowControl w:val="0"/>
      <w:jc w:val="both"/>
    </w:pPr>
    <w:rPr>
      <w:rFonts w:ascii="Calibri" w:hAnsi="Calibri" w:eastAsia="宋体" w:cs="Calibri"/>
      <w:kern w:val="2"/>
      <w:sz w:val="21"/>
      <w:szCs w:val="21"/>
      <w:lang w:val="en-US" w:eastAsia="zh-CN" w:bidi="ar-SA"/>
    </w:rPr>
  </w:style>
  <w:style w:type="paragraph" w:customStyle="1" w:styleId="444">
    <w:name w:val="Char1 Char Char Char Char Char Char Char Char Char Char Char Char Char Char Char"/>
    <w:basedOn w:val="6"/>
    <w:qFormat/>
    <w:uiPriority w:val="99"/>
    <w:pPr>
      <w:tabs>
        <w:tab w:val="left" w:pos="0"/>
        <w:tab w:val="left" w:pos="1680"/>
      </w:tabs>
      <w:adjustRightInd w:val="0"/>
      <w:spacing w:line="372" w:lineRule="auto"/>
      <w:ind w:left="1680" w:hanging="420"/>
      <w:textAlignment w:val="baseline"/>
    </w:pPr>
  </w:style>
  <w:style w:type="paragraph" w:customStyle="1" w:styleId="445">
    <w:name w:val="无间隔_0"/>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446">
    <w:name w:val="Char Char Char Char Char Char Char Char Char Char"/>
    <w:basedOn w:val="17"/>
    <w:qFormat/>
    <w:uiPriority w:val="99"/>
    <w:pPr>
      <w:keepNext/>
      <w:numPr>
        <w:ilvl w:val="0"/>
        <w:numId w:val="3"/>
      </w:numPr>
      <w:spacing w:beforeLines="100"/>
    </w:pPr>
    <w:rPr>
      <w:rFonts w:ascii="Tahoma" w:hAnsi="Tahoma" w:cs="Tahoma"/>
      <w:sz w:val="24"/>
      <w:szCs w:val="24"/>
    </w:rPr>
  </w:style>
  <w:style w:type="paragraph" w:customStyle="1" w:styleId="447">
    <w:name w:val="flNote"/>
    <w:basedOn w:val="1"/>
    <w:qFormat/>
    <w:uiPriority w:val="99"/>
    <w:pPr>
      <w:adjustRightInd w:val="0"/>
      <w:spacing w:before="320" w:after="160" w:line="360" w:lineRule="atLeast"/>
      <w:jc w:val="center"/>
    </w:pPr>
    <w:rPr>
      <w:rFonts w:ascii="Arial" w:eastAsia="黑体" w:cs="Arial"/>
      <w:kern w:val="0"/>
      <w:sz w:val="30"/>
      <w:szCs w:val="30"/>
    </w:rPr>
  </w:style>
  <w:style w:type="paragraph" w:customStyle="1" w:styleId="448">
    <w:name w:val="合同正文"/>
    <w:basedOn w:val="1"/>
    <w:qFormat/>
    <w:uiPriority w:val="99"/>
    <w:pPr>
      <w:adjustRightInd w:val="0"/>
      <w:spacing w:line="580" w:lineRule="exact"/>
    </w:pPr>
    <w:rPr>
      <w:b/>
      <w:bCs/>
      <w:sz w:val="24"/>
      <w:szCs w:val="24"/>
    </w:rPr>
  </w:style>
  <w:style w:type="paragraph" w:customStyle="1" w:styleId="449">
    <w:name w:val="目录"/>
    <w:basedOn w:val="1"/>
    <w:qFormat/>
    <w:uiPriority w:val="99"/>
    <w:pPr>
      <w:widowControl/>
      <w:jc w:val="center"/>
    </w:pPr>
    <w:rPr>
      <w:rFonts w:ascii="宋体" w:cs="宋体"/>
      <w:b/>
      <w:bCs/>
      <w:kern w:val="0"/>
      <w:sz w:val="36"/>
      <w:szCs w:val="36"/>
    </w:rPr>
  </w:style>
  <w:style w:type="paragraph" w:customStyle="1" w:styleId="450">
    <w:name w:val="简单回函地址"/>
    <w:basedOn w:val="1"/>
    <w:qFormat/>
    <w:uiPriority w:val="99"/>
    <w:rPr>
      <w:rFonts w:ascii="仿宋_GB2312" w:hAnsi="宋体" w:eastAsia="仿宋_GB2312" w:cs="仿宋_GB2312"/>
      <w:sz w:val="30"/>
      <w:szCs w:val="30"/>
    </w:rPr>
  </w:style>
  <w:style w:type="paragraph" w:customStyle="1" w:styleId="451">
    <w:name w:val="菲页2"/>
    <w:basedOn w:val="4"/>
    <w:qFormat/>
    <w:uiPriority w:val="99"/>
    <w:pPr>
      <w:widowControl/>
      <w:spacing w:beforeLines="100" w:afterLines="50" w:line="360" w:lineRule="auto"/>
      <w:jc w:val="center"/>
    </w:pPr>
    <w:rPr>
      <w:rFonts w:ascii="黑体" w:hAnsi="宋体" w:eastAsia="黑体" w:cs="黑体"/>
      <w:b w:val="0"/>
      <w:bCs w:val="0"/>
      <w:color w:val="000000"/>
      <w:kern w:val="0"/>
      <w:sz w:val="44"/>
      <w:szCs w:val="44"/>
    </w:rPr>
  </w:style>
  <w:style w:type="paragraph" w:customStyle="1" w:styleId="452">
    <w:name w:val="Char1 Char Char Char Char Char Char"/>
    <w:basedOn w:val="1"/>
    <w:qFormat/>
    <w:uiPriority w:val="99"/>
  </w:style>
  <w:style w:type="paragraph" w:customStyle="1" w:styleId="453">
    <w:name w:val="_Style 73"/>
    <w:next w:val="1"/>
    <w:qFormat/>
    <w:uiPriority w:val="99"/>
    <w:pPr>
      <w:widowControl w:val="0"/>
      <w:jc w:val="both"/>
    </w:pPr>
    <w:rPr>
      <w:rFonts w:ascii="宋体" w:hAnsi="Courier New" w:eastAsia="宋体" w:cs="宋体"/>
      <w:kern w:val="2"/>
      <w:sz w:val="21"/>
      <w:szCs w:val="21"/>
      <w:lang w:val="en-US" w:eastAsia="zh-CN" w:bidi="ar-SA"/>
    </w:rPr>
  </w:style>
  <w:style w:type="paragraph" w:customStyle="1" w:styleId="454">
    <w:name w:val="纯文本1"/>
    <w:basedOn w:val="1"/>
    <w:qFormat/>
    <w:uiPriority w:val="99"/>
    <w:pPr>
      <w:suppressAutoHyphens/>
    </w:pPr>
    <w:rPr>
      <w:rFonts w:ascii="宋体" w:hAnsi="宋体" w:cs="宋体"/>
      <w:kern w:val="1"/>
      <w:lang w:eastAsia="ar-SA"/>
    </w:rPr>
  </w:style>
  <w:style w:type="paragraph" w:customStyle="1" w:styleId="455">
    <w:name w:val="表"/>
    <w:basedOn w:val="1"/>
    <w:qFormat/>
    <w:uiPriority w:val="99"/>
    <w:pPr>
      <w:spacing w:line="300" w:lineRule="auto"/>
    </w:pPr>
    <w:rPr>
      <w:color w:val="000000"/>
    </w:rPr>
  </w:style>
  <w:style w:type="table" w:customStyle="1" w:styleId="456">
    <w:name w:val="网格型1"/>
    <w:qFormat/>
    <w:uiPriority w:val="99"/>
    <w:pPr>
      <w:widowControl w:val="0"/>
      <w:jc w:val="both"/>
    </w:pPr>
    <w:rPr>
      <w:rFonts w:ascii="Calibri" w:hAnsi="Calibri" w:cs="Calibri"/>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457">
    <w:name w:val="网格型2"/>
    <w:qFormat/>
    <w:uiPriority w:val="99"/>
    <w:pPr>
      <w:widowControl w:val="0"/>
      <w:jc w:val="both"/>
    </w:pPr>
    <w:rPr>
      <w:rFonts w:ascii="Calibri" w:hAnsi="Calibri" w:cs="Calibri"/>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458">
    <w:name w:val="章标题"/>
    <w:next w:val="1"/>
    <w:qFormat/>
    <w:uiPriority w:val="99"/>
    <w:pPr>
      <w:spacing w:beforeLines="50" w:afterLines="50" w:line="336" w:lineRule="auto"/>
      <w:jc w:val="both"/>
      <w:outlineLvl w:val="1"/>
    </w:pPr>
    <w:rPr>
      <w:rFonts w:ascii="黑体" w:hAnsi="Times New Roman" w:eastAsia="黑体" w:cs="黑体"/>
      <w:sz w:val="21"/>
      <w:szCs w:val="21"/>
      <w:lang w:val="en-US" w:eastAsia="zh-CN" w:bidi="ar-SA"/>
    </w:rPr>
  </w:style>
  <w:style w:type="paragraph" w:customStyle="1" w:styleId="459">
    <w:name w:val="正文_3_0"/>
    <w:basedOn w:val="460"/>
    <w:next w:val="461"/>
    <w:qFormat/>
    <w:uiPriority w:val="0"/>
    <w:rPr>
      <w:rFonts w:ascii="Calibri" w:hAnsi="Calibri" w:cs="Calibri"/>
    </w:rPr>
  </w:style>
  <w:style w:type="paragraph" w:customStyle="1" w:styleId="460">
    <w:name w:val="正文_4"/>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461">
    <w:name w:val="正文文本缩进 2_1"/>
    <w:qFormat/>
    <w:uiPriority w:val="0"/>
    <w:pPr>
      <w:widowControl w:val="0"/>
      <w:spacing w:line="500" w:lineRule="exact"/>
      <w:ind w:firstLine="540" w:firstLineChars="200"/>
      <w:jc w:val="both"/>
    </w:pPr>
    <w:rPr>
      <w:rFonts w:ascii="宋体" w:hAnsi="宋体" w:eastAsia="宋体" w:cs="Times New Roman"/>
      <w:sz w:val="27"/>
      <w:szCs w:val="27"/>
      <w:lang w:val="en-US" w:eastAsia="zh-CN" w:bidi="ar-SA"/>
    </w:rPr>
  </w:style>
  <w:style w:type="paragraph" w:customStyle="1" w:styleId="462">
    <w:name w:val="PlainText"/>
    <w:basedOn w:val="1"/>
    <w:next w:val="1"/>
    <w:qFormat/>
    <w:uiPriority w:val="99"/>
    <w:rPr>
      <w:rFonts w:ascii="宋体" w:hAnsi="Courier New" w:cs="宋体"/>
    </w:rPr>
  </w:style>
  <w:style w:type="character" w:customStyle="1" w:styleId="463">
    <w:name w:val="NormalCharacter"/>
    <w:qFormat/>
    <w:uiPriority w:val="99"/>
    <w:rPr>
      <w:kern w:val="2"/>
      <w:sz w:val="24"/>
      <w:szCs w:val="24"/>
      <w:lang w:val="en-US" w:eastAsia="zh-CN"/>
    </w:rPr>
  </w:style>
  <w:style w:type="character" w:customStyle="1" w:styleId="464">
    <w:name w:val="样式 宋体 小四 加粗 黑色"/>
    <w:qFormat/>
    <w:uiPriority w:val="99"/>
    <w:rPr>
      <w:rFonts w:ascii="宋体" w:eastAsia="宋体" w:cs="宋体"/>
      <w:b/>
      <w:bCs/>
      <w:color w:val="000000"/>
      <w:sz w:val="24"/>
      <w:szCs w:val="24"/>
    </w:rPr>
  </w:style>
  <w:style w:type="character" w:customStyle="1" w:styleId="465">
    <w:name w:val="font11"/>
    <w:qFormat/>
    <w:uiPriority w:val="99"/>
    <w:rPr>
      <w:rFonts w:ascii="宋体" w:hAnsi="宋体" w:eastAsia="宋体" w:cs="宋体"/>
      <w:color w:val="000000"/>
      <w:sz w:val="24"/>
      <w:szCs w:val="24"/>
      <w:u w:val="single"/>
    </w:rPr>
  </w:style>
  <w:style w:type="character" w:customStyle="1" w:styleId="466">
    <w:name w:val="font01"/>
    <w:qFormat/>
    <w:uiPriority w:val="99"/>
    <w:rPr>
      <w:rFonts w:ascii="宋体" w:hAnsi="宋体" w:eastAsia="宋体" w:cs="宋体"/>
      <w:color w:val="000000"/>
      <w:sz w:val="24"/>
      <w:szCs w:val="24"/>
      <w:u w:val="none"/>
    </w:rPr>
  </w:style>
  <w:style w:type="character" w:customStyle="1" w:styleId="467">
    <w:name w:val="font21"/>
    <w:qFormat/>
    <w:uiPriority w:val="99"/>
    <w:rPr>
      <w:rFonts w:ascii="宋体" w:hAnsi="宋体" w:eastAsia="宋体" w:cs="宋体"/>
      <w:b/>
      <w:bCs/>
      <w:color w:val="000000"/>
      <w:sz w:val="24"/>
      <w:szCs w:val="24"/>
      <w:u w:val="single"/>
    </w:rPr>
  </w:style>
  <w:style w:type="table" w:customStyle="1" w:styleId="468">
    <w:name w:val="Table Normal1"/>
    <w:qFormat/>
    <w:uiPriority w:val="99"/>
    <w:pPr>
      <w:widowControl w:val="0"/>
      <w:autoSpaceDE w:val="0"/>
      <w:autoSpaceDN w:val="0"/>
    </w:pPr>
    <w:rPr>
      <w:rFonts w:ascii="Calibri" w:hAnsi="Calibri" w:cs="Calibri"/>
      <w:sz w:val="22"/>
      <w:lang w:eastAsia="en-US"/>
    </w:rPr>
    <w:tblPr>
      <w:tblCellMar>
        <w:top w:w="0" w:type="dxa"/>
        <w:left w:w="0" w:type="dxa"/>
        <w:bottom w:w="0" w:type="dxa"/>
        <w:right w:w="0" w:type="dxa"/>
      </w:tblCellMar>
    </w:tblPr>
  </w:style>
  <w:style w:type="paragraph" w:customStyle="1" w:styleId="469">
    <w:name w:val="正文_5"/>
    <w:qFormat/>
    <w:uiPriority w:val="99"/>
    <w:pPr>
      <w:widowControl w:val="0"/>
      <w:jc w:val="both"/>
    </w:pPr>
    <w:rPr>
      <w:rFonts w:ascii="Calibri" w:hAnsi="Calibri" w:eastAsia="宋体" w:cs="Calibri"/>
      <w:kern w:val="2"/>
      <w:sz w:val="21"/>
      <w:szCs w:val="21"/>
      <w:lang w:val="en-US" w:eastAsia="zh-CN" w:bidi="ar-SA"/>
    </w:rPr>
  </w:style>
  <w:style w:type="paragraph" w:customStyle="1" w:styleId="470">
    <w:name w:val="Normal_29"/>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471">
    <w:name w:val="Table Text"/>
    <w:basedOn w:val="1"/>
    <w:semiHidden/>
    <w:qFormat/>
    <w:uiPriority w:val="0"/>
    <w:rPr>
      <w:rFonts w:ascii="宋体" w:hAnsi="宋体" w:cs="宋体"/>
      <w:sz w:val="18"/>
      <w:szCs w:val="18"/>
      <w:lang w:eastAsia="en-US"/>
    </w:rPr>
  </w:style>
  <w:style w:type="paragraph" w:customStyle="1" w:styleId="472">
    <w:name w:val="正文_13_1"/>
    <w:qFormat/>
    <w:uiPriority w:val="0"/>
    <w:pPr>
      <w:widowControl w:val="0"/>
      <w:jc w:val="both"/>
    </w:pPr>
    <w:rPr>
      <w:rFonts w:ascii="Times New Roman" w:hAnsi="Times New Roman" w:eastAsia="宋体" w:cs="Times New Roman"/>
      <w:kern w:val="2"/>
      <w:sz w:val="21"/>
      <w:szCs w:val="22"/>
      <w:lang w:val="en-US" w:eastAsia="zh-CN" w:bidi="ar-SA"/>
    </w:rPr>
  </w:style>
  <w:style w:type="table" w:customStyle="1" w:styleId="473">
    <w:name w:val="Table Normal"/>
    <w:semiHidden/>
    <w:unhideWhenUsed/>
    <w:qFormat/>
    <w:uiPriority w:val="0"/>
    <w:tblPr>
      <w:tblCellMar>
        <w:top w:w="0" w:type="dxa"/>
        <w:left w:w="0" w:type="dxa"/>
        <w:bottom w:w="0" w:type="dxa"/>
        <w:right w:w="0" w:type="dxa"/>
      </w:tblCellMar>
    </w:tblPr>
  </w:style>
  <w:style w:type="paragraph" w:customStyle="1" w:styleId="474">
    <w:name w:val="正文_3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475">
    <w:name w:val="Normal_23"/>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1" Type="http://schemas.openxmlformats.org/officeDocument/2006/relationships/fontTable" Target="fontTable.xml"/><Relationship Id="rId30" Type="http://schemas.openxmlformats.org/officeDocument/2006/relationships/customXml" Target="../customXml/item2.xml"/><Relationship Id="rId3" Type="http://schemas.openxmlformats.org/officeDocument/2006/relationships/header" Target="header1.xml"/><Relationship Id="rId29" Type="http://schemas.openxmlformats.org/officeDocument/2006/relationships/numbering" Target="numbering.xml"/><Relationship Id="rId28" Type="http://schemas.openxmlformats.org/officeDocument/2006/relationships/customXml" Target="../customXml/item1.xml"/><Relationship Id="rId27" Type="http://schemas.openxmlformats.org/officeDocument/2006/relationships/theme" Target="theme/theme1.xml"/><Relationship Id="rId26" Type="http://schemas.openxmlformats.org/officeDocument/2006/relationships/footer" Target="footer13.xml"/><Relationship Id="rId25" Type="http://schemas.openxmlformats.org/officeDocument/2006/relationships/footer" Target="footer12.xml"/><Relationship Id="rId24" Type="http://schemas.openxmlformats.org/officeDocument/2006/relationships/header" Target="header11.xml"/><Relationship Id="rId23" Type="http://schemas.openxmlformats.org/officeDocument/2006/relationships/footer" Target="footer11.xml"/><Relationship Id="rId22" Type="http://schemas.openxmlformats.org/officeDocument/2006/relationships/header" Target="header10.xml"/><Relationship Id="rId21" Type="http://schemas.openxmlformats.org/officeDocument/2006/relationships/footer" Target="footer10.xml"/><Relationship Id="rId20" Type="http://schemas.openxmlformats.org/officeDocument/2006/relationships/header" Target="header9.xml"/><Relationship Id="rId2" Type="http://schemas.openxmlformats.org/officeDocument/2006/relationships/settings" Target="settings.xml"/><Relationship Id="rId19" Type="http://schemas.openxmlformats.org/officeDocument/2006/relationships/header" Target="header8.xml"/><Relationship Id="rId18" Type="http://schemas.openxmlformats.org/officeDocument/2006/relationships/footer" Target="footer9.xml"/><Relationship Id="rId17" Type="http://schemas.openxmlformats.org/officeDocument/2006/relationships/header" Target="header7.xml"/><Relationship Id="rId16" Type="http://schemas.openxmlformats.org/officeDocument/2006/relationships/footer" Target="footer8.xml"/><Relationship Id="rId15" Type="http://schemas.openxmlformats.org/officeDocument/2006/relationships/header" Target="header6.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3A024CA-928B-4A79-B45E-E40CBCCD5310}">
  <ds:schemaRefs/>
</ds:datastoreItem>
</file>

<file path=docProps/app.xml><?xml version="1.0" encoding="utf-8"?>
<Properties xmlns="http://schemas.openxmlformats.org/officeDocument/2006/extended-properties" xmlns:vt="http://schemas.openxmlformats.org/officeDocument/2006/docPropsVTypes">
  <Template>Normal</Template>
  <Company>广西国泰招标</Company>
  <Pages>145</Pages>
  <Words>20337</Words>
  <Characters>22069</Characters>
  <Lines>799</Lines>
  <Paragraphs>225</Paragraphs>
  <TotalTime>59</TotalTime>
  <ScaleCrop>false</ScaleCrop>
  <LinksUpToDate>false</LinksUpToDate>
  <CharactersWithSpaces>22300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2022-03-23T07:51:00Z</dcterms:created>
  <dc:creator>广西国泰招标</dc:creator>
  <cp:lastModifiedBy>WPS_895709382</cp:lastModifiedBy>
  <cp:lastPrinted>2020-04-02T08:20:00Z</cp:lastPrinted>
  <dcterms:modified xsi:type="dcterms:W3CDTF">2026-02-12T08:43:40Z</dcterms:modified>
  <dc:title>竞争性谈判文件规范</dc:title>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5F630A6037004A0F9D7D9E3B1C179FCF_13</vt:lpwstr>
  </property>
  <property fmtid="{D5CDD505-2E9C-101B-9397-08002B2CF9AE}" pid="4" name="KSOTemplateDocerSaveRecord">
    <vt:lpwstr>eyJoZGlkIjoiMjYwZjdhYTViNTgyYWI5MDE2MmMzNmQyZjcxNGJjNjkiLCJ1c2VySWQiOiI4OTU3MDkzODIifQ==</vt:lpwstr>
  </property>
</Properties>
</file>