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ascii="宋体" w:hAnsi="宋体"/>
          <w:color w:val="auto"/>
          <w:sz w:val="52"/>
          <w:szCs w:val="52"/>
        </w:rPr>
      </w:pPr>
    </w:p>
    <w:p>
      <w:pPr>
        <w:spacing w:before="120" w:beforeLines="50" w:line="360" w:lineRule="auto"/>
        <w:jc w:val="center"/>
        <w:rPr>
          <w:rFonts w:ascii="宋体" w:hAnsi="宋体"/>
          <w:color w:val="auto"/>
          <w:sz w:val="52"/>
          <w:szCs w:val="52"/>
        </w:rPr>
      </w:pPr>
      <w:r>
        <w:rPr>
          <w:rFonts w:hint="eastAsia" w:ascii="宋体" w:hAnsi="宋体"/>
          <w:color w:val="auto"/>
          <w:sz w:val="52"/>
          <w:szCs w:val="52"/>
        </w:rPr>
        <w:t>公开招标文件</w:t>
      </w:r>
    </w:p>
    <w:p>
      <w:pPr>
        <w:spacing w:before="120" w:beforeLines="50" w:line="360" w:lineRule="auto"/>
        <w:jc w:val="center"/>
        <w:rPr>
          <w:rFonts w:ascii="仿宋_GB2312" w:hAnsi="宋体" w:eastAsia="仿宋_GB2312"/>
          <w:b/>
          <w:color w:val="auto"/>
          <w:sz w:val="48"/>
          <w:szCs w:val="48"/>
        </w:rPr>
      </w:pPr>
    </w:p>
    <w:p>
      <w:pPr>
        <w:spacing w:before="120" w:beforeLines="50" w:line="360" w:lineRule="auto"/>
        <w:jc w:val="center"/>
        <w:rPr>
          <w:rFonts w:ascii="仿宋_GB2312" w:hAnsi="宋体" w:eastAsia="仿宋_GB2312"/>
          <w:b/>
          <w:color w:val="auto"/>
          <w:sz w:val="48"/>
          <w:szCs w:val="48"/>
        </w:rPr>
      </w:pPr>
    </w:p>
    <w:p>
      <w:pPr>
        <w:snapToGrid w:val="0"/>
        <w:spacing w:before="120" w:beforeLines="50" w:line="360" w:lineRule="auto"/>
        <w:jc w:val="center"/>
        <w:rPr>
          <w:rFonts w:ascii="宋体" w:hAnsi="宋体" w:cs="宋体"/>
          <w:color w:val="auto"/>
          <w:sz w:val="72"/>
          <w:szCs w:val="72"/>
        </w:rPr>
      </w:pPr>
      <w:r>
        <w:rPr>
          <w:rFonts w:hint="eastAsia" w:ascii="宋体" w:hAnsi="宋体" w:cs="宋体"/>
          <w:color w:val="auto"/>
          <w:sz w:val="72"/>
          <w:szCs w:val="72"/>
        </w:rPr>
        <w:t>招 标 文 件</w:t>
      </w:r>
    </w:p>
    <w:p>
      <w:pPr>
        <w:snapToGrid w:val="0"/>
        <w:spacing w:before="120"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pPr>
        <w:snapToGrid w:val="0"/>
        <w:spacing w:before="120" w:beforeLines="50" w:line="360" w:lineRule="auto"/>
        <w:rPr>
          <w:rFonts w:ascii="仿宋_GB2312" w:hAnsi="宋体" w:eastAsia="仿宋_GB2312"/>
          <w:color w:val="auto"/>
          <w:sz w:val="30"/>
          <w:szCs w:val="72"/>
        </w:rPr>
      </w:pPr>
    </w:p>
    <w:p>
      <w:pPr>
        <w:pStyle w:val="18"/>
        <w:snapToGrid w:val="0"/>
        <w:spacing w:before="50" w:after="120" w:line="360" w:lineRule="auto"/>
        <w:ind w:firstLine="2711" w:firstLineChars="900"/>
        <w:rPr>
          <w:rFonts w:hAnsi="宋体" w:cs="宋体"/>
          <w:b/>
          <w:bCs/>
          <w:color w:val="auto"/>
          <w:sz w:val="30"/>
          <w:szCs w:val="30"/>
        </w:rPr>
      </w:pPr>
    </w:p>
    <w:p>
      <w:pPr>
        <w:pStyle w:val="18"/>
        <w:snapToGrid w:val="0"/>
        <w:spacing w:before="50" w:after="120" w:line="360" w:lineRule="auto"/>
        <w:ind w:firstLine="0" w:firstLineChars="0"/>
        <w:jc w:val="center"/>
        <w:rPr>
          <w:rFonts w:hint="eastAsia" w:hAnsi="宋体" w:cs="宋体"/>
          <w:b/>
          <w:bCs/>
          <w:color w:val="auto"/>
          <w:sz w:val="30"/>
          <w:szCs w:val="30"/>
        </w:rPr>
      </w:pPr>
    </w:p>
    <w:p>
      <w:pPr>
        <w:pStyle w:val="18"/>
        <w:snapToGrid w:val="0"/>
        <w:spacing w:before="50" w:after="120" w:line="360" w:lineRule="auto"/>
        <w:ind w:firstLine="0" w:firstLineChars="0"/>
        <w:jc w:val="center"/>
        <w:rPr>
          <w:rFonts w:hint="eastAsia" w:hAnsi="宋体" w:eastAsia="宋体" w:cs="宋体"/>
          <w:color w:val="auto"/>
          <w:sz w:val="30"/>
          <w:szCs w:val="30"/>
          <w:lang w:eastAsia="zh-CN"/>
        </w:rPr>
      </w:pPr>
      <w:r>
        <w:rPr>
          <w:rFonts w:hint="eastAsia" w:hAnsi="宋体" w:cs="宋体"/>
          <w:b/>
          <w:bCs/>
          <w:color w:val="auto"/>
          <w:sz w:val="30"/>
          <w:szCs w:val="30"/>
          <w:lang w:val="en-US" w:eastAsia="zh-CN"/>
        </w:rPr>
        <w:t xml:space="preserve">       </w:t>
      </w:r>
      <w:r>
        <w:rPr>
          <w:rFonts w:hint="eastAsia" w:hAnsi="宋体" w:cs="宋体"/>
          <w:b/>
          <w:bCs/>
          <w:color w:val="auto"/>
          <w:sz w:val="30"/>
          <w:szCs w:val="30"/>
        </w:rPr>
        <w:t>项目</w:t>
      </w:r>
      <w:r>
        <w:rPr>
          <w:rFonts w:hint="eastAsia" w:hAnsi="宋体" w:cs="宋体"/>
          <w:b/>
          <w:bCs/>
          <w:color w:val="auto"/>
          <w:w w:val="95"/>
          <w:sz w:val="30"/>
          <w:szCs w:val="30"/>
        </w:rPr>
        <w:t>名称</w:t>
      </w:r>
      <w:r>
        <w:rPr>
          <w:rFonts w:hint="eastAsia" w:hAnsi="宋体" w:cs="宋体"/>
          <w:b/>
          <w:bCs/>
          <w:color w:val="auto"/>
          <w:sz w:val="30"/>
          <w:szCs w:val="30"/>
        </w:rPr>
        <w:t>：</w:t>
      </w:r>
      <w:bookmarkStart w:id="0" w:name="OLE_LINK3"/>
      <w:r>
        <w:rPr>
          <w:rFonts w:hint="eastAsia" w:hAnsi="宋体" w:cs="宋体"/>
          <w:b/>
          <w:bCs/>
          <w:color w:val="auto"/>
          <w:sz w:val="30"/>
          <w:szCs w:val="30"/>
          <w:lang w:eastAsia="zh-CN"/>
        </w:rPr>
        <w:t>凭祥市中小学校幼儿园实施购买保安服务项目</w:t>
      </w:r>
      <w:bookmarkEnd w:id="0"/>
    </w:p>
    <w:p>
      <w:pPr>
        <w:pStyle w:val="18"/>
        <w:snapToGrid w:val="0"/>
        <w:spacing w:before="50" w:after="120" w:line="360" w:lineRule="auto"/>
        <w:ind w:firstLine="1506" w:firstLineChars="500"/>
        <w:rPr>
          <w:rFonts w:hint="default" w:hAnsi="宋体" w:cs="宋体"/>
          <w:b/>
          <w:bCs/>
          <w:color w:val="auto"/>
          <w:sz w:val="30"/>
          <w:szCs w:val="30"/>
          <w:u w:val="single"/>
          <w:lang w:val="en-US"/>
        </w:rPr>
      </w:pPr>
      <w:r>
        <w:rPr>
          <w:rFonts w:hint="eastAsia" w:hAnsi="宋体" w:cs="宋体"/>
          <w:b/>
          <w:bCs/>
          <w:color w:val="auto"/>
          <w:sz w:val="30"/>
          <w:szCs w:val="30"/>
        </w:rPr>
        <w:t>项目编号：</w:t>
      </w:r>
      <w:r>
        <w:rPr>
          <w:rFonts w:hint="eastAsia" w:hAnsi="宋体" w:cs="宋体"/>
          <w:b/>
          <w:bCs/>
          <w:color w:val="auto"/>
          <w:sz w:val="30"/>
          <w:szCs w:val="30"/>
          <w:lang w:val="en-US" w:eastAsia="zh-CN"/>
        </w:rPr>
        <w:t>CZZC2025-G3-810092-HSZB</w:t>
      </w:r>
    </w:p>
    <w:p>
      <w:pPr>
        <w:pStyle w:val="2"/>
        <w:rPr>
          <w:rFonts w:ascii="宋体" w:hAnsi="宋体" w:cs="宋体"/>
          <w:b/>
          <w:bCs/>
          <w:color w:val="auto"/>
          <w:w w:val="95"/>
          <w:sz w:val="30"/>
          <w:szCs w:val="30"/>
        </w:rPr>
      </w:pPr>
    </w:p>
    <w:p>
      <w:pPr>
        <w:rPr>
          <w:rFonts w:ascii="宋体" w:hAnsi="宋体" w:cs="宋体"/>
          <w:b/>
          <w:bCs/>
          <w:color w:val="auto"/>
          <w:w w:val="95"/>
          <w:sz w:val="30"/>
          <w:szCs w:val="30"/>
        </w:rPr>
      </w:pPr>
    </w:p>
    <w:p>
      <w:pPr>
        <w:rPr>
          <w:color w:val="auto"/>
        </w:rPr>
      </w:pPr>
    </w:p>
    <w:p>
      <w:pPr>
        <w:snapToGrid w:val="0"/>
        <w:spacing w:before="50" w:after="120" w:line="360" w:lineRule="auto"/>
        <w:ind w:firstLine="2003" w:firstLineChars="700"/>
        <w:jc w:val="both"/>
        <w:rPr>
          <w:rFonts w:hint="eastAsia" w:ascii="宋体" w:hAnsi="宋体" w:eastAsia="宋体" w:cs="宋体"/>
          <w:b/>
          <w:bCs/>
          <w:color w:val="auto"/>
          <w:w w:val="95"/>
          <w:sz w:val="30"/>
          <w:szCs w:val="30"/>
          <w:lang w:eastAsia="zh-CN"/>
        </w:rPr>
      </w:pPr>
      <w:r>
        <w:rPr>
          <w:rFonts w:hint="eastAsia" w:ascii="宋体" w:hAnsi="宋体" w:cs="宋体"/>
          <w:b/>
          <w:bCs/>
          <w:color w:val="auto"/>
          <w:w w:val="95"/>
          <w:sz w:val="30"/>
          <w:szCs w:val="30"/>
        </w:rPr>
        <w:t>采</w:t>
      </w:r>
      <w:r>
        <w:rPr>
          <w:rFonts w:hint="eastAsia" w:ascii="宋体" w:hAnsi="宋体" w:cs="宋体"/>
          <w:b/>
          <w:bCs/>
          <w:color w:val="auto"/>
          <w:w w:val="95"/>
          <w:sz w:val="30"/>
          <w:szCs w:val="30"/>
          <w:lang w:val="en-US" w:eastAsia="zh-CN"/>
        </w:rPr>
        <w:t xml:space="preserve"> </w:t>
      </w:r>
      <w:r>
        <w:rPr>
          <w:rFonts w:hint="eastAsia" w:ascii="宋体" w:hAnsi="宋体" w:cs="宋体"/>
          <w:b/>
          <w:bCs/>
          <w:color w:val="auto"/>
          <w:w w:val="95"/>
          <w:sz w:val="30"/>
          <w:szCs w:val="30"/>
        </w:rPr>
        <w:t>购</w:t>
      </w:r>
      <w:r>
        <w:rPr>
          <w:rFonts w:hint="eastAsia" w:ascii="宋体" w:hAnsi="宋体" w:cs="宋体"/>
          <w:b/>
          <w:bCs/>
          <w:color w:val="auto"/>
          <w:w w:val="95"/>
          <w:sz w:val="30"/>
          <w:szCs w:val="30"/>
          <w:lang w:val="en-US" w:eastAsia="zh-CN"/>
        </w:rPr>
        <w:t xml:space="preserve"> </w:t>
      </w:r>
      <w:r>
        <w:rPr>
          <w:rFonts w:hint="eastAsia" w:ascii="宋体" w:hAnsi="宋体" w:cs="宋体"/>
          <w:b/>
          <w:bCs/>
          <w:color w:val="auto"/>
          <w:w w:val="95"/>
          <w:sz w:val="30"/>
          <w:szCs w:val="30"/>
        </w:rPr>
        <w:t>人：</w:t>
      </w:r>
      <w:r>
        <w:rPr>
          <w:rFonts w:hint="eastAsia" w:ascii="宋体" w:hAnsi="宋体" w:cs="宋体"/>
          <w:b/>
          <w:bCs/>
          <w:color w:val="auto"/>
          <w:w w:val="95"/>
          <w:sz w:val="30"/>
          <w:szCs w:val="30"/>
          <w:lang w:eastAsia="zh-CN"/>
        </w:rPr>
        <w:t>凭祥市教育局</w:t>
      </w:r>
    </w:p>
    <w:p>
      <w:pPr>
        <w:snapToGrid w:val="0"/>
        <w:spacing w:before="50" w:after="120" w:line="360" w:lineRule="auto"/>
        <w:jc w:val="center"/>
        <w:rPr>
          <w:rFonts w:hint="eastAsia" w:ascii="宋体" w:hAnsi="宋体" w:eastAsia="宋体" w:cs="宋体"/>
          <w:b/>
          <w:bCs/>
          <w:color w:val="auto"/>
          <w:w w:val="95"/>
          <w:sz w:val="30"/>
          <w:szCs w:val="30"/>
          <w:lang w:eastAsia="zh-CN"/>
        </w:rPr>
      </w:pPr>
      <w:r>
        <w:rPr>
          <w:rFonts w:hint="eastAsia" w:ascii="宋体" w:hAnsi="宋体" w:cs="宋体"/>
          <w:b/>
          <w:bCs/>
          <w:color w:val="auto"/>
          <w:w w:val="95"/>
          <w:sz w:val="30"/>
          <w:szCs w:val="30"/>
        </w:rPr>
        <w:t>采购代理机构：</w:t>
      </w:r>
      <w:r>
        <w:rPr>
          <w:rFonts w:hint="eastAsia" w:ascii="宋体" w:hAnsi="宋体" w:cs="宋体"/>
          <w:b/>
          <w:bCs/>
          <w:color w:val="auto"/>
          <w:w w:val="95"/>
          <w:sz w:val="30"/>
          <w:szCs w:val="30"/>
          <w:lang w:eastAsia="zh-CN"/>
        </w:rPr>
        <w:t>广西华晟招标代理有限公司</w:t>
      </w:r>
    </w:p>
    <w:p>
      <w:pPr>
        <w:pStyle w:val="18"/>
        <w:snapToGrid w:val="0"/>
        <w:spacing w:before="50" w:after="120" w:line="360" w:lineRule="auto"/>
        <w:jc w:val="center"/>
        <w:rPr>
          <w:rFonts w:hAnsi="宋体" w:cs="宋体"/>
          <w:b/>
          <w:bCs/>
          <w:color w:val="auto"/>
          <w:w w:val="95"/>
          <w:sz w:val="30"/>
          <w:szCs w:val="30"/>
        </w:rPr>
      </w:pPr>
      <w:r>
        <w:rPr>
          <w:rFonts w:hint="eastAsia" w:ascii="宋体" w:hAnsi="宋体" w:eastAsia="宋体" w:cs="宋体"/>
          <w:b/>
          <w:bCs/>
          <w:color w:val="auto"/>
          <w:w w:val="95"/>
          <w:kern w:val="2"/>
          <w:sz w:val="30"/>
          <w:szCs w:val="30"/>
          <w:lang w:val="en-US" w:eastAsia="zh-CN" w:bidi="ar-SA"/>
        </w:rPr>
        <w:t>2025年12月</w:t>
      </w:r>
      <w:r>
        <w:rPr>
          <w:rFonts w:hint="eastAsia" w:hAnsi="宋体" w:cs="宋体"/>
          <w:b/>
          <w:bCs/>
          <w:color w:val="auto"/>
          <w:w w:val="95"/>
          <w:kern w:val="2"/>
          <w:sz w:val="30"/>
          <w:szCs w:val="30"/>
          <w:lang w:val="en-US" w:eastAsia="zh-CN" w:bidi="ar-SA"/>
        </w:rPr>
        <w:t>3</w:t>
      </w:r>
      <w:r>
        <w:rPr>
          <w:rFonts w:hint="eastAsia" w:ascii="宋体" w:hAnsi="宋体" w:eastAsia="宋体" w:cs="宋体"/>
          <w:b/>
          <w:bCs/>
          <w:color w:val="auto"/>
          <w:w w:val="95"/>
          <w:kern w:val="2"/>
          <w:sz w:val="30"/>
          <w:szCs w:val="30"/>
          <w:lang w:val="en-US" w:eastAsia="zh-CN" w:bidi="ar-SA"/>
        </w:rPr>
        <w:t>日</w:t>
      </w:r>
    </w:p>
    <w:p>
      <w:pPr>
        <w:widowControl/>
        <w:spacing w:line="360" w:lineRule="auto"/>
        <w:rPr>
          <w:rFonts w:ascii="宋体" w:hAnsi="宋体" w:cs="宋体"/>
          <w:b/>
          <w:bCs/>
          <w:color w:val="auto"/>
          <w:w w:val="95"/>
          <w:sz w:val="30"/>
          <w:szCs w:val="30"/>
        </w:rPr>
        <w:sectPr>
          <w:pgSz w:w="11905" w:h="16838"/>
          <w:pgMar w:top="1134" w:right="1134" w:bottom="1134" w:left="1134" w:header="850" w:footer="850" w:gutter="0"/>
          <w:pgNumType w:start="1"/>
          <w:cols w:space="0" w:num="1"/>
          <w:titlePg/>
          <w:docGrid w:linePitch="331" w:charSpace="0"/>
        </w:sectPr>
      </w:pPr>
    </w:p>
    <w:p>
      <w:pPr>
        <w:pStyle w:val="2"/>
        <w:rPr>
          <w:color w:val="auto"/>
        </w:rPr>
      </w:pPr>
    </w:p>
    <w:p>
      <w:pPr>
        <w:rPr>
          <w:b/>
          <w:color w:val="auto"/>
          <w:sz w:val="48"/>
          <w:szCs w:val="48"/>
        </w:rPr>
      </w:pPr>
    </w:p>
    <w:p>
      <w:pPr>
        <w:rPr>
          <w:b/>
          <w:color w:val="auto"/>
          <w:sz w:val="48"/>
          <w:szCs w:val="48"/>
        </w:rPr>
      </w:pPr>
    </w:p>
    <w:p>
      <w:pPr>
        <w:pStyle w:val="18"/>
        <w:jc w:val="center"/>
        <w:rPr>
          <w:rFonts w:ascii="Times New Roman" w:hAnsi="Times New Roman"/>
          <w:b/>
          <w:color w:val="auto"/>
          <w:sz w:val="48"/>
          <w:szCs w:val="48"/>
        </w:rPr>
      </w:pPr>
      <w:r>
        <w:rPr>
          <w:rFonts w:hint="eastAsia" w:ascii="Times New Roman" w:hAnsi="Times New Roman"/>
          <w:b/>
          <w:color w:val="auto"/>
          <w:sz w:val="48"/>
          <w:szCs w:val="48"/>
        </w:rPr>
        <w:t>目</w:t>
      </w:r>
      <w:r>
        <w:rPr>
          <w:rFonts w:ascii="Times New Roman" w:hAnsi="Times New Roman"/>
          <w:b/>
          <w:color w:val="auto"/>
          <w:sz w:val="48"/>
          <w:szCs w:val="48"/>
        </w:rPr>
        <w:t xml:space="preserve">     </w:t>
      </w:r>
      <w:r>
        <w:rPr>
          <w:rFonts w:hint="eastAsia" w:ascii="Times New Roman" w:hAnsi="Times New Roman"/>
          <w:b/>
          <w:color w:val="auto"/>
          <w:sz w:val="48"/>
          <w:szCs w:val="48"/>
        </w:rPr>
        <w:t>录</w:t>
      </w:r>
    </w:p>
    <w:p>
      <w:pPr>
        <w:pStyle w:val="19"/>
        <w:tabs>
          <w:tab w:val="right" w:leader="dot" w:pos="9637"/>
        </w:tabs>
        <w:rPr>
          <w:color w:val="auto"/>
        </w:rPr>
      </w:pP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"_Toc16222"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_Toc16222 </w:instrText>
      </w:r>
      <w:r>
        <w:rPr>
          <w:rFonts w:hint="eastAsia" w:ascii="宋体" w:hAnsi="宋体" w:cs="宋体"/>
          <w:color w:val="auto"/>
          <w:sz w:val="24"/>
          <w:szCs w:val="24"/>
        </w:rPr>
        <w:fldChar w:fldCharType="separate"/>
      </w:r>
      <w:r>
        <w:rPr>
          <w:rFonts w:hint="eastAsia" w:ascii="宋体" w:hAnsi="宋体" w:cs="宋体"/>
          <w:color w:val="auto"/>
          <w:sz w:val="24"/>
          <w:szCs w:val="24"/>
        </w:rPr>
        <w:t>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 HYPERLINK \l "_Toc8382" </w:instrText>
      </w:r>
      <w:r>
        <w:rPr>
          <w:color w:val="auto"/>
        </w:rPr>
        <w:fldChar w:fldCharType="separate"/>
      </w:r>
      <w:r>
        <w:rPr>
          <w:rFonts w:hint="eastAsia" w:ascii="宋体" w:hAnsi="宋体" w:cs="宋体"/>
          <w:color w:val="auto"/>
          <w:sz w:val="24"/>
          <w:szCs w:val="24"/>
        </w:rPr>
        <w:t>第二章  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_Toc8382 </w:instrText>
      </w:r>
      <w:r>
        <w:rPr>
          <w:rFonts w:hint="eastAsia" w:ascii="宋体" w:hAnsi="宋体" w:cs="宋体"/>
          <w:color w:val="auto"/>
          <w:sz w:val="24"/>
          <w:szCs w:val="24"/>
        </w:rPr>
        <w:fldChar w:fldCharType="separate"/>
      </w:r>
      <w:r>
        <w:rPr>
          <w:rFonts w:hint="eastAsia" w:ascii="宋体" w:hAnsi="宋体" w:cs="宋体"/>
          <w:color w:val="auto"/>
          <w:sz w:val="24"/>
          <w:szCs w:val="24"/>
        </w:rPr>
        <w:t>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 HYPERLINK \l "_Toc15364" </w:instrText>
      </w:r>
      <w:r>
        <w:rPr>
          <w:color w:val="auto"/>
        </w:rPr>
        <w:fldChar w:fldCharType="separate"/>
      </w:r>
      <w:r>
        <w:rPr>
          <w:rFonts w:hint="eastAsia" w:ascii="宋体" w:hAnsi="宋体" w:cs="宋体"/>
          <w:color w:val="auto"/>
          <w:sz w:val="24"/>
          <w:szCs w:val="24"/>
        </w:rPr>
        <w:t>第三章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_Toc15364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 HYPERLINK \l "_Toc10034" </w:instrText>
      </w:r>
      <w:r>
        <w:rPr>
          <w:color w:val="auto"/>
        </w:rPr>
        <w:fldChar w:fldCharType="separate"/>
      </w:r>
      <w:r>
        <w:rPr>
          <w:rFonts w:hint="eastAsia" w:ascii="宋体" w:hAnsi="宋体" w:cs="宋体"/>
          <w:color w:val="auto"/>
          <w:sz w:val="24"/>
          <w:szCs w:val="24"/>
        </w:rPr>
        <w:t>第四章  评标方法和评标标准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_Toc10034 </w:instrText>
      </w:r>
      <w:r>
        <w:rPr>
          <w:rFonts w:hint="eastAsia" w:ascii="宋体" w:hAnsi="宋体" w:cs="宋体"/>
          <w:color w:val="auto"/>
          <w:sz w:val="24"/>
          <w:szCs w:val="24"/>
        </w:rPr>
        <w:fldChar w:fldCharType="separate"/>
      </w:r>
      <w:r>
        <w:rPr>
          <w:rFonts w:hint="eastAsia" w:ascii="宋体" w:hAnsi="宋体" w:cs="宋体"/>
          <w:color w:val="auto"/>
          <w:sz w:val="24"/>
          <w:szCs w:val="24"/>
        </w:rPr>
        <w:t>48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 HYPERLINK \l "_Toc32021"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_Toc32021 </w:instrText>
      </w:r>
      <w:r>
        <w:rPr>
          <w:rFonts w:hint="eastAsia" w:ascii="宋体" w:hAnsi="宋体" w:cs="宋体"/>
          <w:color w:val="auto"/>
          <w:sz w:val="24"/>
          <w:szCs w:val="24"/>
        </w:rPr>
        <w:fldChar w:fldCharType="separate"/>
      </w:r>
      <w:r>
        <w:rPr>
          <w:rFonts w:hint="eastAsia" w:ascii="宋体" w:hAnsi="宋体" w:cs="宋体"/>
          <w:color w:val="auto"/>
          <w:sz w:val="24"/>
          <w:szCs w:val="24"/>
        </w:rPr>
        <w:t>55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rFonts w:ascii="宋体" w:hAnsi="宋体" w:cs="宋体"/>
          <w:color w:val="auto"/>
          <w:sz w:val="24"/>
          <w:szCs w:val="24"/>
        </w:rPr>
      </w:pPr>
      <w:r>
        <w:rPr>
          <w:color w:val="auto"/>
        </w:rPr>
        <w:fldChar w:fldCharType="begin"/>
      </w:r>
      <w:r>
        <w:rPr>
          <w:color w:val="auto"/>
        </w:rPr>
        <w:instrText xml:space="preserve"> HYPERLINK \l "_Toc2517" </w:instrText>
      </w:r>
      <w:r>
        <w:rPr>
          <w:color w:val="auto"/>
        </w:rPr>
        <w:fldChar w:fldCharType="separate"/>
      </w:r>
      <w:r>
        <w:rPr>
          <w:rFonts w:hint="eastAsia" w:ascii="宋体" w:hAnsi="宋体" w:cs="宋体"/>
          <w:color w:val="auto"/>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_Toc2517 </w:instrText>
      </w:r>
      <w:r>
        <w:rPr>
          <w:rFonts w:hint="eastAsia" w:ascii="宋体" w:hAnsi="宋体" w:cs="宋体"/>
          <w:color w:val="auto"/>
          <w:sz w:val="24"/>
          <w:szCs w:val="24"/>
        </w:rPr>
        <w:fldChar w:fldCharType="separate"/>
      </w:r>
      <w:r>
        <w:rPr>
          <w:rFonts w:hint="eastAsia" w:ascii="宋体" w:hAnsi="宋体" w:cs="宋体"/>
          <w:color w:val="auto"/>
          <w:sz w:val="24"/>
          <w:szCs w:val="24"/>
        </w:rPr>
        <w:t>64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9"/>
        <w:tabs>
          <w:tab w:val="right" w:leader="dot" w:pos="9637"/>
        </w:tabs>
        <w:rPr>
          <w:color w:val="auto"/>
        </w:rPr>
      </w:pPr>
      <w:r>
        <w:rPr>
          <w:color w:val="auto"/>
        </w:rPr>
        <w:fldChar w:fldCharType="begin"/>
      </w:r>
      <w:r>
        <w:rPr>
          <w:color w:val="auto"/>
        </w:rPr>
        <w:instrText xml:space="preserve"> HYPERLINK \l "_Toc31310" </w:instrText>
      </w:r>
      <w:r>
        <w:rPr>
          <w:color w:val="auto"/>
        </w:rPr>
        <w:fldChar w:fldCharType="separate"/>
      </w:r>
      <w:r>
        <w:rPr>
          <w:rFonts w:hint="eastAsia" w:ascii="宋体" w:hAnsi="宋体" w:cs="宋体"/>
          <w:color w:val="auto"/>
          <w:sz w:val="24"/>
          <w:szCs w:val="24"/>
        </w:rPr>
        <w:t>第七章 质疑、投诉材料格式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_Toc31310 </w:instrText>
      </w:r>
      <w:r>
        <w:rPr>
          <w:rFonts w:hint="eastAsia" w:ascii="宋体" w:hAnsi="宋体" w:cs="宋体"/>
          <w:color w:val="auto"/>
          <w:sz w:val="24"/>
          <w:szCs w:val="24"/>
        </w:rPr>
        <w:fldChar w:fldCharType="separate"/>
      </w:r>
      <w:r>
        <w:rPr>
          <w:rFonts w:hint="eastAsia" w:ascii="宋体" w:hAnsi="宋体" w:cs="宋体"/>
          <w:color w:val="auto"/>
          <w:sz w:val="24"/>
          <w:szCs w:val="24"/>
        </w:rPr>
        <w:t>93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8"/>
        <w:jc w:val="center"/>
        <w:rPr>
          <w:color w:val="auto"/>
        </w:rPr>
      </w:pPr>
      <w:r>
        <w:rPr>
          <w:color w:val="auto"/>
        </w:rPr>
        <w:fldChar w:fldCharType="end"/>
      </w:r>
      <w:r>
        <w:rPr>
          <w:rFonts w:hint="eastAsia"/>
          <w:color w:val="auto"/>
        </w:rPr>
        <w:tab/>
      </w:r>
      <w:bookmarkStart w:id="1" w:name="_Toc532545041"/>
    </w:p>
    <w:p>
      <w:pPr>
        <w:pStyle w:val="18"/>
        <w:jc w:val="center"/>
        <w:outlineLvl w:val="0"/>
        <w:rPr>
          <w:rFonts w:hint="eastAsia" w:ascii="Times New Roman" w:hAnsi="Times New Roman"/>
          <w:b/>
          <w:color w:val="auto"/>
          <w:sz w:val="36"/>
        </w:rPr>
        <w:sectPr>
          <w:footerReference r:id="rId4" w:type="first"/>
          <w:footerReference r:id="rId3" w:type="default"/>
          <w:pgSz w:w="11905" w:h="16838"/>
          <w:pgMar w:top="1134" w:right="1134" w:bottom="1134" w:left="1134" w:header="850" w:footer="850" w:gutter="0"/>
          <w:pgNumType w:start="1"/>
          <w:cols w:space="0" w:num="1"/>
          <w:titlePg/>
          <w:docGrid w:linePitch="331" w:charSpace="0"/>
        </w:sectPr>
      </w:pPr>
      <w:bookmarkStart w:id="2" w:name="_Toc9949"/>
      <w:bookmarkStart w:id="3" w:name="_Toc11500"/>
      <w:bookmarkStart w:id="4" w:name="_Toc18459"/>
      <w:bookmarkStart w:id="5" w:name="_Toc12228"/>
      <w:bookmarkStart w:id="6" w:name="_Toc8345"/>
      <w:bookmarkStart w:id="7" w:name="_Toc20258"/>
      <w:bookmarkStart w:id="8" w:name="_Toc18707"/>
      <w:bookmarkStart w:id="9" w:name="_Toc16576"/>
      <w:bookmarkStart w:id="10" w:name="_Toc19537"/>
      <w:bookmarkStart w:id="11" w:name="_Toc16222"/>
      <w:bookmarkStart w:id="12" w:name="_Toc184"/>
    </w:p>
    <w:p>
      <w:pPr>
        <w:pStyle w:val="18"/>
        <w:jc w:val="center"/>
        <w:outlineLvl w:val="0"/>
        <w:rPr>
          <w:rFonts w:ascii="Times New Roman" w:hAnsi="Times New Roman"/>
          <w:b/>
          <w:color w:val="auto"/>
          <w:sz w:val="36"/>
        </w:rPr>
      </w:pPr>
      <w:r>
        <w:rPr>
          <w:rFonts w:hint="eastAsia" w:ascii="Times New Roman" w:hAnsi="Times New Roman"/>
          <w:b/>
          <w:color w:val="auto"/>
          <w:sz w:val="36"/>
        </w:rPr>
        <w:t>第一章</w:t>
      </w:r>
      <w:r>
        <w:rPr>
          <w:rFonts w:ascii="Times New Roman" w:hAnsi="Times New Roman"/>
          <w:b/>
          <w:color w:val="auto"/>
          <w:sz w:val="36"/>
        </w:rPr>
        <w:t xml:space="preserve">  </w:t>
      </w:r>
      <w:r>
        <w:rPr>
          <w:rFonts w:hint="eastAsia" w:ascii="Times New Roman" w:hAnsi="Times New Roman"/>
          <w:b/>
          <w:color w:val="auto"/>
          <w:sz w:val="36"/>
        </w:rPr>
        <w:t>招标公告</w:t>
      </w:r>
      <w:bookmarkEnd w:id="1"/>
      <w:bookmarkEnd w:id="2"/>
      <w:bookmarkEnd w:id="3"/>
      <w:bookmarkEnd w:id="4"/>
      <w:bookmarkEnd w:id="5"/>
      <w:bookmarkEnd w:id="6"/>
      <w:bookmarkEnd w:id="7"/>
      <w:bookmarkEnd w:id="8"/>
      <w:bookmarkEnd w:id="9"/>
      <w:bookmarkEnd w:id="10"/>
      <w:bookmarkEnd w:id="11"/>
      <w:bookmarkEnd w:id="12"/>
    </w:p>
    <w:p>
      <w:pPr>
        <w:pStyle w:val="18"/>
        <w:jc w:val="center"/>
        <w:rPr>
          <w:rFonts w:ascii="Times New Roman" w:hAnsi="Times New Roman"/>
          <w:b/>
          <w:color w:val="auto"/>
          <w:sz w:val="30"/>
          <w:szCs w:val="30"/>
        </w:rPr>
      </w:pPr>
    </w:p>
    <w:p>
      <w:pPr>
        <w:pStyle w:val="18"/>
        <w:jc w:val="center"/>
        <w:rPr>
          <w:rFonts w:ascii="Times New Roman" w:hAnsi="Times New Roman"/>
          <w:b/>
          <w:color w:val="auto"/>
          <w:sz w:val="30"/>
          <w:szCs w:val="30"/>
        </w:rPr>
      </w:pPr>
      <w:r>
        <w:rPr>
          <w:rFonts w:hint="eastAsia" w:ascii="Times New Roman" w:hAnsi="Times New Roman"/>
          <w:b/>
          <w:color w:val="auto"/>
          <w:sz w:val="30"/>
          <w:szCs w:val="30"/>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i/>
          <w:iCs/>
          <w:color w:val="auto"/>
          <w:szCs w:val="21"/>
          <w:u w:val="single"/>
        </w:rPr>
      </w:pPr>
      <w:r>
        <w:rPr>
          <w:rFonts w:hint="eastAsia" w:ascii="宋体" w:hAnsi="宋体" w:cs="宋体"/>
          <w:i w:val="0"/>
          <w:iCs w:val="0"/>
          <w:color w:val="auto"/>
          <w:szCs w:val="21"/>
          <w:u w:val="single"/>
          <w:lang w:eastAsia="zh-CN"/>
        </w:rPr>
        <w:t>凭祥市中小学校幼儿园实施购买保安服务项目</w:t>
      </w:r>
      <w:r>
        <w:rPr>
          <w:rFonts w:hint="eastAsia" w:ascii="宋体" w:hAnsi="宋体" w:cs="宋体"/>
          <w:i w:val="0"/>
          <w:iCs w:val="0"/>
          <w:color w:val="auto"/>
          <w:szCs w:val="21"/>
          <w:u w:val="single"/>
          <w:lang w:val="en-US" w:eastAsia="zh-CN"/>
        </w:rPr>
        <w:t xml:space="preserve"> </w:t>
      </w:r>
      <w:r>
        <w:rPr>
          <w:rFonts w:hint="eastAsia" w:ascii="宋体" w:hAnsi="宋体" w:cs="宋体"/>
          <w:color w:val="auto"/>
          <w:szCs w:val="21"/>
        </w:rPr>
        <w:t>招标项目的潜在投标人应在</w:t>
      </w:r>
      <w:r>
        <w:rPr>
          <w:rFonts w:hint="eastAsia" w:ascii="宋体" w:hAnsi="宋体" w:cs="宋体"/>
          <w:color w:val="auto"/>
          <w:sz w:val="21"/>
          <w:szCs w:val="21"/>
        </w:rPr>
        <w:t>广西政府采购云平台（https://www.gcy.zfcg.gxzf.gov.cn/）</w:t>
      </w:r>
      <w:r>
        <w:rPr>
          <w:rFonts w:hint="eastAsia" w:ascii="宋体" w:hAnsi="宋体" w:cs="宋体"/>
          <w:color w:val="auto"/>
          <w:szCs w:val="21"/>
        </w:rPr>
        <w:t>获取招标文件，并</w:t>
      </w:r>
      <w:r>
        <w:rPr>
          <w:rFonts w:hint="eastAsia" w:ascii="宋体" w:hAnsi="宋体" w:cs="宋体"/>
          <w:bCs/>
          <w:color w:val="auto"/>
          <w:kern w:val="0"/>
          <w:szCs w:val="21"/>
          <w:u w:val="single"/>
          <w:lang w:val="en-US" w:eastAsia="zh-CN"/>
        </w:rPr>
        <w:t>于</w:t>
      </w:r>
      <w:bookmarkStart w:id="13" w:name="PO_3000001867_PM015"/>
      <w:bookmarkStart w:id="14" w:name="PO_3000001866_PM015"/>
      <w:r>
        <w:rPr>
          <w:rFonts w:hint="eastAsia" w:ascii="宋体" w:hAnsi="宋体" w:cs="宋体"/>
          <w:bCs/>
          <w:color w:val="auto"/>
          <w:kern w:val="0"/>
          <w:szCs w:val="21"/>
          <w:u w:val="single"/>
          <w:lang w:val="en-US" w:eastAsia="zh-CN"/>
        </w:rPr>
        <w:t>2025年12</w:t>
      </w:r>
      <w:r>
        <w:rPr>
          <w:rFonts w:hint="eastAsia" w:ascii="宋体" w:hAnsi="宋体" w:cs="宋体"/>
          <w:color w:val="auto"/>
          <w:szCs w:val="21"/>
          <w:u w:val="single"/>
        </w:rPr>
        <w:t xml:space="preserve"> 月</w:t>
      </w:r>
      <w:r>
        <w:rPr>
          <w:rFonts w:hint="eastAsia" w:ascii="宋体" w:hAnsi="宋体" w:cs="宋体"/>
          <w:color w:val="auto"/>
          <w:szCs w:val="21"/>
          <w:u w:val="single"/>
          <w:lang w:val="en-US" w:eastAsia="zh-CN"/>
        </w:rPr>
        <w:t>25</w:t>
      </w:r>
      <w:r>
        <w:rPr>
          <w:rFonts w:hint="eastAsia" w:ascii="宋体" w:hAnsi="宋体" w:cs="宋体"/>
          <w:color w:val="auto"/>
          <w:szCs w:val="21"/>
          <w:u w:val="single"/>
        </w:rPr>
        <w:t>日</w:t>
      </w:r>
      <w:r>
        <w:rPr>
          <w:rFonts w:hint="eastAsia" w:ascii="宋体" w:hAnsi="宋体" w:cs="宋体"/>
          <w:color w:val="auto"/>
          <w:szCs w:val="21"/>
          <w:u w:val="single"/>
          <w:lang w:val="en-US" w:eastAsia="zh-CN"/>
        </w:rPr>
        <w:t>9时00</w:t>
      </w:r>
      <w:r>
        <w:rPr>
          <w:rFonts w:hint="eastAsia" w:ascii="宋体" w:hAnsi="宋体" w:cs="宋体"/>
          <w:color w:val="auto"/>
          <w:szCs w:val="21"/>
          <w:u w:val="single"/>
        </w:rPr>
        <w:t>分</w:t>
      </w:r>
      <w:bookmarkEnd w:id="13"/>
      <w:bookmarkEnd w:id="14"/>
      <w:r>
        <w:rPr>
          <w:rFonts w:hint="eastAsia" w:ascii="宋体" w:hAnsi="宋体" w:cs="宋体"/>
          <w:bCs/>
          <w:color w:val="auto"/>
          <w:szCs w:val="21"/>
        </w:rPr>
        <w:t>（北京时间）前</w:t>
      </w:r>
      <w:r>
        <w:rPr>
          <w:rFonts w:hint="eastAsia" w:ascii="宋体" w:hAnsi="宋体" w:cs="宋体"/>
          <w:color w:val="auto"/>
          <w:szCs w:val="21"/>
        </w:rPr>
        <w:t>递交投标文件。</w:t>
      </w:r>
    </w:p>
    <w:p>
      <w:pPr>
        <w:spacing w:line="360" w:lineRule="auto"/>
        <w:rPr>
          <w:rFonts w:hint="eastAsia" w:ascii="黑体" w:hAnsi="黑体" w:eastAsia="黑体"/>
          <w:b/>
          <w:bCs/>
          <w:color w:val="auto"/>
          <w:sz w:val="24"/>
        </w:rPr>
      </w:pPr>
      <w:bookmarkStart w:id="15" w:name="_Toc28359079"/>
      <w:bookmarkStart w:id="16" w:name="_Toc35393790"/>
      <w:bookmarkStart w:id="17" w:name="_Toc35393621"/>
      <w:bookmarkStart w:id="18" w:name="_Toc28359002"/>
      <w:bookmarkStart w:id="19" w:name="_Hlk24379207"/>
    </w:p>
    <w:p>
      <w:pPr>
        <w:spacing w:line="360" w:lineRule="auto"/>
        <w:rPr>
          <w:rFonts w:ascii="黑体" w:hAnsi="黑体" w:eastAsia="黑体"/>
          <w:b/>
          <w:bCs/>
          <w:color w:val="auto"/>
          <w:sz w:val="24"/>
        </w:rPr>
      </w:pPr>
      <w:bookmarkStart w:id="20" w:name="OLE_LINK26"/>
      <w:r>
        <w:rPr>
          <w:rFonts w:hint="eastAsia" w:ascii="黑体" w:hAnsi="黑体" w:eastAsia="黑体"/>
          <w:b/>
          <w:bCs/>
          <w:color w:val="auto"/>
          <w:sz w:val="24"/>
        </w:rPr>
        <w:t>一、项目基本情况</w:t>
      </w:r>
      <w:bookmarkEnd w:id="15"/>
      <w:bookmarkEnd w:id="16"/>
      <w:bookmarkEnd w:id="17"/>
      <w:bookmarkEnd w:id="18"/>
    </w:p>
    <w:p>
      <w:pPr>
        <w:spacing w:line="360" w:lineRule="auto"/>
        <w:ind w:firstLine="420" w:firstLineChars="200"/>
        <w:rPr>
          <w:rFonts w:hint="eastAsia" w:ascii="宋体" w:hAnsi="宋体" w:cs="Times New Roman"/>
          <w:b w:val="0"/>
          <w:color w:val="auto"/>
          <w:sz w:val="21"/>
          <w:szCs w:val="21"/>
          <w:highlight w:val="none"/>
          <w:u w:val="single"/>
          <w:lang w:val="en-US" w:eastAsia="zh-CN"/>
        </w:rPr>
      </w:pPr>
      <w:r>
        <w:rPr>
          <w:rFonts w:hint="eastAsia" w:ascii="宋体" w:hAnsi="宋体"/>
          <w:color w:val="auto"/>
          <w:szCs w:val="21"/>
        </w:rPr>
        <w:t>项目编号</w:t>
      </w:r>
      <w:r>
        <w:rPr>
          <w:rFonts w:hint="eastAsia" w:ascii="宋体" w:hAnsi="宋体"/>
          <w:color w:val="auto"/>
          <w:szCs w:val="21"/>
          <w:highlight w:val="none"/>
        </w:rPr>
        <w:t xml:space="preserve">： </w:t>
      </w:r>
      <w:bookmarkStart w:id="21" w:name="OLE_LINK27"/>
      <w:r>
        <w:rPr>
          <w:rFonts w:hint="eastAsia" w:ascii="宋体" w:hAnsi="宋体"/>
          <w:color w:val="auto"/>
          <w:szCs w:val="21"/>
          <w:highlight w:val="none"/>
        </w:rPr>
        <w:t>CZZC2025-G3-810092-HSZB</w:t>
      </w:r>
      <w:bookmarkEnd w:id="21"/>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19"/>
      <w:r>
        <w:rPr>
          <w:rFonts w:hint="eastAsia" w:ascii="宋体" w:hAnsi="宋体"/>
          <w:color w:val="auto"/>
          <w:szCs w:val="21"/>
          <w:highlight w:val="none"/>
          <w:lang w:eastAsia="zh-CN"/>
        </w:rPr>
        <w:t>凭祥市中小学校幼儿园实施购买保安服务项目</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预算金额：</w:t>
      </w:r>
      <w:bookmarkStart w:id="22" w:name="PO_3000001867_PM001392"/>
      <w:r>
        <w:rPr>
          <w:rFonts w:hint="eastAsia" w:ascii="宋体" w:hAnsi="宋体" w:cs="宋体"/>
          <w:color w:val="auto"/>
          <w:szCs w:val="21"/>
          <w:highlight w:val="none"/>
        </w:rPr>
        <w:t>（大写）</w:t>
      </w:r>
      <w:r>
        <w:rPr>
          <w:rFonts w:hint="eastAsia" w:ascii="宋体" w:hAnsi="宋体" w:cs="宋体"/>
          <w:color w:val="auto"/>
          <w:szCs w:val="21"/>
          <w:highlight w:val="none"/>
          <w:u w:val="single"/>
          <w:lang w:eastAsia="zh-CN"/>
        </w:rPr>
        <w:t>人民币壹仟贰佰陆拾柒万贰仟元整（¥12,672,000.00）</w:t>
      </w:r>
      <w:r>
        <w:rPr>
          <w:rFonts w:hint="eastAsia" w:ascii="宋体" w:hAnsi="宋体" w:cs="宋体"/>
          <w:color w:val="auto"/>
          <w:szCs w:val="21"/>
          <w:highlight w:val="none"/>
        </w:rPr>
        <w:t>。</w:t>
      </w:r>
      <w:bookmarkEnd w:id="22"/>
    </w:p>
    <w:p>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同预算金额</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采购需求：凭祥市中小学校幼儿园实施购买保安服务项目1项</w:t>
      </w:r>
      <w:bookmarkStart w:id="23" w:name="PO_3000001867_PM004"/>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如需进一步了解，详见招标文件。</w:t>
      </w:r>
      <w:bookmarkEnd w:id="23"/>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合同履行期限：签订合同之日起三年。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s="宋体"/>
          <w:color w:val="auto"/>
          <w:szCs w:val="21"/>
          <w:highlight w:val="none"/>
        </w:rPr>
        <w:t>（</w:t>
      </w:r>
      <w:r>
        <w:rPr>
          <w:rFonts w:hint="eastAsia" w:ascii="宋体" w:hAnsi="宋体" w:cs="宋体"/>
          <w:i/>
          <w:iCs/>
          <w:color w:val="auto"/>
          <w:szCs w:val="21"/>
          <w:highlight w:val="none"/>
        </w:rPr>
        <w:t>是/否</w:t>
      </w:r>
      <w:r>
        <w:rPr>
          <w:rFonts w:hint="eastAsia" w:ascii="宋体" w:hAnsi="宋体" w:cs="宋体"/>
          <w:color w:val="auto"/>
          <w:szCs w:val="21"/>
          <w:highlight w:val="none"/>
        </w:rPr>
        <w:t>）</w:t>
      </w:r>
      <w:r>
        <w:rPr>
          <w:rFonts w:hint="eastAsia" w:ascii="宋体" w:hAnsi="宋体"/>
          <w:color w:val="auto"/>
          <w:szCs w:val="21"/>
          <w:highlight w:val="none"/>
        </w:rPr>
        <w:t>接受联合体投标</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pPr>
        <w:spacing w:line="360" w:lineRule="auto"/>
        <w:rPr>
          <w:rFonts w:ascii="黑体" w:hAnsi="黑体" w:eastAsia="黑体"/>
          <w:b/>
          <w:bCs/>
          <w:color w:val="auto"/>
          <w:sz w:val="24"/>
          <w:highlight w:val="none"/>
        </w:rPr>
      </w:pPr>
      <w:bookmarkStart w:id="24" w:name="_Toc35393791"/>
      <w:bookmarkStart w:id="25" w:name="_Toc28359003"/>
      <w:bookmarkStart w:id="26" w:name="_Toc28359080"/>
      <w:bookmarkStart w:id="27" w:name="_Toc35393622"/>
      <w:r>
        <w:rPr>
          <w:rFonts w:hint="eastAsia" w:ascii="黑体" w:hAnsi="黑体" w:eastAsia="黑体"/>
          <w:b/>
          <w:bCs/>
          <w:color w:val="auto"/>
          <w:sz w:val="24"/>
          <w:highlight w:val="none"/>
        </w:rPr>
        <w:t>二、申请人的资格要求：</w:t>
      </w:r>
      <w:bookmarkEnd w:id="24"/>
      <w:bookmarkEnd w:id="25"/>
      <w:bookmarkEnd w:id="26"/>
      <w:bookmarkEnd w:id="27"/>
    </w:p>
    <w:p>
      <w:pPr>
        <w:spacing w:line="360" w:lineRule="auto"/>
        <w:ind w:firstLine="420" w:firstLineChars="200"/>
        <w:rPr>
          <w:rFonts w:ascii="宋体" w:hAnsi="宋体"/>
          <w:color w:val="auto"/>
          <w:szCs w:val="21"/>
          <w:highlight w:val="none"/>
        </w:rPr>
      </w:pPr>
      <w:bookmarkStart w:id="28" w:name="_Toc28359004"/>
      <w:bookmarkStart w:id="29" w:name="_Toc28359081"/>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专门面向中小企业采购的项目（供应商应为中、小、微型企业，监狱企业、残疾人福利性单位视为小微企业)</w:t>
      </w:r>
      <w:r>
        <w:rPr>
          <w:rFonts w:hint="eastAsia" w:ascii="宋体" w:hAnsi="宋体" w:cs="宋体"/>
          <w:color w:val="auto"/>
          <w:szCs w:val="21"/>
          <w:highlight w:val="none"/>
          <w:u w:val="single"/>
          <w:lang w:eastAsia="zh-CN"/>
        </w:rPr>
        <w:t>；</w:t>
      </w:r>
    </w:p>
    <w:p>
      <w:pPr>
        <w:spacing w:line="360" w:lineRule="auto"/>
        <w:ind w:firstLine="420" w:firstLineChars="200"/>
        <w:rPr>
          <w:rFonts w:ascii="宋体" w:hAnsi="宋体"/>
          <w:color w:val="auto"/>
          <w:szCs w:val="21"/>
        </w:rPr>
      </w:pPr>
      <w:r>
        <w:rPr>
          <w:rFonts w:hint="eastAsia" w:ascii="宋体" w:hAnsi="宋体"/>
          <w:color w:val="auto"/>
          <w:szCs w:val="21"/>
        </w:rPr>
        <w:t>3.本项目的特定资格要求：</w:t>
      </w:r>
      <w:r>
        <w:rPr>
          <w:rFonts w:hint="eastAsia" w:ascii="宋体" w:hAnsi="宋体"/>
          <w:color w:val="auto"/>
          <w:szCs w:val="21"/>
          <w:lang w:eastAsia="zh-CN"/>
        </w:rPr>
        <w:t>供应商须具备有公安部门颁发的有效的《保安服务许可证》</w:t>
      </w:r>
      <w:r>
        <w:rPr>
          <w:rFonts w:hint="eastAsia" w:ascii="宋体" w:hAnsi="宋体"/>
          <w:color w:val="auto"/>
          <w:szCs w:val="21"/>
        </w:rPr>
        <w:t>。</w:t>
      </w:r>
    </w:p>
    <w:p>
      <w:pPr>
        <w:spacing w:line="360" w:lineRule="auto"/>
        <w:rPr>
          <w:rFonts w:ascii="黑体" w:hAnsi="黑体" w:eastAsia="黑体"/>
          <w:b/>
          <w:bCs/>
          <w:color w:val="auto"/>
          <w:sz w:val="24"/>
        </w:rPr>
      </w:pPr>
      <w:bookmarkStart w:id="30" w:name="_Toc35393792"/>
      <w:bookmarkStart w:id="31" w:name="_Toc35393623"/>
      <w:r>
        <w:rPr>
          <w:rFonts w:hint="eastAsia" w:ascii="黑体" w:hAnsi="黑体" w:eastAsia="黑体"/>
          <w:b/>
          <w:bCs/>
          <w:color w:val="auto"/>
          <w:sz w:val="24"/>
        </w:rPr>
        <w:t>三、获取招标文件</w:t>
      </w:r>
      <w:bookmarkEnd w:id="28"/>
      <w:bookmarkEnd w:id="29"/>
      <w:bookmarkEnd w:id="30"/>
      <w:bookmarkEnd w:id="31"/>
    </w:p>
    <w:p>
      <w:pPr>
        <w:snapToGrid w:val="0"/>
        <w:spacing w:line="360" w:lineRule="auto"/>
        <w:ind w:firstLine="472" w:firstLineChars="225"/>
        <w:rPr>
          <w:rFonts w:ascii="宋体" w:hAnsi="宋体"/>
          <w:color w:val="auto"/>
          <w:szCs w:val="21"/>
        </w:rPr>
      </w:pPr>
      <w:bookmarkStart w:id="32" w:name="_Toc28359005"/>
      <w:bookmarkStart w:id="33" w:name="_Toc28359082"/>
      <w:bookmarkStart w:id="34" w:name="_Toc35393624"/>
      <w:bookmarkStart w:id="35" w:name="_Toc35393793"/>
      <w:r>
        <w:rPr>
          <w:rFonts w:hint="eastAsia" w:ascii="宋体" w:hAnsi="宋体"/>
          <w:color w:val="auto"/>
          <w:szCs w:val="21"/>
        </w:rPr>
        <w:t>时间：</w:t>
      </w:r>
      <w:r>
        <w:rPr>
          <w:rFonts w:hint="eastAsia" w:ascii="宋体" w:hAnsi="宋体" w:cs="宋体"/>
          <w:bCs/>
          <w:color w:val="auto"/>
          <w:kern w:val="0"/>
          <w:szCs w:val="21"/>
          <w:u w:val="single"/>
          <w:lang w:val="en-US" w:eastAsia="zh-CN"/>
        </w:rPr>
        <w:t>2025</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12</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3</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hint="eastAsia" w:ascii="宋体" w:hAnsi="宋体" w:cs="宋体"/>
          <w:bCs/>
          <w:color w:val="auto"/>
          <w:kern w:val="0"/>
          <w:szCs w:val="21"/>
          <w:u w:val="single"/>
          <w:lang w:val="en-US" w:eastAsia="zh-CN"/>
        </w:rPr>
        <w:t>2025</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12</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10</w:t>
      </w:r>
      <w:r>
        <w:rPr>
          <w:rFonts w:hint="eastAsia" w:ascii="宋体" w:hAnsi="宋体" w:cs="宋体"/>
          <w:bCs/>
          <w:color w:val="auto"/>
          <w:kern w:val="0"/>
          <w:szCs w:val="21"/>
          <w:u w:val="single"/>
        </w:rPr>
        <w:t>日</w:t>
      </w:r>
      <w:r>
        <w:rPr>
          <w:rFonts w:hint="eastAsia" w:ascii="宋体" w:hAnsi="宋体" w:cs="宋体"/>
          <w:bCs/>
          <w:color w:val="auto"/>
          <w:kern w:val="0"/>
          <w:szCs w:val="21"/>
        </w:rPr>
        <w:t>每天</w:t>
      </w:r>
      <w:r>
        <w:rPr>
          <w:rFonts w:hint="eastAsia" w:ascii="宋体" w:hAnsi="宋体" w:cs="宋体"/>
          <w:bCs/>
          <w:color w:val="auto"/>
          <w:kern w:val="0"/>
          <w:szCs w:val="21"/>
          <w:lang w:eastAsia="zh-CN"/>
        </w:rPr>
        <w:t>上午</w:t>
      </w:r>
      <w:r>
        <w:rPr>
          <w:rFonts w:hint="eastAsia" w:ascii="宋体" w:hAnsi="宋体" w:cs="宋体"/>
          <w:bCs/>
          <w:color w:val="auto"/>
          <w:kern w:val="0"/>
          <w:szCs w:val="21"/>
          <w:lang w:val="en-US" w:eastAsia="zh-CN"/>
        </w:rPr>
        <w:t>00：00</w:t>
      </w:r>
      <w:r>
        <w:rPr>
          <w:rFonts w:hint="eastAsia" w:ascii="宋体" w:hAnsi="宋体" w:cs="宋体"/>
          <w:bCs/>
          <w:color w:val="auto"/>
          <w:kern w:val="0"/>
          <w:szCs w:val="21"/>
        </w:rPr>
        <w:t>至</w:t>
      </w:r>
      <w:r>
        <w:rPr>
          <w:rFonts w:hint="eastAsia" w:ascii="宋体" w:hAnsi="宋体" w:cs="宋体"/>
          <w:bCs/>
          <w:color w:val="auto"/>
          <w:kern w:val="0"/>
          <w:szCs w:val="21"/>
          <w:u w:val="single"/>
          <w:lang w:val="en-US" w:eastAsia="zh-CN"/>
        </w:rPr>
        <w:t>12：00</w:t>
      </w:r>
      <w:r>
        <w:rPr>
          <w:rFonts w:hint="eastAsia" w:ascii="宋体" w:hAnsi="宋体" w:cs="宋体"/>
          <w:bCs/>
          <w:color w:val="auto"/>
          <w:kern w:val="0"/>
          <w:szCs w:val="21"/>
        </w:rPr>
        <w:t>，下午</w:t>
      </w:r>
      <w:r>
        <w:rPr>
          <w:rFonts w:hint="eastAsia" w:ascii="宋体" w:hAnsi="宋体" w:cs="宋体"/>
          <w:bCs/>
          <w:color w:val="auto"/>
          <w:kern w:val="0"/>
          <w:szCs w:val="21"/>
          <w:u w:val="single"/>
          <w:lang w:val="en-US" w:eastAsia="zh-CN"/>
        </w:rPr>
        <w:t>12：00</w:t>
      </w:r>
      <w:r>
        <w:rPr>
          <w:rFonts w:hint="eastAsia" w:ascii="宋体" w:hAnsi="宋体" w:cs="宋体"/>
          <w:bCs/>
          <w:color w:val="auto"/>
          <w:kern w:val="0"/>
          <w:szCs w:val="21"/>
        </w:rPr>
        <w:t>至</w:t>
      </w:r>
      <w:r>
        <w:rPr>
          <w:rFonts w:hint="eastAsia" w:ascii="宋体" w:hAnsi="宋体" w:cs="宋体"/>
          <w:bCs/>
          <w:color w:val="auto"/>
          <w:kern w:val="0"/>
          <w:szCs w:val="21"/>
          <w:u w:val="single"/>
          <w:lang w:val="en-US" w:eastAsia="zh-CN"/>
        </w:rPr>
        <w:t>23：59</w:t>
      </w:r>
      <w:r>
        <w:rPr>
          <w:rFonts w:hint="eastAsia" w:ascii="宋体" w:hAnsi="宋体"/>
          <w:color w:val="auto"/>
          <w:szCs w:val="21"/>
        </w:rPr>
        <w:t>（北京时间，法定节假日除外）。</w:t>
      </w:r>
    </w:p>
    <w:p>
      <w:pPr>
        <w:snapToGrid w:val="0"/>
        <w:spacing w:line="360" w:lineRule="auto"/>
        <w:ind w:firstLine="472" w:firstLineChars="225"/>
        <w:rPr>
          <w:rFonts w:ascii="宋体" w:hAnsi="宋体"/>
          <w:color w:val="auto"/>
          <w:szCs w:val="21"/>
        </w:rPr>
      </w:pPr>
      <w:r>
        <w:rPr>
          <w:rFonts w:hint="eastAsia" w:ascii="宋体" w:hAnsi="宋体"/>
          <w:color w:val="auto"/>
          <w:szCs w:val="21"/>
        </w:rPr>
        <w:t>地点：</w:t>
      </w:r>
      <w:bookmarkStart w:id="36" w:name="OLE_LINK6"/>
      <w:r>
        <w:rPr>
          <w:rFonts w:hint="eastAsia" w:ascii="宋体" w:hAnsi="宋体" w:cs="宋体"/>
          <w:color w:val="auto"/>
          <w:szCs w:val="21"/>
        </w:rPr>
        <w:t>广西政府采购云平台（</w:t>
      </w:r>
      <w:r>
        <w:rPr>
          <w:rStyle w:val="31"/>
          <w:rFonts w:hint="eastAsia" w:ascii="宋体" w:hAnsi="宋体" w:cs="宋体"/>
          <w:b w:val="0"/>
          <w:bCs/>
          <w:color w:val="auto"/>
          <w:szCs w:val="21"/>
        </w:rPr>
        <w:t>https://www.gcy.zfcg.gxzf.gov.cn/</w:t>
      </w:r>
      <w:r>
        <w:rPr>
          <w:rFonts w:hint="eastAsia" w:ascii="宋体" w:hAnsi="宋体" w:cs="宋体"/>
          <w:color w:val="auto"/>
          <w:szCs w:val="21"/>
        </w:rPr>
        <w:t>）</w:t>
      </w:r>
      <w:bookmarkEnd w:id="36"/>
    </w:p>
    <w:p>
      <w:pPr>
        <w:snapToGrid w:val="0"/>
        <w:spacing w:line="360" w:lineRule="auto"/>
        <w:ind w:firstLine="472" w:firstLineChars="225"/>
        <w:rPr>
          <w:rFonts w:ascii="宋体" w:hAnsi="宋体"/>
          <w:color w:val="auto"/>
          <w:szCs w:val="21"/>
        </w:rPr>
      </w:pPr>
      <w:r>
        <w:rPr>
          <w:rFonts w:hint="eastAsia" w:ascii="宋体" w:hAnsi="宋体"/>
          <w:color w:val="auto"/>
          <w:szCs w:val="21"/>
        </w:rPr>
        <w:t>方式:</w:t>
      </w:r>
      <w:bookmarkStart w:id="37" w:name="OLE_LINK7"/>
      <w:r>
        <w:rPr>
          <w:rFonts w:hint="eastAsia" w:ascii="宋体" w:hAnsi="宋体"/>
          <w:color w:val="auto"/>
          <w:szCs w:val="21"/>
        </w:rPr>
        <w:t>网上下载。本项目不发放纸质文件，</w:t>
      </w:r>
      <w:bookmarkStart w:id="38" w:name="OLE_LINK5"/>
      <w:r>
        <w:rPr>
          <w:rFonts w:hint="eastAsia" w:ascii="宋体" w:hAnsi="宋体" w:cs="宋体"/>
          <w:color w:val="auto"/>
          <w:szCs w:val="21"/>
        </w:rPr>
        <w:t>潜在投标人</w:t>
      </w:r>
      <w:r>
        <w:rPr>
          <w:rFonts w:hint="eastAsia" w:ascii="宋体" w:hAnsi="宋体"/>
          <w:color w:val="auto"/>
          <w:szCs w:val="21"/>
        </w:rPr>
        <w:t>可自行在</w:t>
      </w:r>
      <w:bookmarkStart w:id="39" w:name="OLE_LINK4"/>
      <w:r>
        <w:rPr>
          <w:rFonts w:hint="eastAsia" w:ascii="宋体" w:hAnsi="宋体" w:cs="宋体"/>
          <w:color w:val="auto"/>
          <w:szCs w:val="21"/>
        </w:rPr>
        <w:t>广西政府采购云平台（</w:t>
      </w:r>
      <w:r>
        <w:rPr>
          <w:rStyle w:val="31"/>
          <w:rFonts w:hint="eastAsia" w:ascii="宋体" w:hAnsi="宋体" w:cs="宋体"/>
          <w:b w:val="0"/>
          <w:bCs/>
          <w:color w:val="auto"/>
          <w:szCs w:val="21"/>
        </w:rPr>
        <w:t>https://www.gcy.zfcg.gxzf.gov.cn/</w:t>
      </w:r>
      <w:r>
        <w:rPr>
          <w:rFonts w:hint="eastAsia" w:ascii="宋体" w:hAnsi="宋体" w:cs="宋体"/>
          <w:color w:val="auto"/>
          <w:szCs w:val="21"/>
        </w:rPr>
        <w:t>）</w:t>
      </w:r>
      <w:bookmarkEnd w:id="39"/>
      <w:r>
        <w:rPr>
          <w:rFonts w:hint="eastAsia" w:ascii="宋体" w:hAnsi="宋体"/>
          <w:color w:val="auto"/>
          <w:szCs w:val="21"/>
        </w:rPr>
        <w:t>下载招标文件</w:t>
      </w:r>
      <w:bookmarkEnd w:id="38"/>
      <w:r>
        <w:rPr>
          <w:rFonts w:hint="eastAsia" w:ascii="宋体" w:hAnsi="宋体"/>
          <w:color w:val="auto"/>
          <w:szCs w:val="21"/>
        </w:rPr>
        <w:t>（操作路径：登录</w:t>
      </w:r>
      <w:r>
        <w:rPr>
          <w:rFonts w:hint="eastAsia" w:ascii="宋体" w:hAnsi="宋体" w:cs="宋体"/>
          <w:color w:val="auto"/>
          <w:szCs w:val="21"/>
        </w:rPr>
        <w:t>广西政府采购云平台</w:t>
      </w:r>
      <w:r>
        <w:rPr>
          <w:rFonts w:hint="eastAsia" w:ascii="宋体" w:hAnsi="宋体"/>
          <w:color w:val="auto"/>
          <w:szCs w:val="21"/>
        </w:rPr>
        <w:t>-项目采购-获取采购文件-找到本项目-点击“申请获取采购文件”），电子投标文件制作需要基于</w:t>
      </w:r>
      <w:r>
        <w:rPr>
          <w:rFonts w:hint="eastAsia" w:ascii="宋体" w:hAnsi="宋体" w:cs="宋体"/>
          <w:color w:val="auto"/>
          <w:szCs w:val="21"/>
        </w:rPr>
        <w:t>广西政府采购云平台</w:t>
      </w:r>
      <w:r>
        <w:rPr>
          <w:rFonts w:hint="eastAsia" w:ascii="宋体" w:hAnsi="宋体"/>
          <w:color w:val="auto"/>
          <w:szCs w:val="21"/>
        </w:rPr>
        <w:t>获取的招标文件编制</w:t>
      </w:r>
      <w:bookmarkEnd w:id="37"/>
      <w:r>
        <w:rPr>
          <w:rFonts w:hint="eastAsia" w:ascii="宋体" w:hAnsi="宋体"/>
          <w:color w:val="auto"/>
          <w:szCs w:val="21"/>
        </w:rPr>
        <w:t>。</w:t>
      </w:r>
    </w:p>
    <w:p>
      <w:pPr>
        <w:snapToGrid w:val="0"/>
        <w:spacing w:line="360" w:lineRule="auto"/>
        <w:ind w:firstLine="472" w:firstLineChars="225"/>
        <w:rPr>
          <w:rFonts w:ascii="宋体" w:hAnsi="宋体"/>
          <w:color w:val="auto"/>
          <w:szCs w:val="21"/>
        </w:rPr>
      </w:pPr>
      <w:r>
        <w:rPr>
          <w:rFonts w:hint="eastAsia" w:ascii="宋体" w:hAnsi="宋体"/>
          <w:color w:val="auto"/>
          <w:szCs w:val="21"/>
        </w:rPr>
        <w:t>售价：</w:t>
      </w:r>
      <w:r>
        <w:rPr>
          <w:rFonts w:hint="eastAsia" w:ascii="宋体" w:hAnsi="宋体" w:cs="宋体"/>
          <w:color w:val="auto"/>
          <w:szCs w:val="21"/>
        </w:rPr>
        <w:t>人民币0元</w:t>
      </w:r>
    </w:p>
    <w:p>
      <w:pPr>
        <w:spacing w:line="360" w:lineRule="auto"/>
        <w:rPr>
          <w:rFonts w:ascii="黑体" w:hAnsi="黑体" w:eastAsia="黑体"/>
          <w:b/>
          <w:bCs/>
          <w:color w:val="auto"/>
          <w:sz w:val="24"/>
        </w:rPr>
      </w:pPr>
      <w:r>
        <w:rPr>
          <w:rFonts w:hint="eastAsia" w:ascii="黑体" w:hAnsi="黑体" w:eastAsia="黑体"/>
          <w:b/>
          <w:bCs/>
          <w:color w:val="auto"/>
          <w:sz w:val="24"/>
        </w:rPr>
        <w:t>四、提交投标文件</w:t>
      </w:r>
      <w:bookmarkEnd w:id="32"/>
      <w:bookmarkEnd w:id="33"/>
      <w:r>
        <w:rPr>
          <w:rFonts w:hint="eastAsia" w:ascii="黑体" w:hAnsi="黑体" w:eastAsia="黑体"/>
          <w:b/>
          <w:bCs/>
          <w:color w:val="auto"/>
          <w:sz w:val="24"/>
        </w:rPr>
        <w:t>截止时间、开标时间和地点</w:t>
      </w:r>
      <w:bookmarkEnd w:id="34"/>
      <w:bookmarkEnd w:id="35"/>
    </w:p>
    <w:p>
      <w:pPr>
        <w:spacing w:line="360" w:lineRule="auto"/>
        <w:ind w:firstLine="420" w:firstLineChars="200"/>
        <w:rPr>
          <w:rFonts w:ascii="宋体" w:hAnsi="宋体" w:cs="宋体"/>
          <w:color w:val="auto"/>
          <w:szCs w:val="21"/>
          <w:u w:val="single"/>
        </w:rPr>
      </w:pPr>
      <w:r>
        <w:rPr>
          <w:rFonts w:hint="eastAsia" w:ascii="宋体" w:hAnsi="宋体" w:cs="宋体"/>
          <w:bCs/>
          <w:color w:val="auto"/>
          <w:szCs w:val="21"/>
        </w:rPr>
        <w:t>1、提交投标文件截止时间和开标时间：</w:t>
      </w:r>
      <w:bookmarkStart w:id="40" w:name="PO_3000001867_PM015_1"/>
      <w:r>
        <w:rPr>
          <w:rFonts w:hint="eastAsia" w:ascii="宋体" w:hAnsi="宋体" w:cs="宋体"/>
          <w:bCs/>
          <w:color w:val="auto"/>
          <w:kern w:val="0"/>
          <w:szCs w:val="21"/>
          <w:u w:val="single"/>
          <w:lang w:val="en-US" w:eastAsia="zh-CN"/>
        </w:rPr>
        <w:t>2025年12</w:t>
      </w:r>
      <w:r>
        <w:rPr>
          <w:rFonts w:hint="eastAsia" w:ascii="宋体" w:hAnsi="宋体" w:cs="宋体"/>
          <w:color w:val="auto"/>
          <w:szCs w:val="21"/>
          <w:u w:val="single"/>
        </w:rPr>
        <w:t xml:space="preserve"> 月</w:t>
      </w:r>
      <w:r>
        <w:rPr>
          <w:rFonts w:hint="eastAsia" w:ascii="宋体" w:hAnsi="宋体" w:cs="宋体"/>
          <w:color w:val="auto"/>
          <w:szCs w:val="21"/>
          <w:u w:val="single"/>
          <w:lang w:val="en-US" w:eastAsia="zh-CN"/>
        </w:rPr>
        <w:t>25</w:t>
      </w:r>
      <w:r>
        <w:rPr>
          <w:rFonts w:hint="eastAsia" w:ascii="宋体" w:hAnsi="宋体" w:cs="宋体"/>
          <w:color w:val="auto"/>
          <w:szCs w:val="21"/>
          <w:u w:val="single"/>
        </w:rPr>
        <w:t>日</w:t>
      </w:r>
      <w:r>
        <w:rPr>
          <w:rFonts w:hint="eastAsia" w:ascii="宋体" w:hAnsi="宋体" w:cs="宋体"/>
          <w:color w:val="auto"/>
          <w:szCs w:val="21"/>
          <w:u w:val="single"/>
          <w:lang w:val="en-US" w:eastAsia="zh-CN"/>
        </w:rPr>
        <w:t>9时00</w:t>
      </w:r>
      <w:r>
        <w:rPr>
          <w:rFonts w:hint="eastAsia" w:ascii="宋体" w:hAnsi="宋体" w:cs="宋体"/>
          <w:color w:val="auto"/>
          <w:szCs w:val="21"/>
          <w:u w:val="single"/>
        </w:rPr>
        <w:t>分</w:t>
      </w:r>
      <w:r>
        <w:rPr>
          <w:rFonts w:hint="eastAsia" w:ascii="宋体" w:hAnsi="宋体" w:cs="宋体"/>
          <w:bCs/>
          <w:color w:val="auto"/>
          <w:szCs w:val="21"/>
        </w:rPr>
        <w:t>（北京时间）</w:t>
      </w:r>
      <w:bookmarkEnd w:id="4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2、提交投标文件和开标地点：</w:t>
      </w:r>
      <w:bookmarkStart w:id="41" w:name="OLE_LINK24"/>
      <w:r>
        <w:rPr>
          <w:rFonts w:hint="eastAsia" w:ascii="宋体" w:hAnsi="宋体" w:cs="宋体"/>
          <w:color w:val="auto"/>
          <w:szCs w:val="21"/>
          <w:lang w:bidi="ar"/>
        </w:rPr>
        <w:t>广西政府采购云平台(https://www. gcy.zfcg.gxzf.gov.cn/)</w:t>
      </w:r>
      <w:bookmarkEnd w:id="41"/>
      <w:r>
        <w:rPr>
          <w:rFonts w:hint="eastAsia" w:ascii="宋体" w:hAnsi="宋体" w:cs="宋体"/>
          <w:color w:val="auto"/>
          <w:highlight w:val="none"/>
          <w:lang w:eastAsia="zh-CN"/>
        </w:rPr>
        <w:t>。</w:t>
      </w:r>
    </w:p>
    <w:p>
      <w:pPr>
        <w:spacing w:line="360" w:lineRule="auto"/>
        <w:rPr>
          <w:rFonts w:ascii="黑体" w:hAnsi="黑体" w:eastAsia="黑体"/>
          <w:b/>
          <w:bCs/>
          <w:color w:val="auto"/>
          <w:sz w:val="24"/>
        </w:rPr>
      </w:pPr>
      <w:bookmarkStart w:id="42" w:name="_Toc35393625"/>
      <w:bookmarkStart w:id="43" w:name="_Toc28359084"/>
      <w:bookmarkStart w:id="44" w:name="_Toc28359007"/>
      <w:bookmarkStart w:id="45" w:name="_Toc35393794"/>
      <w:r>
        <w:rPr>
          <w:rFonts w:hint="eastAsia" w:ascii="黑体" w:hAnsi="黑体" w:eastAsia="黑体"/>
          <w:b/>
          <w:bCs/>
          <w:color w:val="auto"/>
          <w:sz w:val="24"/>
        </w:rPr>
        <w:t>五、公告期限</w:t>
      </w:r>
      <w:bookmarkEnd w:id="42"/>
      <w:bookmarkEnd w:id="43"/>
      <w:bookmarkEnd w:id="44"/>
      <w:bookmarkEnd w:id="45"/>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spacing w:line="360" w:lineRule="auto"/>
        <w:rPr>
          <w:rFonts w:ascii="黑体" w:hAnsi="黑体" w:eastAsia="黑体"/>
          <w:b/>
          <w:bCs/>
          <w:color w:val="auto"/>
          <w:sz w:val="24"/>
        </w:rPr>
      </w:pPr>
      <w:bookmarkStart w:id="46" w:name="_Toc35393795"/>
      <w:bookmarkStart w:id="47" w:name="_Toc35393626"/>
      <w:r>
        <w:rPr>
          <w:rFonts w:hint="eastAsia" w:ascii="黑体" w:hAnsi="黑体" w:eastAsia="黑体"/>
          <w:b/>
          <w:bCs/>
          <w:color w:val="auto"/>
          <w:sz w:val="24"/>
        </w:rPr>
        <w:t>六、其他补充事宜</w:t>
      </w:r>
      <w:bookmarkEnd w:id="46"/>
      <w:bookmarkEnd w:id="47"/>
    </w:p>
    <w:p>
      <w:pPr>
        <w:spacing w:line="360" w:lineRule="auto"/>
        <w:ind w:firstLine="420" w:firstLineChars="200"/>
        <w:rPr>
          <w:rFonts w:ascii="宋体" w:hAnsi="宋体" w:cs="宋体"/>
          <w:color w:val="auto"/>
          <w:kern w:val="0"/>
          <w:szCs w:val="21"/>
        </w:rPr>
      </w:pPr>
      <w:bookmarkStart w:id="48" w:name="OLE_LINK25"/>
      <w:r>
        <w:rPr>
          <w:rFonts w:hint="eastAsia" w:ascii="宋体" w:hAnsi="宋体" w:cs="宋体"/>
          <w:color w:val="auto"/>
          <w:kern w:val="0"/>
          <w:szCs w:val="21"/>
        </w:rPr>
        <w:t>1.投标保证金：</w:t>
      </w: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投标保证金。</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2.网上查询地址</w:t>
      </w:r>
    </w:p>
    <w:p>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"http://www.ccgp.gov.cn/（中国政府采购网）、http:/zfcg.gxzf.gov.cn/(广西政府采购网)、http:/ggzy.jgswj.gxzf.gov.cn/czggzy（全国公共资源交易平台(广西.崇左)。" </w:instrText>
      </w:r>
      <w:r>
        <w:rPr>
          <w:rFonts w:hint="eastAsia" w:ascii="宋体" w:hAnsi="宋体" w:cs="宋体"/>
          <w:color w:val="auto"/>
          <w:kern w:val="0"/>
          <w:szCs w:val="21"/>
        </w:rPr>
        <w:fldChar w:fldCharType="separate"/>
      </w:r>
      <w:r>
        <w:rPr>
          <w:rStyle w:val="34"/>
          <w:rFonts w:hint="eastAsia" w:ascii="宋体" w:hAnsi="宋体" w:cs="宋体"/>
          <w:color w:val="auto"/>
          <w:kern w:val="0"/>
          <w:szCs w:val="21"/>
        </w:rPr>
        <w:t>http://www.ccgp.gov.cn/（中国政府采购网）、</w:t>
      </w:r>
      <w:r>
        <w:rPr>
          <w:rStyle w:val="34"/>
          <w:rFonts w:hint="eastAsia" w:ascii="宋体" w:hAnsi="宋体" w:cs="宋体"/>
          <w:color w:val="auto"/>
          <w:szCs w:val="21"/>
        </w:rPr>
        <w:t>http://zfcg.gxzf.gov.cn/</w:t>
      </w:r>
      <w:r>
        <w:rPr>
          <w:rStyle w:val="34"/>
          <w:rFonts w:hint="eastAsia" w:ascii="宋体" w:hAnsi="宋体" w:cs="宋体"/>
          <w:color w:val="auto"/>
          <w:kern w:val="0"/>
          <w:szCs w:val="21"/>
        </w:rPr>
        <w:t>(广西政府采购网)、http://ggzy.jgswj.gxzf.gov.cn/czggzy（全国公共资源交易平台(广西.崇左)。</w:t>
      </w:r>
      <w:r>
        <w:rPr>
          <w:rFonts w:hint="eastAsia" w:ascii="宋体" w:hAnsi="宋体" w:cs="宋体"/>
          <w:color w:val="auto"/>
          <w:kern w:val="0"/>
          <w:szCs w:val="21"/>
        </w:rPr>
        <w:fldChar w:fldCharType="end"/>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 本项目需要落实的政府采购政策：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w:t>
      </w:r>
      <w:r>
        <w:rPr>
          <w:rFonts w:hint="eastAsia" w:ascii="宋体" w:hAnsi="宋体" w:cs="宋体"/>
          <w:color w:val="auto"/>
          <w:szCs w:val="21"/>
        </w:rPr>
        <w:t>重大税收违法失信主体</w:t>
      </w:r>
      <w:r>
        <w:rPr>
          <w:rFonts w:hint="eastAsia" w:ascii="宋体" w:hAnsi="宋体" w:cs="宋体"/>
          <w:color w:val="auto"/>
          <w:kern w:val="0"/>
          <w:szCs w:val="21"/>
        </w:rPr>
        <w:t>、政府采购严重违法失信行为记录名单及其他不符合《中华人民共和国政府采购法》第二十二条规定条件的供应商，不得参与政府采购活动。</w:t>
      </w:r>
    </w:p>
    <w:p>
      <w:pPr>
        <w:spacing w:line="360" w:lineRule="auto"/>
        <w:ind w:firstLine="316" w:firstLineChars="150"/>
        <w:rPr>
          <w:rFonts w:ascii="宋体" w:hAnsi="宋体" w:cs="宋体"/>
          <w:color w:val="auto"/>
          <w:kern w:val="0"/>
          <w:szCs w:val="21"/>
        </w:rPr>
      </w:pPr>
      <w:r>
        <w:rPr>
          <w:rFonts w:hint="eastAsia" w:ascii="宋体" w:hAnsi="宋体" w:cs="宋体"/>
          <w:b/>
          <w:bCs/>
          <w:color w:val="auto"/>
          <w:kern w:val="0"/>
          <w:szCs w:val="21"/>
        </w:rPr>
        <w:t>6.</w:t>
      </w:r>
      <w:r>
        <w:rPr>
          <w:rFonts w:hint="eastAsia" w:ascii="宋体" w:hAnsi="宋体" w:cs="宋体"/>
          <w:b/>
          <w:bCs/>
          <w:color w:val="auto"/>
          <w:szCs w:val="21"/>
        </w:rPr>
        <w:t>在线投标的有关说明</w:t>
      </w:r>
      <w:r>
        <w:rPr>
          <w:rFonts w:hint="eastAsia" w:ascii="宋体" w:hAnsi="宋体" w:cs="宋体"/>
          <w:b/>
          <w:bCs/>
          <w:color w:val="auto"/>
          <w:kern w:val="0"/>
          <w:szCs w:val="21"/>
        </w:rPr>
        <w:t>：</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（1）投标文件提交方式：</w:t>
      </w:r>
      <w:bookmarkStart w:id="49" w:name="OLE_LINK9"/>
      <w:r>
        <w:rPr>
          <w:rFonts w:hint="eastAsia" w:ascii="宋体" w:hAnsi="宋体"/>
          <w:color w:val="auto"/>
          <w:szCs w:val="21"/>
        </w:rPr>
        <w:t>本项目为全流程电子化项目，</w:t>
      </w:r>
      <w:bookmarkStart w:id="50" w:name="OLE_LINK10"/>
      <w:r>
        <w:rPr>
          <w:rFonts w:hint="eastAsia" w:ascii="宋体" w:hAnsi="宋体"/>
          <w:color w:val="auto"/>
          <w:szCs w:val="21"/>
        </w:rPr>
        <w:t>通过</w:t>
      </w:r>
      <w:r>
        <w:rPr>
          <w:rFonts w:hint="eastAsia" w:ascii="宋体" w:hAnsi="宋体" w:cs="宋体"/>
          <w:color w:val="auto"/>
          <w:szCs w:val="21"/>
        </w:rPr>
        <w:t>广西政府采购云平台（https://www.gcy.zfcg.gxzf.gov.cn/）</w:t>
      </w:r>
      <w:bookmarkEnd w:id="50"/>
      <w:r>
        <w:rPr>
          <w:rFonts w:hint="eastAsia" w:ascii="宋体" w:hAnsi="宋体"/>
          <w:color w:val="auto"/>
          <w:szCs w:val="21"/>
        </w:rPr>
        <w:t>实行在线电子投标</w:t>
      </w:r>
      <w:bookmarkEnd w:id="49"/>
      <w:r>
        <w:rPr>
          <w:rFonts w:hint="eastAsia" w:ascii="宋体" w:hAnsi="宋体"/>
          <w:color w:val="auto"/>
          <w:szCs w:val="21"/>
        </w:rPr>
        <w:t>，供应商应先安装</w:t>
      </w:r>
      <w:r>
        <w:rPr>
          <w:rFonts w:hint="eastAsia" w:ascii="宋体" w:hAnsi="宋体" w:cs="宋体"/>
          <w:color w:val="auto"/>
          <w:szCs w:val="21"/>
        </w:rPr>
        <w:t>广西政府采购云平台新版客户端</w:t>
      </w:r>
      <w:r>
        <w:rPr>
          <w:rFonts w:hint="eastAsia" w:ascii="宋体" w:hAnsi="宋体" w:cs="宋体"/>
          <w:b/>
          <w:bCs/>
          <w:color w:val="auto"/>
          <w:szCs w:val="21"/>
          <w:highlight w:val="none"/>
        </w:rPr>
        <w:t>（新版客户端下载路径：广西政府采购网（访问地址http://zfcg.gxzf.gov.cn/）—办事服务—下载专区）</w:t>
      </w:r>
      <w:r>
        <w:rPr>
          <w:rFonts w:hint="eastAsia" w:ascii="宋体" w:hAnsi="宋体"/>
          <w:color w:val="auto"/>
          <w:szCs w:val="21"/>
        </w:rPr>
        <w:t>，并按照本项目招标文件和</w:t>
      </w:r>
      <w:r>
        <w:rPr>
          <w:rFonts w:hint="eastAsia" w:ascii="宋体" w:hAnsi="宋体" w:cs="宋体"/>
          <w:color w:val="auto"/>
          <w:szCs w:val="21"/>
        </w:rPr>
        <w:t>广西政府采购云平台</w:t>
      </w:r>
      <w:r>
        <w:rPr>
          <w:rFonts w:hint="eastAsia" w:ascii="宋体" w:hAnsi="宋体"/>
          <w:color w:val="auto"/>
          <w:szCs w:val="21"/>
        </w:rPr>
        <w:t>的要求编制、加密后在投标截止时间前通过网络上传至</w:t>
      </w:r>
      <w:r>
        <w:rPr>
          <w:rFonts w:hint="eastAsia" w:ascii="宋体" w:hAnsi="宋体" w:cs="宋体"/>
          <w:color w:val="auto"/>
          <w:szCs w:val="21"/>
        </w:rPr>
        <w:t>广西政府采购云平台</w:t>
      </w:r>
      <w:r>
        <w:rPr>
          <w:rFonts w:hint="eastAsia" w:ascii="宋体" w:hAnsi="宋体"/>
          <w:color w:val="auto"/>
          <w:szCs w:val="21"/>
        </w:rPr>
        <w:t>，</w:t>
      </w:r>
      <w:r>
        <w:rPr>
          <w:rFonts w:hint="eastAsia" w:ascii="宋体" w:hAnsi="宋体"/>
          <w:b w:val="0"/>
          <w:bCs w:val="0"/>
          <w:color w:val="auto"/>
          <w:szCs w:val="21"/>
        </w:rPr>
        <w:t>投标人在</w:t>
      </w:r>
      <w:r>
        <w:rPr>
          <w:rFonts w:hint="eastAsia" w:ascii="宋体" w:hAnsi="宋体" w:cs="宋体"/>
          <w:b w:val="0"/>
          <w:bCs w:val="0"/>
          <w:color w:val="auto"/>
          <w:szCs w:val="21"/>
        </w:rPr>
        <w:t>广西政</w:t>
      </w:r>
      <w:r>
        <w:rPr>
          <w:rFonts w:hint="eastAsia" w:ascii="宋体" w:hAnsi="宋体" w:cs="宋体"/>
          <w:color w:val="auto"/>
          <w:szCs w:val="21"/>
        </w:rPr>
        <w:t>府采购云平台</w:t>
      </w:r>
      <w:r>
        <w:rPr>
          <w:rFonts w:hint="eastAsia" w:ascii="宋体" w:hAnsi="宋体"/>
          <w:b/>
          <w:bCs/>
          <w:color w:val="auto"/>
          <w:szCs w:val="21"/>
        </w:rPr>
        <w:t>提交电子版投标文件时，请填写参加远程开标活动经办人联系方式</w:t>
      </w:r>
      <w:r>
        <w:rPr>
          <w:rFonts w:hint="eastAsia" w:ascii="宋体" w:hAnsi="宋体"/>
          <w:color w:val="auto"/>
          <w:szCs w:val="21"/>
        </w:rPr>
        <w:t>。</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（2）未进行网上注册并办理数字证书（CA认证）的供应商将无法参与本项目政府采购活动，潜在投标人应当在投标截止时间前，完成电子交易平台上的CA数字证书办理及投标文件的提交。</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（3）为确保网上操作合法、有效和安全，请投标人确保在电子投标过程中能够对相关数据电文进行加密和使用电子签章，妥善保管CA数字证书并使用有效的CA数字证书参与整个招标活动。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2" w:firstLineChars="200"/>
        <w:rPr>
          <w:rFonts w:ascii="宋体" w:hAnsi="宋体"/>
          <w:b/>
          <w:bCs/>
          <w:color w:val="auto"/>
          <w:szCs w:val="21"/>
        </w:rPr>
      </w:pPr>
      <w:r>
        <w:rPr>
          <w:rFonts w:hint="eastAsia" w:ascii="宋体" w:hAnsi="宋体"/>
          <w:b/>
          <w:bCs/>
          <w:color w:val="auto"/>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（4）CA证书在线解密：投标人投标时，需携带制作投标文件时用来加密的有效数字证书（CA认证）登录</w:t>
      </w:r>
      <w:r>
        <w:rPr>
          <w:rFonts w:hint="eastAsia" w:ascii="宋体" w:hAnsi="宋体" w:cs="宋体"/>
          <w:color w:val="auto"/>
          <w:szCs w:val="21"/>
        </w:rPr>
        <w:t>广西政府采购云平台</w:t>
      </w:r>
      <w:r>
        <w:rPr>
          <w:rFonts w:hint="eastAsia" w:ascii="宋体" w:hAnsi="宋体" w:cs="宋体"/>
          <w:color w:val="auto"/>
          <w:kern w:val="0"/>
          <w:szCs w:val="21"/>
        </w:rPr>
        <w:t>电子开标大厅现场按规定时间对加密的投标文件进行解密。</w:t>
      </w:r>
    </w:p>
    <w:p>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（5）若对项目采购电子交易系统操作有疑问，可登录</w:t>
      </w:r>
      <w:r>
        <w:rPr>
          <w:rFonts w:hint="eastAsia" w:ascii="宋体" w:hAnsi="宋体" w:cs="宋体"/>
          <w:color w:val="auto"/>
          <w:szCs w:val="21"/>
        </w:rPr>
        <w:t>广西政府采购云平台（https://www.gcy.zfcg.gxzf.gov.cn/）</w:t>
      </w:r>
      <w:r>
        <w:rPr>
          <w:rFonts w:hint="eastAsia" w:ascii="宋体" w:hAnsi="宋体" w:cs="宋体"/>
          <w:color w:val="auto"/>
          <w:kern w:val="0"/>
          <w:szCs w:val="21"/>
        </w:rPr>
        <w:t>，点击右侧咨询小采，获取采小蜜智能服务管家帮助，或拨打</w:t>
      </w:r>
      <w:r>
        <w:rPr>
          <w:rFonts w:hint="eastAsia" w:ascii="宋体" w:hAnsi="宋体" w:cs="宋体"/>
          <w:color w:val="auto"/>
          <w:szCs w:val="21"/>
          <w:highlight w:val="none"/>
        </w:rPr>
        <w:t>广西政府采购云</w:t>
      </w:r>
      <w:r>
        <w:rPr>
          <w:rFonts w:hint="eastAsia" w:ascii="宋体" w:hAnsi="宋体" w:cs="宋体"/>
          <w:color w:val="auto"/>
          <w:szCs w:val="21"/>
        </w:rPr>
        <w:t>平台</w:t>
      </w:r>
      <w:r>
        <w:rPr>
          <w:rFonts w:hint="eastAsia" w:ascii="宋体" w:hAnsi="宋体" w:cs="宋体"/>
          <w:color w:val="auto"/>
          <w:kern w:val="0"/>
          <w:szCs w:val="21"/>
        </w:rPr>
        <w:t>服务热线95763获取热线服务帮助。</w:t>
      </w:r>
    </w:p>
    <w:p>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根据《崇左市财政局关于进一步做好线上“政采贷”融资业务工作的通知》( 崇财采(2023)10号) ,供应商可凭中标通知书、政府采购合同，通过中征应收账款融资服务平台向银行在线申请“政采贷”融资(具体详见招标文件中关于“政采贷”相关信息)。</w:t>
      </w:r>
    </w:p>
    <w:p>
      <w:pPr>
        <w:pStyle w:val="12"/>
        <w:ind w:firstLine="420" w:firstLineChars="200"/>
        <w:rPr>
          <w:rFonts w:hint="eastAsia"/>
          <w:color w:val="auto"/>
        </w:rPr>
      </w:pPr>
      <w:r>
        <w:rPr>
          <w:rFonts w:hint="eastAsia" w:ascii="宋体" w:hAnsi="宋体" w:eastAsia="宋体" w:cs="宋体"/>
          <w:b w:val="0"/>
          <w:bCs w:val="0"/>
          <w:color w:val="auto"/>
          <w:kern w:val="2"/>
          <w:sz w:val="21"/>
          <w:szCs w:val="21"/>
          <w:lang w:val="en-US" w:eastAsia="zh-CN" w:bidi="ar-SA"/>
        </w:rPr>
        <w:t>7.本项目采用远程异地评审</w:t>
      </w:r>
      <w:r>
        <w:rPr>
          <w:rFonts w:hint="eastAsia"/>
          <w:b w:val="0"/>
          <w:bCs w:val="0"/>
          <w:color w:val="auto"/>
        </w:rPr>
        <w:t>；</w:t>
      </w:r>
      <w:r>
        <w:rPr>
          <w:rFonts w:hint="eastAsia"/>
          <w:color w:val="auto"/>
        </w:rPr>
        <w:t>主场在崇左市公共资源交易中心（崇左市城南新区石景林路东段市政务</w:t>
      </w:r>
    </w:p>
    <w:p>
      <w:pPr>
        <w:pStyle w:val="12"/>
        <w:rPr>
          <w:color w:val="auto"/>
        </w:rPr>
      </w:pPr>
      <w:r>
        <w:rPr>
          <w:rFonts w:hint="eastAsia"/>
          <w:color w:val="auto"/>
        </w:rPr>
        <w:t>服务中心5楼），副场在</w:t>
      </w:r>
      <w:r>
        <w:rPr>
          <w:rFonts w:hint="eastAsia" w:ascii="宋体" w:hAnsi="宋体" w:eastAsia="宋体" w:cs="宋体"/>
          <w:b w:val="0"/>
          <w:bCs/>
          <w:color w:val="auto"/>
          <w:szCs w:val="21"/>
          <w:highlight w:val="none"/>
        </w:rPr>
        <w:t>百色市公共资源交易中心(百色园博园政务服务中心三楼)</w:t>
      </w:r>
      <w:r>
        <w:rPr>
          <w:rFonts w:hint="eastAsia" w:ascii="宋体" w:hAnsi="宋体" w:cs="宋体"/>
          <w:b w:val="0"/>
          <w:bCs/>
          <w:color w:val="auto"/>
          <w:szCs w:val="21"/>
          <w:highlight w:val="none"/>
          <w:lang w:eastAsia="zh-CN"/>
        </w:rPr>
        <w:t>。</w:t>
      </w:r>
    </w:p>
    <w:bookmarkEnd w:id="48"/>
    <w:p>
      <w:pPr>
        <w:spacing w:line="360" w:lineRule="auto"/>
        <w:rPr>
          <w:rFonts w:ascii="黑体" w:hAnsi="黑体" w:eastAsia="黑体"/>
          <w:b/>
          <w:bCs/>
          <w:color w:val="auto"/>
          <w:sz w:val="24"/>
        </w:rPr>
      </w:pPr>
      <w:bookmarkStart w:id="51" w:name="_Toc35393796"/>
      <w:bookmarkStart w:id="52" w:name="_Toc28359008"/>
      <w:bookmarkStart w:id="53" w:name="_Toc35393627"/>
      <w:bookmarkStart w:id="54" w:name="_Toc28359085"/>
      <w:r>
        <w:rPr>
          <w:rFonts w:hint="eastAsia" w:ascii="黑体" w:hAnsi="黑体" w:eastAsia="黑体"/>
          <w:b/>
          <w:bCs/>
          <w:color w:val="auto"/>
          <w:sz w:val="24"/>
        </w:rPr>
        <w:t>七、对本次招标提出询问，请按以下方式联系。</w:t>
      </w:r>
      <w:bookmarkEnd w:id="51"/>
      <w:bookmarkEnd w:id="52"/>
      <w:bookmarkEnd w:id="53"/>
      <w:bookmarkEnd w:id="54"/>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1.采购人信息</w:t>
      </w:r>
    </w:p>
    <w:p>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名 称：</w:t>
      </w:r>
      <w:r>
        <w:rPr>
          <w:rFonts w:hint="eastAsia" w:ascii="宋体" w:hAnsi="宋体" w:cs="宋体"/>
          <w:color w:val="auto"/>
          <w:kern w:val="0"/>
          <w:szCs w:val="21"/>
          <w:lang w:eastAsia="zh-CN"/>
        </w:rPr>
        <w:t>凭祥市教育局</w:t>
      </w:r>
    </w:p>
    <w:p>
      <w:pPr>
        <w:spacing w:line="360" w:lineRule="auto"/>
        <w:ind w:firstLine="420" w:firstLineChars="200"/>
        <w:rPr>
          <w:rFonts w:hint="eastAsia" w:ascii="宋体" w:hAnsi="宋体" w:cs="宋体"/>
          <w:color w:val="auto"/>
          <w:kern w:val="0"/>
          <w:szCs w:val="21"/>
          <w:u w:val="single"/>
          <w:lang w:val="en-US" w:eastAsia="zh-CN"/>
        </w:rPr>
      </w:pPr>
      <w:r>
        <w:rPr>
          <w:rFonts w:hint="eastAsia" w:ascii="宋体" w:hAnsi="宋体" w:cs="宋体"/>
          <w:color w:val="auto"/>
          <w:kern w:val="0"/>
          <w:szCs w:val="21"/>
        </w:rPr>
        <w:t>地址：</w:t>
      </w:r>
      <w:r>
        <w:rPr>
          <w:rFonts w:hint="eastAsia" w:ascii="宋体" w:hAnsi="宋体" w:cs="宋体"/>
          <w:color w:val="auto"/>
          <w:kern w:val="0"/>
          <w:szCs w:val="21"/>
          <w:u w:val="none"/>
          <w:lang w:val="en-US" w:eastAsia="zh-CN"/>
        </w:rPr>
        <w:t>凭祥市市民服务中心629室</w:t>
      </w:r>
    </w:p>
    <w:p>
      <w:pPr>
        <w:spacing w:line="360" w:lineRule="auto"/>
        <w:ind w:firstLine="420" w:firstLineChars="200"/>
        <w:rPr>
          <w:rFonts w:hint="default" w:ascii="宋体" w:hAnsi="宋体" w:eastAsia="宋体" w:cs="宋体"/>
          <w:color w:val="auto"/>
          <w:kern w:val="0"/>
          <w:szCs w:val="21"/>
          <w:u w:val="none"/>
          <w:lang w:val="en-US" w:eastAsia="zh-CN"/>
        </w:rPr>
      </w:pPr>
      <w:r>
        <w:rPr>
          <w:rFonts w:hint="eastAsia" w:ascii="宋体" w:hAnsi="宋体" w:cs="宋体"/>
          <w:color w:val="auto"/>
          <w:kern w:val="0"/>
          <w:szCs w:val="21"/>
        </w:rPr>
        <w:t>联系方式：</w:t>
      </w:r>
      <w:bookmarkStart w:id="55" w:name="OLE_LINK13"/>
      <w:r>
        <w:rPr>
          <w:rFonts w:hint="eastAsia" w:ascii="宋体" w:hAnsi="宋体" w:cs="宋体"/>
          <w:color w:val="auto"/>
          <w:kern w:val="0"/>
          <w:szCs w:val="21"/>
          <w:u w:val="none"/>
          <w:lang w:val="en-US" w:eastAsia="zh-CN"/>
        </w:rPr>
        <w:t>陈老师</w:t>
      </w:r>
      <w:bookmarkEnd w:id="55"/>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电话：</w:t>
      </w:r>
      <w:bookmarkStart w:id="56" w:name="OLE_LINK14"/>
      <w:r>
        <w:rPr>
          <w:rFonts w:hint="eastAsia" w:ascii="宋体" w:hAnsi="宋体" w:cs="宋体"/>
          <w:color w:val="auto"/>
          <w:szCs w:val="20"/>
          <w:lang w:eastAsia="zh-CN" w:bidi="ar"/>
        </w:rPr>
        <w:t>0771</w:t>
      </w:r>
      <w:r>
        <w:rPr>
          <w:rFonts w:hint="eastAsia" w:ascii="宋体" w:hAnsi="宋体" w:cs="宋体"/>
          <w:color w:val="auto"/>
          <w:szCs w:val="20"/>
          <w:u w:val="none"/>
          <w:lang w:eastAsia="zh-CN" w:bidi="ar"/>
        </w:rPr>
        <w:t>-</w:t>
      </w:r>
      <w:r>
        <w:rPr>
          <w:rFonts w:hint="eastAsia" w:ascii="宋体" w:hAnsi="宋体" w:cs="宋体"/>
          <w:color w:val="auto"/>
          <w:kern w:val="0"/>
          <w:szCs w:val="21"/>
          <w:u w:val="none"/>
          <w:lang w:val="en-US" w:eastAsia="zh-CN"/>
        </w:rPr>
        <w:t>8530526</w:t>
      </w:r>
      <w:bookmarkEnd w:id="56"/>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szCs w:val="20"/>
          <w:lang w:eastAsia="zh-CN" w:bidi="ar"/>
        </w:rPr>
        <w:t>广西华晟招标代理有限公司</w:t>
      </w:r>
    </w:p>
    <w:p>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bookmarkStart w:id="57" w:name="OLE_LINK17"/>
      <w:r>
        <w:rPr>
          <w:rFonts w:hint="eastAsia" w:ascii="宋体" w:hAnsi="宋体" w:cs="宋体"/>
          <w:color w:val="auto"/>
          <w:szCs w:val="20"/>
          <w:lang w:eastAsia="zh-CN" w:bidi="ar"/>
        </w:rPr>
        <w:t>广西崇左市花山路万隆商务领寓1-1-311室</w:t>
      </w:r>
    </w:p>
    <w:bookmarkEnd w:id="57"/>
    <w:p>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联系方式:</w:t>
      </w:r>
      <w:r>
        <w:rPr>
          <w:rFonts w:hint="eastAsia" w:ascii="宋体" w:hAnsi="宋体" w:cs="宋体"/>
          <w:color w:val="auto"/>
          <w:szCs w:val="20"/>
          <w:lang w:bidi="ar"/>
        </w:rPr>
        <w:t xml:space="preserve"> </w:t>
      </w:r>
      <w:bookmarkStart w:id="58" w:name="OLE_LINK15"/>
      <w:r>
        <w:rPr>
          <w:rFonts w:hint="eastAsia" w:ascii="宋体" w:hAnsi="宋体" w:cs="宋体"/>
          <w:color w:val="auto"/>
          <w:szCs w:val="20"/>
          <w:lang w:eastAsia="zh-CN" w:bidi="ar"/>
        </w:rPr>
        <w:t>韦工</w:t>
      </w:r>
      <w:bookmarkEnd w:id="58"/>
      <w:r>
        <w:rPr>
          <w:rFonts w:hint="eastAsia" w:ascii="宋体" w:hAnsi="宋体" w:cs="宋体"/>
          <w:color w:val="auto"/>
          <w:szCs w:val="20"/>
          <w:lang w:bidi="ar"/>
        </w:rPr>
        <w:t>；联系电话：</w:t>
      </w:r>
      <w:bookmarkStart w:id="59" w:name="OLE_LINK16"/>
      <w:r>
        <w:rPr>
          <w:rFonts w:hint="eastAsia" w:ascii="宋体" w:hAnsi="宋体" w:cs="宋体"/>
          <w:color w:val="auto"/>
          <w:szCs w:val="20"/>
          <w:lang w:eastAsia="zh-CN" w:bidi="ar"/>
        </w:rPr>
        <w:t>0771-7963773</w:t>
      </w:r>
      <w:bookmarkEnd w:id="59"/>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3.项目联系方式</w:t>
      </w:r>
    </w:p>
    <w:p>
      <w:pPr>
        <w:spacing w:line="360" w:lineRule="auto"/>
        <w:ind w:firstLine="420" w:firstLineChars="200"/>
        <w:rPr>
          <w:rFonts w:hint="eastAsia" w:ascii="宋体" w:hAnsi="宋体" w:eastAsia="宋体" w:cs="宋体"/>
          <w:color w:val="auto"/>
          <w:kern w:val="0"/>
          <w:szCs w:val="21"/>
          <w:u w:val="none"/>
          <w:lang w:eastAsia="zh-CN"/>
        </w:rPr>
      </w:pPr>
      <w:r>
        <w:rPr>
          <w:rFonts w:hint="eastAsia" w:ascii="宋体" w:hAnsi="宋体" w:cs="宋体"/>
          <w:color w:val="auto"/>
          <w:kern w:val="0"/>
          <w:szCs w:val="21"/>
        </w:rPr>
        <w:t>项目联系人：</w:t>
      </w:r>
      <w:r>
        <w:rPr>
          <w:rFonts w:hint="eastAsia" w:ascii="宋体" w:hAnsi="宋体" w:cs="宋体"/>
          <w:iCs/>
          <w:color w:val="auto"/>
          <w:u w:val="none"/>
          <w:lang w:eastAsia="zh-CN"/>
        </w:rPr>
        <w:t>韦工</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kern w:val="0"/>
          <w:szCs w:val="21"/>
        </w:rPr>
        <w:t>电  话：</w:t>
      </w:r>
      <w:r>
        <w:rPr>
          <w:rFonts w:hint="eastAsia" w:ascii="宋体" w:hAnsi="宋体" w:cs="宋体"/>
          <w:color w:val="auto"/>
          <w:szCs w:val="20"/>
          <w:lang w:eastAsia="zh-CN" w:bidi="ar"/>
        </w:rPr>
        <w:t>0771-7963773</w:t>
      </w:r>
    </w:p>
    <w:p>
      <w:pPr>
        <w:widowControl/>
        <w:spacing w:line="360" w:lineRule="auto"/>
        <w:jc w:val="left"/>
        <w:rPr>
          <w:rFonts w:ascii="宋体" w:hAnsi="宋体" w:cs="宋体"/>
          <w:color w:val="auto"/>
          <w:sz w:val="24"/>
          <w:lang w:val="zh-CN"/>
        </w:rPr>
        <w:sectPr>
          <w:footerReference r:id="rId6" w:type="first"/>
          <w:footerReference r:id="rId5" w:type="default"/>
          <w:pgSz w:w="11905" w:h="16838"/>
          <w:pgMar w:top="1134" w:right="1134" w:bottom="1134" w:left="1134" w:header="850" w:footer="850" w:gutter="0"/>
          <w:pgNumType w:fmt="decimal" w:start="1"/>
          <w:cols w:space="0" w:num="1"/>
          <w:titlePg/>
          <w:docGrid w:linePitch="331" w:charSpace="0"/>
        </w:sectPr>
      </w:pPr>
    </w:p>
    <w:bookmarkEnd w:id="20"/>
    <w:p>
      <w:pPr>
        <w:pStyle w:val="18"/>
        <w:jc w:val="center"/>
        <w:outlineLvl w:val="0"/>
        <w:rPr>
          <w:rFonts w:ascii="Times New Roman" w:hAnsi="Times New Roman"/>
          <w:b/>
          <w:color w:val="auto"/>
          <w:sz w:val="36"/>
        </w:rPr>
      </w:pPr>
      <w:bookmarkStart w:id="60" w:name="_Toc532545042"/>
      <w:bookmarkStart w:id="61" w:name="_Toc21081"/>
      <w:bookmarkStart w:id="62" w:name="_Toc7337"/>
      <w:bookmarkStart w:id="63" w:name="_Toc7686"/>
      <w:bookmarkStart w:id="64" w:name="_Toc937"/>
      <w:bookmarkStart w:id="65" w:name="_Toc17621"/>
      <w:bookmarkStart w:id="66" w:name="_Toc13449"/>
      <w:bookmarkStart w:id="67" w:name="_Toc2299"/>
      <w:bookmarkStart w:id="68" w:name="_Toc32573"/>
      <w:bookmarkStart w:id="69" w:name="_Toc4483"/>
      <w:bookmarkStart w:id="70" w:name="_Toc28689"/>
      <w:bookmarkStart w:id="71" w:name="_Toc24210"/>
      <w:bookmarkStart w:id="72" w:name="_Toc22408"/>
      <w:bookmarkStart w:id="73" w:name="_Toc8382"/>
      <w:r>
        <w:rPr>
          <w:rFonts w:hint="eastAsia" w:ascii="Times New Roman" w:hAnsi="Times New Roman"/>
          <w:b/>
          <w:color w:val="auto"/>
          <w:sz w:val="36"/>
        </w:rPr>
        <w:t>第二章</w:t>
      </w:r>
      <w:r>
        <w:rPr>
          <w:rFonts w:ascii="Times New Roman" w:hAnsi="Times New Roman"/>
          <w:b/>
          <w:color w:val="auto"/>
          <w:sz w:val="36"/>
        </w:rPr>
        <w:t xml:space="preserve">  </w:t>
      </w:r>
      <w:bookmarkEnd w:id="60"/>
      <w:r>
        <w:rPr>
          <w:rFonts w:hint="eastAsia" w:ascii="Times New Roman" w:hAnsi="Times New Roman"/>
          <w:b/>
          <w:color w:val="auto"/>
          <w:sz w:val="36"/>
        </w:rPr>
        <w:t>采购需求</w:t>
      </w:r>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pacing w:line="340" w:lineRule="exact"/>
        <w:rPr>
          <w:rFonts w:hAnsi="宋体"/>
          <w:b/>
          <w:color w:val="auto"/>
          <w:szCs w:val="21"/>
        </w:rPr>
      </w:pPr>
    </w:p>
    <w:p>
      <w:pPr>
        <w:adjustRightInd w:val="0"/>
        <w:spacing w:line="340" w:lineRule="exact"/>
        <w:rPr>
          <w:rFonts w:hAnsi="宋体"/>
          <w:b/>
          <w:color w:val="auto"/>
          <w:szCs w:val="21"/>
        </w:rPr>
      </w:pPr>
      <w:r>
        <w:rPr>
          <w:rFonts w:hint="eastAsia" w:hAnsi="宋体"/>
          <w:b/>
          <w:color w:val="auto"/>
          <w:szCs w:val="21"/>
        </w:rPr>
        <w:t>说明：</w:t>
      </w:r>
    </w:p>
    <w:p>
      <w:pPr>
        <w:spacing w:line="360" w:lineRule="auto"/>
        <w:ind w:firstLine="420" w:firstLineChars="200"/>
        <w:jc w:val="left"/>
        <w:rPr>
          <w:rFonts w:ascii="宋体" w:hAnsi="宋体" w:cs="宋体"/>
          <w:color w:val="auto"/>
        </w:rPr>
      </w:pPr>
      <w:r>
        <w:rPr>
          <w:rFonts w:hint="eastAsia" w:ascii="宋体" w:hAnsi="宋体" w:cs="宋体"/>
          <w:color w:val="auto"/>
        </w:rPr>
        <w:t>1. 为落实政府采购政策需满足的要求：</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Cs w:val="21"/>
        </w:rPr>
        <w:t>。如本项目包含的货物属于品目清单内非标注“★”的产品时，应优先采购，具体详见“第四章 评标方法和评标标准”。</w:t>
      </w:r>
    </w:p>
    <w:p>
      <w:pPr>
        <w:spacing w:line="360" w:lineRule="auto"/>
        <w:ind w:firstLine="420" w:firstLineChars="200"/>
        <w:jc w:val="left"/>
        <w:rPr>
          <w:rFonts w:ascii="宋体" w:hAnsi="宋体" w:cs="宋体"/>
          <w:color w:val="auto"/>
        </w:rPr>
      </w:pPr>
      <w:r>
        <w:rPr>
          <w:rFonts w:hint="eastAsia" w:ascii="宋体" w:hAnsi="宋体" w:cs="宋体"/>
          <w:color w:val="auto"/>
        </w:rPr>
        <w:t>2.“实质性要求”是指招标文件中已经指明不满足则投标无效的条款，或者不能负偏离的条款，或者采购需求中带“▲”的条款。</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360" w:lineRule="auto"/>
        <w:ind w:firstLine="424" w:firstLineChars="202"/>
        <w:jc w:val="left"/>
        <w:rPr>
          <w:rFonts w:ascii="宋体" w:hAnsi="宋体" w:cs="宋体"/>
          <w:color w:val="auto"/>
        </w:rPr>
      </w:pPr>
      <w:r>
        <w:rPr>
          <w:rFonts w:hint="eastAsia" w:ascii="宋体" w:hAnsi="宋体" w:cs="宋体"/>
          <w:color w:val="auto"/>
          <w:szCs w:val="21"/>
        </w:rPr>
        <w:t>4.投标人必须对投标文件中提供的证明材料和资质文件真实性负责，如出现虚假应标情况，投标人除了应接受有关部门的处罚外，还应依据《中华人民共和国民法典》的相关条款来进行赔偿。</w:t>
      </w:r>
    </w:p>
    <w:p>
      <w:pPr>
        <w:spacing w:line="360" w:lineRule="auto"/>
        <w:ind w:firstLine="424" w:firstLineChars="202"/>
        <w:jc w:val="left"/>
        <w:rPr>
          <w:rFonts w:ascii="宋体" w:hAnsi="宋体" w:cs="宋体"/>
          <w:color w:val="auto"/>
        </w:rPr>
      </w:pPr>
      <w:r>
        <w:rPr>
          <w:rFonts w:hint="eastAsia" w:ascii="宋体" w:hAnsi="宋体" w:cs="宋体"/>
          <w:color w:val="auto"/>
        </w:rPr>
        <w:t>5.投标人应对投标内容所涉及的专利承担法律责任，并负责保护采购人的利益不受任何损害。一切由于文字、商标、技术和软件专利授权引起的法律裁决、诉讼和赔偿费用均由中标人负责。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line="420" w:lineRule="exact"/>
        <w:ind w:firstLine="422" w:firstLineChars="200"/>
        <w:jc w:val="left"/>
        <w:rPr>
          <w:rFonts w:hint="eastAsia" w:ascii="宋体" w:hAnsi="宋体" w:cs="宋体"/>
          <w:b/>
          <w:bCs/>
          <w:color w:val="auto"/>
          <w:highlight w:val="none"/>
          <w:u w:val="none"/>
          <w:lang w:eastAsia="zh-CN"/>
        </w:rPr>
      </w:pPr>
      <w:r>
        <w:rPr>
          <w:rFonts w:hint="eastAsia" w:ascii="宋体" w:hAnsi="宋体" w:cs="宋体"/>
          <w:b/>
          <w:bCs/>
          <w:color w:val="auto"/>
          <w:highlight w:val="none"/>
        </w:rPr>
        <w:t>6.采购内容所属行业：</w:t>
      </w:r>
      <w:r>
        <w:rPr>
          <w:rFonts w:hint="eastAsia" w:ascii="宋体" w:hAnsi="宋体" w:cs="宋体"/>
          <w:b/>
          <w:bCs/>
          <w:color w:val="auto"/>
          <w:highlight w:val="none"/>
          <w:u w:val="single"/>
        </w:rPr>
        <w:t>租赁和商务服务业</w:t>
      </w:r>
      <w:r>
        <w:rPr>
          <w:rFonts w:hint="eastAsia" w:ascii="宋体" w:hAnsi="宋体" w:cs="宋体"/>
          <w:b/>
          <w:bCs/>
          <w:color w:val="auto"/>
          <w:highlight w:val="none"/>
          <w:u w:val="none"/>
        </w:rPr>
        <w:t xml:space="preserve"> </w:t>
      </w:r>
      <w:r>
        <w:rPr>
          <w:rFonts w:hint="eastAsia" w:ascii="宋体" w:hAnsi="宋体" w:cs="宋体"/>
          <w:b/>
          <w:bCs/>
          <w:color w:val="auto"/>
          <w:highlight w:val="none"/>
          <w:u w:val="none"/>
          <w:lang w:eastAsia="zh-CN"/>
        </w:rPr>
        <w:t>。</w:t>
      </w:r>
    </w:p>
    <w:tbl>
      <w:tblPr>
        <w:tblStyle w:val="28"/>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37"/>
        <w:gridCol w:w="700"/>
        <w:gridCol w:w="685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83" w:type="dxa"/>
            <w:gridSpan w:val="5"/>
            <w:noWrap/>
            <w:vAlign w:val="center"/>
          </w:tcPr>
          <w:p>
            <w:pPr>
              <w:keepNext w:val="0"/>
              <w:keepLines w:val="0"/>
              <w:pageBreakBefore w:val="0"/>
              <w:widowControl/>
              <w:kinsoku/>
              <w:wordWrap/>
              <w:overflowPunct/>
              <w:topLinePunct w:val="0"/>
              <w:autoSpaceDE/>
              <w:autoSpaceDN/>
              <w:bidi w:val="0"/>
              <w:spacing w:line="4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56" w:type="dxa"/>
            <w:noWrap/>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7" w:type="dxa"/>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标的名称</w:t>
            </w:r>
          </w:p>
        </w:tc>
        <w:tc>
          <w:tcPr>
            <w:tcW w:w="700" w:type="dxa"/>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数量及</w:t>
            </w:r>
          </w:p>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6850" w:type="dxa"/>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b/>
                <w:color w:val="auto"/>
                <w:szCs w:val="21"/>
                <w:highlight w:val="none"/>
                <w:lang w:val="en-US" w:eastAsia="zh-CN"/>
              </w:rPr>
            </w:pPr>
            <w:r>
              <w:rPr>
                <w:rFonts w:hint="eastAsia" w:ascii="宋体" w:hAnsi="宋体" w:cs="宋体"/>
                <w:b/>
                <w:bCs/>
                <w:color w:val="auto"/>
                <w:szCs w:val="21"/>
              </w:rPr>
              <w:t>服务采购需求</w:t>
            </w:r>
          </w:p>
        </w:tc>
        <w:tc>
          <w:tcPr>
            <w:tcW w:w="940" w:type="dxa"/>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6" w:type="dxa"/>
            <w:noWrap/>
            <w:vAlign w:val="center"/>
          </w:tcPr>
          <w:p>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7" w:type="dxa"/>
            <w:noWrap w:val="0"/>
            <w:vAlign w:val="center"/>
          </w:tcPr>
          <w:p>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凭祥市中小学校幼儿园实施购买保安服务项目</w:t>
            </w:r>
          </w:p>
        </w:tc>
        <w:tc>
          <w:tcPr>
            <w:tcW w:w="700" w:type="dxa"/>
            <w:noWrap w:val="0"/>
            <w:vAlign w:val="center"/>
          </w:tcPr>
          <w:p>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w:t>
            </w:r>
          </w:p>
        </w:tc>
        <w:tc>
          <w:tcPr>
            <w:tcW w:w="6850" w:type="dxa"/>
            <w:noWrap w:val="0"/>
            <w:vAlign w:val="top"/>
          </w:tcPr>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、项目概况</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依据《中小学、幼儿园安全防范要求》(GBT29315—2022)文件要求，结合实际，凭祥市需要购买保安服务的公办类中小学、幼儿园保安人员共176名，主要安排到全市各中小学校和公办幼儿园共55所。如有新建公办学校、幼儿园实现办学招生后，则按标准配备人数递增；如有撤销学校，停止招生后，则减少</w:t>
            </w:r>
            <w:r>
              <w:rPr>
                <w:rFonts w:hint="eastAsia" w:ascii="宋体" w:hAnsi="宋体" w:cs="宋体"/>
                <w:color w:val="auto"/>
                <w:sz w:val="21"/>
                <w:szCs w:val="21"/>
                <w:highlight w:val="none"/>
                <w:lang w:val="en-US" w:eastAsia="zh-CN"/>
              </w:rPr>
              <w:t>，购买保安服务周期3年。</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全面负责凭祥市55所公办中小学校幼儿园校园门卫管理和校园防火、防盗、治安巡逻及校园周边可能影响学校安全、可能对在校学生、教职员工产生安全隐患的区域安全管理，保护学校师生人身和财产安全，维护校园秩序和稳定，同时对发生在服务区域内的刑事案件、治安案件、治安火灾事故第一时间采取制止和组织扑救措施，并及时报告服务学校领导和报警，采取措施保护现场。</w:t>
            </w:r>
          </w:p>
          <w:p>
            <w:pPr>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▲2、安保管理服务的主要职责</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保安员行业规范与保安员管理标准，按照学校要求，承担学校校园及周边安全保卫专项管理，开展专业化安全防范、防火、防盗、防爆、防投毒，保障校园内的设备财产安全及师生员工人身与财产的安全，维持校园正常教学秩序，维护校园安全稳定；</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全面负责校园安全管理、交通管理、人员和物资的进出校园管理和车辆出入管理，重要场所守护，开展定时定点巡逻，及时发现和消除安全隐患；</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在学校的组织和领导下，做好校园内部治安综合治理工作；</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配合学校有关部门，及时受理校园内各类纠纷和治安案件，及时、正确处理校园内的各类突发事件；</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随时出员，为校内师生提供紧急救助服务；</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抽调临时安保力量，做好学校重大活动及政治敏感期安全保卫工作；</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配合有关科室，做好学生安全、纪律、卫生等教育及管理、检查工作；</w:t>
            </w:r>
          </w:p>
          <w:p>
            <w:pPr>
              <w:numPr>
                <w:ilvl w:val="0"/>
                <w:numId w:val="1"/>
              </w:numPr>
              <w:bidi w:val="0"/>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配合公安机关，打击校园内部与校园周边的违法犯罪活动。</w:t>
            </w:r>
          </w:p>
          <w:p>
            <w:pPr>
              <w:numPr>
                <w:ilvl w:val="0"/>
                <w:numId w:val="1"/>
              </w:numPr>
              <w:bidi w:val="0"/>
              <w:spacing w:line="360" w:lineRule="auto"/>
              <w:ind w:left="425" w:leftChars="0" w:hanging="425"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寒暑、节假日假期间校园的安保工作，要求保安寒暑假期间保持24小时在岗，实行轮班制的需在交接班时做好记录，确保校园安全无空档。</w:t>
            </w:r>
          </w:p>
          <w:p>
            <w:pPr>
              <w:bidi w:val="0"/>
              <w:spacing w:line="360" w:lineRule="auto"/>
              <w:ind w:firstLine="363"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▲3、管理服务具体事项</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校方规定与管理要求，结合校园安全保卫、学生文明行为习惯、校园卫生管理等工作实际情况，制订切实可行的校园内及周边安全保卫、学生文明行为养成、宿舍纪律管理等工作整体方案，开展专业化、针对性强的管理业务，具体管理事项如下：</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校门及学生宿舍楼大门24小时门岗值班；</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执行学校实施的进出校门管理有关规定；</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学生作息、纪律的管理与检查工作：包括督促学生早上、下午、晚自习按时上课，午休、晚休按时就寝点名检查，按时开关宿舍楼大门；</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学生第二课堂时间段校园内及周边安全巡逻检查、纪律维护及安全警戒工作；</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每周学生升旗例会集会的组织、纪律维护及安全保卫工作；</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学校运动会、文艺晚会等重大校园活动的秩序保障与安全警戒工作；配合做好敏感时期的安全保障工作；</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校园突发事件（如校园欺凌、校园暴力）的预防、发现与应急处置工作；</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校园日常生活秩序、交通秩序的维护：包括负责校门口两边与校内停车场的车辆指挥与停放；</w:t>
            </w:r>
          </w:p>
          <w:p>
            <w:pPr>
              <w:numPr>
                <w:ilvl w:val="0"/>
                <w:numId w:val="2"/>
              </w:numPr>
              <w:bidi w:val="0"/>
              <w:spacing w:line="360" w:lineRule="auto"/>
              <w:ind w:left="113" w:leftChars="0" w:hanging="11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校园内定时定点治安巡逻检查，重点部位的定点巡防工作；</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（10）校园内楼宇（如实训中心、教学楼）的定时清场及按时开关门工作；</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（11）校园公共部位安全隐患检查、排除及上报；违规违纪纠正；有针对性地开展安全教育和提示；</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（12）配合有关部门，组织并带领学生安全文明监督员、卫生清洁监督员进行治安巡逻及卫生监督、检查评比工作；</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（13）配合学校有关部门，受理校区内各类纠纷，配合校方对违规事件的调查，协助公安机关对案件的排查；</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（14）承担校方提供的安保、宿管所使用的办公设备、设施的维护、维修和耗材相关费用；故意损坏、恶意使用或丢失物品全额赔偿责任；</w:t>
            </w:r>
          </w:p>
          <w:p>
            <w:pPr>
              <w:numPr>
                <w:ilvl w:val="0"/>
                <w:numId w:val="0"/>
              </w:numPr>
              <w:bidi w:val="0"/>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（15）其它属于校园安保服务范围内的工作以及校方临时交办的任务。</w:t>
            </w:r>
          </w:p>
          <w:p>
            <w:pPr>
              <w:bidi w:val="0"/>
              <w:spacing w:line="360" w:lineRule="auto"/>
              <w:ind w:firstLine="363"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▲4、项目管理要求</w:t>
            </w:r>
          </w:p>
          <w:p>
            <w:pPr>
              <w:bidi w:val="0"/>
              <w:spacing w:line="360"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（1）质量目标要求</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1）依托行业标准，根据校方管理规定与服务要求，制订切实可行的校园保安员服务整体方案和应急预案，突发事件反应迅速，预案处置有力。</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2）依法办事，文明值勤，严格管理，保障学校财产和师生人身不受侵害，维护正常的教学、科研、生活秩序。</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3）全年无责任事故和责任案件发生，师生有安全感，对校园保安员服务各项要求到位。</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树立“服务第一，采购人至上”的思想，切实维护学校与师生的人身和财产安全。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管理坚持原则、缜密严谨；服务以人为本、主动热情；处理问题高度警惕、有理有节。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上岗人员身着制服和挂牌上岗，仪表整洁，业务操作规范，礼貌待人，保持岗位卫生整洁；坚守岗位，做到不迟到不早退，工作时间专心致志，严禁擅离岗位，上班时间不许看书看报、与人聊天。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针对保安员员的日常管理，能利用先进的人员管理系统，对上岗人员进行考勤和日常工作监督。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依法办事，文明执勤，不与师生发生争吵，杜绝保安员与师生发生冲突，</w:t>
            </w:r>
            <w:r>
              <w:rPr>
                <w:rFonts w:hint="eastAsia" w:ascii="宋体" w:hAnsi="宋体" w:eastAsia="宋体" w:cs="宋体"/>
                <w:b w:val="0"/>
                <w:bCs w:val="0"/>
                <w:color w:val="auto"/>
                <w:sz w:val="21"/>
                <w:szCs w:val="21"/>
                <w:highlight w:val="none"/>
                <w:lang w:eastAsia="zh-CN"/>
              </w:rPr>
              <w:t>保安员</w:t>
            </w:r>
            <w:r>
              <w:rPr>
                <w:rFonts w:hint="eastAsia" w:ascii="宋体" w:hAnsi="宋体" w:eastAsia="宋体" w:cs="宋体"/>
                <w:color w:val="auto"/>
                <w:sz w:val="21"/>
                <w:szCs w:val="21"/>
                <w:highlight w:val="none"/>
                <w:lang w:val="en-US" w:eastAsia="zh-CN"/>
              </w:rPr>
              <w:t>禁止保安员出手伤及师生人身安全。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师生有求必应，有险情必出。</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（3）队伍建设与管理要求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中标人方负责提供进驻保安员值勤所需的装备、器材、通讯设备、常用办公耗材等。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从校方安全实际出发，经常性开展在岗人员业务培训和突发事件应急演练。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内部管理体制健全，设立服务站站（队）长，全面负责进驻队伍的规范化管理。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必须采取切实有效措施保持安保队伍的稳定，严格控制非违纪人员轮换岗比例，合同期限内轮换岗安保人数不得超过合同编制的30%，安保队伍主要管理员更换，应提前一个月以书面形式通知招标人,其他保安员更换要提前三天告知招标人；确保服务质量不因人员变动而受影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学校的保安员，除遵守中标公司的管理要求外，还须遵守校方的校园管理制度，做到文明执勤，文明用语，着装规范，礼貌待人。对其服务范围内的工作职责，应服从校方的工作安排及要求，接受学校监督检查。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禁管理。保安员负责门卫安全秩序管理，严格外来人员出入学校管理。校外来访人员需持有关证件并做好登记备查。家长会见老师，要电话联系被访老师并征得同意，登记后方可进校。非常情况，必须立即报告学校领导。未按规定核实和登记的人员，不得放其进入校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车辆管理。保安员需严格车辆出入管理，维护校园交通安全秩序。除本单位教职工车辆外，其他进入校园的车辆一律登记核实后才能放入。所有机动车进入校内禁止鸣号，限速行驶，不得随便占道停放。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资出入管理。严格物资出门查验管理。检查出入校门的物资，校外物资进入校门，要认真登记检查，防止危险物品进入校园；校内物资、设备运出或搬出校园凭学校出具的证明材料，并办理登记手续，经核验无误后才能放行；快递只能放在校门卫室，不允许快递人员进入校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治安管理。保安员负责在校方指定执勤区域内的安全防范措施的落实，做好门岗执勤、安全监控、治安巡逻、车辆管理、消防检查等工作，发现安全隐患及时报告校方；发生在执勤区域内的刑事案件、治安案件、自然灾害事故应采取积极措施，及时妥善处理，保护发案现场，及时向警方报案，并向校方报告，主动配合、协助警方及校方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出入学校管理。保安员在校门口着工作服持械站岗，维持学生上学、放学秩序，禁止家长车辆进入校园，管理好门前车辆交通秩序。上课期间不得让学生出校。如学生有事出校，需凭班主任开具的出校单查验后方可放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学校内楼宇（如行政办公楼、实验楼、教学楼等）的定时清场锁门。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校内重大活动的安全警戒与秩序保障，配合做好重大事件的安全保卫工作。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校园突发事件处置、灾害预防、火灾扑救，发现并制止校内暴力事件，随时准备提供紧急救助。</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校园公共部位安全隐患检查、排除。</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承担学校提供保安业务所使用的办公设备（如：桌椅、电扇、空调等）、通讯工具、照明设施、安保器械等的维修，故意损坏、恶意使用或丢失全额赔偿。</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凭证管理。按规定留存保安服务中形成的监控影像资料、报警记录。认真填写每日执勤情况记录，回收保存有关进出校园的凭证，定期存档。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完成其它属于保安服务范围内的工作以及校方临时交办的任务。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保安员应聘、录用、离职等管理档案规范，手续齐全，相应资料必须报学校有关管理部门备案，禁止离职保安员进入校园。</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（4）人员素质要求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1）保安员应知法，懂法，守法，依法办事，必须严格遵守保安员从业规范，模范遵守校园安全管理规定。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2）安保服务站站（队）长应具备大专以上学历，退伍军人，有较高的政治思想素养和业务水平，有较强的组织协调能力，受过专门的保安员业务培训。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3）保安员个人素质条件：</w:t>
            </w:r>
            <w:r>
              <w:rPr>
                <w:rFonts w:hint="eastAsia" w:ascii="宋体" w:hAnsi="宋体" w:eastAsia="宋体" w:cs="宋体"/>
                <w:color w:val="auto"/>
                <w:sz w:val="21"/>
                <w:szCs w:val="21"/>
                <w:highlight w:val="none"/>
                <w:lang w:eastAsia="zh-CN"/>
              </w:rPr>
              <w:t>以初中文化程度及以上为主体</w:t>
            </w:r>
            <w:r>
              <w:rPr>
                <w:rFonts w:hint="eastAsia" w:ascii="宋体" w:hAnsi="宋体" w:eastAsia="宋体" w:cs="宋体"/>
                <w:color w:val="auto"/>
                <w:sz w:val="21"/>
                <w:szCs w:val="21"/>
                <w:highlight w:val="none"/>
              </w:rPr>
              <w:t>，需持有</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上岗证或退伍军人证，年龄18～</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周岁，身体健康，没有传染病及精神病等不能控制自己行为能力的疾病病史，</w:t>
            </w:r>
            <w:r>
              <w:rPr>
                <w:rFonts w:hint="eastAsia" w:ascii="宋体" w:hAnsi="宋体" w:eastAsia="宋体" w:cs="宋体"/>
                <w:color w:val="auto"/>
                <w:sz w:val="21"/>
                <w:szCs w:val="21"/>
                <w:highlight w:val="none"/>
                <w:lang w:val="en-US" w:eastAsia="zh-CN"/>
              </w:rPr>
              <w:t>且不得</w:t>
            </w:r>
            <w:r>
              <w:rPr>
                <w:rFonts w:hint="eastAsia" w:ascii="宋体" w:hAnsi="宋体" w:eastAsia="宋体" w:cs="宋体"/>
                <w:color w:val="auto"/>
                <w:sz w:val="21"/>
                <w:szCs w:val="21"/>
                <w:highlight w:val="none"/>
              </w:rPr>
              <w:t>有下列情形之一的：(一)曾被收容教育、强制隔离戒毒、劳动教养或者3次以上行政拘留的；(二)曾因故意犯罪被刑事处罚的；(三)被吊销保安员证未满3年的；(四)曾两次被吊销保安员证的</w:t>
            </w:r>
            <w:r>
              <w:rPr>
                <w:rFonts w:hint="eastAsia" w:ascii="宋体" w:hAnsi="宋体" w:eastAsia="宋体" w:cs="宋体"/>
                <w:color w:val="auto"/>
                <w:sz w:val="21"/>
                <w:szCs w:val="21"/>
                <w:highlight w:val="none"/>
                <w:lang w:val="en-US" w:eastAsia="zh-CN"/>
              </w:rPr>
              <w:t>(国务院令第564号（2022年修订《保安服务管理条例》第十七条)。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4）所聘用的保安员有吃苦耐劳的精神和高度的责任感，受过不少于90课时的专门岗前培训，熟知校方的管理规定，严格履行岗位职责，善于发现各类问题，具备一定的管理经验和处理突发事件能力。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5）安保服务站站（队）长要加强对保安员业务的管理，确保保安员在校园内无违规事件发生。</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（5）工作衔接要求</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1）根据行业服务标准与校方规定要求，独立运作，落实校园安全保卫整体方案，并结合校园变化实际在实践中不断完善。</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2）安保服务站站（队）长须与校区学生科保持必要的工作交流，每天必须向校区安保部口头汇报工作，每星期一次向校方书面汇报所承担的保安员工作开展情况及信息反馈，重大情况须及时报告。</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3）做好详细的执勤记录，原始台账保存完好，以备校区核查。</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4）协同校区治安协防组织，形成群防群治体系。</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5）与当地派出所、综治办加强合作与交流。</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（6）岗位工作职责要求</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保服务站站（队）长：代表公司全面负责进驻队伍的日常管理事务，严格进驻队伍纪律管理，奖优罚劣；承担保安员违规违纪的连带责任；实行人性化管理，关心保安员疾苦，掌握保安员的思想动态，充分调动保安员积极性，努力保证队伍稳定；传达落实校区的服务要求与管理规定，组织实施并不断完善校园安全保卫整体方案；结合校区发展实际情况，适时作出岗位调整，完善各岗位职责；有针对性地开展安全教育和提示；定期向学校有关管理部门汇报工作开展情况及治安信息，重大情况及时报告；配合校方对校区内违规事件的处理；组织开展保安员业务培训和预案演练，制订校园内重大活动的安全保卫方案；建立健全录用人员档案资料，保障校方设备资产的完好。</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保班长：以身作则、吃苦在先、讲求奉献；贯彻落实校区任务要求与服务站站（队）长的工作安排，组织实施校园安全保卫整体方案；负责安排保安员的日常工作，参与保安员值勤，增援重点岗位；督促检查在岗人员履行岗位职责情况，纠正保安员违规违纪行为，形成良好的队风；处理各岗位的突发事件，重大情况及时报告；妥善保管好校方提供的设备器材，严格设备交接班制度；组织指挥保安员保安员做好校园重大活动的安全保卫与秩序保障工作；带领学生治安巡逻队，发挥学生参与治安防范的作用；将各岗位的执勤情况汇总记录。</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门卫管理：严格人员、车辆、物资进出管理；按时立岗，礼貌待人，树立良好的窗口形象；对来访人员实行验证登记制度；对携物出门实行出门证验审制度，防止财物流失；对外单位车辆实行换证入校制度；维护责任区域秩序，与各岗卫互通信息；值班室无闲杂人员滞留，保持内外环境整洁卫生，门前卫生三包；完成校区交办的其他事项。</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区域守护：熟悉守护区域的情况特点，定点守卫与区域巡查相结合；掌握消防栓、灭火器等安全设施的位置、性能和使用方法；听从班长工作安排与指挥调度，及时处置突发事件；维护责任区域公共秩序，协助各岗位开展校园交通秩序管理；发现可疑人员主动盘问，发现违规行为，大胆管理，主动干预，发现异常及安全隐患，立即采取措施并报告，制止暴力事件，有效处置各种违法犯罪行为；保持岗亭卫生整洁，无闲杂人员滞留。</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机动巡逻：24小时值班巡逻，特别是学生第二课堂时间段校园安全巡逻检查、纪律维护及安全警戒工作；发现和排除各种不安全因素，及时处置各种违纪行为；听从班长工作安排与指挥调度，善于发现、分析处理各种事故隐患和突发事件；根据不同情况，灵活执行相应的巡逻方案；加强对重点区域、要害部位的安全巡查，巡更采点不流于形式，并与监控室保持联动；协助各岗位开展校园秩序维护和交通秩序管理工作；协助责任部门开展安全防范，负责校区内楼宇的夜间定时清场；如实记录汇报巡逻记录。</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消防管理：每周检查记录校园内公共部位的消防设施，确保完好，绘制消防设施分布图，协助校方做好室外设施的日常维护；建立托管消防器材的台帐记录，定期检查器材完好程度和有效期限；经常性开展消防业务培训，制定完善的预案并演练，使每一个保安员能胜任校园义务消防员的角色；发现有人擅自动用消防设施的，应及时制止并报告学校；发现火灾隐患，立即报告学校有关管理部门并设法消除；发生火警，能冷静处置，按预案进行火灾报警、人员疏散、组织扑救、抢救物资等工作。</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通过门卫、AI智能机器设备对卡口管理、区域守护与机动巡逻、消防安全等方面进行管理，形成校园安全防范网络；保障校区内正常的学习、生活、教学、科研、工作秩序；禁止盲流人员进入校园；加强校园内部交通秩序管理，通过主动干预提示，控制车辆速度，对校外车辆车辆进行管控、登记、核实才能进入，保障大门及校内道路畅通，避免交通事故发生，无车辆乱停乱放现象；及时清理校园乱张贴，发现反动标语、宣传物等及时报告学校，并按规定处理。</w:t>
            </w:r>
          </w:p>
          <w:p>
            <w:pPr>
              <w:bidi w:val="0"/>
              <w:spacing w:line="360" w:lineRule="auto"/>
              <w:ind w:firstLine="363"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val="0"/>
                <w:bCs w:val="0"/>
                <w:i w:val="0"/>
                <w:iCs w:val="0"/>
                <w:color w:val="auto"/>
                <w:kern w:val="0"/>
                <w:sz w:val="21"/>
                <w:szCs w:val="21"/>
                <w:highlight w:val="none"/>
                <w:u w:val="none"/>
                <w:lang w:val="en-US" w:eastAsia="zh-CN" w:bidi="ar"/>
              </w:rPr>
              <w:t>保安员人数</w:t>
            </w:r>
            <w:r>
              <w:rPr>
                <w:rFonts w:hint="eastAsia" w:ascii="宋体" w:hAnsi="宋体" w:eastAsia="宋体" w:cs="宋体"/>
                <w:color w:val="auto"/>
                <w:sz w:val="21"/>
                <w:szCs w:val="21"/>
                <w:highlight w:val="none"/>
                <w:lang w:val="en-US" w:eastAsia="zh-CN"/>
              </w:rPr>
              <w:t>要求</w:t>
            </w:r>
          </w:p>
          <w:p>
            <w:pPr>
              <w:bidi w:val="0"/>
              <w:spacing w:line="360" w:lineRule="auto"/>
              <w:ind w:firstLine="363" w:firstLineChars="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1）原则上中标人优先聘用原来学校聘用的176名保安人员,确保安保队伍的稳定性。</w:t>
            </w:r>
          </w:p>
          <w:p>
            <w:pPr>
              <w:bidi w:val="0"/>
              <w:spacing w:line="360" w:lineRule="auto"/>
              <w:ind w:firstLine="363" w:firstLineChars="0"/>
              <w:jc w:val="left"/>
              <w:rPr>
                <w:rFonts w:hint="eastAsia" w:ascii="宋体" w:hAnsi="宋体" w:eastAsia="宋体" w:cs="宋体"/>
                <w:color w:val="auto"/>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2）学校保安的管理、签订合同、调配、培训、招聘续聘、缴纳社会保险、工资发放、劳务纠纷、办理退休手续等相关工作均由中标人履行。</w:t>
            </w:r>
          </w:p>
          <w:p>
            <w:pPr>
              <w:pStyle w:val="40"/>
              <w:spacing w:line="360" w:lineRule="auto"/>
              <w:ind w:firstLine="404"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highlight w:val="none"/>
              </w:rPr>
              <w:t>本项目安保人员配备为</w:t>
            </w:r>
            <w:r>
              <w:rPr>
                <w:rFonts w:hint="eastAsia" w:ascii="宋体" w:hAnsi="宋体" w:eastAsia="宋体" w:cs="宋体"/>
                <w:color w:val="auto"/>
                <w:highlight w:val="none"/>
                <w:lang w:val="en-US" w:eastAsia="zh-CN"/>
              </w:rPr>
              <w:t>176</w:t>
            </w:r>
            <w:r>
              <w:rPr>
                <w:rFonts w:hint="eastAsia" w:ascii="宋体" w:hAnsi="宋体" w:eastAsia="宋体" w:cs="宋体"/>
                <w:color w:val="auto"/>
                <w:highlight w:val="none"/>
              </w:rPr>
              <w:t>名，具体配备见下表。</w:t>
            </w:r>
          </w:p>
          <w:tbl>
            <w:tblPr>
              <w:tblStyle w:val="28"/>
              <w:tblW w:w="0" w:type="auto"/>
              <w:jc w:val="center"/>
              <w:tblLayout w:type="fixed"/>
              <w:tblCellMar>
                <w:top w:w="0" w:type="dxa"/>
                <w:left w:w="0" w:type="dxa"/>
                <w:bottom w:w="0" w:type="dxa"/>
                <w:right w:w="0" w:type="dxa"/>
              </w:tblCellMar>
            </w:tblPr>
            <w:tblGrid>
              <w:gridCol w:w="1690"/>
              <w:gridCol w:w="3391"/>
              <w:gridCol w:w="1567"/>
              <w:gridCol w:w="1085"/>
            </w:tblGrid>
            <w:tr>
              <w:tblPrEx>
                <w:tblCellMar>
                  <w:top w:w="0" w:type="dxa"/>
                  <w:left w:w="0" w:type="dxa"/>
                  <w:bottom w:w="0" w:type="dxa"/>
                  <w:right w:w="0" w:type="dxa"/>
                </w:tblCellMar>
              </w:tblPrEx>
              <w:trPr>
                <w:trHeight w:val="680" w:hRule="atLeast"/>
                <w:tblHeader/>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单位名称</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配备保安员人数</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凭祥市高级中学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凭祥市中等职业技术学校</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凭祥市第一中学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9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凭祥市夏石中学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凭祥市民族希望实验学校</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凭祥市第一小学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凭祥市第五小学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凭祥市第二小学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凭祥市前进小学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凭祥市第四小学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凭祥市连全小学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凭祥镇中心小学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凭祥市竹山小学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凭祥市柳班小学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凭祥市上石镇中心小学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凭祥市板旺小学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凭祥市埔东小学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凭祥市油隘小学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9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凭祥市夏石镇中心小学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凭祥市板任小学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凭祥市榴利小学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凭祥市新鸣小学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凭祥市那楼小学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凭祥市浦门小学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凭祥市丰乐小学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凭祥市白马小学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凭祥市哨平小学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凭祥市友谊镇中心小学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凭祥市礼茶小学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凭祥市卡凤小学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凭祥市三联小学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凭祥市英阳小学</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凭祥市第一幼儿园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凭祥市第一幼儿园海关分园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凭祥市第四幼儿园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凭祥市夏石镇中心幼儿园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凭祥市板任幼儿园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凭祥市榴利幼儿园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凭祥市浦门幼儿园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凭祥市丰乐幼儿园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凭祥市哨平幼儿园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凭祥市第二幼儿园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凭祥市匠龙幼儿园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凭祥市卡凤幼儿园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凭祥市平而幼儿园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凭祥市凭祥镇中心幼儿园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凭祥市上石镇中心幼儿园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凭祥市板旺幼儿园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凭祥市浦东幼儿园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凭祥市油隘幼儿园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00"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凭祥市三联幼儿园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388"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凭祥市竹山幼儿园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16"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凭祥市希望幼儿园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36"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凭祥市友谊镇中心幼儿园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476" w:hRule="atLeast"/>
                <w:jc w:val="center"/>
              </w:trPr>
              <w:tc>
                <w:tcPr>
                  <w:tcW w:w="16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3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凭祥市礼茶幼儿园</w:t>
                  </w:r>
                </w:p>
              </w:tc>
              <w:tc>
                <w:tcPr>
                  <w:tcW w:w="1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531" w:hRule="atLeast"/>
                <w:jc w:val="center"/>
              </w:trPr>
              <w:tc>
                <w:tcPr>
                  <w:tcW w:w="508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c>
                <w:tcPr>
                  <w:tcW w:w="1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176</w:t>
                  </w:r>
                </w:p>
              </w:tc>
              <w:tc>
                <w:tcPr>
                  <w:tcW w:w="10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83" w:type="dxa"/>
            <w:gridSpan w:val="5"/>
            <w:noWrap w:val="0"/>
            <w:vAlign w:val="top"/>
          </w:tcPr>
          <w:p>
            <w:pPr>
              <w:keepNext w:val="0"/>
              <w:keepLines w:val="0"/>
              <w:pageBreakBefore w:val="0"/>
              <w:widowControl/>
              <w:kinsoku/>
              <w:wordWrap/>
              <w:overflowPunct/>
              <w:topLinePunct w:val="0"/>
              <w:autoSpaceDE/>
              <w:autoSpaceDN/>
              <w:bidi w:val="0"/>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b/>
                <w:bCs/>
                <w:color w:val="auto"/>
                <w:sz w:val="21"/>
                <w:szCs w:val="21"/>
                <w:highlight w:val="none"/>
                <w:vertAlign w:val="baseline"/>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683" w:type="dxa"/>
            <w:gridSpan w:val="5"/>
            <w:noWrap w:val="0"/>
            <w:vAlign w:val="top"/>
          </w:tcPr>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1.合同签订期：自中标通知书发出之日起15日内。</w:t>
            </w:r>
          </w:p>
          <w:p>
            <w:pPr>
              <w:tabs>
                <w:tab w:val="left" w:pos="312"/>
              </w:tabs>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2.合同履行</w:t>
            </w:r>
            <w:r>
              <w:rPr>
                <w:rFonts w:hint="eastAsia" w:ascii="宋体" w:hAnsi="宋体" w:eastAsia="宋体" w:cs="宋体"/>
                <w:b w:val="0"/>
                <w:bCs w:val="0"/>
                <w:color w:val="auto"/>
                <w:sz w:val="21"/>
                <w:szCs w:val="21"/>
                <w:highlight w:val="none"/>
              </w:rPr>
              <w:t>期限：</w:t>
            </w:r>
            <w:r>
              <w:rPr>
                <w:rFonts w:hint="eastAsia" w:ascii="宋体" w:hAnsi="宋体" w:eastAsia="宋体" w:cs="宋体"/>
                <w:color w:val="auto"/>
                <w:szCs w:val="21"/>
                <w:highlight w:val="none"/>
                <w:lang w:eastAsia="zh-CN"/>
              </w:rPr>
              <w:t>签订合同之日起三年</w:t>
            </w:r>
            <w:r>
              <w:rPr>
                <w:rFonts w:hint="eastAsia" w:ascii="宋体" w:hAnsi="宋体" w:cs="宋体"/>
                <w:color w:val="auto"/>
                <w:szCs w:val="21"/>
                <w:highlight w:val="none"/>
                <w:lang w:eastAsia="zh-CN"/>
              </w:rPr>
              <w:t>。</w:t>
            </w:r>
          </w:p>
          <w:p>
            <w:pPr>
              <w:tabs>
                <w:tab w:val="left" w:pos="312"/>
              </w:tabs>
              <w:spacing w:line="360" w:lineRule="auto"/>
              <w:jc w:val="left"/>
              <w:rPr>
                <w:rFonts w:hint="eastAsia" w:ascii="宋体" w:hAnsi="宋体" w:eastAsia="宋体" w:cs="宋体"/>
                <w:color w:val="auto"/>
                <w:lang w:eastAsia="zh-CN"/>
              </w:rPr>
            </w:pPr>
            <w:r>
              <w:rPr>
                <w:rFonts w:hint="eastAsia" w:ascii="宋体" w:hAnsi="宋体" w:cs="宋体"/>
                <w:color w:val="auto"/>
                <w:szCs w:val="21"/>
                <w:lang w:val="en-US" w:eastAsia="zh-CN"/>
              </w:rPr>
              <w:t>2.1</w:t>
            </w:r>
            <w:r>
              <w:rPr>
                <w:rFonts w:hint="eastAsia" w:ascii="宋体" w:hAnsi="宋体" w:eastAsia="宋体" w:cs="宋体"/>
                <w:color w:val="auto"/>
                <w:szCs w:val="21"/>
              </w:rPr>
              <w:t>试用期：一个月，从开始服务之日起的一个月内为试用期，试用期满后甲方将对乙方的工作做初次验收，若因提供的服务达不到招标文件要求，甲方有权解除合同并追究相关违约责任，违约金为合同规定的每年校园安全管理服务费10%。如因此造成甲方经济损失的，按造成的实际损失予以赔偿。</w:t>
            </w:r>
          </w:p>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rPr>
              <w:t>服务地点：</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指定地点。</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4.付款</w:t>
            </w:r>
            <w:r>
              <w:rPr>
                <w:rFonts w:hint="eastAsia" w:ascii="宋体" w:hAnsi="宋体" w:eastAsia="宋体" w:cs="宋体"/>
                <w:b w:val="0"/>
                <w:bCs w:val="0"/>
                <w:color w:val="auto"/>
                <w:sz w:val="21"/>
                <w:szCs w:val="21"/>
                <w:highlight w:val="none"/>
              </w:rPr>
              <w:t>方式：</w:t>
            </w:r>
            <w:r>
              <w:rPr>
                <w:rFonts w:hint="eastAsia" w:ascii="宋体" w:hAnsi="宋体" w:eastAsia="宋体" w:cs="宋体"/>
                <w:color w:val="auto"/>
                <w:sz w:val="21"/>
                <w:szCs w:val="21"/>
                <w:highlight w:val="none"/>
                <w:lang w:eastAsia="zh-CN"/>
              </w:rPr>
              <w:t>在合同履行期间内</w:t>
            </w:r>
            <w:r>
              <w:rPr>
                <w:rFonts w:hint="eastAsia" w:ascii="宋体" w:hAnsi="宋体" w:eastAsia="宋体" w:cs="宋体"/>
                <w:color w:val="auto"/>
                <w:sz w:val="21"/>
                <w:szCs w:val="21"/>
                <w:highlight w:val="none"/>
              </w:rPr>
              <w:t>甲方按月支付结算一次:首次支付结算在乙方进场及双方签订合同生效，正式开始安保管理服务满30个日历天后的首月，乙方须提交服务价款的结算付款票据单证资料给甲方，甲方收齐后的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个工作日内办理支付手续，按照考评结果向乙方核拨合同总价的三十六分之一的费款</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5.履约验收要求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left"/>
              <w:rPr>
                <w:rFonts w:hint="eastAsia" w:ascii="宋体" w:hAnsi="宋体" w:eastAsia="宋体" w:cs="宋体"/>
                <w:b w:val="0"/>
                <w:bCs w:val="0"/>
                <w:color w:val="auto"/>
                <w:kern w:val="2"/>
                <w:sz w:val="21"/>
                <w:szCs w:val="21"/>
                <w:highlight w:val="none"/>
                <w:lang w:val="en-US" w:eastAsia="zh-CN" w:bidi="ar-SA"/>
              </w:rPr>
            </w:pPr>
            <w:bookmarkStart w:id="74" w:name="_Toc16877"/>
            <w:r>
              <w:rPr>
                <w:rFonts w:hint="eastAsia" w:ascii="宋体" w:hAnsi="宋体" w:eastAsia="宋体" w:cs="宋体"/>
                <w:b w:val="0"/>
                <w:bCs w:val="0"/>
                <w:color w:val="auto"/>
                <w:sz w:val="21"/>
                <w:szCs w:val="21"/>
                <w:highlight w:val="none"/>
                <w:lang w:val="en-US" w:eastAsia="zh-CN"/>
              </w:rPr>
              <w:t>5.1履约验收程序：</w:t>
            </w:r>
            <w:r>
              <w:rPr>
                <w:rFonts w:hint="eastAsia" w:ascii="宋体" w:hAnsi="宋体" w:eastAsia="宋体" w:cs="宋体"/>
                <w:b w:val="0"/>
                <w:bCs w:val="0"/>
                <w:color w:val="auto"/>
                <w:kern w:val="2"/>
                <w:sz w:val="21"/>
                <w:szCs w:val="21"/>
                <w:highlight w:val="none"/>
                <w:lang w:val="en-US" w:eastAsia="zh-CN" w:bidi="ar-SA"/>
              </w:rPr>
              <w:t>在合同履行期间内，按月对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kern w:val="2"/>
                <w:sz w:val="21"/>
                <w:szCs w:val="21"/>
                <w:highlight w:val="none"/>
                <w:lang w:val="en-US" w:eastAsia="zh-CN" w:bidi="ar-SA"/>
              </w:rPr>
              <w:t>的安保服务工作质量进行考核，按年度进行验收（参考采购需求中《保安员服务质量满意度测评表》），按照《广西壮族自治区政府采购项目履约验收管理办法的通知》的要求，验收程序如下：</w:t>
            </w:r>
            <w:bookmarkEnd w:id="74"/>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成立验收小组：合同履行达到验收条件的，采购人应当及时启动项目验收工作，成立验收小组，负责开展政府采购项目履约验收工作。</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编制验收方案：采购人或其委托的第三方专业机构应当根据项目特点制定验收方案，明确履约验收的时间、方式、程序等内容。</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开展验收活动：验收小组应根据验收方案，严格按照采购合同约定对供应商履约情况进行验收，并按照采购合同的约定对每一项技服务内容和标准的履约情况，对验收结果进行确认。</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出具验收报告：采购人自行组织验收的采购项目，验收报告应包括：实施验收过程基本情况概述、</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的履约情况，与采购合同约定的权利义务对比情况，验收结论性意见。验收报告单应由验收双方（采购人和</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）共同签署确认。</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验收争议处理：项目验收过程中，中标人不认可验收意见的，采购人、</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应按照合同约定的争议处理方式解决；合同未作约定的，按照《中华人民共和国民法典》相关规定处理。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验收结果：政府采购合同验收结果信息应于出具《政府采购履约验收书》。</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验收档案管理：采购人应当妥善保管政府采购项目的履约验收资料，包括但不限于验收方案、验收报告、验收记录、检验检测报告等，以备日后查阅和审计</w:t>
            </w:r>
            <w:r>
              <w:rPr>
                <w:rFonts w:hint="eastAsia" w:ascii="宋体" w:hAnsi="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left="181" w:leftChars="86"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履约验收标准：</w:t>
            </w:r>
            <w:r>
              <w:rPr>
                <w:rFonts w:hint="eastAsia" w:ascii="宋体" w:hAnsi="宋体" w:eastAsia="宋体" w:cs="宋体"/>
                <w:color w:val="auto"/>
                <w:sz w:val="21"/>
                <w:szCs w:val="21"/>
                <w:highlight w:val="none"/>
              </w:rPr>
              <w:t>符合国家相关法规、</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行业规范和采购人规定要求；考核实行百分制评分（100%），服务质量考核标准定为优良、合格、不合格，满意度90%以上为优良，满意度80%以上为合格，满意度80%以下为不合格，当满意度低于80%时扣除当月服务费10%。一年连续出现3次满意度调查满意度低于80%的，采购人有权终止合同且不承担任何赔偿或补偿责任，一切后果由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参考《保安员服务质量满意度测评表》，采购人可根据实际情况进行调整。</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vertAlign w:val="baseline"/>
                <w:lang w:val="en-US" w:eastAsia="zh-CN"/>
              </w:rPr>
              <w:t>▲</w:t>
            </w:r>
            <w:r>
              <w:rPr>
                <w:rFonts w:hint="eastAsia" w:ascii="宋体" w:hAnsi="宋体" w:eastAsia="宋体" w:cs="宋体"/>
                <w:b w:val="0"/>
                <w:bCs w:val="0"/>
                <w:color w:val="auto"/>
                <w:kern w:val="0"/>
                <w:sz w:val="21"/>
                <w:szCs w:val="21"/>
                <w:highlight w:val="none"/>
                <w:lang w:val="en-US" w:eastAsia="zh-CN"/>
              </w:rPr>
              <w:t>6.保安员工资和其他要求</w:t>
            </w:r>
          </w:p>
          <w:p>
            <w:pPr>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保安员</w:t>
            </w:r>
            <w:r>
              <w:rPr>
                <w:rFonts w:hint="eastAsia" w:ascii="宋体" w:hAnsi="宋体" w:eastAsia="宋体" w:cs="宋体"/>
                <w:b w:val="0"/>
                <w:bCs w:val="0"/>
                <w:color w:val="auto"/>
                <w:sz w:val="21"/>
                <w:szCs w:val="21"/>
                <w:highlight w:val="none"/>
              </w:rPr>
              <w:t>公司从业人员的工资及每年应有的福利费、奖金、加班费等由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负责，工资水平应</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当地最低工资标准</w:t>
            </w:r>
            <w:r>
              <w:rPr>
                <w:rFonts w:hint="eastAsia" w:ascii="宋体" w:hAnsi="宋体" w:eastAsia="宋体" w:cs="宋体"/>
                <w:b w:val="0"/>
                <w:bCs w:val="0"/>
                <w:color w:val="auto"/>
                <w:sz w:val="21"/>
                <w:szCs w:val="21"/>
                <w:highlight w:val="none"/>
                <w:lang w:eastAsia="zh-CN"/>
              </w:rPr>
              <w:t>（如在</w:t>
            </w:r>
            <w:r>
              <w:rPr>
                <w:rFonts w:hint="eastAsia" w:ascii="宋体" w:hAnsi="宋体" w:eastAsia="宋体" w:cs="宋体"/>
                <w:b w:val="0"/>
                <w:bCs w:val="0"/>
                <w:color w:val="auto"/>
                <w:sz w:val="21"/>
                <w:szCs w:val="21"/>
                <w:highlight w:val="none"/>
                <w:lang w:val="en-US" w:eastAsia="zh-CN"/>
              </w:rPr>
              <w:t>合同履行期间</w:t>
            </w:r>
            <w:r>
              <w:rPr>
                <w:rFonts w:hint="eastAsia" w:ascii="宋体" w:hAnsi="宋体" w:eastAsia="宋体" w:cs="宋体"/>
                <w:b w:val="0"/>
                <w:bCs w:val="0"/>
                <w:color w:val="auto"/>
                <w:sz w:val="21"/>
                <w:szCs w:val="21"/>
                <w:highlight w:val="none"/>
                <w:lang w:eastAsia="zh-CN"/>
              </w:rPr>
              <w:t>内，当地</w:t>
            </w:r>
            <w:r>
              <w:rPr>
                <w:rFonts w:hint="eastAsia" w:ascii="宋体" w:hAnsi="宋体" w:eastAsia="宋体" w:cs="宋体"/>
                <w:b w:val="0"/>
                <w:bCs w:val="0"/>
                <w:color w:val="auto"/>
                <w:sz w:val="21"/>
                <w:szCs w:val="21"/>
                <w:highlight w:val="none"/>
                <w:lang w:val="en-US" w:eastAsia="zh-CN"/>
              </w:rPr>
              <w:t>人社局</w:t>
            </w:r>
            <w:r>
              <w:rPr>
                <w:rFonts w:hint="eastAsia" w:ascii="宋体" w:hAnsi="宋体" w:eastAsia="宋体" w:cs="宋体"/>
                <w:b w:val="0"/>
                <w:bCs w:val="0"/>
                <w:color w:val="auto"/>
                <w:sz w:val="21"/>
                <w:szCs w:val="21"/>
                <w:highlight w:val="none"/>
                <w:lang w:eastAsia="zh-CN"/>
              </w:rPr>
              <w:t>调整最低工资标准</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lang w:eastAsia="zh-CN"/>
              </w:rPr>
              <w:t>，保安员公司必须</w:t>
            </w:r>
            <w:r>
              <w:rPr>
                <w:rFonts w:hint="eastAsia" w:ascii="宋体" w:hAnsi="宋体" w:eastAsia="宋体" w:cs="宋体"/>
                <w:b w:val="0"/>
                <w:bCs w:val="0"/>
                <w:color w:val="auto"/>
                <w:sz w:val="21"/>
                <w:szCs w:val="21"/>
                <w:highlight w:val="none"/>
                <w:lang w:val="en-US" w:eastAsia="zh-CN"/>
              </w:rPr>
              <w:t>根据最新政策要求</w:t>
            </w:r>
            <w:r>
              <w:rPr>
                <w:rFonts w:hint="eastAsia" w:ascii="宋体" w:hAnsi="宋体" w:eastAsia="宋体" w:cs="宋体"/>
                <w:b w:val="0"/>
                <w:bCs w:val="0"/>
                <w:color w:val="auto"/>
                <w:sz w:val="21"/>
                <w:szCs w:val="21"/>
                <w:highlight w:val="none"/>
                <w:lang w:eastAsia="zh-CN"/>
              </w:rPr>
              <w:t>实时调整）</w:t>
            </w:r>
            <w:r>
              <w:rPr>
                <w:rFonts w:hint="eastAsia" w:ascii="宋体" w:hAnsi="宋体" w:eastAsia="宋体" w:cs="宋体"/>
                <w:b w:val="0"/>
                <w:bCs w:val="0"/>
                <w:color w:val="auto"/>
                <w:sz w:val="21"/>
                <w:szCs w:val="21"/>
                <w:highlight w:val="none"/>
              </w:rPr>
              <w:t>，且</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需按国家规定为每位从业人员</w:t>
            </w:r>
            <w:r>
              <w:rPr>
                <w:rFonts w:hint="eastAsia" w:ascii="宋体" w:hAnsi="宋体" w:eastAsia="宋体" w:cs="宋体"/>
                <w:b w:val="0"/>
                <w:bCs w:val="0"/>
                <w:color w:val="auto"/>
                <w:sz w:val="21"/>
                <w:szCs w:val="21"/>
                <w:highlight w:val="none"/>
                <w:lang w:val="en-US" w:eastAsia="zh-CN"/>
              </w:rPr>
              <w:t>缴纳社会保险（如未达到当地社保基数要求，按相应规定执行）</w:t>
            </w:r>
            <w:r>
              <w:rPr>
                <w:rFonts w:hint="eastAsia" w:ascii="宋体" w:hAnsi="宋体" w:eastAsia="宋体" w:cs="宋体"/>
                <w:b w:val="0"/>
                <w:bCs w:val="0"/>
                <w:color w:val="auto"/>
                <w:sz w:val="21"/>
                <w:szCs w:val="21"/>
                <w:highlight w:val="none"/>
              </w:rPr>
              <w:t>。法定节假日、双休日及其他超出上班时间的加班，</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须按国家规定支付加班费，如有员工反映加班没有加班费，经核实确认的，</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有权从每月向</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支付的服务费中扣下相应的费用。当现场管理和</w:t>
            </w:r>
            <w:r>
              <w:rPr>
                <w:rFonts w:hint="eastAsia" w:ascii="宋体" w:hAnsi="宋体" w:eastAsia="宋体" w:cs="宋体"/>
                <w:b w:val="0"/>
                <w:bCs w:val="0"/>
                <w:color w:val="auto"/>
                <w:sz w:val="21"/>
                <w:szCs w:val="21"/>
                <w:highlight w:val="none"/>
                <w:lang w:eastAsia="zh-CN"/>
              </w:rPr>
              <w:t>保安员</w:t>
            </w:r>
            <w:r>
              <w:rPr>
                <w:rFonts w:hint="eastAsia" w:ascii="宋体" w:hAnsi="宋体" w:eastAsia="宋体" w:cs="宋体"/>
                <w:b w:val="0"/>
                <w:bCs w:val="0"/>
                <w:color w:val="auto"/>
                <w:sz w:val="21"/>
                <w:szCs w:val="21"/>
                <w:highlight w:val="none"/>
              </w:rPr>
              <w:t>人员有缺员时，</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必须在3日内补齐人员，加班费的计算方式以从业人员的月工资总额除以22天为基数，按实际天数计算，发放给加班人员。以上各项费用均由中标人承担，</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不再支付相关需要费用。对以上不作响应的均作无效标处理。</w:t>
            </w:r>
          </w:p>
          <w:p>
            <w:pPr>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与从业人员不发生任何劳动和雇佣关系。</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必须按劳动法与从业人员签订劳动合同。从业人员由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自行管理，并遵守国家相关劳动法律法规，涉及劳务纠纷和劳动事故全部由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承担责任。</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和从业人员应遵守安全操作规章制度，若发生人身伤害伤亡等事故，由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自负，与</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无关(</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需有书面承诺)。投标单位投标时，必须对从业人员意外伤害险进行书面承诺。对以上要求不作响应的均作无效标处理。</w:t>
            </w:r>
          </w:p>
          <w:p>
            <w:pPr>
              <w:keepNext w:val="0"/>
              <w:keepLines w:val="0"/>
              <w:pageBreakBefore w:val="0"/>
              <w:widowControl w:val="0"/>
              <w:kinsoku/>
              <w:wordWrap/>
              <w:overflowPunct/>
              <w:topLinePunct w:val="0"/>
              <w:autoSpaceDE/>
              <w:autoSpaceDN/>
              <w:bidi w:val="0"/>
              <w:spacing w:line="360" w:lineRule="auto"/>
              <w:ind w:left="181" w:leftChars="86"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其他要求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7.1</w:t>
            </w:r>
            <w:r>
              <w:rPr>
                <w:rFonts w:hint="eastAsia" w:ascii="宋体" w:hAnsi="宋体" w:eastAsia="宋体" w:cs="宋体"/>
                <w:b w:val="0"/>
                <w:bCs w:val="0"/>
                <w:color w:val="auto"/>
                <w:sz w:val="21"/>
                <w:szCs w:val="21"/>
                <w:highlight w:val="none"/>
              </w:rPr>
              <w:t>投标人于投标文件中提供针对本项目的实施方案【由投标人根据“</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目需求”和评标办法自行编写相关方面的实施方案等内容】。</w:t>
            </w:r>
          </w:p>
          <w:p>
            <w:pPr>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7.2</w:t>
            </w:r>
            <w:r>
              <w:rPr>
                <w:rFonts w:hint="eastAsia" w:ascii="宋体" w:hAnsi="宋体" w:eastAsia="宋体" w:cs="宋体"/>
                <w:b w:val="0"/>
                <w:bCs w:val="0"/>
                <w:color w:val="auto"/>
                <w:sz w:val="21"/>
                <w:szCs w:val="21"/>
                <w:highlight w:val="none"/>
              </w:rPr>
              <w:t>自项目实施之日起，中标人应当按照招标文件的规定及其投标文件中的承诺履行各项管理服务，否则，招标采购人有权要求中标人整改，整改仍达不到要求的视为违约，招标采购人有权终止合同履行，由此造成招标采购人的损失及一切后果由中标人负责承担，招标采购人不承担任何责任。</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7.3 </w:t>
            </w:r>
            <w:r>
              <w:rPr>
                <w:rFonts w:hint="eastAsia" w:ascii="宋体" w:hAnsi="宋体" w:eastAsia="宋体" w:cs="宋体"/>
                <w:b w:val="0"/>
                <w:bCs w:val="0"/>
                <w:color w:val="auto"/>
                <w:sz w:val="21"/>
                <w:szCs w:val="21"/>
                <w:highlight w:val="none"/>
              </w:rPr>
              <w:t>投标报价是履行本项目合同的最终价格，</w:t>
            </w:r>
            <w:r>
              <w:rPr>
                <w:rFonts w:hint="eastAsia" w:ascii="宋体" w:hAnsi="宋体" w:eastAsia="宋体" w:cs="宋体"/>
                <w:b w:val="0"/>
                <w:bCs w:val="0"/>
                <w:color w:val="auto"/>
                <w:sz w:val="21"/>
                <w:szCs w:val="21"/>
                <w:highlight w:val="none"/>
                <w:lang w:val="en-US" w:eastAsia="zh-CN"/>
              </w:rPr>
              <w:t>实行包干制，</w:t>
            </w:r>
            <w:r>
              <w:rPr>
                <w:rFonts w:hint="eastAsia" w:ascii="宋体" w:hAnsi="宋体" w:eastAsia="宋体" w:cs="宋体"/>
                <w:b w:val="0"/>
                <w:bCs w:val="0"/>
                <w:color w:val="auto"/>
                <w:sz w:val="21"/>
                <w:szCs w:val="21"/>
                <w:highlight w:val="none"/>
              </w:rPr>
              <w:t>应包括以下所列项目费用（1）至（8）及管理服务所发生的一切成本费用的总和。</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（1）管理、服务人员的工资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不能低于当地人社局规定的最低工资标准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、按规定提取的保险和福利费及国家地方规定必须缴纳的费用；</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（2）治安秩序维护费；</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（3）日常行政办公费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水电费</w:t>
            </w:r>
            <w:r>
              <w:rPr>
                <w:rFonts w:hint="eastAsia" w:ascii="宋体" w:hAnsi="宋体" w:eastAsia="宋体" w:cs="宋体"/>
                <w:b w:val="0"/>
                <w:bCs w:val="0"/>
                <w:color w:val="auto"/>
                <w:sz w:val="21"/>
                <w:szCs w:val="21"/>
                <w:highlight w:val="none"/>
              </w:rPr>
              <w:t>；</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（4）公司与本项目直接有关的固定资产折旧费；</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（5）服装费及</w:t>
            </w:r>
            <w:r>
              <w:rPr>
                <w:rFonts w:hint="eastAsia" w:ascii="宋体" w:hAnsi="宋体" w:eastAsia="宋体" w:cs="宋体"/>
                <w:b w:val="0"/>
                <w:bCs w:val="0"/>
                <w:color w:val="auto"/>
                <w:sz w:val="21"/>
                <w:szCs w:val="21"/>
                <w:highlight w:val="none"/>
                <w:lang w:val="en-US" w:eastAsia="zh-CN"/>
              </w:rPr>
              <w:t>满足安保服务工作所需的基本</w:t>
            </w:r>
            <w:r>
              <w:rPr>
                <w:rFonts w:hint="eastAsia" w:ascii="宋体" w:hAnsi="宋体" w:eastAsia="宋体" w:cs="宋体"/>
                <w:b w:val="0"/>
                <w:bCs w:val="0"/>
                <w:color w:val="auto"/>
                <w:sz w:val="21"/>
                <w:szCs w:val="21"/>
                <w:highlight w:val="none"/>
              </w:rPr>
              <w:t>执勤装备；</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（6）法定税费；</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（7）公司合理利润；</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（8）不可预见费用（含学校赋予的临时任务、学校周边出现突发事件临时机动等费用）。</w:t>
            </w:r>
          </w:p>
          <w:p>
            <w:pPr>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7.4 </w:t>
            </w:r>
            <w:r>
              <w:rPr>
                <w:rFonts w:hint="eastAsia" w:ascii="宋体" w:hAnsi="宋体" w:eastAsia="宋体" w:cs="宋体"/>
                <w:b w:val="0"/>
                <w:bCs w:val="0"/>
                <w:color w:val="auto"/>
                <w:sz w:val="21"/>
                <w:szCs w:val="21"/>
                <w:highlight w:val="none"/>
              </w:rPr>
              <w:t>现场</w:t>
            </w:r>
            <w:r>
              <w:rPr>
                <w:rFonts w:hint="eastAsia" w:ascii="宋体" w:hAnsi="宋体" w:eastAsia="宋体" w:cs="宋体"/>
                <w:b w:val="0"/>
                <w:bCs w:val="0"/>
                <w:color w:val="auto"/>
                <w:sz w:val="21"/>
                <w:szCs w:val="21"/>
                <w:highlight w:val="none"/>
                <w:lang w:val="en-US" w:eastAsia="zh-CN"/>
              </w:rPr>
              <w:t>踏勘</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lang w:val="en-US" w:eastAsia="zh-CN"/>
              </w:rPr>
              <w:t>广西政府采购云平台获取文件后</w:t>
            </w:r>
            <w:r>
              <w:rPr>
                <w:rFonts w:hint="eastAsia" w:ascii="宋体" w:hAnsi="宋体" w:eastAsia="宋体" w:cs="宋体"/>
                <w:b w:val="0"/>
                <w:bCs w:val="0"/>
                <w:color w:val="auto"/>
                <w:sz w:val="21"/>
                <w:szCs w:val="21"/>
                <w:highlight w:val="none"/>
              </w:rPr>
              <w:t>，根据自身企业情况，可自行对安保服务现场和周围环境进行现场踏勘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踏勘费用自理</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ind w:firstLine="210" w:firstLineChars="100"/>
              <w:jc w:val="left"/>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 xml:space="preserve">  8服务响应时间：接到采购人通知后，一般事件必须在10分钟内响应，20分钟内保安员或区域站（队）长必须到达现场，在与采购人沟通确认后1个小时内做出处理方案；突发事件和重大事件必须立即响应，10分钟内保安员或区域站（队）长必须到达现场，在与采购人沟通确认后20分内做出处理方案。</w:t>
            </w:r>
          </w:p>
        </w:tc>
      </w:tr>
    </w:tbl>
    <w:p>
      <w:pPr>
        <w:pStyle w:val="12"/>
        <w:rPr>
          <w:rFonts w:hint="eastAsia"/>
          <w:color w:val="auto"/>
          <w:lang w:eastAsia="zh-CN"/>
        </w:rPr>
      </w:pPr>
    </w:p>
    <w:p>
      <w:pPr>
        <w:tabs>
          <w:tab w:val="left" w:pos="180"/>
          <w:tab w:val="left" w:pos="1620"/>
        </w:tabs>
        <w:spacing w:line="420" w:lineRule="exact"/>
        <w:ind w:firstLine="420" w:firstLineChars="200"/>
        <w:jc w:val="left"/>
        <w:rPr>
          <w:rFonts w:hint="eastAsia" w:ascii="宋体" w:hAnsi="宋体" w:cs="宋体"/>
          <w:color w:val="auto"/>
          <w:highlight w:val="none"/>
          <w:u w:val="none"/>
          <w:lang w:eastAsia="zh-CN"/>
        </w:rPr>
      </w:pPr>
    </w:p>
    <w:p>
      <w:pPr>
        <w:tabs>
          <w:tab w:val="left" w:pos="180"/>
          <w:tab w:val="left" w:pos="1620"/>
        </w:tabs>
        <w:spacing w:line="420" w:lineRule="exact"/>
        <w:ind w:firstLine="420" w:firstLineChars="200"/>
        <w:jc w:val="left"/>
        <w:rPr>
          <w:rFonts w:hint="eastAsia" w:ascii="宋体" w:hAnsi="宋体" w:cs="宋体"/>
          <w:color w:val="auto"/>
          <w:highlight w:val="none"/>
          <w:u w:val="none"/>
          <w:lang w:eastAsia="zh-CN"/>
        </w:rPr>
      </w:pPr>
    </w:p>
    <w:p>
      <w:pPr>
        <w:tabs>
          <w:tab w:val="left" w:pos="180"/>
          <w:tab w:val="left" w:pos="1620"/>
        </w:tabs>
        <w:spacing w:line="420" w:lineRule="exact"/>
        <w:jc w:val="left"/>
        <w:rPr>
          <w:color w:val="auto"/>
        </w:rPr>
      </w:pPr>
    </w:p>
    <w:p>
      <w:pPr>
        <w:tabs>
          <w:tab w:val="left" w:pos="180"/>
          <w:tab w:val="left" w:pos="1620"/>
        </w:tabs>
        <w:spacing w:line="420" w:lineRule="exact"/>
        <w:jc w:val="left"/>
        <w:rPr>
          <w:color w:val="auto"/>
        </w:rPr>
      </w:pPr>
    </w:p>
    <w:p>
      <w:pPr>
        <w:tabs>
          <w:tab w:val="left" w:pos="180"/>
          <w:tab w:val="left" w:pos="1620"/>
        </w:tabs>
        <w:spacing w:line="420" w:lineRule="exact"/>
        <w:jc w:val="left"/>
        <w:rPr>
          <w:color w:val="auto"/>
        </w:rPr>
      </w:pPr>
    </w:p>
    <w:p>
      <w:pPr>
        <w:tabs>
          <w:tab w:val="left" w:pos="180"/>
          <w:tab w:val="left" w:pos="1620"/>
        </w:tabs>
        <w:spacing w:line="420" w:lineRule="exact"/>
        <w:jc w:val="left"/>
        <w:rPr>
          <w:color w:val="auto"/>
        </w:rPr>
      </w:pPr>
      <w:r>
        <w:rPr>
          <w:color w:val="auto"/>
        </w:rPr>
        <w:br w:type="page"/>
      </w:r>
    </w:p>
    <w:p>
      <w:pPr>
        <w:pStyle w:val="18"/>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p>
    <w:p>
      <w:pPr>
        <w:shd w:val="clear" w:color="auto" w:fill="FFFFFF"/>
        <w:spacing w:line="180" w:lineRule="atLeast"/>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保安员</w:t>
      </w:r>
      <w:r>
        <w:rPr>
          <w:rFonts w:hint="eastAsia" w:ascii="宋体" w:hAnsi="宋体" w:eastAsia="宋体" w:cs="宋体"/>
          <w:b/>
          <w:color w:val="auto"/>
          <w:sz w:val="28"/>
          <w:szCs w:val="28"/>
          <w:highlight w:val="none"/>
        </w:rPr>
        <w:t>服务质量满意度测评表</w:t>
      </w:r>
    </w:p>
    <w:tbl>
      <w:tblPr>
        <w:tblStyle w:val="28"/>
        <w:tblW w:w="977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35"/>
        <w:gridCol w:w="7586"/>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1235"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项目分值</w:t>
            </w:r>
          </w:p>
        </w:tc>
        <w:tc>
          <w:tcPr>
            <w:tcW w:w="7586"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内  容  及  标  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8" w:hRule="atLeast"/>
        </w:trPr>
        <w:tc>
          <w:tcPr>
            <w:tcW w:w="1235" w:type="dxa"/>
            <w:vMerge w:val="restart"/>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1.根据学校安全保卫和</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服务常规要求，公司建立健全管理制度并上墙，督促</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员严格执行。（2分）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2.成立</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管理组织，按学校要求配备专职管理人员。（2分）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员学习有关法律、学校治安保卫常识和技能培训，每学期至少开展一次并如实记录培训情况。缺1次扣1分（2分）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1235" w:type="dxa"/>
            <w:vMerge w:val="restart"/>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素质</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（24分）</w:t>
            </w: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4.从业人员具备相应的政治、业务、身体素质，年龄不超过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周岁。不符合要求的，扣1分/人次。（10分）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13"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5.有高度的责任感，严格遵守</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职业道德。上班期间长时看报刊、玩手机等而影响正常工作的，扣1分/人次。如有不服从管理、上班期间睡觉、酒后上班、擅自离岗、吵架闹事等工作失职者，扣2分/人次。（10分）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6.会正确使用防暴器械、一键报警、监控系统等安防设备，能熟练使用灭火器、消防栓等消防设施。有不会使用的，扣1分/人次。（4分）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1235" w:type="dxa"/>
            <w:vMerge w:val="restart"/>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工作环境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室及分管区域卫生</w:t>
            </w:r>
            <w:r>
              <w:rPr>
                <w:rFonts w:hint="eastAsia" w:ascii="宋体" w:hAnsi="宋体" w:eastAsia="宋体" w:cs="宋体"/>
                <w:color w:val="auto"/>
                <w:spacing w:val="-10"/>
                <w:sz w:val="21"/>
                <w:szCs w:val="21"/>
                <w:highlight w:val="none"/>
              </w:rPr>
              <w:t>状况良好。如</w:t>
            </w:r>
            <w:r>
              <w:rPr>
                <w:rFonts w:hint="eastAsia" w:ascii="宋体" w:hAnsi="宋体" w:eastAsia="宋体" w:cs="宋体"/>
                <w:color w:val="auto"/>
                <w:sz w:val="21"/>
                <w:szCs w:val="21"/>
                <w:highlight w:val="none"/>
              </w:rPr>
              <w:t>发现有垃圾、积水、积物、烟头等，扣0.5分/次。（2分）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8"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室物品按学校要求摆放整齐，用具无积灰。如物品摆放杂乱或有积灰扣0.5分/次。（1分）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9.保管好</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室配备的防暴器械，确保齐全好用。如发现损坏或缺少应及时</w:t>
            </w:r>
            <w:r>
              <w:rPr>
                <w:rFonts w:hint="eastAsia" w:ascii="宋体" w:hAnsi="宋体" w:cs="宋体"/>
                <w:color w:val="auto"/>
                <w:sz w:val="21"/>
                <w:szCs w:val="21"/>
                <w:highlight w:val="none"/>
                <w:lang w:val="en-US" w:eastAsia="zh-CN"/>
              </w:rPr>
              <w:t>补给</w:t>
            </w:r>
            <w:r>
              <w:rPr>
                <w:rFonts w:hint="eastAsia" w:ascii="宋体" w:hAnsi="宋体" w:eastAsia="宋体" w:cs="宋体"/>
                <w:color w:val="auto"/>
                <w:sz w:val="21"/>
                <w:szCs w:val="21"/>
                <w:highlight w:val="none"/>
              </w:rPr>
              <w:t>，未及时</w:t>
            </w:r>
            <w:r>
              <w:rPr>
                <w:rFonts w:hint="eastAsia" w:ascii="宋体" w:hAnsi="宋体" w:cs="宋体"/>
                <w:color w:val="auto"/>
                <w:sz w:val="21"/>
                <w:szCs w:val="21"/>
                <w:highlight w:val="none"/>
                <w:lang w:val="en-US" w:eastAsia="zh-CN"/>
              </w:rPr>
              <w:t>补给的</w:t>
            </w:r>
            <w:r>
              <w:rPr>
                <w:rFonts w:hint="eastAsia" w:ascii="宋体" w:hAnsi="宋体" w:eastAsia="宋体" w:cs="宋体"/>
                <w:color w:val="auto"/>
                <w:sz w:val="21"/>
                <w:szCs w:val="21"/>
                <w:highlight w:val="none"/>
              </w:rPr>
              <w:t>，扣1分/次。（2分）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8" w:hRule="atLeast"/>
        </w:trPr>
        <w:tc>
          <w:tcPr>
            <w:tcW w:w="1235" w:type="dxa"/>
            <w:vMerge w:val="restart"/>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门禁管理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（45分）</w:t>
            </w: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10.按学校规定，定时开关学校校门、通道等。如有差错扣1分/次。（5分）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建立规范齐全的门禁管理档案，实行24小时值班制度。严格执行交接班制度，做好值班记录以及交接班记录。档案不全扣2分，破损扣0.5分，值班记录不完整扣0.5分/次，不做交接班记录扣2分/次，假造记录扣5分。（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学生上、下学期间，</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员着装持械上岗，</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应提前到校门口站岗警戒，必要</w:t>
            </w:r>
            <w:r>
              <w:rPr>
                <w:rFonts w:hint="eastAsia" w:ascii="宋体" w:hAnsi="宋体" w:cs="宋体"/>
                <w:color w:val="auto"/>
                <w:sz w:val="21"/>
                <w:szCs w:val="21"/>
                <w:highlight w:val="none"/>
                <w:lang w:eastAsia="zh-CN"/>
              </w:rPr>
              <w:t>时疏导车辆、人流，发现并及时劝诫、阻止可疑人员对学生进行的各种侵害。未按规定着装</w:t>
            </w:r>
            <w:r>
              <w:rPr>
                <w:rFonts w:hint="eastAsia" w:ascii="宋体" w:hAnsi="宋体" w:eastAsia="宋体" w:cs="宋体"/>
                <w:color w:val="auto"/>
                <w:sz w:val="21"/>
                <w:szCs w:val="21"/>
                <w:highlight w:val="none"/>
              </w:rPr>
              <w:t>2分/次，未持械扣3分/次，未及时劝诫扣2分/次，未及时阻止扣5分/次。（10分）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8"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除上、下学期间外，对因特殊情况需要外出的学生，</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rPr>
              <w:t>按学校规定管理学生外出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对此造成严重后果的，扣1分/人次。（5分）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6"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严格执行来客登记制度。按学校规定办理出入手续，并填写《来访登记表》。未经许可不得放其进入校园。禁止醉汉、精神病患、来历不明等人员或可能伤人的动物、危险品进入校园。放入未登记者及其他人、动物、危险品，扣5分/人次（学校另有通知的除外）（10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9"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 按学校规定管理机动车辆出入。未经许可放入机动车扣2分/次。未及时指挥外来车辆停入校园指定停放区域，扣1分/次。（5分） </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运货车辆出校门应按学校规定执行，防止学校物品向外流失，发现异常，应立即报告学校相关领导。如有差错扣2分/次。禁止运货车辆在上学、放学时段进入校园（学校另有通知的除外），否则扣5分（5分）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235" w:type="dxa"/>
            <w:vMerge w:val="restart"/>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校园巡查</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17.按照校园巡查制度，做好巡查与记录，记录要规范齐全。未按规定巡查，扣5分，不按规范记录扣2.5分/次。（5分）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校门口发现可疑人员及案件、事故及隐患及时向学校汇报，未及时汇报扣1分/次。劝阻可能发生的治安事件，确保师生在校安全，未劝阻扣1分/次；对不能制止的，应及时报警，不报警的扣1分；对正在发生侵害师生的行为，应当采取有效措施予以制止，未采取有效措施的扣5分/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19.检查物防、技防等安防设备是否正常工作，并做好记录及时汇报，如有异常，校方发现而</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未发现或未报告学校的，扣2.5分/次。（5分）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235" w:type="dxa"/>
            <w:vMerge w:val="continue"/>
            <w:shd w:val="clear" w:color="auto" w:fill="FFFFFF"/>
            <w:noWrap w:val="0"/>
            <w:vAlign w:val="center"/>
          </w:tcPr>
          <w:p>
            <w:pPr>
              <w:rPr>
                <w:rFonts w:hint="eastAsia" w:ascii="宋体" w:hAnsi="宋体" w:eastAsia="宋体" w:cs="宋体"/>
                <w:color w:val="auto"/>
                <w:sz w:val="21"/>
                <w:szCs w:val="21"/>
                <w:highlight w:val="none"/>
              </w:rPr>
            </w:pPr>
          </w:p>
        </w:tc>
        <w:tc>
          <w:tcPr>
            <w:tcW w:w="7586" w:type="dxa"/>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20.巡查时关注校园内公共设施情况（门窗关锁、消防器材、电器关闭、水龙头、饮水机等），有异常时应妥善处理汇报学校，未发现或不报告的，扣1分/次。（5分）</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8821" w:type="dxa"/>
            <w:gridSpan w:val="2"/>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合计</w:t>
            </w:r>
          </w:p>
        </w:tc>
        <w:tc>
          <w:tcPr>
            <w:tcW w:w="954"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235" w:type="dxa"/>
            <w:shd w:val="clear" w:color="auto" w:fill="auto"/>
            <w:noWrap w:val="0"/>
            <w:tcMar>
              <w:top w:w="0" w:type="dxa"/>
              <w:left w:w="108" w:type="dxa"/>
              <w:bottom w:w="0" w:type="dxa"/>
              <w:right w:w="108"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测评说明</w:t>
            </w:r>
          </w:p>
        </w:tc>
        <w:tc>
          <w:tcPr>
            <w:tcW w:w="8540" w:type="dxa"/>
            <w:gridSpan w:val="2"/>
            <w:shd w:val="clear" w:color="auto" w:fill="auto"/>
            <w:noWrap w:val="0"/>
            <w:tcMar>
              <w:top w:w="0" w:type="dxa"/>
              <w:left w:w="108" w:type="dxa"/>
              <w:bottom w:w="0" w:type="dxa"/>
              <w:right w:w="108" w:type="dxa"/>
            </w:tcMar>
            <w:vAlign w:val="center"/>
          </w:tcPr>
          <w:p>
            <w:pP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满意度测评</w:t>
            </w:r>
            <w:r>
              <w:rPr>
                <w:rFonts w:hint="eastAsia" w:ascii="宋体" w:hAnsi="宋体" w:eastAsia="宋体" w:cs="宋体"/>
                <w:color w:val="auto"/>
                <w:sz w:val="21"/>
                <w:szCs w:val="21"/>
                <w:highlight w:val="none"/>
              </w:rPr>
              <w:t>必须达到80分</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rPr>
              <w:t>以上，</w:t>
            </w:r>
            <w:r>
              <w:rPr>
                <w:rFonts w:hint="eastAsia" w:ascii="宋体" w:hAnsi="宋体" w:eastAsia="宋体" w:cs="宋体"/>
                <w:bCs/>
                <w:color w:val="auto"/>
                <w:sz w:val="21"/>
                <w:szCs w:val="21"/>
                <w:highlight w:val="none"/>
              </w:rPr>
              <w:t>满意度测评</w:t>
            </w:r>
            <w:r>
              <w:rPr>
                <w:rFonts w:hint="eastAsia" w:ascii="宋体" w:hAnsi="宋体" w:eastAsia="宋体" w:cs="宋体"/>
                <w:color w:val="auto"/>
                <w:sz w:val="21"/>
                <w:szCs w:val="21"/>
                <w:highlight w:val="none"/>
              </w:rPr>
              <w:t>每低于一分，扣除当季度</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服务费的2%，同时</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公司必须进行整改；</w:t>
            </w:r>
            <w:r>
              <w:rPr>
                <w:rFonts w:hint="eastAsia" w:ascii="宋体" w:hAnsi="宋体" w:eastAsia="宋体" w:cs="宋体"/>
                <w:bCs/>
                <w:color w:val="auto"/>
                <w:sz w:val="21"/>
                <w:szCs w:val="21"/>
                <w:highlight w:val="none"/>
              </w:rPr>
              <w:t>满意度测评</w:t>
            </w:r>
            <w:r>
              <w:rPr>
                <w:rFonts w:hint="eastAsia" w:ascii="宋体" w:hAnsi="宋体" w:eastAsia="宋体" w:cs="宋体"/>
                <w:color w:val="auto"/>
                <w:sz w:val="21"/>
                <w:szCs w:val="21"/>
                <w:highlight w:val="none"/>
              </w:rPr>
              <w:t>低于75分，扣除合同金额</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服务费的10%。</w:t>
            </w:r>
          </w:p>
        </w:tc>
      </w:tr>
    </w:tbl>
    <w:p>
      <w:pPr>
        <w:rPr>
          <w:rFonts w:hint="eastAsia" w:ascii="宋体" w:hAnsi="宋体" w:eastAsia="宋体" w:cs="宋体"/>
          <w:color w:val="auto"/>
          <w:sz w:val="28"/>
          <w:szCs w:val="28"/>
          <w:highlight w:val="none"/>
        </w:rPr>
      </w:pPr>
    </w:p>
    <w:p>
      <w:pPr>
        <w:pStyle w:val="12"/>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填报单位（盖章）：            负责人：        时间：    年   月   日</w:t>
      </w:r>
    </w:p>
    <w:p>
      <w:pPr>
        <w:spacing w:line="428" w:lineRule="exact"/>
        <w:ind w:left="119"/>
        <w:rPr>
          <w:rFonts w:hAnsi="宋体"/>
          <w:color w:val="auto"/>
        </w:rPr>
      </w:pPr>
    </w:p>
    <w:p>
      <w:pPr>
        <w:spacing w:line="428" w:lineRule="exact"/>
        <w:ind w:left="119"/>
        <w:rPr>
          <w:rFonts w:hAnsi="宋体"/>
          <w:color w:val="auto"/>
        </w:rPr>
      </w:pPr>
    </w:p>
    <w:p>
      <w:pPr>
        <w:spacing w:line="428" w:lineRule="exact"/>
        <w:ind w:left="119"/>
        <w:rPr>
          <w:rFonts w:hAnsi="宋体"/>
          <w:color w:val="auto"/>
        </w:rPr>
      </w:pPr>
    </w:p>
    <w:p>
      <w:pPr>
        <w:spacing w:line="428" w:lineRule="exact"/>
        <w:ind w:left="119"/>
        <w:rPr>
          <w:rFonts w:hAnsi="宋体"/>
          <w:color w:val="auto"/>
        </w:rPr>
      </w:pPr>
    </w:p>
    <w:p>
      <w:pPr>
        <w:spacing w:line="428" w:lineRule="exact"/>
        <w:ind w:left="119"/>
        <w:rPr>
          <w:rFonts w:hAnsi="宋体"/>
          <w:color w:val="auto"/>
        </w:rPr>
      </w:pPr>
    </w:p>
    <w:p>
      <w:pPr>
        <w:spacing w:line="428" w:lineRule="exact"/>
        <w:ind w:left="119"/>
        <w:rPr>
          <w:rFonts w:hAnsi="宋体"/>
          <w:color w:val="auto"/>
        </w:rPr>
      </w:pPr>
    </w:p>
    <w:p>
      <w:pPr>
        <w:spacing w:line="428" w:lineRule="exact"/>
        <w:ind w:left="119"/>
        <w:rPr>
          <w:rFonts w:ascii="宋体" w:hAnsi="宋体" w:cs="宋体"/>
          <w:color w:val="auto"/>
          <w:sz w:val="32"/>
          <w:szCs w:val="32"/>
        </w:rPr>
      </w:pPr>
      <w:r>
        <w:rPr>
          <w:rFonts w:hAnsi="宋体"/>
          <w:color w:val="auto"/>
        </w:rPr>
        <w:t xml:space="preserve"> </w:t>
      </w:r>
      <w:r>
        <w:rPr>
          <w:rFonts w:hint="eastAsia" w:ascii="宋体" w:hAnsi="宋体" w:cs="宋体"/>
          <w:color w:val="auto"/>
          <w:sz w:val="32"/>
          <w:szCs w:val="32"/>
        </w:rPr>
        <w:t>附件</w:t>
      </w:r>
      <w:r>
        <w:rPr>
          <w:rFonts w:hint="eastAsia" w:ascii="宋体" w:hAnsi="宋体" w:cs="宋体"/>
          <w:color w:val="auto"/>
          <w:sz w:val="32"/>
          <w:szCs w:val="32"/>
          <w:lang w:val="en-US" w:eastAsia="zh-CN"/>
        </w:rPr>
        <w:t>2</w:t>
      </w:r>
      <w:r>
        <w:rPr>
          <w:rFonts w:hint="eastAsia" w:ascii="宋体" w:hAnsi="宋体" w:cs="宋体"/>
          <w:color w:val="auto"/>
          <w:sz w:val="32"/>
          <w:szCs w:val="32"/>
        </w:rPr>
        <w:t>：</w:t>
      </w:r>
    </w:p>
    <w:p>
      <w:pPr>
        <w:spacing w:before="7"/>
        <w:rPr>
          <w:rFonts w:ascii="宋体" w:hAnsi="宋体" w:cs="宋体"/>
          <w:color w:val="auto"/>
          <w:sz w:val="17"/>
          <w:szCs w:val="17"/>
        </w:rPr>
      </w:pPr>
    </w:p>
    <w:p>
      <w:pPr>
        <w:pStyle w:val="18"/>
        <w:jc w:val="left"/>
        <w:rPr>
          <w:rFonts w:hAnsi="宋体" w:cs="宋体"/>
          <w:color w:val="auto"/>
          <w:sz w:val="32"/>
          <w:szCs w:val="32"/>
        </w:rPr>
      </w:pPr>
    </w:p>
    <w:p>
      <w:pPr>
        <w:widowControl/>
        <w:spacing w:before="120" w:beforeLines="50" w:after="120" w:afterLines="50" w:line="280" w:lineRule="exact"/>
        <w:jc w:val="center"/>
        <w:rPr>
          <w:rFonts w:ascii="宋体" w:hAnsi="宋体" w:cs="宋体"/>
          <w:b/>
          <w:bCs/>
          <w:color w:val="auto"/>
          <w:kern w:val="0"/>
          <w:sz w:val="30"/>
          <w:szCs w:val="30"/>
        </w:rPr>
      </w:pPr>
      <w:bookmarkStart w:id="75" w:name="_Toc28361_WPSOffice_Level2"/>
      <w:r>
        <w:rPr>
          <w:rFonts w:hint="eastAsia" w:ascii="宋体" w:hAnsi="宋体" w:cs="宋体"/>
          <w:b/>
          <w:bCs/>
          <w:color w:val="auto"/>
          <w:kern w:val="0"/>
          <w:sz w:val="30"/>
          <w:szCs w:val="30"/>
        </w:rPr>
        <w:t>统计上大中小微型企业划分标准</w:t>
      </w:r>
      <w:bookmarkEnd w:id="75"/>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424"/>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058" w:type="dxa"/>
            <w:shd w:val="clear" w:color="auto" w:fill="8DB3E2"/>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424"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p>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restart"/>
            <w:vAlign w:val="center"/>
          </w:tcPr>
          <w:p>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continue"/>
            <w:vAlign w:val="center"/>
          </w:tcPr>
          <w:p>
            <w:pPr>
              <w:widowControl/>
              <w:spacing w:line="280" w:lineRule="exact"/>
              <w:jc w:val="left"/>
              <w:rPr>
                <w:rFonts w:ascii="宋体" w:hAnsi="宋体" w:cs="宋体"/>
                <w:color w:val="auto"/>
                <w:spacing w:val="-12"/>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58" w:type="dxa"/>
            <w:vMerge w:val="continue"/>
            <w:vAlign w:val="center"/>
          </w:tcPr>
          <w:p>
            <w:pPr>
              <w:widowControl/>
              <w:spacing w:line="280" w:lineRule="exact"/>
              <w:jc w:val="left"/>
              <w:rPr>
                <w:rFonts w:ascii="宋体" w:hAnsi="宋体" w:cs="宋体"/>
                <w:color w:val="auto"/>
                <w:kern w:val="0"/>
                <w:sz w:val="18"/>
                <w:szCs w:val="18"/>
              </w:rPr>
            </w:pP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58"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424"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spacing w:line="280" w:lineRule="exact"/>
        <w:rPr>
          <w:rFonts w:ascii="宋体" w:hAnsi="宋体" w:cs="宋体"/>
          <w:color w:val="auto"/>
          <w:spacing w:val="8"/>
          <w:kern w:val="0"/>
          <w:sz w:val="24"/>
        </w:rPr>
      </w:pPr>
    </w:p>
    <w:p>
      <w:pPr>
        <w:widowControl/>
        <w:spacing w:line="360" w:lineRule="auto"/>
        <w:rPr>
          <w:rFonts w:ascii="宋体" w:hAnsi="宋体" w:cs="宋体"/>
          <w:color w:val="auto"/>
          <w:spacing w:val="8"/>
          <w:kern w:val="0"/>
          <w:szCs w:val="21"/>
        </w:rPr>
      </w:pPr>
    </w:p>
    <w:p>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pPr>
        <w:pStyle w:val="18"/>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pPr>
        <w:pStyle w:val="18"/>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8"/>
        <w:spacing w:line="360" w:lineRule="auto"/>
        <w:ind w:firstLine="452" w:firstLineChars="200"/>
        <w:rPr>
          <w:rFonts w:hAnsi="宋体" w:cs="宋体"/>
          <w:color w:val="auto"/>
          <w:spacing w:val="8"/>
          <w:kern w:val="0"/>
          <w:sz w:val="24"/>
          <w:szCs w:val="24"/>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jc w:val="center"/>
        <w:outlineLvl w:val="0"/>
        <w:rPr>
          <w:rFonts w:hint="eastAsia"/>
          <w:b/>
          <w:color w:val="auto"/>
          <w:sz w:val="36"/>
        </w:rPr>
      </w:pPr>
      <w:bookmarkStart w:id="76" w:name="_Toc29172"/>
      <w:bookmarkStart w:id="77" w:name="_Toc26039"/>
      <w:bookmarkStart w:id="78" w:name="_Toc9063"/>
      <w:bookmarkStart w:id="79" w:name="_Toc532545044"/>
      <w:bookmarkStart w:id="80" w:name="_Toc3325"/>
      <w:bookmarkStart w:id="81" w:name="_Toc28587"/>
      <w:bookmarkStart w:id="82" w:name="_Toc24489"/>
      <w:bookmarkStart w:id="83" w:name="_Toc6362"/>
      <w:bookmarkStart w:id="84" w:name="_Toc8975"/>
      <w:bookmarkStart w:id="85" w:name="_Toc496"/>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both"/>
        <w:outlineLvl w:val="0"/>
        <w:rPr>
          <w:rFonts w:hint="eastAsia"/>
          <w:b/>
          <w:color w:val="auto"/>
          <w:sz w:val="36"/>
        </w:rPr>
      </w:pPr>
    </w:p>
    <w:p>
      <w:pPr>
        <w:spacing w:line="428" w:lineRule="exact"/>
        <w:rPr>
          <w:rFonts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w:t>
      </w:r>
      <w:r>
        <w:rPr>
          <w:rFonts w:hint="eastAsia" w:ascii="微软雅黑" w:hAnsi="微软雅黑" w:eastAsia="微软雅黑" w:cs="微软雅黑"/>
          <w:color w:val="auto"/>
          <w:sz w:val="30"/>
          <w:szCs w:val="30"/>
          <w:highlight w:val="none"/>
          <w:lang w:val="en-US" w:eastAsia="zh-CN"/>
        </w:rPr>
        <w:t>3</w:t>
      </w:r>
      <w:r>
        <w:rPr>
          <w:rFonts w:hint="eastAsia" w:ascii="微软雅黑" w:hAnsi="微软雅黑" w:eastAsia="微软雅黑" w:cs="微软雅黑"/>
          <w:color w:val="auto"/>
          <w:sz w:val="30"/>
          <w:szCs w:val="30"/>
          <w:highlight w:val="none"/>
        </w:rPr>
        <w:t>：</w:t>
      </w:r>
    </w:p>
    <w:p>
      <w:pPr>
        <w:spacing w:line="528" w:lineRule="exact"/>
        <w:ind w:left="1871" w:firstLine="600" w:firstLineChars="2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28"/>
        <w:tblW w:w="0" w:type="auto"/>
        <w:tblInd w:w="93" w:type="dxa"/>
        <w:tblLayout w:type="fixed"/>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nil"/>
              <w:right w:val="single" w:color="000000" w:sz="8" w:space="0"/>
            </w:tcBorders>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4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4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41"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2"/>
        <w:spacing w:line="360" w:lineRule="auto"/>
        <w:ind w:firstLine="408"/>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pStyle w:val="6"/>
        <w:numPr>
          <w:ilvl w:val="0"/>
          <w:numId w:val="6"/>
        </w:numPr>
        <w:ind w:firstLine="816" w:firstLineChars="400"/>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Times New Roman" w:hAnsi="Times New Roman" w:eastAsia="宋体" w:cs="Times New Roman"/>
          <w:b w:val="0"/>
          <w:bCs w:val="0"/>
          <w:color w:val="auto"/>
          <w:spacing w:val="-3"/>
          <w:kern w:val="2"/>
          <w:sz w:val="21"/>
          <w:szCs w:val="21"/>
          <w:highlight w:val="none"/>
          <w:lang w:val="en-US" w:eastAsia="zh-CN" w:bidi="ar-SA"/>
        </w:rPr>
        <w:t>“★”标注的为政府强制采购产品</w:t>
      </w:r>
    </w:p>
    <w:p>
      <w:pPr>
        <w:pStyle w:val="12"/>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pPr>
        <w:numPr>
          <w:ilvl w:val="0"/>
          <w:numId w:val="6"/>
        </w:numPr>
        <w:rPr>
          <w:rFonts w:hint="eastAsia"/>
          <w:lang w:val="en-US" w:eastAsia="zh-CN"/>
        </w:rPr>
        <w:sectPr>
          <w:footerReference r:id="rId7" w:type="default"/>
          <w:pgSz w:w="11906" w:h="16838"/>
          <w:pgMar w:top="1134" w:right="1134" w:bottom="1134" w:left="1354" w:header="720" w:footer="720" w:gutter="0"/>
          <w:pgNumType w:fmt="decimal"/>
          <w:cols w:space="720" w:num="1"/>
          <w:docGrid w:type="lines" w:linePitch="331" w:charSpace="0"/>
        </w:sectPr>
      </w:pPr>
    </w:p>
    <w:p>
      <w:pPr>
        <w:jc w:val="both"/>
        <w:outlineLvl w:val="0"/>
        <w:rPr>
          <w:b/>
          <w:color w:val="auto"/>
          <w:sz w:val="36"/>
        </w:rPr>
      </w:pPr>
    </w:p>
    <w:p>
      <w:pPr>
        <w:pStyle w:val="18"/>
        <w:jc w:val="center"/>
        <w:outlineLvl w:val="0"/>
        <w:rPr>
          <w:rFonts w:hAnsi="宋体"/>
          <w:b/>
          <w:color w:val="auto"/>
          <w:sz w:val="36"/>
          <w:szCs w:val="36"/>
        </w:rPr>
      </w:pPr>
      <w:bookmarkStart w:id="86" w:name="_Toc20085"/>
      <w:bookmarkStart w:id="87" w:name="_Toc15364"/>
      <w:bookmarkStart w:id="88" w:name="_Toc20953"/>
      <w:bookmarkStart w:id="89" w:name="_Toc26044"/>
      <w:r>
        <w:rPr>
          <w:rFonts w:hint="eastAsia" w:ascii="Times New Roman" w:hAnsi="Times New Roman"/>
          <w:b/>
          <w:color w:val="auto"/>
          <w:sz w:val="36"/>
        </w:rPr>
        <w:t>第三章</w:t>
      </w:r>
      <w:r>
        <w:rPr>
          <w:rFonts w:ascii="Times New Roman" w:hAnsi="Times New Roman"/>
          <w:b/>
          <w:color w:val="auto"/>
          <w:sz w:val="36"/>
        </w:rPr>
        <w:t xml:space="preserve">  </w:t>
      </w:r>
      <w:r>
        <w:rPr>
          <w:rFonts w:hint="eastAsia" w:ascii="Times New Roman" w:hAnsi="Times New Roman"/>
          <w:b/>
          <w:color w:val="auto"/>
          <w:sz w:val="36"/>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18"/>
        <w:spacing w:line="720" w:lineRule="auto"/>
        <w:jc w:val="center"/>
        <w:outlineLvl w:val="1"/>
        <w:rPr>
          <w:rFonts w:ascii="Times New Roman" w:hAnsi="Times New Roman"/>
          <w:b/>
          <w:color w:val="auto"/>
          <w:sz w:val="30"/>
          <w:szCs w:val="30"/>
        </w:rPr>
      </w:pPr>
      <w:bookmarkStart w:id="90" w:name="_Toc8769"/>
      <w:bookmarkStart w:id="91" w:name="_Toc11515"/>
      <w:bookmarkStart w:id="92" w:name="_Toc1597"/>
      <w:bookmarkStart w:id="93" w:name="_Toc29813"/>
      <w:bookmarkStart w:id="94" w:name="_Toc32208"/>
      <w:bookmarkStart w:id="95" w:name="_Toc4562"/>
      <w:bookmarkStart w:id="96" w:name="_Toc29809"/>
      <w:bookmarkStart w:id="97" w:name="_Toc10039"/>
      <w:bookmarkStart w:id="98" w:name="_Toc16388"/>
      <w:bookmarkStart w:id="99" w:name="_Toc24714"/>
      <w:r>
        <w:rPr>
          <w:rFonts w:hint="eastAsia" w:ascii="Times New Roman" w:hAnsi="Times New Roman"/>
          <w:b/>
          <w:color w:val="auto"/>
          <w:sz w:val="30"/>
          <w:szCs w:val="30"/>
        </w:rPr>
        <w:t>第一节</w:t>
      </w:r>
      <w:r>
        <w:rPr>
          <w:rFonts w:ascii="Times New Roman" w:hAnsi="Times New Roman"/>
          <w:b/>
          <w:color w:val="auto"/>
          <w:sz w:val="30"/>
          <w:szCs w:val="30"/>
        </w:rPr>
        <w:t xml:space="preserve"> </w:t>
      </w:r>
      <w:r>
        <w:rPr>
          <w:rFonts w:hint="eastAsia" w:ascii="Times New Roman" w:hAnsi="Times New Roman"/>
          <w:b/>
          <w:color w:val="auto"/>
          <w:sz w:val="30"/>
          <w:szCs w:val="30"/>
        </w:rPr>
        <w:t>投标人须知前附表</w:t>
      </w:r>
      <w:bookmarkEnd w:id="90"/>
      <w:bookmarkEnd w:id="91"/>
      <w:bookmarkEnd w:id="92"/>
      <w:bookmarkEnd w:id="93"/>
      <w:bookmarkEnd w:id="94"/>
      <w:bookmarkEnd w:id="95"/>
      <w:bookmarkEnd w:id="96"/>
      <w:bookmarkEnd w:id="97"/>
      <w:bookmarkEnd w:id="98"/>
      <w:bookmarkEnd w:id="99"/>
    </w:p>
    <w:tbl>
      <w:tblPr>
        <w:tblStyle w:val="28"/>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380" w:lineRule="exact"/>
              <w:rPr>
                <w:rFonts w:ascii="宋体" w:hAnsi="宋体" w:cs="宋体"/>
                <w:color w:val="auto"/>
                <w:szCs w:val="21"/>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0" w:name="_5"/>
            <w:bookmarkEnd w:id="100"/>
            <w:bookmarkStart w:id="101" w:name="_9.2"/>
            <w:bookmarkEnd w:id="101"/>
            <w:bookmarkStart w:id="102" w:name="_8.1"/>
            <w:bookmarkEnd w:id="102"/>
            <w:r>
              <w:rPr>
                <w:rFonts w:hint="eastAsia" w:ascii="宋体" w:hAnsi="宋体" w:cs="宋体"/>
                <w:color w:val="auto"/>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380" w:lineRule="exact"/>
              <w:rPr>
                <w:rFonts w:ascii="宋体" w:hAnsi="宋体" w:cs="宋体"/>
                <w:color w:val="auto"/>
                <w:szCs w:val="21"/>
              </w:rPr>
            </w:pPr>
            <w:bookmarkStart w:id="103" w:name="PO_3000001866_PM007"/>
            <w:r>
              <w:rPr>
                <w:rFonts w:hint="eastAsia" w:ascii="宋体" w:hAnsi="宋体" w:cs="宋体"/>
                <w:color w:val="auto"/>
                <w:szCs w:val="21"/>
              </w:rPr>
              <w:t>详见招标公告。</w:t>
            </w:r>
            <w:bookmarkEnd w:id="10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380" w:lineRule="exact"/>
              <w:rPr>
                <w:rFonts w:ascii="宋体" w:hAnsi="宋体" w:cs="宋体"/>
                <w:color w:val="auto"/>
                <w:szCs w:val="21"/>
              </w:rPr>
            </w:pPr>
            <w:r>
              <w:rPr>
                <w:rFonts w:hint="eastAsia" w:ascii="宋体" w:hAnsi="宋体" w:cs="宋体"/>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380" w:lineRule="exact"/>
              <w:rPr>
                <w:rFonts w:ascii="宋体" w:hAnsi="宋体" w:cs="宋体"/>
                <w:color w:val="auto"/>
                <w:szCs w:val="21"/>
              </w:rPr>
            </w:pPr>
            <w:bookmarkStart w:id="104" w:name="PO_3000001866_PM044"/>
            <w:r>
              <w:rPr>
                <w:rFonts w:hint="eastAsia" w:ascii="宋体" w:hAnsi="宋体" w:cs="宋体"/>
                <w:color w:val="auto"/>
                <w:szCs w:val="21"/>
                <w:lang w:eastAsia="zh-CN"/>
              </w:rPr>
              <w:t>☑</w:t>
            </w:r>
            <w:r>
              <w:rPr>
                <w:rFonts w:hint="eastAsia" w:ascii="宋体" w:hAnsi="宋体" w:cs="宋体"/>
                <w:color w:val="auto"/>
                <w:szCs w:val="21"/>
              </w:rPr>
              <w:t>不允许分包</w:t>
            </w:r>
            <w:bookmarkEnd w:id="104"/>
          </w:p>
          <w:p>
            <w:pPr>
              <w:pStyle w:val="11"/>
              <w:spacing w:line="380" w:lineRule="exact"/>
              <w:rPr>
                <w:rFonts w:ascii="宋体" w:hAnsi="宋体" w:cs="宋体"/>
                <w:color w:val="auto"/>
                <w:szCs w:val="21"/>
              </w:rPr>
            </w:pPr>
            <w:r>
              <w:rPr>
                <w:rFonts w:hint="eastAsia" w:ascii="宋体" w:hAnsi="宋体" w:cs="宋体"/>
                <w:color w:val="auto"/>
                <w:szCs w:val="21"/>
              </w:rPr>
              <w:t>□转包/分包内容：</w:t>
            </w:r>
            <w:r>
              <w:rPr>
                <w:rFonts w:hint="eastAsia" w:ascii="宋体" w:hAnsi="宋体" w:cs="宋体"/>
                <w:color w:val="auto"/>
                <w:szCs w:val="21"/>
                <w:u w:val="single"/>
              </w:rPr>
              <w:t xml:space="preserve">                                     。</w:t>
            </w:r>
          </w:p>
          <w:p>
            <w:pPr>
              <w:pStyle w:val="11"/>
              <w:spacing w:line="380" w:lineRule="exact"/>
              <w:rPr>
                <w:rFonts w:ascii="宋体" w:hAnsi="宋体" w:cs="宋体"/>
                <w:color w:val="auto"/>
                <w:szCs w:val="21"/>
              </w:rPr>
            </w:pPr>
            <w:r>
              <w:rPr>
                <w:rFonts w:hint="eastAsia" w:ascii="宋体" w:hAnsi="宋体" w:cs="宋体"/>
                <w:color w:val="auto"/>
                <w:szCs w:val="21"/>
              </w:rPr>
              <w:t>□转包/分包金额或者比例：</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与本项目相关的政府采购业务澄清、更正及与之相关的事项将在招标公告中“六、其他补充事宜”中网上查询地址上发布</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不组织召开开标前答疑会</w:t>
            </w:r>
          </w:p>
          <w:p>
            <w:pPr>
              <w:snapToGrid w:val="0"/>
              <w:spacing w:line="380" w:lineRule="exact"/>
              <w:rPr>
                <w:rFonts w:ascii="宋体" w:hAnsi="宋体" w:cs="宋体"/>
                <w:color w:val="auto"/>
                <w:szCs w:val="21"/>
              </w:rPr>
            </w:pPr>
            <w:r>
              <w:rPr>
                <w:rFonts w:hint="eastAsia" w:ascii="宋体" w:hAnsi="宋体" w:cs="宋体"/>
                <w:color w:val="auto"/>
                <w:szCs w:val="21"/>
              </w:rPr>
              <w:t>□组织召开开标前答疑会</w:t>
            </w:r>
          </w:p>
          <w:p>
            <w:pPr>
              <w:snapToGrid w:val="0"/>
              <w:spacing w:line="380" w:lineRule="exact"/>
              <w:rPr>
                <w:rFonts w:ascii="宋体" w:hAnsi="宋体" w:cs="宋体"/>
                <w:color w:val="auto"/>
                <w:szCs w:val="21"/>
                <w:u w:val="single"/>
              </w:rPr>
            </w:pPr>
            <w:r>
              <w:rPr>
                <w:rFonts w:hint="eastAsia" w:ascii="宋体" w:hAnsi="宋体" w:cs="宋体"/>
                <w:color w:val="auto"/>
                <w:szCs w:val="21"/>
              </w:rPr>
              <w:t>会议开始时间：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分，逾期后果自负。会议地点：</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105" w:name="_13.2"/>
            <w:bookmarkEnd w:id="105"/>
            <w:r>
              <w:rPr>
                <w:rFonts w:hint="eastAsia" w:ascii="宋体" w:hAnsi="宋体" w:cs="宋体"/>
                <w:color w:val="auto"/>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numPr>
                <w:ilvl w:val="0"/>
                <w:numId w:val="7"/>
              </w:numPr>
              <w:snapToGrid w:val="0"/>
              <w:spacing w:line="380" w:lineRule="exact"/>
              <w:jc w:val="left"/>
              <w:rPr>
                <w:rFonts w:hint="eastAsia" w:ascii="宋体" w:hAnsi="宋体" w:cs="宋体"/>
                <w:color w:val="auto"/>
                <w:szCs w:val="21"/>
              </w:rPr>
            </w:pPr>
            <w:r>
              <w:rPr>
                <w:rFonts w:hint="eastAsia" w:ascii="宋体" w:hAnsi="宋体" w:cs="宋体"/>
                <w:color w:val="auto"/>
                <w:szCs w:val="21"/>
              </w:rPr>
              <w:t>崇左市政府采购供应商信用承诺函（格式后附）。（</w:t>
            </w:r>
            <w:r>
              <w:rPr>
                <w:rFonts w:hint="eastAsia" w:ascii="宋体" w:hAnsi="宋体" w:cs="宋体"/>
                <w:b/>
                <w:bCs/>
                <w:color w:val="auto"/>
                <w:szCs w:val="21"/>
              </w:rPr>
              <w:t>必须提供，否则作无效投标处理</w:t>
            </w:r>
            <w:r>
              <w:rPr>
                <w:rFonts w:hint="eastAsia" w:ascii="宋体" w:hAnsi="宋体" w:cs="宋体"/>
                <w:color w:val="auto"/>
                <w:szCs w:val="21"/>
              </w:rPr>
              <w:t>）</w:t>
            </w:r>
          </w:p>
          <w:p>
            <w:pPr>
              <w:numPr>
                <w:ilvl w:val="0"/>
                <w:numId w:val="7"/>
              </w:numPr>
              <w:snapToGrid w:val="0"/>
              <w:spacing w:line="380" w:lineRule="exact"/>
              <w:jc w:val="left"/>
              <w:rPr>
                <w:rFonts w:hint="eastAsia" w:ascii="宋体" w:hAnsi="宋体" w:cs="宋体"/>
                <w:b/>
                <w:bCs/>
                <w:color w:val="auto"/>
                <w:szCs w:val="21"/>
              </w:rPr>
            </w:pPr>
            <w:r>
              <w:rPr>
                <w:rFonts w:hint="eastAsia" w:ascii="宋体" w:hAnsi="宋体" w:cs="宋体"/>
                <w:b w:val="0"/>
                <w:bCs w:val="0"/>
                <w:color w:val="auto"/>
                <w:szCs w:val="21"/>
              </w:rPr>
              <w:t>中小企业声明函</w:t>
            </w:r>
            <w:r>
              <w:rPr>
                <w:rFonts w:hint="eastAsia" w:ascii="宋体" w:hAnsi="宋体" w:cs="宋体"/>
                <w:b/>
                <w:bCs/>
                <w:color w:val="auto"/>
                <w:szCs w:val="21"/>
              </w:rPr>
              <w:t>（</w:t>
            </w:r>
            <w:bookmarkStart w:id="106" w:name="OLE_LINK18"/>
            <w:r>
              <w:rPr>
                <w:rFonts w:hint="eastAsia" w:ascii="宋体" w:hAnsi="宋体" w:cs="宋体"/>
                <w:b/>
                <w:bCs/>
                <w:color w:val="auto"/>
                <w:szCs w:val="21"/>
              </w:rPr>
              <w:t>必须提供，否则作无效投标处理</w:t>
            </w:r>
            <w:bookmarkEnd w:id="106"/>
            <w:r>
              <w:rPr>
                <w:rFonts w:hint="eastAsia" w:ascii="宋体" w:hAnsi="宋体" w:cs="宋体"/>
                <w:b/>
                <w:bCs/>
                <w:color w:val="auto"/>
                <w:szCs w:val="21"/>
              </w:rPr>
              <w:t>）</w:t>
            </w:r>
          </w:p>
          <w:p>
            <w:pPr>
              <w:snapToGrid w:val="0"/>
              <w:spacing w:line="380" w:lineRule="exact"/>
              <w:jc w:val="left"/>
              <w:rPr>
                <w:rFonts w:hint="eastAsia" w:ascii="宋体" w:hAnsi="宋体" w:eastAsia="宋体"/>
                <w:color w:val="auto"/>
                <w:szCs w:val="21"/>
                <w:lang w:eastAsia="zh-CN"/>
              </w:rPr>
            </w:pPr>
            <w:r>
              <w:rPr>
                <w:rFonts w:hint="eastAsia" w:ascii="宋体" w:hAnsi="宋体" w:cs="宋体"/>
                <w:color w:val="auto"/>
                <w:szCs w:val="21"/>
                <w:lang w:val="en-US" w:eastAsia="zh-CN"/>
              </w:rPr>
              <w:t>3</w:t>
            </w:r>
            <w:r>
              <w:rPr>
                <w:rFonts w:hint="eastAsia" w:ascii="宋体" w:hAnsi="宋体"/>
                <w:color w:val="auto"/>
                <w:szCs w:val="21"/>
              </w:rPr>
              <w:t>、</w:t>
            </w:r>
            <w:r>
              <w:rPr>
                <w:rFonts w:hint="eastAsia" w:ascii="宋体" w:hAnsi="宋体" w:cs="宋体"/>
                <w:color w:val="auto"/>
                <w:szCs w:val="21"/>
              </w:rPr>
              <w:t>本项目的特定资格要求：</w:t>
            </w:r>
            <w:r>
              <w:rPr>
                <w:rFonts w:hint="eastAsia" w:ascii="宋体" w:hAnsi="宋体"/>
                <w:color w:val="auto"/>
                <w:szCs w:val="21"/>
                <w:lang w:eastAsia="zh-CN"/>
              </w:rPr>
              <w:t>供应商须具备有公安部门颁发的有效的《保安服务许可证》</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、声明函（格式后附）。（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b/>
                <w:bCs/>
                <w:color w:val="auto"/>
                <w:szCs w:val="21"/>
              </w:rPr>
            </w:pPr>
            <w:r>
              <w:rPr>
                <w:rFonts w:hint="eastAsia" w:ascii="宋体" w:hAnsi="宋体"/>
                <w:color w:val="auto"/>
                <w:szCs w:val="21"/>
                <w:lang w:val="en-US" w:eastAsia="zh-CN"/>
              </w:rPr>
              <w:t>5</w:t>
            </w:r>
            <w:r>
              <w:rPr>
                <w:rFonts w:hint="eastAsia" w:ascii="宋体" w:hAnsi="宋体"/>
                <w:color w:val="auto"/>
                <w:szCs w:val="21"/>
              </w:rPr>
              <w:t>、联合体投标协议书（格式后附）。</w:t>
            </w:r>
            <w:r>
              <w:rPr>
                <w:rFonts w:hint="eastAsia" w:ascii="宋体" w:hAnsi="宋体"/>
                <w:b/>
                <w:bCs/>
                <w:color w:val="auto"/>
                <w:szCs w:val="21"/>
              </w:rPr>
              <w:t>（联合体投标时必须提供，否则作无效投标处理）</w:t>
            </w:r>
          </w:p>
          <w:p>
            <w:pPr>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、除招标文件规定必须提供以外，投标人认为需要提供的其他证明材料（格式自拟）。</w:t>
            </w:r>
          </w:p>
          <w:p>
            <w:pPr>
              <w:snapToGrid w:val="0"/>
              <w:spacing w:line="380" w:lineRule="exact"/>
              <w:ind w:firstLine="0" w:firstLineChars="0"/>
              <w:jc w:val="left"/>
              <w:rPr>
                <w:rFonts w:ascii="宋体" w:hAnsi="宋体" w:cs="宋体"/>
                <w:b/>
                <w:bCs/>
                <w:color w:val="auto"/>
                <w:szCs w:val="21"/>
              </w:rPr>
            </w:pPr>
            <w:r>
              <w:rPr>
                <w:rFonts w:hint="eastAsia" w:ascii="宋体" w:hAnsi="宋体" w:cs="宋体"/>
                <w:b/>
                <w:bCs/>
                <w:color w:val="auto"/>
                <w:szCs w:val="21"/>
              </w:rPr>
              <w:t>注：</w:t>
            </w:r>
            <w:r>
              <w:rPr>
                <w:rFonts w:hint="eastAsia" w:ascii="宋体" w:hAnsi="宋体" w:cs="宋体"/>
                <w:color w:val="auto"/>
                <w:szCs w:val="21"/>
              </w:rPr>
              <w:t xml:space="preserve"> </w:t>
            </w:r>
            <w:r>
              <w:rPr>
                <w:rFonts w:hint="eastAsia" w:ascii="宋体" w:hAnsi="宋体" w:cs="宋体"/>
                <w:b/>
                <w:bCs/>
                <w:color w:val="auto"/>
                <w:szCs w:val="21"/>
              </w:rPr>
              <w:t>1.以上标明“必须提供”的材料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vAlign w:val="center"/>
          </w:tcPr>
          <w:p>
            <w:pPr>
              <w:spacing w:line="380" w:lineRule="exac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107" w:name="_13.3"/>
            <w:bookmarkEnd w:id="107"/>
            <w:r>
              <w:rPr>
                <w:rFonts w:hint="eastAsia" w:ascii="宋体" w:hAnsi="宋体" w:cs="宋体"/>
                <w:color w:val="auto"/>
                <w:szCs w:val="21"/>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r>
              <w:rPr>
                <w:rFonts w:hint="eastAsia" w:ascii="宋体" w:hAnsi="宋体" w:cs="宋体"/>
                <w:color w:val="auto"/>
                <w:szCs w:val="21"/>
              </w:rPr>
              <w:t>1、无串通投标行为的承诺函（格式后附）；（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4、商务条款偏离表（格式后附）；（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5、投标人情况介绍（格式自拟）；</w:t>
            </w:r>
          </w:p>
          <w:p>
            <w:pPr>
              <w:snapToGrid w:val="0"/>
              <w:spacing w:line="380" w:lineRule="exact"/>
              <w:jc w:val="left"/>
              <w:rPr>
                <w:rFonts w:ascii="宋体" w:hAnsi="宋体" w:cs="宋体"/>
                <w:color w:val="auto"/>
                <w:szCs w:val="21"/>
              </w:rPr>
            </w:pPr>
            <w:r>
              <w:rPr>
                <w:rFonts w:hint="eastAsia" w:ascii="宋体" w:hAnsi="宋体" w:cs="宋体"/>
                <w:color w:val="auto"/>
                <w:szCs w:val="21"/>
              </w:rPr>
              <w:t>6、除招标文件规定必须提供以外，投标人认为需要提供的其他证明材料（格式自拟）。（投标人根据“第二章 采购需求”及“第四章 评标方法和评标标准”提供有关证明材料）。</w:t>
            </w:r>
          </w:p>
          <w:p>
            <w:pPr>
              <w:snapToGrid w:val="0"/>
              <w:spacing w:line="380" w:lineRule="exact"/>
              <w:jc w:val="left"/>
              <w:rPr>
                <w:rFonts w:ascii="宋体" w:hAnsi="宋体" w:cs="宋体"/>
                <w:b/>
                <w:bCs/>
                <w:color w:val="auto"/>
                <w:szCs w:val="21"/>
              </w:rPr>
            </w:pPr>
            <w:r>
              <w:rPr>
                <w:rFonts w:hint="eastAsia" w:ascii="宋体" w:hAnsi="宋体" w:cs="宋体"/>
                <w:b/>
                <w:bCs/>
                <w:color w:val="auto"/>
                <w:szCs w:val="21"/>
              </w:rPr>
              <w:t>注： 1.法定代表人授权委托书必须由法定代表人及委托代理人签字，并加盖投标人公章，否则作无效投标处理。</w:t>
            </w:r>
          </w:p>
          <w:p>
            <w:pPr>
              <w:snapToGrid w:val="0"/>
              <w:spacing w:line="380" w:lineRule="exact"/>
              <w:ind w:firstLine="422" w:firstLineChars="200"/>
              <w:jc w:val="left"/>
              <w:rPr>
                <w:rFonts w:ascii="宋体" w:hAnsi="宋体" w:cs="宋体"/>
                <w:b/>
                <w:color w:val="auto"/>
                <w:szCs w:val="21"/>
              </w:rPr>
            </w:pPr>
            <w:r>
              <w:rPr>
                <w:rFonts w:hint="eastAsia" w:ascii="宋体" w:hAnsi="宋体" w:cs="宋体"/>
                <w:b/>
                <w:bCs/>
                <w:color w:val="auto"/>
                <w:szCs w:val="21"/>
              </w:rPr>
              <w:t>2.</w:t>
            </w:r>
            <w:r>
              <w:rPr>
                <w:rFonts w:hint="eastAsia" w:ascii="宋体" w:hAnsi="宋体" w:cs="宋体"/>
                <w:color w:val="auto"/>
                <w:szCs w:val="21"/>
              </w:rPr>
              <w:t xml:space="preserve"> </w:t>
            </w:r>
            <w:r>
              <w:rPr>
                <w:rFonts w:hint="eastAsia" w:ascii="宋体" w:hAnsi="宋体" w:cs="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7" w:hRule="atLeast"/>
          <w:jc w:val="center"/>
        </w:trPr>
        <w:tc>
          <w:tcPr>
            <w:tcW w:w="675" w:type="dxa"/>
            <w:vMerge w:val="restart"/>
            <w:tcBorders>
              <w:top w:val="nil"/>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108" w:name="_13.4"/>
            <w:bookmarkEnd w:id="108"/>
            <w:r>
              <w:rPr>
                <w:rFonts w:hint="eastAsia" w:ascii="宋体" w:hAnsi="宋体" w:cs="宋体"/>
                <w:color w:val="auto"/>
                <w:szCs w:val="21"/>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highlight w:val="none"/>
              </w:rPr>
            </w:pPr>
            <w:r>
              <w:rPr>
                <w:rFonts w:hint="eastAsia" w:ascii="宋体" w:hAnsi="宋体" w:cs="宋体"/>
                <w:color w:val="auto"/>
                <w:szCs w:val="21"/>
              </w:rPr>
              <w:t>1、</w:t>
            </w:r>
            <w:r>
              <w:rPr>
                <w:rFonts w:hint="eastAsia" w:ascii="宋体" w:hAnsi="宋体" w:cs="宋体"/>
                <w:color w:val="auto"/>
                <w:szCs w:val="21"/>
                <w:highlight w:val="none"/>
              </w:rPr>
              <w:t>服务要求偏离表（格式后附）；（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2、服务方案（格式自拟）；</w:t>
            </w:r>
          </w:p>
          <w:p>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、项目实施人员一览表（格式</w:t>
            </w:r>
            <w:r>
              <w:rPr>
                <w:rFonts w:hint="eastAsia"/>
                <w:color w:val="auto"/>
                <w:szCs w:val="21"/>
                <w:highlight w:val="none"/>
              </w:rPr>
              <w:t>后附</w:t>
            </w:r>
            <w:r>
              <w:rPr>
                <w:rFonts w:hint="eastAsia" w:ascii="宋体" w:hAnsi="宋体" w:cs="宋体"/>
                <w:color w:val="auto"/>
                <w:szCs w:val="21"/>
                <w:highlight w:val="none"/>
              </w:rPr>
              <w:t>）；</w:t>
            </w:r>
          </w:p>
          <w:p>
            <w:pPr>
              <w:snapToGrid w:val="0"/>
              <w:spacing w:line="38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、除招标文件规定必须提供以外，投标人需要说明的其他文件和说明（格式自拟）。</w:t>
            </w:r>
          </w:p>
          <w:p>
            <w:pPr>
              <w:snapToGrid w:val="0"/>
              <w:spacing w:line="380" w:lineRule="exact"/>
              <w:jc w:val="left"/>
              <w:rPr>
                <w:rFonts w:ascii="宋体" w:hAnsi="宋体" w:cs="宋体"/>
                <w:b/>
                <w:bCs/>
                <w:color w:val="auto"/>
                <w:szCs w:val="21"/>
              </w:rPr>
            </w:pPr>
            <w:r>
              <w:rPr>
                <w:rFonts w:hint="eastAsia" w:ascii="宋体" w:hAnsi="宋体" w:cs="宋体"/>
                <w:b/>
                <w:bCs/>
                <w:color w:val="auto"/>
                <w:szCs w:val="21"/>
                <w:highlight w:val="none"/>
              </w:rPr>
              <w:t>注：以上标明“</w:t>
            </w:r>
            <w:r>
              <w:rPr>
                <w:rFonts w:hint="eastAsia" w:ascii="宋体" w:hAnsi="宋体" w:cs="宋体"/>
                <w:b/>
                <w:bCs/>
                <w:color w:val="auto"/>
                <w:szCs w:val="21"/>
              </w:rPr>
              <w:t>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r>
              <w:rPr>
                <w:rFonts w:hint="eastAsia" w:ascii="宋体" w:hAnsi="宋体" w:cs="宋体"/>
                <w:color w:val="auto"/>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b/>
                <w:bCs/>
                <w:color w:val="auto"/>
                <w:szCs w:val="21"/>
              </w:rPr>
            </w:pPr>
            <w:r>
              <w:rPr>
                <w:rFonts w:hint="eastAsia" w:ascii="宋体" w:hAnsi="宋体" w:cs="宋体"/>
                <w:color w:val="auto"/>
                <w:szCs w:val="21"/>
              </w:rPr>
              <w:t>1、投标函（格式后附）；</w:t>
            </w:r>
            <w:r>
              <w:rPr>
                <w:rFonts w:hint="eastAsia" w:ascii="宋体" w:hAnsi="宋体" w:cs="宋体"/>
                <w:b/>
                <w:bCs/>
                <w:color w:val="auto"/>
                <w:szCs w:val="21"/>
              </w:rPr>
              <w:t>（必须提供，否则作无效投标处理）</w:t>
            </w:r>
          </w:p>
          <w:p>
            <w:pPr>
              <w:snapToGrid w:val="0"/>
              <w:spacing w:line="380" w:lineRule="exact"/>
              <w:jc w:val="left"/>
              <w:rPr>
                <w:rFonts w:ascii="宋体" w:hAnsi="宋体" w:cs="宋体"/>
                <w:color w:val="auto"/>
                <w:szCs w:val="21"/>
              </w:rPr>
            </w:pPr>
            <w:r>
              <w:rPr>
                <w:rFonts w:hint="eastAsia" w:ascii="宋体" w:hAnsi="宋体" w:cs="宋体"/>
                <w:color w:val="auto"/>
                <w:szCs w:val="21"/>
              </w:rPr>
              <w:t>2、开标一览表（格式后附）；</w:t>
            </w:r>
            <w:r>
              <w:rPr>
                <w:rFonts w:hint="eastAsia" w:ascii="宋体" w:hAnsi="宋体" w:cs="宋体"/>
                <w:b/>
                <w:bCs/>
                <w:color w:val="auto"/>
                <w:szCs w:val="21"/>
              </w:rPr>
              <w:t>（必须提供，否则作无效投标处理）</w:t>
            </w:r>
          </w:p>
          <w:p>
            <w:pPr>
              <w:tabs>
                <w:tab w:val="left" w:pos="459"/>
              </w:tabs>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 w:val="24"/>
                <w:szCs w:val="24"/>
              </w:rPr>
            </w:pPr>
            <w:bookmarkStart w:id="109" w:name="_16.2"/>
            <w:bookmarkEnd w:id="109"/>
            <w:r>
              <w:rPr>
                <w:rFonts w:hint="eastAsia" w:ascii="宋体" w:hAnsi="宋体" w:cs="宋体"/>
                <w:color w:val="auto"/>
                <w:sz w:val="24"/>
                <w:szCs w:val="24"/>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投标报价是履行合同的最终价格，必须包含</w:t>
            </w:r>
            <w:r>
              <w:rPr>
                <w:rFonts w:hint="eastAsia" w:ascii="宋体" w:hAnsi="宋体" w:eastAsia="宋体" w:cs="宋体"/>
                <w:color w:val="auto"/>
                <w:szCs w:val="21"/>
                <w:lang w:val="en-US" w:eastAsia="zh-CN"/>
              </w:rPr>
              <w:t>：</w:t>
            </w:r>
            <w:r>
              <w:rPr>
                <w:rFonts w:hint="eastAsia" w:ascii="宋体" w:hAnsi="宋体" w:eastAsia="宋体" w:cs="宋体"/>
                <w:color w:val="auto"/>
                <w:sz w:val="21"/>
                <w:szCs w:val="21"/>
                <w:highlight w:val="none"/>
              </w:rPr>
              <w:t>实行包干制，应包括管理、服务人员的工资(不能低于当地人社局规定的最低工资标准)、按规定提取的社会保险和福利费及国家地方规定必须缴纳的费用、治安秩序维护费、日常行政办公费、水电费、公司与本项目直接有关的固定资产折旧费、服装费及满足安保服务工作所需的基本执勤装备、法定税费、公司合理利润、不可预见费用(含学校赋予的临时任务、学校周边出现突发事件临时机动等费用)以上所列项目费用及管理服务所发生的一切成本费用的总和</w:t>
            </w:r>
          </w:p>
          <w:p>
            <w:pPr>
              <w:snapToGrid w:val="0"/>
              <w:spacing w:line="360" w:lineRule="auto"/>
              <w:rPr>
                <w:rFonts w:ascii="宋体" w:hAnsi="宋体" w:cs="宋体"/>
                <w:b/>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rPr>
              <w:t>投标报价包含验收费用</w:t>
            </w:r>
          </w:p>
          <w:p>
            <w:pPr>
              <w:pStyle w:val="2"/>
              <w:rPr>
                <w:color w:val="auto"/>
                <w:sz w:val="21"/>
                <w:szCs w:val="21"/>
              </w:rPr>
            </w:pPr>
            <w:r>
              <w:rPr>
                <w:rFonts w:hint="eastAsia" w:ascii="宋体" w:hAnsi="宋体" w:cs="宋体"/>
                <w:b/>
                <w:color w:val="auto"/>
                <w:sz w:val="24"/>
                <w:szCs w:val="24"/>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0" w:name="_17.1"/>
            <w:bookmarkEnd w:id="110"/>
            <w:r>
              <w:rPr>
                <w:rFonts w:hint="eastAsia" w:ascii="宋体" w:hAnsi="宋体" w:cs="宋体"/>
                <w:color w:val="auto"/>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自投标截止之日起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90</w:t>
            </w:r>
            <w:r>
              <w:rPr>
                <w:rFonts w:hint="eastAsia" w:ascii="宋体" w:hAnsi="宋体" w:cs="宋体"/>
                <w:color w:val="auto"/>
                <w:szCs w:val="21"/>
                <w:u w:val="single"/>
              </w:rPr>
              <w:t xml:space="preserve"> </w:t>
            </w:r>
            <w:r>
              <w:rPr>
                <w:rFonts w:hint="eastAsia" w:ascii="宋体" w:hAnsi="宋体" w:cs="宋体"/>
                <w:color w:val="auto"/>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1" w:name="_18"/>
            <w:bookmarkEnd w:id="111"/>
            <w:r>
              <w:rPr>
                <w:rFonts w:hint="eastAsia" w:ascii="宋体" w:hAnsi="宋体" w:cs="宋体"/>
                <w:color w:val="auto"/>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本项目不需要缴纳投标保证金。</w:t>
            </w:r>
          </w:p>
          <w:p>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□本项目需要缴纳投标保证金，相关要求如下：</w:t>
            </w:r>
          </w:p>
          <w:p>
            <w:pPr>
              <w:snapToGrid w:val="0"/>
              <w:spacing w:line="360" w:lineRule="auto"/>
              <w:rPr>
                <w:rFonts w:ascii="宋体" w:hAnsi="宋体" w:cs="宋体"/>
                <w:color w:val="auto"/>
                <w:szCs w:val="21"/>
              </w:rPr>
            </w:pPr>
            <w:r>
              <w:rPr>
                <w:rFonts w:hint="eastAsia" w:ascii="宋体" w:hAnsi="宋体" w:cs="宋体"/>
                <w:color w:val="auto"/>
                <w:szCs w:val="21"/>
              </w:rPr>
              <w:t>1.投标保证金的缴纳方式：详见招标公告</w:t>
            </w:r>
          </w:p>
          <w:p>
            <w:pPr>
              <w:snapToGrid w:val="0"/>
              <w:spacing w:line="360" w:lineRule="auto"/>
              <w:rPr>
                <w:rFonts w:ascii="宋体" w:hAnsi="宋体" w:cs="宋体"/>
                <w:color w:val="auto"/>
                <w:szCs w:val="21"/>
              </w:rPr>
            </w:pPr>
            <w:r>
              <w:rPr>
                <w:rFonts w:hint="eastAsia" w:ascii="宋体" w:hAnsi="宋体" w:cs="宋体"/>
                <w:color w:val="auto"/>
                <w:szCs w:val="21"/>
              </w:rPr>
              <w:t>2.投标保证金的金额：详见招标公告</w:t>
            </w:r>
          </w:p>
          <w:p>
            <w:pPr>
              <w:pStyle w:val="11"/>
              <w:spacing w:line="360" w:lineRule="auto"/>
              <w:rPr>
                <w:rFonts w:ascii="宋体" w:hAnsi="宋体" w:cs="宋体"/>
                <w:color w:val="auto"/>
                <w:szCs w:val="21"/>
              </w:rPr>
            </w:pPr>
            <w:r>
              <w:rPr>
                <w:rFonts w:hint="eastAsia" w:ascii="宋体" w:hAnsi="宋体" w:cs="宋体"/>
                <w:color w:val="auto"/>
                <w:szCs w:val="21"/>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rPr>
              <w:t>否则作无效投标处理</w:t>
            </w:r>
            <w:r>
              <w:rPr>
                <w:rFonts w:hint="eastAsia" w:ascii="宋体" w:hAnsi="宋体" w:cs="宋体"/>
                <w:color w:val="auto"/>
                <w:szCs w:val="21"/>
              </w:rPr>
              <w:t>。</w:t>
            </w:r>
          </w:p>
          <w:p>
            <w:pPr>
              <w:snapToGrid w:val="0"/>
              <w:spacing w:line="360" w:lineRule="auto"/>
              <w:rPr>
                <w:rFonts w:ascii="宋体" w:hAnsi="宋体" w:cs="宋体"/>
                <w:color w:val="auto"/>
                <w:szCs w:val="21"/>
              </w:rPr>
            </w:pPr>
            <w:r>
              <w:rPr>
                <w:rFonts w:hint="eastAsia" w:ascii="宋体" w:hAnsi="宋体" w:cs="宋体"/>
                <w:color w:val="auto"/>
                <w:szCs w:val="21"/>
              </w:rPr>
              <w:t>4.投标保证金采用支票、汇票、本票或者金融机构、担保机构出具的保函等缴纳方式的，投标人应将支票、汇票、本票或者金融机构、担保机构出具的保函等的复印件作为投标保证金提交凭证，放置于商务文件中，</w:t>
            </w:r>
            <w:r>
              <w:rPr>
                <w:rFonts w:hint="eastAsia" w:ascii="宋体" w:hAnsi="宋体" w:cs="宋体"/>
                <w:b/>
                <w:color w:val="auto"/>
                <w:szCs w:val="21"/>
              </w:rPr>
              <w:t>否则作无效投标处理</w:t>
            </w:r>
            <w:r>
              <w:rPr>
                <w:rFonts w:hint="eastAsia" w:ascii="宋体" w:hAnsi="宋体" w:cs="宋体"/>
                <w:color w:val="auto"/>
                <w:szCs w:val="21"/>
              </w:rPr>
              <w:t>。投标人必须</w:t>
            </w:r>
            <w:r>
              <w:rPr>
                <w:rFonts w:hint="eastAsia" w:ascii="宋体" w:hAnsi="宋体" w:cs="宋体"/>
                <w:color w:val="auto"/>
                <w:kern w:val="0"/>
                <w:szCs w:val="21"/>
              </w:rPr>
              <w:t>在投标截止时间前</w:t>
            </w:r>
            <w:r>
              <w:rPr>
                <w:rFonts w:hint="eastAsia" w:ascii="宋体" w:hAnsi="宋体" w:cs="宋体"/>
                <w:color w:val="auto"/>
                <w:szCs w:val="21"/>
              </w:rPr>
              <w:t>将支票、汇票、本票或者金融、担保机构出具的保函等原件提交给采购代理机构，由采购代理机构向投标人出具回执，并妥善保管。</w:t>
            </w:r>
          </w:p>
          <w:p>
            <w:pPr>
              <w:snapToGrid w:val="0"/>
              <w:spacing w:line="360" w:lineRule="auto"/>
              <w:rPr>
                <w:rFonts w:ascii="宋体" w:hAnsi="宋体" w:cs="宋体"/>
                <w:color w:val="auto"/>
                <w:szCs w:val="21"/>
              </w:rPr>
            </w:pPr>
            <w:r>
              <w:rPr>
                <w:rFonts w:hint="eastAsia" w:ascii="宋体" w:hAnsi="宋体" w:cs="宋体"/>
                <w:color w:val="auto"/>
                <w:szCs w:val="21"/>
              </w:rPr>
              <w:t>5.缴纳投标保证金指定账户：详见招标公告。</w:t>
            </w:r>
          </w:p>
          <w:p>
            <w:pPr>
              <w:snapToGrid w:val="0"/>
              <w:spacing w:line="360" w:lineRule="auto"/>
              <w:rPr>
                <w:rFonts w:ascii="宋体" w:hAnsi="宋体" w:cs="宋体"/>
                <w:color w:val="auto"/>
                <w:szCs w:val="21"/>
              </w:rPr>
            </w:pPr>
            <w:r>
              <w:rPr>
                <w:rFonts w:hint="eastAsia" w:ascii="宋体" w:hAnsi="宋体" w:cs="宋体"/>
                <w:color w:val="auto"/>
                <w:szCs w:val="21"/>
              </w:rPr>
              <w:t>6.投标人为联合体的，可以由联合体中的一方或者多方共同缴纳投标保证金，其缴纳的投标保证金对联合体各方均具有约束力。</w:t>
            </w:r>
          </w:p>
          <w:p>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ascii="宋体" w:hAnsi="宋体" w:cs="宋体"/>
                <w:b/>
                <w:color w:val="auto"/>
                <w:szCs w:val="21"/>
              </w:rPr>
            </w:pPr>
            <w:r>
              <w:rPr>
                <w:rFonts w:hint="eastAsia" w:ascii="宋体" w:hAnsi="宋体" w:cs="宋体"/>
                <w:b/>
                <w:color w:val="auto"/>
                <w:szCs w:val="21"/>
              </w:rPr>
              <w:t>1. 投标保证金在投标截止时间后提交的，或者不按规定缴纳方式缴纳的，或者未足额缴纳的（包含保函额度不足的），视为无效投标保证金。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2.投标人采用现金方式或者从个人账户（自然人投标除外）转出的投标保证金，视为无效投标保证金。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4.保函有效期低于投标有效期的，视为无效投标保证金。</w:t>
            </w:r>
          </w:p>
          <w:p>
            <w:pPr>
              <w:autoSpaceDE w:val="0"/>
              <w:autoSpaceDN w:val="0"/>
              <w:snapToGrid w:val="0"/>
              <w:spacing w:line="380" w:lineRule="exact"/>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5.采用金融、担保机构出具保函的，必须为无条件保函，否则视为无效投标保证金</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u w:val="single"/>
              </w:rPr>
            </w:pPr>
            <w:r>
              <w:rPr>
                <w:rFonts w:hint="eastAsia" w:ascii="宋体" w:hAnsi="宋体" w:cs="宋体"/>
                <w:color w:val="auto"/>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2" w:name="_21.1"/>
            <w:bookmarkEnd w:id="112"/>
            <w:r>
              <w:rPr>
                <w:rFonts w:hint="eastAsia" w:ascii="宋体" w:hAnsi="宋体" w:cs="宋体"/>
                <w:color w:val="auto"/>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u w:val="single"/>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3" w:name="_23"/>
            <w:bookmarkEnd w:id="113"/>
            <w:r>
              <w:rPr>
                <w:rFonts w:hint="eastAsia" w:ascii="宋体" w:hAnsi="宋体" w:cs="宋体"/>
                <w:color w:val="auto"/>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4" w:name="_25.3"/>
            <w:bookmarkEnd w:id="114"/>
            <w:r>
              <w:rPr>
                <w:rFonts w:hint="eastAsia" w:ascii="宋体" w:hAnsi="宋体" w:cs="宋体"/>
                <w:color w:val="auto"/>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采购人或者采购代理机构在资格审查结束前，对投标人进行信用查询。</w:t>
            </w:r>
          </w:p>
          <w:p>
            <w:pPr>
              <w:snapToGrid w:val="0"/>
              <w:spacing w:line="380" w:lineRule="exact"/>
              <w:rPr>
                <w:rFonts w:ascii="宋体" w:hAnsi="宋体" w:cs="宋体"/>
                <w:color w:val="auto"/>
                <w:szCs w:val="21"/>
              </w:rPr>
            </w:pPr>
            <w:r>
              <w:rPr>
                <w:rFonts w:hint="eastAsia" w:ascii="宋体" w:hAnsi="宋体" w:cs="宋体"/>
                <w:color w:val="auto"/>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5" w:name="_26"/>
            <w:bookmarkEnd w:id="115"/>
            <w:bookmarkStart w:id="116" w:name="_28.3"/>
            <w:bookmarkEnd w:id="116"/>
            <w:r>
              <w:rPr>
                <w:rFonts w:hint="eastAsia" w:ascii="宋体" w:hAnsi="宋体" w:cs="宋体"/>
                <w:color w:val="auto"/>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综合评分法</w:t>
            </w:r>
          </w:p>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29.2</w:t>
            </w:r>
          </w:p>
        </w:tc>
        <w:tc>
          <w:tcPr>
            <w:tcW w:w="2268" w:type="dxa"/>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bookmarkStart w:id="117" w:name="_29.2.2（2）"/>
            <w:bookmarkEnd w:id="117"/>
            <w:r>
              <w:rPr>
                <w:rFonts w:hint="eastAsia" w:ascii="宋体" w:hAnsi="宋体" w:cs="宋体"/>
                <w:color w:val="auto"/>
                <w:szCs w:val="21"/>
              </w:rPr>
              <w:t>允许负偏离项</w:t>
            </w:r>
          </w:p>
        </w:tc>
        <w:tc>
          <w:tcPr>
            <w:tcW w:w="7297" w:type="dxa"/>
            <w:tcBorders>
              <w:top w:val="single" w:color="auto" w:sz="4" w:space="0"/>
              <w:left w:val="single" w:color="auto" w:sz="4" w:space="0"/>
              <w:bottom w:val="nil"/>
              <w:right w:val="single" w:color="auto" w:sz="4" w:space="0"/>
            </w:tcBorders>
            <w:vAlign w:val="center"/>
          </w:tcPr>
          <w:p>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商务条款评审中允许负偏离的条款数为</w:t>
            </w:r>
            <w:r>
              <w:rPr>
                <w:rFonts w:hint="eastAsia" w:ascii="宋体" w:hAnsi="宋体" w:eastAsia="宋体" w:cs="宋体"/>
                <w:color w:val="auto"/>
                <w:szCs w:val="21"/>
                <w:u w:val="single"/>
              </w:rPr>
              <w:t>0</w:t>
            </w:r>
            <w:r>
              <w:rPr>
                <w:rFonts w:hint="eastAsia" w:ascii="宋体" w:hAnsi="宋体" w:eastAsia="宋体" w:cs="宋体"/>
                <w:color w:val="auto"/>
                <w:szCs w:val="21"/>
              </w:rPr>
              <w:t>项。</w:t>
            </w:r>
          </w:p>
          <w:p>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技术需求评审中允许负偏离的条款数为</w:t>
            </w:r>
            <w:r>
              <w:rPr>
                <w:rFonts w:hint="eastAsia" w:ascii="宋体" w:hAnsi="宋体" w:eastAsia="宋体" w:cs="宋体"/>
                <w:color w:val="auto"/>
                <w:szCs w:val="21"/>
                <w:u w:val="single"/>
              </w:rPr>
              <w:t>0</w:t>
            </w:r>
            <w:r>
              <w:rPr>
                <w:rFonts w:hint="eastAsia" w:ascii="宋体" w:hAnsi="宋体" w:eastAsia="宋体" w:cs="宋体"/>
                <w:color w:val="auto"/>
                <w:szCs w:val="21"/>
              </w:rPr>
              <w:t xml:space="preserve"> 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b/>
                <w:bCs/>
                <w:color w:val="auto"/>
              </w:rPr>
            </w:pPr>
            <w:r>
              <w:rPr>
                <w:rFonts w:hint="eastAsia" w:ascii="宋体" w:hAnsi="宋体" w:cs="宋体"/>
                <w:color w:val="auto"/>
                <w:szCs w:val="21"/>
              </w:rPr>
              <w:t>采购人确定中标人时，出现中标候选人并列的情形，采购人按以下的方式确定中标人：</w:t>
            </w:r>
          </w:p>
          <w:p>
            <w:pPr>
              <w:autoSpaceDE w:val="0"/>
              <w:autoSpaceDN w:val="0"/>
              <w:snapToGrid w:val="0"/>
              <w:textAlignment w:val="bottom"/>
              <w:rPr>
                <w:rFonts w:ascii="宋体" w:hAnsi="宋体" w:cs="宋体"/>
                <w:i/>
                <w:iCs/>
                <w:color w:val="auto"/>
                <w:szCs w:val="21"/>
                <w:highlight w:val="cyan"/>
              </w:rPr>
            </w:pPr>
            <w:r>
              <w:rPr>
                <w:rFonts w:hint="eastAsia" w:ascii="宋体" w:hAnsi="宋体" w:cs="宋体"/>
                <w:color w:val="auto"/>
                <w:szCs w:val="21"/>
                <w:lang w:eastAsia="zh-CN"/>
              </w:rPr>
              <w:t>☑</w:t>
            </w:r>
            <w:r>
              <w:rPr>
                <w:rFonts w:hint="eastAsia" w:ascii="宋体" w:hAnsi="宋体" w:cs="宋体"/>
                <w:color w:val="auto"/>
                <w:szCs w:val="21"/>
              </w:rPr>
              <w:t xml:space="preserve">技术分得分高的优先、商务分得分高的优先的顺序。 </w:t>
            </w:r>
          </w:p>
          <w:p>
            <w:pPr>
              <w:pStyle w:val="11"/>
              <w:spacing w:line="360" w:lineRule="auto"/>
              <w:rPr>
                <w:rFonts w:ascii="宋体" w:hAnsi="宋体" w:cs="宋体"/>
                <w:b/>
                <w:color w:val="auto"/>
                <w:szCs w:val="21"/>
              </w:rPr>
            </w:pPr>
            <w:r>
              <w:rPr>
                <w:rFonts w:hint="eastAsia" w:ascii="宋体" w:hAnsi="宋体" w:cs="宋体"/>
                <w:color w:val="auto"/>
                <w:szCs w:val="21"/>
              </w:rPr>
              <w:t>□</w:t>
            </w:r>
            <w:r>
              <w:rPr>
                <w:rFonts w:ascii="宋体" w:hAnsi="宋体" w:cs="宋体"/>
                <w:color w:val="auto"/>
              </w:rPr>
              <w:t>采取随机抽取的方式确定</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8" w:name="_39.1"/>
            <w:bookmarkEnd w:id="118"/>
            <w:r>
              <w:rPr>
                <w:rFonts w:hint="eastAsia" w:ascii="宋体" w:hAnsi="宋体" w:cs="宋体"/>
                <w:color w:val="auto"/>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 xml:space="preserve"> 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履约保证金，相关要求如下：</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1.履约保证金金额：按项目中标总金额的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i/>
                <w:iCs/>
                <w:color w:val="auto"/>
                <w:szCs w:val="21"/>
                <w:highlight w:val="none"/>
              </w:rPr>
              <w:t>（注：履约保证金数额不得超过政府采购合同金额的5%，对中小企业收取的履约保证金数额不得超过政府采购合同金额的2%）</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2.履约保证金递交方式：中标人在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以银行转账、支票、汇票、本票或者金融机构、担保机构出具的保函等非现金方式向</w:t>
            </w:r>
            <w:r>
              <w:rPr>
                <w:rFonts w:hint="eastAsia" w:ascii="宋体" w:hAnsi="宋体" w:cs="宋体"/>
                <w:color w:val="auto"/>
                <w:szCs w:val="21"/>
                <w:highlight w:val="none"/>
                <w:u w:val="single"/>
              </w:rPr>
              <w:t>采购人</w:t>
            </w:r>
            <w:r>
              <w:rPr>
                <w:rFonts w:hint="eastAsia" w:ascii="宋体" w:hAnsi="宋体" w:cs="宋体"/>
                <w:color w:val="auto"/>
                <w:szCs w:val="21"/>
                <w:highlight w:val="none"/>
              </w:rPr>
              <w:t>提交。</w:t>
            </w:r>
          </w:p>
          <w:p>
            <w:pPr>
              <w:snapToGrid w:val="0"/>
              <w:spacing w:line="360" w:lineRule="auto"/>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3.履约保证金退付方式、时间及条件：</w:t>
            </w:r>
            <w:r>
              <w:rPr>
                <w:rFonts w:hint="eastAsia" w:ascii="宋体" w:hAnsi="宋体"/>
                <w:color w:val="auto"/>
                <w:szCs w:val="21"/>
                <w:highlight w:val="none"/>
                <w:u w:val="single"/>
              </w:rPr>
              <w:t>服务</w:t>
            </w:r>
            <w:r>
              <w:rPr>
                <w:rFonts w:hint="eastAsia" w:ascii="宋体" w:hAnsi="宋体" w:cs="宋体"/>
                <w:color w:val="auto"/>
                <w:szCs w:val="21"/>
                <w:highlight w:val="none"/>
                <w:u w:val="single"/>
              </w:rPr>
              <w:t>期满后无息退付。</w:t>
            </w:r>
            <w:r>
              <w:rPr>
                <w:rFonts w:hint="eastAsia" w:ascii="宋体" w:hAnsi="宋体" w:cs="宋体"/>
                <w:color w:val="auto"/>
                <w:szCs w:val="21"/>
                <w:highlight w:val="none"/>
              </w:rPr>
              <w:t>由中标人向履约保证金收取单位提供</w:t>
            </w:r>
            <w:r>
              <w:rPr>
                <w:rFonts w:hint="eastAsia" w:ascii="宋体" w:hAnsi="宋体" w:cs="宋体"/>
                <w:color w:val="auto"/>
                <w:szCs w:val="21"/>
                <w:highlight w:val="none"/>
                <w:lang w:eastAsia="zh-CN"/>
              </w:rPr>
              <w:t>《政府采购项目履约保证金退付意见书》和</w:t>
            </w:r>
            <w:r>
              <w:rPr>
                <w:rFonts w:hint="eastAsia" w:ascii="宋体" w:hAnsi="宋体" w:cs="宋体"/>
                <w:color w:val="auto"/>
                <w:szCs w:val="21"/>
                <w:highlight w:val="none"/>
              </w:rPr>
              <w:t>《广西壮族自治区政府采购项目合同验收书》，保证金收取单位在收到合格材料后5个工作日内办理退还手续（不计利息）。</w:t>
            </w:r>
            <w:r>
              <w:rPr>
                <w:rFonts w:hint="eastAsia" w:ascii="宋体" w:hAnsi="宋体" w:cs="宋体"/>
                <w:color w:val="auto"/>
                <w:szCs w:val="21"/>
                <w:highlight w:val="none"/>
                <w:lang w:eastAsia="zh-CN"/>
              </w:rPr>
              <w:t>涉及违约的违约金和损失赔付从履约保证金中扣减。</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4.缴纳履约保证金的指定账户：</w:t>
            </w:r>
          </w:p>
          <w:p>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lang w:val="en-US" w:eastAsia="zh-CN"/>
              </w:rPr>
              <w:t xml:space="preserve">    /      </w:t>
            </w:r>
          </w:p>
          <w:p>
            <w:pPr>
              <w:autoSpaceDE w:val="0"/>
              <w:autoSpaceDN w:val="0"/>
              <w:snapToGrid w:val="0"/>
              <w:spacing w:line="360" w:lineRule="auto"/>
              <w:textAlignment w:val="bottom"/>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lang w:val="en-US" w:eastAsia="zh-CN"/>
              </w:rPr>
              <w:t xml:space="preserve">    /       </w:t>
            </w:r>
          </w:p>
          <w:p>
            <w:pPr>
              <w:autoSpaceDE w:val="0"/>
              <w:autoSpaceDN w:val="0"/>
              <w:snapToGrid w:val="0"/>
              <w:spacing w:line="360" w:lineRule="auto"/>
              <w:textAlignment w:val="bottom"/>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lang w:val="en-US" w:eastAsia="zh-CN"/>
              </w:rPr>
              <w:t xml:space="preserve">     /       </w:t>
            </w:r>
          </w:p>
          <w:p>
            <w:pPr>
              <w:spacing w:line="360" w:lineRule="auto"/>
              <w:jc w:val="left"/>
              <w:rPr>
                <w:rFonts w:ascii="宋体" w:hAnsi="宋体" w:cs="宋体"/>
                <w:color w:val="auto"/>
                <w:szCs w:val="21"/>
              </w:rPr>
            </w:pPr>
            <w:r>
              <w:rPr>
                <w:rFonts w:hint="eastAsia" w:ascii="宋体" w:hAnsi="宋体" w:cs="宋体"/>
                <w:color w:val="auto"/>
                <w:szCs w:val="21"/>
              </w:rPr>
              <w:t>备注：</w:t>
            </w:r>
          </w:p>
          <w:p>
            <w:pPr>
              <w:spacing w:line="360" w:lineRule="auto"/>
              <w:jc w:val="left"/>
              <w:rPr>
                <w:rFonts w:ascii="宋体" w:hAnsi="宋体" w:cs="宋体"/>
                <w:b/>
                <w:color w:val="auto"/>
                <w:szCs w:val="21"/>
              </w:rPr>
            </w:pPr>
            <w:r>
              <w:rPr>
                <w:rFonts w:hint="eastAsia" w:ascii="宋体" w:hAnsi="宋体" w:cs="宋体"/>
                <w:b/>
                <w:color w:val="auto"/>
                <w:szCs w:val="21"/>
              </w:rPr>
              <w:t xml:space="preserve">1. </w:t>
            </w:r>
            <w:bookmarkStart w:id="119" w:name="_Hlk54170335"/>
            <w:r>
              <w:rPr>
                <w:rFonts w:hint="eastAsia" w:ascii="宋体" w:hAnsi="宋体" w:cs="宋体"/>
                <w:b/>
                <w:color w:val="auto"/>
                <w:szCs w:val="21"/>
              </w:rPr>
              <w:t>根据</w:t>
            </w:r>
            <w:r>
              <w:rPr>
                <w:rFonts w:hint="eastAsia" w:ascii="宋体" w:hAnsi="宋体"/>
                <w:b/>
                <w:color w:val="auto"/>
                <w:szCs w:val="21"/>
              </w:rPr>
              <w:t>《广西壮族自治区财政厅关于贯彻落实政府采购优化营商环境百日攻坚行动方案的通知》（桂财采〔2020〕49号）和</w:t>
            </w:r>
            <w:r>
              <w:rPr>
                <w:rFonts w:hint="eastAsia" w:ascii="宋体" w:hAnsi="宋体" w:cs="宋体"/>
                <w:b/>
                <w:color w:val="auto"/>
                <w:szCs w:val="21"/>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119"/>
            <w:r>
              <w:rPr>
                <w:rFonts w:hint="eastAsia" w:ascii="宋体" w:hAnsi="宋体" w:cs="宋体"/>
                <w:b/>
                <w:color w:val="auto"/>
                <w:szCs w:val="21"/>
              </w:rPr>
              <w:br w:type="textWrapping"/>
            </w:r>
            <w:r>
              <w:rPr>
                <w:rFonts w:hint="eastAsia" w:ascii="宋体" w:hAnsi="宋体" w:cs="宋体"/>
                <w:color w:val="auto"/>
                <w:szCs w:val="21"/>
              </w:rPr>
              <w:t xml:space="preserve">  </w:t>
            </w:r>
            <w:r>
              <w:rPr>
                <w:rFonts w:hint="eastAsia" w:ascii="宋体" w:hAnsi="宋体" w:cs="宋体"/>
                <w:b/>
                <w:color w:val="auto"/>
                <w:szCs w:val="21"/>
              </w:rPr>
              <w:t>2.</w:t>
            </w:r>
            <w:r>
              <w:rPr>
                <w:rFonts w:hint="eastAsia" w:ascii="宋体" w:hAnsi="宋体" w:cs="宋体"/>
                <w:color w:val="auto"/>
                <w:szCs w:val="21"/>
              </w:rPr>
              <w:t xml:space="preserve"> </w:t>
            </w:r>
            <w:r>
              <w:rPr>
                <w:rFonts w:hint="eastAsia" w:ascii="宋体" w:hAnsi="宋体" w:cs="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Cs w:val="21"/>
              </w:rPr>
              <w:br w:type="textWrapping"/>
            </w:r>
            <w:r>
              <w:rPr>
                <w:rFonts w:hint="eastAsia" w:ascii="宋体" w:hAnsi="宋体" w:cs="宋体"/>
                <w:b/>
                <w:color w:val="auto"/>
                <w:szCs w:val="21"/>
              </w:rPr>
              <w:t xml:space="preserve">  3.采用金融、担保机构出具的保函的，必须为无条件保函，否则不予签订合同。</w:t>
            </w:r>
          </w:p>
          <w:p>
            <w:pPr>
              <w:autoSpaceDE w:val="0"/>
              <w:autoSpaceDN w:val="0"/>
              <w:snapToGrid w:val="0"/>
              <w:spacing w:line="380" w:lineRule="exact"/>
              <w:jc w:val="left"/>
              <w:textAlignment w:val="bottom"/>
              <w:rPr>
                <w:rFonts w:ascii="宋体" w:hAnsi="宋体" w:cs="宋体"/>
                <w:color w:val="auto"/>
                <w:szCs w:val="21"/>
              </w:rPr>
            </w:pPr>
            <w:r>
              <w:rPr>
                <w:rFonts w:hint="eastAsia" w:ascii="宋体" w:hAnsi="宋体" w:cs="宋体"/>
                <w:b/>
                <w:color w:val="auto"/>
                <w:szCs w:val="21"/>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20" w:name="_40.1"/>
            <w:bookmarkEnd w:id="120"/>
            <w:r>
              <w:rPr>
                <w:rFonts w:hint="eastAsia" w:ascii="宋体" w:hAnsi="宋体" w:cs="宋体"/>
                <w:color w:val="auto"/>
                <w:szCs w:val="21"/>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autoSpaceDN/>
              <w:snapToGrid/>
              <w:spacing w:line="380" w:lineRule="exact"/>
              <w:textAlignment w:val="auto"/>
              <w:rPr>
                <w:rFonts w:hint="eastAsia" w:ascii="宋体" w:hAnsi="宋体" w:eastAsia="宋体" w:cs="宋体"/>
                <w:color w:val="auto"/>
                <w:szCs w:val="21"/>
              </w:rPr>
            </w:pPr>
            <w:r>
              <w:rPr>
                <w:rFonts w:hint="eastAsia" w:ascii="宋体" w:hAnsi="宋体" w:eastAsia="宋体" w:cs="宋体"/>
                <w:color w:val="auto"/>
                <w:szCs w:val="21"/>
              </w:rPr>
              <w:t>电子采购合同需要中标人通过有效CA证书进行电子签署。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auto"/>
                <w:szCs w:val="20"/>
                <w:highlight w:val="none"/>
                <w:lang w:val="en-US" w:eastAsia="zh-CN" w:bidi="ar"/>
              </w:rPr>
            </w:pPr>
            <w:r>
              <w:rPr>
                <w:rFonts w:hint="eastAsia" w:ascii="宋体" w:hAnsi="宋体" w:cs="宋体"/>
                <w:color w:val="auto"/>
                <w:szCs w:val="20"/>
                <w:highlight w:val="none"/>
                <w:lang w:eastAsia="zh-CN" w:bidi="ar"/>
              </w:rPr>
              <w:t>（1）名称：凭祥市教育局（采购人）</w:t>
            </w:r>
          </w:p>
          <w:p>
            <w:pPr>
              <w:snapToGrid w:val="0"/>
              <w:spacing w:line="380" w:lineRule="exact"/>
              <w:ind w:firstLine="210" w:firstLineChars="100"/>
              <w:rPr>
                <w:rFonts w:hint="eastAsia" w:ascii="宋体" w:hAnsi="宋体" w:cs="宋体"/>
                <w:color w:val="auto"/>
                <w:szCs w:val="20"/>
                <w:highlight w:val="none"/>
                <w:lang w:val="en-US" w:eastAsia="zh-CN" w:bidi="ar"/>
              </w:rPr>
            </w:pPr>
            <w:r>
              <w:rPr>
                <w:rFonts w:hint="eastAsia" w:ascii="宋体" w:hAnsi="宋体" w:cs="宋体"/>
                <w:color w:val="auto"/>
                <w:szCs w:val="20"/>
                <w:highlight w:val="none"/>
                <w:lang w:eastAsia="zh-CN" w:bidi="ar"/>
              </w:rPr>
              <w:t>联系方式：</w:t>
            </w:r>
            <w:r>
              <w:rPr>
                <w:rFonts w:hint="eastAsia" w:ascii="宋体" w:hAnsi="宋体" w:cs="宋体"/>
                <w:color w:val="auto"/>
                <w:szCs w:val="20"/>
                <w:highlight w:val="none"/>
                <w:lang w:val="en-US" w:eastAsia="zh-CN" w:bidi="ar"/>
              </w:rPr>
              <w:t xml:space="preserve">  </w:t>
            </w:r>
            <w:r>
              <w:rPr>
                <w:rFonts w:hint="eastAsia" w:ascii="宋体" w:hAnsi="宋体" w:cs="宋体"/>
                <w:color w:val="auto"/>
                <w:szCs w:val="20"/>
                <w:highlight w:val="none"/>
                <w:lang w:eastAsia="zh-CN" w:bidi="ar"/>
              </w:rPr>
              <w:t>电话：</w:t>
            </w:r>
            <w:r>
              <w:rPr>
                <w:rFonts w:hint="eastAsia" w:ascii="宋体" w:hAnsi="宋体" w:cs="宋体"/>
                <w:color w:val="auto"/>
                <w:szCs w:val="20"/>
                <w:lang w:eastAsia="zh-CN" w:bidi="ar"/>
              </w:rPr>
              <w:t>0771-</w:t>
            </w:r>
            <w:r>
              <w:rPr>
                <w:rFonts w:hint="eastAsia" w:ascii="宋体" w:hAnsi="宋体" w:cs="宋体"/>
                <w:color w:val="auto"/>
                <w:szCs w:val="20"/>
                <w:highlight w:val="none"/>
                <w:lang w:val="en-US" w:eastAsia="zh-CN" w:bidi="ar"/>
              </w:rPr>
              <w:t>8530526</w:t>
            </w:r>
          </w:p>
          <w:p>
            <w:pPr>
              <w:snapToGrid w:val="0"/>
              <w:spacing w:line="380" w:lineRule="exact"/>
              <w:ind w:firstLine="210" w:firstLineChars="100"/>
              <w:rPr>
                <w:rFonts w:hint="eastAsia" w:ascii="宋体" w:hAnsi="宋体" w:cs="宋体"/>
                <w:color w:val="auto"/>
                <w:szCs w:val="20"/>
                <w:highlight w:val="none"/>
                <w:lang w:eastAsia="zh-CN" w:bidi="ar"/>
              </w:rPr>
            </w:pPr>
            <w:r>
              <w:rPr>
                <w:rFonts w:hint="eastAsia" w:ascii="宋体" w:hAnsi="宋体" w:cs="宋体"/>
                <w:color w:val="auto"/>
                <w:szCs w:val="20"/>
                <w:highlight w:val="none"/>
                <w:lang w:eastAsia="zh-CN" w:bidi="ar"/>
              </w:rPr>
              <w:t>地址：</w:t>
            </w:r>
            <w:r>
              <w:rPr>
                <w:rFonts w:hint="eastAsia" w:ascii="宋体" w:hAnsi="宋体" w:cs="宋体"/>
                <w:color w:val="auto"/>
                <w:szCs w:val="20"/>
                <w:highlight w:val="none"/>
                <w:lang w:val="en-US" w:eastAsia="zh-CN" w:bidi="ar"/>
              </w:rPr>
              <w:t>凭祥市市民服务中心629室</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（2）名称：</w:t>
            </w:r>
            <w:r>
              <w:rPr>
                <w:rFonts w:hint="eastAsia" w:ascii="宋体" w:hAnsi="宋体" w:cs="宋体"/>
                <w:color w:val="auto"/>
                <w:szCs w:val="20"/>
                <w:highlight w:val="none"/>
                <w:lang w:eastAsia="zh-CN" w:bidi="ar"/>
              </w:rPr>
              <w:t>广西华晟招标代理有限公司</w:t>
            </w:r>
            <w:r>
              <w:rPr>
                <w:rFonts w:hint="eastAsia" w:ascii="宋体" w:hAnsi="宋体" w:cs="宋体"/>
                <w:color w:val="auto"/>
                <w:szCs w:val="21"/>
                <w:highlight w:val="none"/>
              </w:rPr>
              <w:t>（采购代理机构）</w:t>
            </w:r>
          </w:p>
          <w:p>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0"/>
                <w:highlight w:val="none"/>
                <w:lang w:eastAsia="zh-CN" w:bidi="ar"/>
              </w:rPr>
              <w:t>0771-7963773</w:t>
            </w:r>
          </w:p>
          <w:p>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0"/>
                <w:highlight w:val="none"/>
                <w:lang w:eastAsia="zh-CN" w:bidi="ar"/>
              </w:rPr>
              <w:t>广西崇左市花山路万隆商务领寓1-1-311室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eastAsia="宋体" w:cs="宋体"/>
                <w:color w:val="auto"/>
                <w:szCs w:val="21"/>
              </w:rPr>
              <w:t>现场提交质疑办理业务时间：每天</w:t>
            </w:r>
            <w:r>
              <w:rPr>
                <w:rFonts w:hint="eastAsia" w:ascii="宋体" w:hAnsi="宋体" w:eastAsia="宋体" w:cs="宋体"/>
                <w:color w:val="auto"/>
                <w:szCs w:val="21"/>
                <w:lang w:val="en-US" w:eastAsia="zh-CN"/>
              </w:rPr>
              <w:t>8</w:t>
            </w:r>
            <w:r>
              <w:rPr>
                <w:rFonts w:hint="eastAsia" w:ascii="宋体" w:hAnsi="宋体" w:eastAsia="宋体" w:cs="宋体"/>
                <w:color w:val="auto"/>
                <w:szCs w:val="21"/>
              </w:rPr>
              <w:t>时00分到12时00分，15时00分到18时00分，双休日和法定节假日不办理业务。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1、受理方式：纸质方式受理，投诉书正、副本（经过质疑的事项才可投诉）。</w:t>
            </w:r>
          </w:p>
          <w:p>
            <w:pPr>
              <w:snapToGrid w:val="0"/>
              <w:spacing w:line="380" w:lineRule="exact"/>
              <w:rPr>
                <w:rFonts w:ascii="宋体" w:hAnsi="宋体" w:cs="宋体"/>
                <w:color w:val="auto"/>
              </w:rPr>
            </w:pPr>
            <w:r>
              <w:rPr>
                <w:rFonts w:hint="eastAsia" w:ascii="宋体" w:hAnsi="宋体" w:cs="宋体"/>
                <w:color w:val="auto"/>
                <w:szCs w:val="21"/>
              </w:rPr>
              <w:t>2、通讯</w:t>
            </w:r>
            <w:r>
              <w:rPr>
                <w:rFonts w:hint="eastAsia" w:ascii="宋体" w:hAnsi="宋体" w:cs="宋体"/>
                <w:color w:val="auto"/>
              </w:rPr>
              <w:t>方式</w:t>
            </w:r>
          </w:p>
          <w:p>
            <w:pPr>
              <w:snapToGrid w:val="0"/>
              <w:spacing w:line="360" w:lineRule="auto"/>
              <w:rPr>
                <w:rFonts w:ascii="宋体" w:hAnsi="宋体"/>
                <w:color w:val="auto"/>
                <w:szCs w:val="21"/>
              </w:rPr>
            </w:pPr>
            <w:r>
              <w:rPr>
                <w:rFonts w:hint="eastAsia" w:ascii="宋体" w:hAnsi="宋体"/>
                <w:color w:val="auto"/>
                <w:szCs w:val="21"/>
              </w:rPr>
              <w:t>名称：</w:t>
            </w:r>
            <w:r>
              <w:rPr>
                <w:rFonts w:hint="eastAsia" w:ascii="宋体" w:hAnsi="宋体" w:cs="Arial"/>
                <w:color w:val="auto"/>
                <w:szCs w:val="21"/>
                <w:lang w:val="en-US" w:eastAsia="zh-CN"/>
              </w:rPr>
              <w:t>凭祥市</w:t>
            </w:r>
            <w:r>
              <w:rPr>
                <w:rFonts w:hint="eastAsia" w:ascii="宋体" w:hAnsi="宋体" w:cs="Arial"/>
                <w:color w:val="auto"/>
                <w:szCs w:val="21"/>
              </w:rPr>
              <w:t>财政局政府采购监督管理股</w:t>
            </w:r>
          </w:p>
          <w:p>
            <w:pPr>
              <w:snapToGrid w:val="0"/>
              <w:spacing w:line="360" w:lineRule="auto"/>
              <w:rPr>
                <w:rFonts w:ascii="宋体" w:hAnsi="宋体" w:cs="宋体"/>
                <w:color w:val="auto"/>
                <w:szCs w:val="21"/>
              </w:rPr>
            </w:pPr>
            <w:r>
              <w:rPr>
                <w:rFonts w:hint="eastAsia" w:ascii="宋体" w:hAnsi="宋体"/>
                <w:color w:val="auto"/>
                <w:szCs w:val="21"/>
              </w:rPr>
              <w:t>联系电话：</w:t>
            </w:r>
            <w:r>
              <w:rPr>
                <w:rFonts w:hint="eastAsia" w:ascii="宋体" w:hAnsi="宋体" w:cs="Arial"/>
                <w:color w:val="auto"/>
                <w:szCs w:val="21"/>
              </w:rPr>
              <w:t>0771-</w:t>
            </w:r>
            <w:bookmarkStart w:id="121" w:name="PO_3000001867_PM038"/>
            <w:r>
              <w:rPr>
                <w:rFonts w:hint="eastAsia" w:ascii="宋体" w:hAnsi="宋体" w:cs="Arial"/>
                <w:color w:val="auto"/>
                <w:szCs w:val="21"/>
                <w:lang w:val="en-US" w:eastAsia="zh-CN"/>
              </w:rPr>
              <w:t>5972672</w:t>
            </w:r>
            <w:r>
              <w:rPr>
                <w:rFonts w:hint="eastAsia" w:ascii="宋体" w:hAnsi="宋体" w:cs="宋体"/>
                <w:color w:val="auto"/>
              </w:rPr>
              <w:t xml:space="preserve"> </w:t>
            </w:r>
            <w:bookmarkEnd w:id="12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40</w:t>
            </w:r>
          </w:p>
        </w:tc>
        <w:tc>
          <w:tcPr>
            <w:tcW w:w="2268" w:type="dxa"/>
            <w:tcBorders>
              <w:top w:val="single" w:color="auto" w:sz="4" w:space="0"/>
              <w:left w:val="single" w:color="auto" w:sz="4" w:space="0"/>
              <w:right w:val="single" w:color="auto" w:sz="4" w:space="0"/>
            </w:tcBorders>
            <w:vAlign w:val="center"/>
          </w:tcPr>
          <w:p>
            <w:pPr>
              <w:spacing w:line="380" w:lineRule="exact"/>
              <w:rPr>
                <w:rFonts w:ascii="宋体" w:hAnsi="宋体" w:cs="宋体"/>
                <w:color w:val="auto"/>
                <w:szCs w:val="21"/>
              </w:rPr>
            </w:pPr>
            <w:bookmarkStart w:id="122" w:name="_42"/>
            <w:bookmarkEnd w:id="122"/>
            <w:bookmarkStart w:id="123" w:name="_41"/>
            <w:bookmarkEnd w:id="123"/>
            <w:r>
              <w:rPr>
                <w:rFonts w:hint="eastAsia" w:ascii="宋体" w:hAnsi="宋体" w:cs="宋体"/>
                <w:color w:val="auto"/>
                <w:szCs w:val="21"/>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8"/>
              <w:snapToGrid w:val="0"/>
              <w:spacing w:line="360" w:lineRule="auto"/>
              <w:rPr>
                <w:rFonts w:hint="eastAsia" w:hAnsi="宋体" w:cs="宋体"/>
                <w:color w:val="auto"/>
                <w:sz w:val="21"/>
              </w:rPr>
            </w:pPr>
            <w:r>
              <w:rPr>
                <w:rFonts w:hint="eastAsia" w:hAnsi="宋体" w:cs="宋体"/>
                <w:color w:val="auto"/>
                <w:sz w:val="21"/>
              </w:rPr>
              <w:t>1.采购代理费支付方式：</w:t>
            </w:r>
          </w:p>
          <w:p>
            <w:pPr>
              <w:pStyle w:val="18"/>
              <w:snapToGrid w:val="0"/>
              <w:spacing w:line="360" w:lineRule="auto"/>
              <w:rPr>
                <w:rFonts w:hint="eastAsia" w:hAnsi="宋体" w:cs="宋体"/>
                <w:color w:val="auto"/>
                <w:sz w:val="21"/>
              </w:rPr>
            </w:pPr>
            <w:r>
              <w:rPr>
                <w:rFonts w:hint="eastAsia" w:hAnsi="宋体" w:cs="宋体"/>
                <w:color w:val="auto"/>
                <w:sz w:val="21"/>
              </w:rPr>
              <w:sym w:font="Wingdings" w:char="00FE"/>
            </w: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pPr>
              <w:pStyle w:val="18"/>
              <w:snapToGrid w:val="0"/>
              <w:spacing w:line="360" w:lineRule="auto"/>
              <w:rPr>
                <w:rFonts w:hint="eastAsia" w:hAnsi="宋体" w:cs="宋体"/>
                <w:color w:val="auto"/>
                <w:sz w:val="21"/>
              </w:rPr>
            </w:pPr>
            <w:r>
              <w:rPr>
                <w:rFonts w:hint="eastAsia" w:hAnsi="宋体" w:cs="宋体"/>
                <w:color w:val="auto"/>
                <w:sz w:val="21"/>
              </w:rPr>
              <w:t>□采购人支付。</w:t>
            </w:r>
          </w:p>
          <w:p>
            <w:pPr>
              <w:pStyle w:val="18"/>
              <w:snapToGrid w:val="0"/>
              <w:spacing w:line="360" w:lineRule="auto"/>
              <w:rPr>
                <w:rFonts w:hint="eastAsia" w:hAnsi="宋体" w:cs="宋体"/>
                <w:color w:val="auto"/>
                <w:sz w:val="21"/>
              </w:rPr>
            </w:pPr>
            <w:r>
              <w:rPr>
                <w:rFonts w:hint="eastAsia" w:hAnsi="宋体" w:cs="宋体"/>
                <w:color w:val="auto"/>
                <w:sz w:val="21"/>
              </w:rPr>
              <w:t>2.采购代理费收取标准：</w:t>
            </w:r>
          </w:p>
          <w:p>
            <w:pPr>
              <w:pStyle w:val="18"/>
              <w:snapToGrid w:val="0"/>
              <w:spacing w:line="360" w:lineRule="auto"/>
              <w:rPr>
                <w:rFonts w:hint="eastAsia" w:hAnsi="宋体" w:cs="宋体"/>
                <w:color w:val="auto"/>
                <w:sz w:val="21"/>
              </w:rPr>
            </w:pPr>
            <w:r>
              <w:rPr>
                <w:rFonts w:hint="eastAsia" w:hAnsi="宋体" w:cs="宋体"/>
                <w:color w:val="auto"/>
                <w:sz w:val="21"/>
              </w:rPr>
              <w:sym w:font="Wingdings" w:char="00FE"/>
            </w:r>
            <w:r>
              <w:rPr>
                <w:rFonts w:hint="eastAsia" w:hAnsi="宋体" w:cs="宋体"/>
                <w:color w:val="auto"/>
                <w:sz w:val="21"/>
              </w:rPr>
              <w:t>以分标</w:t>
            </w:r>
            <w:bookmarkStart w:id="124" w:name="OLE_LINK8"/>
            <w:bookmarkStart w:id="125" w:name="OLE_LINK12"/>
            <w:r>
              <w:rPr>
                <w:rFonts w:hint="eastAsia" w:hAnsi="宋体" w:cs="宋体"/>
                <w:color w:val="auto"/>
                <w:sz w:val="21"/>
              </w:rPr>
              <w:t>（☑中标金额/</w:t>
            </w:r>
            <w:r>
              <w:rPr>
                <w:rFonts w:hint="eastAsia" w:hAnsi="宋体" w:cs="宋体"/>
                <w:color w:val="auto"/>
                <w:sz w:val="21"/>
              </w:rPr>
              <w:sym w:font="Wingdings" w:char="00A8"/>
            </w:r>
            <w:r>
              <w:rPr>
                <w:rFonts w:hint="eastAsia" w:hAnsi="宋体" w:cs="宋体"/>
                <w:color w:val="auto"/>
                <w:sz w:val="21"/>
              </w:rPr>
              <w:t>采购预算/□暂定中标金额/□其他</w:t>
            </w:r>
            <w:r>
              <w:rPr>
                <w:rFonts w:hint="eastAsia" w:hAnsi="宋体" w:cs="宋体"/>
                <w:color w:val="auto"/>
                <w:sz w:val="21"/>
                <w:u w:val="single"/>
              </w:rPr>
              <w:t xml:space="preserve"> </w:t>
            </w:r>
            <w:r>
              <w:rPr>
                <w:rFonts w:hAnsi="宋体" w:cs="宋体"/>
                <w:color w:val="auto"/>
                <w:sz w:val="21"/>
                <w:u w:val="single"/>
              </w:rPr>
              <w:t xml:space="preserve">  </w:t>
            </w:r>
            <w:r>
              <w:rPr>
                <w:rFonts w:hint="eastAsia" w:hAnsi="宋体" w:cs="宋体"/>
                <w:color w:val="auto"/>
                <w:sz w:val="21"/>
              </w:rPr>
              <w:t>）为计费额，按本</w:t>
            </w:r>
            <w:bookmarkStart w:id="126" w:name="OLE_LINK11"/>
            <w:r>
              <w:rPr>
                <w:rFonts w:hint="eastAsia" w:hAnsi="宋体" w:cs="宋体"/>
                <w:color w:val="auto"/>
                <w:sz w:val="21"/>
              </w:rPr>
              <w:t>须知</w:t>
            </w:r>
            <w:bookmarkEnd w:id="126"/>
            <w:r>
              <w:rPr>
                <w:rFonts w:hint="eastAsia" w:hAnsi="宋体" w:cs="宋体"/>
                <w:color w:val="auto"/>
                <w:sz w:val="21"/>
              </w:rPr>
              <w:t>正文第</w:t>
            </w:r>
            <w:r>
              <w:rPr>
                <w:rFonts w:hint="eastAsia" w:hAnsi="宋体" w:cs="宋体"/>
                <w:color w:val="auto"/>
                <w:sz w:val="21"/>
                <w:lang w:val="en-US" w:eastAsia="zh-CN"/>
              </w:rPr>
              <w:t>40</w:t>
            </w:r>
            <w:r>
              <w:rPr>
                <w:rFonts w:hint="eastAsia" w:hAnsi="宋体" w:cs="宋体"/>
                <w:color w:val="auto"/>
                <w:sz w:val="21"/>
              </w:rPr>
              <w:t>.</w:t>
            </w:r>
            <w:r>
              <w:rPr>
                <w:rFonts w:hAnsi="宋体" w:cs="宋体"/>
                <w:color w:val="auto"/>
                <w:sz w:val="21"/>
              </w:rPr>
              <w:t>2</w:t>
            </w:r>
            <w:r>
              <w:rPr>
                <w:rFonts w:hint="eastAsia" w:hAnsi="宋体" w:cs="宋体"/>
                <w:color w:val="auto"/>
                <w:sz w:val="21"/>
              </w:rPr>
              <w:t>条规定的收费计算标准（□货物招标/</w:t>
            </w:r>
            <w:r>
              <w:rPr>
                <w:rFonts w:hint="eastAsia" w:hAnsi="宋体" w:cs="宋体"/>
                <w:color w:val="auto"/>
                <w:sz w:val="21"/>
              </w:rPr>
              <w:sym w:font="Wingdings" w:char="00FE"/>
            </w:r>
            <w:r>
              <w:rPr>
                <w:rFonts w:hint="eastAsia" w:hAnsi="宋体" w:cs="宋体"/>
                <w:color w:val="auto"/>
                <w:sz w:val="21"/>
              </w:rPr>
              <w:t>服务招标/□工程招标）采用差额定率累进法计算出收费基准价格，采购代理收费以（</w:t>
            </w:r>
            <w:r>
              <w:rPr>
                <w:rFonts w:hint="eastAsia" w:hAnsi="宋体" w:cs="宋体"/>
                <w:color w:val="auto"/>
                <w:sz w:val="21"/>
                <w:lang w:eastAsia="zh-CN"/>
              </w:rPr>
              <w:t>□</w:t>
            </w:r>
            <w:r>
              <w:rPr>
                <w:rFonts w:hint="eastAsia" w:hAnsi="宋体" w:cs="宋体"/>
                <w:color w:val="auto"/>
                <w:sz w:val="21"/>
              </w:rPr>
              <w:t>收费基准价格/</w:t>
            </w:r>
            <w:r>
              <w:rPr>
                <w:rFonts w:hint="eastAsia" w:hAnsi="宋体" w:cs="宋体"/>
                <w:color w:val="auto"/>
                <w:sz w:val="21"/>
              </w:rPr>
              <w:sym w:font="Wingdings" w:char="00FE"/>
            </w:r>
            <w:r>
              <w:rPr>
                <w:rFonts w:hint="eastAsia" w:hAnsi="宋体" w:cs="宋体"/>
                <w:color w:val="auto"/>
                <w:sz w:val="21"/>
              </w:rPr>
              <w:t>收费基准价格下浮</w:t>
            </w:r>
            <w:r>
              <w:rPr>
                <w:rFonts w:hint="eastAsia" w:hAnsi="宋体" w:cs="宋体"/>
                <w:color w:val="auto"/>
                <w:sz w:val="21"/>
                <w:u w:val="single"/>
                <w:lang w:val="en-US" w:eastAsia="zh-CN"/>
              </w:rPr>
              <w:t>6</w:t>
            </w:r>
            <w:r>
              <w:rPr>
                <w:rFonts w:hint="eastAsia"/>
                <w:color w:val="auto"/>
                <w:sz w:val="21"/>
                <w:szCs w:val="21"/>
              </w:rPr>
              <w:t>%</w:t>
            </w:r>
            <w:r>
              <w:rPr>
                <w:rFonts w:hAnsi="宋体" w:cs="宋体"/>
                <w:color w:val="auto"/>
                <w:sz w:val="21"/>
              </w:rPr>
              <w:t>/</w:t>
            </w:r>
            <w:r>
              <w:rPr>
                <w:rFonts w:hint="eastAsia" w:hAnsi="宋体" w:cs="宋体"/>
                <w:color w:val="auto"/>
                <w:sz w:val="21"/>
              </w:rPr>
              <w:t>□收费基准价格上浮</w:t>
            </w:r>
            <w:r>
              <w:rPr>
                <w:rFonts w:hint="eastAsia" w:hAnsi="宋体" w:cs="宋体"/>
                <w:color w:val="auto"/>
                <w:sz w:val="21"/>
                <w:u w:val="single"/>
              </w:rPr>
              <w:t xml:space="preserve"> </w:t>
            </w:r>
            <w:r>
              <w:rPr>
                <w:rFonts w:hAnsi="宋体" w:cs="宋体"/>
                <w:color w:val="auto"/>
                <w:sz w:val="21"/>
                <w:u w:val="single"/>
              </w:rPr>
              <w:t xml:space="preserve">  </w:t>
            </w:r>
            <w:r>
              <w:rPr>
                <w:rFonts w:hint="eastAsia" w:hAnsi="宋体" w:cs="宋体"/>
                <w:color w:val="auto"/>
                <w:sz w:val="21"/>
                <w:u w:val="single"/>
              </w:rPr>
              <w:t>%</w:t>
            </w:r>
            <w:r>
              <w:rPr>
                <w:rFonts w:hint="eastAsia" w:hAnsi="宋体" w:cs="宋体"/>
                <w:color w:val="auto"/>
                <w:sz w:val="21"/>
              </w:rPr>
              <w:t>）收取。</w:t>
            </w:r>
            <w:bookmarkEnd w:id="124"/>
          </w:p>
          <w:bookmarkEnd w:id="125"/>
          <w:p>
            <w:pPr>
              <w:pStyle w:val="18"/>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pPr>
              <w:pStyle w:val="18"/>
              <w:snapToGrid w:val="0"/>
              <w:spacing w:line="360" w:lineRule="auto"/>
              <w:rPr>
                <w:color w:val="auto"/>
                <w:sz w:val="21"/>
                <w:szCs w:val="21"/>
              </w:rPr>
            </w:pPr>
            <w:r>
              <w:rPr>
                <w:rFonts w:hint="eastAsia"/>
                <w:color w:val="auto"/>
                <w:sz w:val="21"/>
                <w:szCs w:val="21"/>
              </w:rPr>
              <w:t>3. 采购代理费收取银行账户</w:t>
            </w:r>
          </w:p>
          <w:p>
            <w:pPr>
              <w:pStyle w:val="18"/>
              <w:snapToGrid w:val="0"/>
              <w:spacing w:line="360" w:lineRule="auto"/>
              <w:rPr>
                <w:rFonts w:hint="eastAsia"/>
                <w:color w:val="auto"/>
                <w:sz w:val="21"/>
                <w:szCs w:val="21"/>
              </w:rPr>
            </w:pPr>
            <w:r>
              <w:rPr>
                <w:rFonts w:hint="eastAsia"/>
                <w:color w:val="auto"/>
                <w:sz w:val="21"/>
                <w:szCs w:val="21"/>
              </w:rPr>
              <w:t>开户名称：</w:t>
            </w:r>
            <w:r>
              <w:rPr>
                <w:rFonts w:hint="eastAsia"/>
                <w:color w:val="auto"/>
                <w:sz w:val="21"/>
                <w:szCs w:val="21"/>
                <w:lang w:eastAsia="zh-CN"/>
              </w:rPr>
              <w:t>广西华晟招标代理有限公司</w:t>
            </w:r>
          </w:p>
          <w:p>
            <w:pPr>
              <w:pStyle w:val="18"/>
              <w:snapToGrid w:val="0"/>
              <w:spacing w:line="360" w:lineRule="auto"/>
              <w:rPr>
                <w:rFonts w:hint="eastAsia" w:eastAsia="宋体"/>
                <w:color w:val="auto"/>
                <w:sz w:val="21"/>
                <w:szCs w:val="21"/>
                <w:lang w:eastAsia="zh-CN"/>
              </w:rPr>
            </w:pPr>
            <w:r>
              <w:rPr>
                <w:rFonts w:hint="eastAsia"/>
                <w:color w:val="auto"/>
                <w:sz w:val="21"/>
                <w:szCs w:val="21"/>
              </w:rPr>
              <w:t>开户银行：</w:t>
            </w:r>
            <w:r>
              <w:rPr>
                <w:rFonts w:hint="eastAsia"/>
                <w:color w:val="auto"/>
                <w:sz w:val="21"/>
                <w:szCs w:val="21"/>
                <w:lang w:eastAsia="zh-CN"/>
              </w:rPr>
              <w:t>广西北部湾银行股份有限公司崇左分行</w:t>
            </w:r>
          </w:p>
          <w:p>
            <w:pPr>
              <w:snapToGrid w:val="0"/>
              <w:spacing w:line="360" w:lineRule="auto"/>
              <w:rPr>
                <w:rFonts w:hAnsi="宋体" w:cs="宋体"/>
                <w:color w:val="auto"/>
                <w:szCs w:val="21"/>
              </w:rPr>
            </w:pPr>
            <w:r>
              <w:rPr>
                <w:rFonts w:hint="eastAsia"/>
                <w:color w:val="auto"/>
                <w:sz w:val="21"/>
                <w:szCs w:val="21"/>
              </w:rPr>
              <w:t>银行账号：</w:t>
            </w:r>
            <w:r>
              <w:rPr>
                <w:rFonts w:hint="eastAsia"/>
                <w:color w:val="auto"/>
                <w:sz w:val="21"/>
                <w:szCs w:val="21"/>
                <w:lang w:eastAsia="zh-CN"/>
              </w:rPr>
              <w:t>8050 0445 0500 001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s="宋体"/>
                <w:color w:val="auto"/>
                <w:szCs w:val="21"/>
              </w:rPr>
            </w:pPr>
            <w:r>
              <w:rPr>
                <w:rFonts w:hint="eastAsia" w:ascii="宋体" w:hAnsi="宋体" w:cs="宋体"/>
                <w:color w:val="auto"/>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b/>
                <w:color w:val="auto"/>
                <w:szCs w:val="21"/>
              </w:rPr>
            </w:pPr>
            <w:r>
              <w:rPr>
                <w:rFonts w:hint="eastAsia" w:ascii="宋体" w:hAnsi="宋体" w:cs="宋体"/>
                <w:b/>
                <w:color w:val="auto"/>
                <w:szCs w:val="21"/>
              </w:rPr>
              <w:t>解释：</w:t>
            </w:r>
            <w:r>
              <w:rPr>
                <w:rFonts w:hint="eastAsia" w:ascii="宋体" w:hAnsi="宋体" w:cs="宋体"/>
                <w:color w:val="auto"/>
                <w:szCs w:val="21"/>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rPr>
              <w:t>，由采购人或者采购代理机构负责解释。</w:t>
            </w:r>
          </w:p>
          <w:p>
            <w:pPr>
              <w:snapToGrid w:val="0"/>
              <w:spacing w:line="380" w:lineRule="exact"/>
              <w:rPr>
                <w:rFonts w:ascii="宋体" w:hAnsi="宋体" w:cs="宋体"/>
                <w:b/>
                <w:color w:val="auto"/>
                <w:szCs w:val="21"/>
              </w:rPr>
            </w:pPr>
            <w:r>
              <w:rPr>
                <w:rFonts w:hint="eastAsia" w:ascii="宋体" w:hAnsi="宋体" w:cs="宋体"/>
                <w:b/>
                <w:color w:val="auto"/>
                <w:szCs w:val="21"/>
              </w:rPr>
              <w:t>法律责任：</w:t>
            </w:r>
          </w:p>
          <w:p>
            <w:pPr>
              <w:spacing w:line="380" w:lineRule="exact"/>
              <w:rPr>
                <w:rFonts w:ascii="宋体" w:hAnsi="宋体" w:cs="宋体"/>
                <w:color w:val="auto"/>
                <w:szCs w:val="21"/>
              </w:rPr>
            </w:pPr>
            <w:r>
              <w:rPr>
                <w:rFonts w:hint="eastAsia" w:ascii="宋体" w:hAnsi="宋体" w:cs="宋体"/>
                <w:color w:val="auto"/>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s="宋体"/>
                <w:color w:val="auto"/>
                <w:szCs w:val="21"/>
              </w:rPr>
            </w:pPr>
            <w:r>
              <w:rPr>
                <w:rFonts w:hint="eastAsia" w:ascii="宋体" w:hAnsi="宋体" w:cs="宋体"/>
                <w:color w:val="auto"/>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2.本招标文件中描述投标人的“签字”是指投标人通过指定电子化政府采购平台办理数字证书（CA认证）获得的以投标人法定代表人或者委托代理人姓名制作的电子印章或手写签字。</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5.自然人投标的，招标文件规定盖公章处由自然人摁手指指印。</w:t>
            </w:r>
          </w:p>
          <w:p>
            <w:pPr>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6.本招标文件所称的“以上”“以下”“以内”“届满”，包括本数；所称的“不满”“超过”“以外”，不包括本数。</w:t>
            </w:r>
          </w:p>
        </w:tc>
      </w:tr>
    </w:tbl>
    <w:p>
      <w:pPr>
        <w:widowControl/>
        <w:spacing w:line="412" w:lineRule="auto"/>
        <w:jc w:val="left"/>
        <w:rPr>
          <w:rFonts w:ascii="Arial" w:hAnsi="Arial" w:eastAsia="黑体"/>
          <w:b/>
          <w:bCs/>
          <w:color w:val="auto"/>
          <w:sz w:val="32"/>
          <w:szCs w:val="32"/>
        </w:rPr>
        <w:sectPr>
          <w:footerReference r:id="rId8" w:type="default"/>
          <w:pgSz w:w="11905" w:h="16838"/>
          <w:pgMar w:top="1134" w:right="1134" w:bottom="1134" w:left="1134" w:header="850" w:footer="850" w:gutter="0"/>
          <w:pgNumType w:fmt="decimal"/>
          <w:cols w:space="0" w:num="1"/>
          <w:titlePg/>
          <w:docGrid w:linePitch="331" w:charSpace="0"/>
        </w:sectPr>
      </w:pPr>
    </w:p>
    <w:p>
      <w:pPr>
        <w:rPr>
          <w:color w:val="auto"/>
        </w:rPr>
      </w:pPr>
    </w:p>
    <w:p>
      <w:pPr>
        <w:pStyle w:val="4"/>
        <w:jc w:val="center"/>
        <w:rPr>
          <w:color w:val="auto"/>
        </w:rPr>
      </w:pPr>
      <w:bookmarkStart w:id="127" w:name="_Toc30841"/>
      <w:bookmarkStart w:id="128" w:name="_Toc13813"/>
      <w:bookmarkStart w:id="129" w:name="_Toc29311"/>
      <w:bookmarkStart w:id="130" w:name="_Toc7784"/>
      <w:bookmarkStart w:id="131" w:name="_Toc1030"/>
      <w:bookmarkStart w:id="132" w:name="_Toc11336"/>
      <w:bookmarkStart w:id="133" w:name="_Toc8807"/>
      <w:bookmarkStart w:id="134" w:name="_Toc25117"/>
      <w:bookmarkStart w:id="135" w:name="_Toc24313"/>
      <w:bookmarkStart w:id="136" w:name="_Toc453"/>
      <w:r>
        <w:rPr>
          <w:rFonts w:hint="eastAsia"/>
          <w:color w:val="auto"/>
        </w:rPr>
        <w:t>第二节</w:t>
      </w:r>
      <w:r>
        <w:rPr>
          <w:color w:val="auto"/>
        </w:rPr>
        <w:t xml:space="preserve"> </w:t>
      </w:r>
      <w:r>
        <w:rPr>
          <w:rFonts w:hint="eastAsia"/>
          <w:color w:val="auto"/>
        </w:rPr>
        <w:t>投标人须知正文</w:t>
      </w:r>
      <w:bookmarkEnd w:id="127"/>
      <w:bookmarkEnd w:id="128"/>
      <w:bookmarkEnd w:id="129"/>
      <w:bookmarkEnd w:id="130"/>
      <w:bookmarkEnd w:id="131"/>
      <w:bookmarkEnd w:id="132"/>
      <w:bookmarkEnd w:id="133"/>
      <w:bookmarkEnd w:id="134"/>
      <w:bookmarkEnd w:id="135"/>
      <w:bookmarkEnd w:id="136"/>
    </w:p>
    <w:p>
      <w:pPr>
        <w:pStyle w:val="5"/>
        <w:keepNext w:val="0"/>
        <w:keepLines w:val="0"/>
        <w:spacing w:line="400" w:lineRule="exact"/>
        <w:jc w:val="center"/>
        <w:rPr>
          <w:color w:val="auto"/>
        </w:rPr>
      </w:pPr>
      <w:bookmarkStart w:id="137" w:name="_Toc18594"/>
      <w:bookmarkStart w:id="138" w:name="_Toc21176"/>
      <w:bookmarkStart w:id="139" w:name="_Toc22266"/>
      <w:bookmarkStart w:id="140" w:name="_Toc3607"/>
      <w:bookmarkStart w:id="141" w:name="_Toc19454"/>
      <w:bookmarkStart w:id="142" w:name="_Toc28360"/>
      <w:bookmarkStart w:id="143" w:name="_Toc30794"/>
      <w:bookmarkStart w:id="144" w:name="_Toc6594"/>
      <w:bookmarkStart w:id="145" w:name="_Toc15523"/>
      <w:bookmarkStart w:id="146" w:name="_Toc3522"/>
      <w:r>
        <w:rPr>
          <w:rFonts w:hint="eastAsia"/>
          <w:color w:val="auto"/>
        </w:rPr>
        <w:t>一、总</w:t>
      </w:r>
      <w:r>
        <w:rPr>
          <w:color w:val="auto"/>
        </w:rPr>
        <w:t xml:space="preserve">  </w:t>
      </w:r>
      <w:r>
        <w:rPr>
          <w:rFonts w:hint="eastAsia"/>
          <w:color w:val="auto"/>
        </w:rPr>
        <w:t>则</w:t>
      </w:r>
      <w:bookmarkEnd w:id="137"/>
      <w:bookmarkEnd w:id="138"/>
      <w:bookmarkEnd w:id="139"/>
      <w:bookmarkEnd w:id="140"/>
      <w:bookmarkEnd w:id="141"/>
      <w:bookmarkEnd w:id="142"/>
      <w:bookmarkEnd w:id="143"/>
      <w:bookmarkEnd w:id="144"/>
      <w:bookmarkEnd w:id="145"/>
      <w:bookmarkEnd w:id="146"/>
    </w:p>
    <w:p>
      <w:pPr>
        <w:spacing w:line="360" w:lineRule="auto"/>
        <w:ind w:firstLine="480" w:firstLineChars="200"/>
        <w:rPr>
          <w:rFonts w:ascii="黑体" w:hAnsi="黑体" w:eastAsia="黑体"/>
          <w:color w:val="auto"/>
          <w:sz w:val="24"/>
        </w:rPr>
      </w:pPr>
      <w:bookmarkStart w:id="147" w:name="_Toc254970668"/>
      <w:bookmarkStart w:id="148" w:name="_Toc254970527"/>
      <w:r>
        <w:rPr>
          <w:rFonts w:hint="eastAsia" w:ascii="黑体" w:hAnsi="黑体" w:eastAsia="黑体"/>
          <w:color w:val="auto"/>
          <w:sz w:val="24"/>
        </w:rPr>
        <w:t>1.适用范围</w:t>
      </w:r>
      <w:bookmarkEnd w:id="147"/>
      <w:bookmarkEnd w:id="148"/>
    </w:p>
    <w:p>
      <w:pPr>
        <w:spacing w:line="360" w:lineRule="auto"/>
        <w:ind w:firstLine="420" w:firstLineChars="200"/>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pPr>
        <w:spacing w:line="360" w:lineRule="auto"/>
        <w:ind w:firstLine="480" w:firstLineChars="200"/>
        <w:rPr>
          <w:rFonts w:ascii="黑体" w:hAnsi="黑体" w:eastAsia="黑体"/>
          <w:color w:val="auto"/>
          <w:sz w:val="24"/>
        </w:rPr>
      </w:pPr>
      <w:bookmarkStart w:id="149" w:name="_Toc254970528"/>
      <w:bookmarkStart w:id="150" w:name="_Toc254970669"/>
      <w:r>
        <w:rPr>
          <w:rFonts w:hint="eastAsia" w:ascii="黑体" w:hAnsi="黑体" w:eastAsia="黑体"/>
          <w:color w:val="auto"/>
          <w:sz w:val="24"/>
        </w:rPr>
        <w:t>2.定义</w:t>
      </w:r>
      <w:bookmarkEnd w:id="149"/>
      <w:bookmarkEnd w:id="150"/>
    </w:p>
    <w:p>
      <w:pPr>
        <w:spacing w:line="360" w:lineRule="auto"/>
        <w:ind w:firstLine="422" w:firstLineChars="200"/>
        <w:rPr>
          <w:rFonts w:ascii="宋体" w:hAnsi="宋体"/>
          <w:b/>
          <w:color w:val="auto"/>
          <w:szCs w:val="21"/>
        </w:rPr>
      </w:pPr>
      <w:r>
        <w:rPr>
          <w:rFonts w:hint="eastAsia" w:ascii="宋体" w:hAnsi="宋体"/>
          <w:b/>
          <w:color w:val="auto"/>
          <w:szCs w:val="21"/>
        </w:rPr>
        <w:t>2.1“采购人”是指依法进行政府采购的国家机关、事业单位、团体组织。</w:t>
      </w:r>
    </w:p>
    <w:p>
      <w:pPr>
        <w:spacing w:line="360" w:lineRule="auto"/>
        <w:ind w:firstLine="422" w:firstLineChars="200"/>
        <w:rPr>
          <w:rFonts w:ascii="宋体" w:hAnsi="宋体"/>
          <w:b/>
          <w:color w:val="auto"/>
          <w:szCs w:val="21"/>
        </w:rPr>
      </w:pPr>
      <w:r>
        <w:rPr>
          <w:rFonts w:hint="eastAsia" w:ascii="宋体" w:hAnsi="宋体"/>
          <w:b/>
          <w:color w:val="auto"/>
          <w:szCs w:val="21"/>
        </w:rPr>
        <w:t>2.2“采购代理机构” 指政府采购集中采购机构和集中采购机构以外的采购代理机构。</w:t>
      </w:r>
    </w:p>
    <w:p>
      <w:pPr>
        <w:spacing w:line="360" w:lineRule="auto"/>
        <w:ind w:firstLine="422" w:firstLineChars="200"/>
        <w:rPr>
          <w:rFonts w:ascii="宋体" w:hAnsi="宋体"/>
          <w:b/>
          <w:color w:val="auto"/>
          <w:szCs w:val="21"/>
        </w:rPr>
      </w:pPr>
      <w:r>
        <w:rPr>
          <w:rFonts w:hint="eastAsia" w:ascii="宋体" w:hAnsi="宋体"/>
          <w:b/>
          <w:color w:val="auto"/>
          <w:szCs w:val="21"/>
        </w:rPr>
        <w:t>2.3“供应商”是指向采购人提供货物、工程或者服务的法人、其他组织或者自然人。</w:t>
      </w:r>
    </w:p>
    <w:p>
      <w:pPr>
        <w:spacing w:line="360" w:lineRule="auto"/>
        <w:ind w:firstLine="422" w:firstLineChars="200"/>
        <w:rPr>
          <w:rFonts w:ascii="宋体" w:hAnsi="宋体"/>
          <w:b/>
          <w:bCs/>
          <w:color w:val="auto"/>
          <w:szCs w:val="21"/>
        </w:rPr>
      </w:pPr>
      <w:r>
        <w:rPr>
          <w:rFonts w:hint="eastAsia" w:ascii="宋体" w:hAnsi="宋体"/>
          <w:b/>
          <w:bCs/>
          <w:color w:val="auto"/>
          <w:szCs w:val="21"/>
        </w:rPr>
        <w:t>2.4“投标人”是指响应招标、参加投标竞争的法人、非法人组织或者自然人。</w:t>
      </w:r>
    </w:p>
    <w:p>
      <w:pPr>
        <w:spacing w:line="360" w:lineRule="auto"/>
        <w:ind w:firstLine="422" w:firstLineChars="200"/>
        <w:rPr>
          <w:rFonts w:ascii="宋体" w:hAnsi="宋体"/>
          <w:b/>
          <w:color w:val="auto"/>
          <w:szCs w:val="21"/>
        </w:rPr>
      </w:pPr>
      <w:r>
        <w:rPr>
          <w:rFonts w:hint="eastAsia" w:ascii="宋体" w:hAnsi="宋体"/>
          <w:b/>
          <w:color w:val="auto"/>
          <w:szCs w:val="21"/>
        </w:rPr>
        <w:t>2.5“服务”是指除货物和工程以外的其他政府采购对象。</w:t>
      </w:r>
    </w:p>
    <w:p>
      <w:pPr>
        <w:spacing w:line="360" w:lineRule="auto"/>
        <w:ind w:firstLine="422" w:firstLineChars="200"/>
        <w:rPr>
          <w:rFonts w:ascii="宋体" w:hAnsi="宋体"/>
          <w:b/>
          <w:color w:val="auto"/>
          <w:szCs w:val="21"/>
        </w:rPr>
      </w:pPr>
      <w:r>
        <w:rPr>
          <w:rFonts w:hint="eastAsia" w:ascii="宋体" w:hAnsi="宋体"/>
          <w:b/>
          <w:color w:val="auto"/>
          <w:szCs w:val="21"/>
        </w:rPr>
        <w:t>2.6“书面形式”是指合同书、信件和数据电文（包括电报、电传、传真、短信、电子数据交换和电子邮件）等可以有形地表现所载内容的形式。</w:t>
      </w:r>
    </w:p>
    <w:p>
      <w:pPr>
        <w:spacing w:line="360" w:lineRule="auto"/>
        <w:ind w:firstLine="422" w:firstLineChars="200"/>
        <w:rPr>
          <w:rFonts w:ascii="宋体" w:hAnsi="宋体"/>
          <w:b/>
          <w:color w:val="auto"/>
          <w:szCs w:val="21"/>
        </w:rPr>
      </w:pPr>
      <w:r>
        <w:rPr>
          <w:rFonts w:hint="eastAsia" w:ascii="宋体" w:hAnsi="宋体"/>
          <w:b/>
          <w:color w:val="auto"/>
          <w:szCs w:val="21"/>
        </w:rPr>
        <w:t>2.7“实质性要求”是指招标文件中已经指明不满足则投标无效的条款，或者不能负偏离的条款，或者采购需求中带“</w:t>
      </w:r>
      <w:r>
        <w:rPr>
          <w:rFonts w:hint="eastAsia" w:ascii="宋体" w:hAnsi="宋体"/>
          <w:b/>
          <w:bCs/>
          <w:color w:val="auto"/>
          <w:szCs w:val="21"/>
        </w:rPr>
        <w:t>▲</w:t>
      </w:r>
      <w:r>
        <w:rPr>
          <w:rFonts w:hint="eastAsia" w:ascii="宋体" w:hAnsi="宋体"/>
          <w:b/>
          <w:color w:val="auto"/>
          <w:szCs w:val="21"/>
        </w:rPr>
        <w:t>”的条款。</w:t>
      </w:r>
    </w:p>
    <w:p>
      <w:pPr>
        <w:spacing w:line="360" w:lineRule="auto"/>
        <w:ind w:firstLine="420" w:firstLineChars="200"/>
        <w:rPr>
          <w:rFonts w:ascii="宋体" w:hAnsi="宋体" w:cs="宋体"/>
          <w:color w:val="auto"/>
          <w:szCs w:val="21"/>
        </w:rPr>
      </w:pPr>
      <w:r>
        <w:rPr>
          <w:rFonts w:hint="eastAsia" w:ascii="宋体" w:hAnsi="宋体"/>
          <w:color w:val="auto"/>
          <w:szCs w:val="21"/>
        </w:rPr>
        <w:t>2.8</w:t>
      </w:r>
      <w:r>
        <w:rPr>
          <w:rFonts w:hint="eastAsia" w:ascii="宋体" w:hAnsi="宋体" w:cs="宋体"/>
          <w:color w:val="auto"/>
          <w:szCs w:val="21"/>
        </w:rPr>
        <w:t>“正偏离”，是指投标文件对招标文件“采购需求”中有关条款作出的响应优于条款要求并有利于采购人的情形。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2.9“负偏离”，是指投标文件对招标文件“采购需求”中有关条款作出的响应不满足条款要求，导致采购人要求不能得到满足的情形。</w:t>
      </w:r>
    </w:p>
    <w:p>
      <w:pPr>
        <w:spacing w:line="360" w:lineRule="auto"/>
        <w:ind w:firstLine="420" w:firstLineChars="200"/>
        <w:rPr>
          <w:rFonts w:ascii="宋体" w:hAnsi="宋体"/>
          <w:color w:val="auto"/>
          <w:szCs w:val="21"/>
        </w:rPr>
      </w:pPr>
      <w:r>
        <w:rPr>
          <w:rFonts w:hint="eastAsia" w:ascii="宋体" w:hAnsi="宋体"/>
          <w:color w:val="auto"/>
          <w:szCs w:val="21"/>
        </w:rPr>
        <w:t>2.10</w:t>
      </w:r>
      <w:r>
        <w:rPr>
          <w:rFonts w:hint="eastAsia" w:ascii="宋体" w:hAnsi="宋体" w:cs="宋体"/>
          <w:color w:val="auto"/>
          <w:szCs w:val="21"/>
        </w:rPr>
        <w:t>“允许负偏离的条款”是指采购需求中的不属于“实质性要求”的条款。</w:t>
      </w:r>
      <w:bookmarkStart w:id="151" w:name="_Toc254970670"/>
      <w:bookmarkStart w:id="152" w:name="_Toc254970529"/>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w:t>
      </w:r>
      <w:bookmarkEnd w:id="151"/>
      <w:bookmarkEnd w:id="152"/>
      <w:r>
        <w:rPr>
          <w:rFonts w:hint="eastAsia" w:ascii="黑体" w:hAnsi="黑体" w:eastAsia="黑体"/>
          <w:color w:val="auto"/>
          <w:sz w:val="24"/>
        </w:rPr>
        <w:t>投标人的资格要求</w:t>
      </w:r>
    </w:p>
    <w:p>
      <w:pPr>
        <w:spacing w:line="360" w:lineRule="auto"/>
        <w:ind w:firstLine="420" w:firstLineChars="200"/>
        <w:rPr>
          <w:rFonts w:ascii="宋体" w:hAnsi="宋体"/>
          <w:color w:val="auto"/>
          <w:szCs w:val="21"/>
        </w:rPr>
      </w:pPr>
      <w:r>
        <w:rPr>
          <w:rFonts w:hint="eastAsia" w:ascii="宋体" w:hAnsi="宋体"/>
          <w:color w:val="auto"/>
          <w:szCs w:val="21"/>
        </w:rPr>
        <w:t>投标人的资格要求详见“招标公告”。</w:t>
      </w:r>
    </w:p>
    <w:p>
      <w:pPr>
        <w:spacing w:line="360" w:lineRule="auto"/>
        <w:ind w:firstLine="480" w:firstLineChars="200"/>
        <w:rPr>
          <w:rFonts w:ascii="黑体" w:hAnsi="黑体" w:eastAsia="黑体"/>
          <w:color w:val="auto"/>
          <w:sz w:val="24"/>
        </w:rPr>
      </w:pPr>
      <w:bookmarkStart w:id="153" w:name="_Toc254970530"/>
      <w:bookmarkStart w:id="154" w:name="_Toc254970671"/>
      <w:r>
        <w:rPr>
          <w:rFonts w:hint="eastAsia" w:ascii="黑体" w:hAnsi="黑体" w:eastAsia="黑体"/>
          <w:color w:val="auto"/>
          <w:sz w:val="24"/>
        </w:rPr>
        <w:t>4.投标委托</w:t>
      </w:r>
      <w:bookmarkEnd w:id="153"/>
      <w:bookmarkEnd w:id="154"/>
    </w:p>
    <w:p>
      <w:pPr>
        <w:spacing w:line="360" w:lineRule="auto"/>
        <w:ind w:firstLine="420" w:firstLineChars="200"/>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ascii="黑体" w:hAnsi="黑体" w:eastAsia="黑体"/>
          <w:color w:val="auto"/>
          <w:sz w:val="24"/>
        </w:rPr>
      </w:pPr>
      <w:bookmarkStart w:id="155" w:name="_5.投标费用"/>
      <w:bookmarkEnd w:id="155"/>
      <w:bookmarkStart w:id="156" w:name="_Toc254970672"/>
      <w:bookmarkStart w:id="157" w:name="_Toc254970531"/>
      <w:r>
        <w:rPr>
          <w:rFonts w:hint="eastAsia" w:ascii="黑体" w:hAnsi="黑体" w:eastAsia="黑体"/>
          <w:color w:val="auto"/>
          <w:sz w:val="24"/>
        </w:rPr>
        <w:t>5.投标费用</w:t>
      </w:r>
      <w:bookmarkEnd w:id="156"/>
      <w:bookmarkEnd w:id="157"/>
    </w:p>
    <w:p>
      <w:pPr>
        <w:spacing w:line="360" w:lineRule="auto"/>
        <w:ind w:firstLine="420" w:firstLineChars="200"/>
        <w:rPr>
          <w:rFonts w:ascii="宋体" w:hAnsi="宋体"/>
          <w:color w:val="auto"/>
          <w:szCs w:val="21"/>
        </w:rPr>
      </w:pPr>
      <w:r>
        <w:rPr>
          <w:rFonts w:hint="eastAsia" w:ascii="宋体" w:hAnsi="宋体" w:cs="宋体"/>
          <w:color w:val="auto"/>
          <w:szCs w:val="21"/>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6.联合体投标</w:t>
      </w:r>
    </w:p>
    <w:p>
      <w:pPr>
        <w:spacing w:line="360" w:lineRule="auto"/>
        <w:ind w:firstLine="420" w:firstLineChars="200"/>
        <w:rPr>
          <w:rFonts w:ascii="宋体" w:hAnsi="宋体"/>
          <w:color w:val="auto"/>
          <w:szCs w:val="21"/>
        </w:rPr>
      </w:pPr>
      <w:r>
        <w:rPr>
          <w:rFonts w:hint="eastAsia" w:ascii="宋体" w:hAnsi="宋体"/>
          <w:color w:val="auto"/>
          <w:szCs w:val="21"/>
        </w:rPr>
        <w:t>6.1本项目是否接受联合体投标，详见“投标人须知前附表”。</w:t>
      </w:r>
    </w:p>
    <w:p>
      <w:pPr>
        <w:spacing w:line="360" w:lineRule="auto"/>
        <w:ind w:firstLine="420" w:firstLineChars="200"/>
        <w:rPr>
          <w:rFonts w:ascii="宋体" w:hAnsi="宋体"/>
          <w:bCs/>
          <w:color w:val="auto"/>
          <w:szCs w:val="21"/>
        </w:rPr>
      </w:pPr>
      <w:r>
        <w:rPr>
          <w:rFonts w:hint="eastAsia" w:ascii="宋体" w:hAnsi="宋体"/>
          <w:bCs/>
          <w:color w:val="auto"/>
          <w:szCs w:val="21"/>
        </w:rPr>
        <w:t>6.2如接受联合体投标，联合体投标要求详见“投标人须知前附表”。</w:t>
      </w:r>
    </w:p>
    <w:p>
      <w:pPr>
        <w:spacing w:line="360" w:lineRule="auto"/>
        <w:ind w:firstLine="420" w:firstLineChars="200"/>
        <w:rPr>
          <w:rFonts w:ascii="宋体" w:hAnsi="宋体" w:cs="宋体"/>
          <w:bCs/>
          <w:color w:val="auto"/>
          <w:sz w:val="24"/>
          <w:szCs w:val="21"/>
          <w:shd w:val="clear" w:color="auto" w:fill="FFFFFF"/>
        </w:rPr>
      </w:pPr>
      <w:r>
        <w:rPr>
          <w:rFonts w:hint="eastAsia" w:ascii="宋体" w:hAnsi="宋体" w:cs="宋体"/>
          <w:bCs/>
          <w:color w:val="auto"/>
          <w:szCs w:val="21"/>
        </w:rPr>
        <w:t>6.3根据《政府采购促进中小企业发展管理办法》（财库[2020]46号）第九条、</w:t>
      </w:r>
      <w:r>
        <w:rPr>
          <w:rFonts w:hint="eastAsia" w:ascii="宋体" w:hAnsi="宋体" w:cs="宋体"/>
          <w:color w:val="auto"/>
        </w:rPr>
        <w:t>《广西壮族自治区财政厅关于贯彻落实政府采购支持中小企业发展政策的通知》（桂财采〔2022〕31号）</w:t>
      </w:r>
      <w:r>
        <w:rPr>
          <w:rFonts w:hint="eastAsia" w:ascii="宋体" w:hAnsi="宋体" w:cs="宋体"/>
          <w:bCs/>
          <w:color w:val="auto"/>
          <w:szCs w:val="21"/>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 xml:space="preserve">7.转包与分包             </w:t>
      </w:r>
    </w:p>
    <w:p>
      <w:pPr>
        <w:spacing w:line="360" w:lineRule="auto"/>
        <w:ind w:firstLine="422" w:firstLineChars="200"/>
        <w:rPr>
          <w:rFonts w:ascii="宋体" w:hAnsi="宋体"/>
          <w:b/>
          <w:color w:val="auto"/>
          <w:szCs w:val="21"/>
        </w:rPr>
      </w:pPr>
      <w:r>
        <w:rPr>
          <w:rFonts w:hint="eastAsia" w:ascii="宋体" w:hAnsi="宋体"/>
          <w:b/>
          <w:color w:val="auto"/>
          <w:szCs w:val="21"/>
        </w:rPr>
        <w:t>7.1 本项目不允许转包。</w:t>
      </w:r>
    </w:p>
    <w:p>
      <w:pPr>
        <w:spacing w:line="360" w:lineRule="auto"/>
        <w:ind w:firstLine="422" w:firstLineChars="200"/>
        <w:rPr>
          <w:rFonts w:ascii="宋体" w:hAnsi="宋体"/>
          <w:b/>
          <w:color w:val="auto"/>
          <w:szCs w:val="21"/>
        </w:rPr>
      </w:pPr>
      <w:r>
        <w:rPr>
          <w:rFonts w:hint="eastAsia" w:ascii="宋体" w:hAnsi="宋体"/>
          <w:b/>
          <w:color w:val="auto"/>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7.3根据《政府采购促进中小企业发展管理办法》（财库[2020]46号）第九条及</w:t>
      </w:r>
      <w:r>
        <w:rPr>
          <w:rFonts w:hint="eastAsia" w:ascii="宋体" w:hAnsi="宋体" w:cs="宋体"/>
          <w:color w:val="auto"/>
        </w:rPr>
        <w:t>《广西壮族自治区财政厅关于贯彻落实政府采购支持中小企业发展政策的通知》（桂财采〔2022〕31号）</w:t>
      </w:r>
      <w:r>
        <w:rPr>
          <w:rFonts w:hint="eastAsia" w:ascii="宋体" w:hAnsi="宋体" w:cs="宋体"/>
          <w:bCs/>
          <w:color w:val="auto"/>
          <w:szCs w:val="21"/>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360" w:lineRule="auto"/>
        <w:ind w:firstLine="480" w:firstLineChars="200"/>
        <w:rPr>
          <w:rFonts w:ascii="黑体" w:hAnsi="黑体" w:eastAsia="黑体"/>
          <w:color w:val="auto"/>
          <w:sz w:val="24"/>
        </w:rPr>
      </w:pPr>
      <w:bookmarkStart w:id="158" w:name="_Toc254970532"/>
      <w:bookmarkStart w:id="159" w:name="_Toc254970673"/>
      <w:r>
        <w:rPr>
          <w:rFonts w:hint="eastAsia" w:ascii="黑体" w:hAnsi="黑体" w:eastAsia="黑体"/>
          <w:color w:val="auto"/>
          <w:sz w:val="24"/>
        </w:rPr>
        <w:t>8.特别说明：</w:t>
      </w:r>
      <w:bookmarkEnd w:id="158"/>
      <w:bookmarkEnd w:id="159"/>
      <w:bookmarkStart w:id="160" w:name="_8.1提供相同品牌产品且通过资格审查、符合性审查的不同投标人参加同一合"/>
      <w:bookmarkEnd w:id="160"/>
    </w:p>
    <w:p>
      <w:pPr>
        <w:spacing w:line="360" w:lineRule="auto"/>
        <w:ind w:firstLine="422" w:firstLineChars="200"/>
        <w:rPr>
          <w:rFonts w:ascii="宋体" w:hAnsi="宋体"/>
          <w:b/>
          <w:color w:val="auto"/>
          <w:szCs w:val="21"/>
        </w:rPr>
      </w:pPr>
      <w:r>
        <w:rPr>
          <w:rFonts w:hint="eastAsia" w:ascii="宋体" w:hAnsi="宋体"/>
          <w:b/>
          <w:color w:val="auto"/>
          <w:szCs w:val="21"/>
        </w:rPr>
        <w:t>8.1如果本招标文件要求投标人提供资格、信誉、荣誉、业绩与企业认证等材料的，则投标人所提供的以上材料必须为该投标人所拥有。</w:t>
      </w:r>
    </w:p>
    <w:p>
      <w:pPr>
        <w:spacing w:line="360" w:lineRule="auto"/>
        <w:ind w:firstLine="422" w:firstLineChars="200"/>
        <w:rPr>
          <w:rFonts w:ascii="宋体" w:hAnsi="宋体"/>
          <w:b/>
          <w:color w:val="auto"/>
          <w:szCs w:val="21"/>
        </w:rPr>
      </w:pPr>
      <w:r>
        <w:rPr>
          <w:rFonts w:hint="eastAsia" w:ascii="宋体" w:hAnsi="宋体"/>
          <w:b/>
          <w:color w:val="auto"/>
          <w:szCs w:val="21"/>
        </w:rPr>
        <w:t>8.2投标人应仔细阅读招标文件的所有内容，按照招标文件的要求提交投标文件，并对所提供的全部资料的真实性承担法律责任。</w:t>
      </w:r>
    </w:p>
    <w:p>
      <w:pPr>
        <w:spacing w:line="360" w:lineRule="auto"/>
        <w:ind w:firstLine="422" w:firstLineChars="200"/>
        <w:rPr>
          <w:rFonts w:ascii="宋体" w:hAnsi="宋体"/>
          <w:b/>
          <w:color w:val="auto"/>
          <w:szCs w:val="21"/>
        </w:rPr>
      </w:pPr>
      <w:r>
        <w:rPr>
          <w:rFonts w:hint="eastAsia" w:ascii="宋体" w:hAnsi="宋体"/>
          <w:b/>
          <w:color w:val="auto"/>
          <w:szCs w:val="21"/>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9.回避与串通投标</w:t>
      </w:r>
    </w:p>
    <w:p>
      <w:pPr>
        <w:spacing w:line="360" w:lineRule="auto"/>
        <w:ind w:firstLine="422" w:firstLineChars="200"/>
        <w:rPr>
          <w:rFonts w:ascii="宋体" w:hAnsi="宋体"/>
          <w:b/>
          <w:color w:val="auto"/>
          <w:szCs w:val="21"/>
        </w:rPr>
      </w:pPr>
      <w:r>
        <w:rPr>
          <w:rFonts w:hint="eastAsia" w:ascii="宋体" w:hAnsi="宋体"/>
          <w:b/>
          <w:color w:val="auto"/>
          <w:szCs w:val="21"/>
        </w:rPr>
        <w:t>9.1在政府采购活动中，采购人员及相关人员与供应商有下列利害关系之一的，应当回避：</w:t>
      </w:r>
    </w:p>
    <w:p>
      <w:pPr>
        <w:spacing w:line="360" w:lineRule="auto"/>
        <w:ind w:firstLine="420" w:firstLineChars="200"/>
        <w:rPr>
          <w:rFonts w:ascii="宋体" w:hAnsi="宋体" w:cs="宋体"/>
          <w:color w:val="auto"/>
        </w:rPr>
      </w:pPr>
      <w:r>
        <w:rPr>
          <w:rFonts w:hint="eastAsia" w:ascii="宋体" w:hAnsi="宋体" w:cs="宋体"/>
          <w:color w:val="auto"/>
        </w:rPr>
        <w:t>（1）参加采购活动前3年内与供应商存在劳动关系；</w:t>
      </w:r>
    </w:p>
    <w:p>
      <w:pPr>
        <w:spacing w:line="360" w:lineRule="auto"/>
        <w:ind w:firstLine="420" w:firstLineChars="200"/>
        <w:rPr>
          <w:rFonts w:ascii="宋体" w:hAnsi="宋体" w:cs="宋体"/>
          <w:color w:val="auto"/>
        </w:rPr>
      </w:pPr>
      <w:r>
        <w:rPr>
          <w:rFonts w:hint="eastAsia" w:ascii="宋体" w:hAnsi="宋体" w:cs="宋体"/>
          <w:color w:val="auto"/>
        </w:rPr>
        <w:t>（2）参加采购活动前3年内担任供应商的董事、监事；</w:t>
      </w:r>
    </w:p>
    <w:p>
      <w:pPr>
        <w:spacing w:line="360" w:lineRule="auto"/>
        <w:ind w:firstLine="420" w:firstLineChars="200"/>
        <w:rPr>
          <w:rFonts w:ascii="宋体" w:hAnsi="宋体" w:cs="宋体"/>
          <w:color w:val="auto"/>
        </w:rPr>
      </w:pPr>
      <w:r>
        <w:rPr>
          <w:rFonts w:hint="eastAsia" w:ascii="宋体" w:hAnsi="宋体" w:cs="宋体"/>
          <w:color w:val="auto"/>
        </w:rPr>
        <w:t>（3）参加采购活动前3年内是供应商的控股股东或者实际控制人；</w:t>
      </w:r>
    </w:p>
    <w:p>
      <w:pPr>
        <w:spacing w:line="360" w:lineRule="auto"/>
        <w:ind w:firstLine="420" w:firstLineChars="200"/>
        <w:rPr>
          <w:rFonts w:ascii="宋体" w:hAnsi="宋体" w:cs="宋体"/>
          <w:color w:val="auto"/>
        </w:rPr>
      </w:pPr>
      <w:r>
        <w:rPr>
          <w:rFonts w:hint="eastAsia" w:ascii="宋体" w:hAnsi="宋体" w:cs="宋体"/>
          <w:color w:val="auto"/>
        </w:rPr>
        <w:t>（4）与供应商的法定代表人或者负责人有夫妻、直系血亲、三代以内旁系血亲或者近姻亲关系；</w:t>
      </w:r>
    </w:p>
    <w:p>
      <w:pPr>
        <w:spacing w:line="360" w:lineRule="auto"/>
        <w:ind w:firstLine="420" w:firstLineChars="200"/>
        <w:rPr>
          <w:rFonts w:ascii="宋体" w:hAnsi="宋体" w:cs="宋体"/>
          <w:color w:val="auto"/>
        </w:rPr>
      </w:pPr>
      <w:r>
        <w:rPr>
          <w:rFonts w:hint="eastAsia" w:ascii="宋体" w:hAnsi="宋体" w:cs="宋体"/>
          <w:color w:val="auto"/>
        </w:rPr>
        <w:t>（5）与供应商有其他可能影响政府采购活动公平、公正进行的关系。</w:t>
      </w:r>
    </w:p>
    <w:p>
      <w:pPr>
        <w:spacing w:line="360" w:lineRule="auto"/>
        <w:ind w:firstLine="420" w:firstLineChars="200"/>
        <w:rPr>
          <w:rFonts w:hAnsi="宋体"/>
          <w:color w:val="auto"/>
        </w:rPr>
      </w:pPr>
      <w:r>
        <w:rPr>
          <w:rFonts w:hint="eastAsia" w:hAnsi="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olor w:val="auto"/>
          <w:szCs w:val="21"/>
        </w:rPr>
      </w:pPr>
      <w:r>
        <w:rPr>
          <w:rFonts w:hint="eastAsia" w:ascii="宋体" w:hAnsi="宋体"/>
          <w:color w:val="auto"/>
          <w:szCs w:val="21"/>
        </w:rPr>
        <w:t>9.2有下列情形之一的视为投标人相互串通投标，投标文件将被视为无效：</w:t>
      </w:r>
    </w:p>
    <w:p>
      <w:pPr>
        <w:spacing w:line="360" w:lineRule="auto"/>
        <w:ind w:firstLine="422" w:firstLineChars="200"/>
        <w:rPr>
          <w:rFonts w:ascii="宋体" w:hAnsi="宋体" w:cs="宋体"/>
          <w:b/>
          <w:color w:val="auto"/>
        </w:rPr>
      </w:pPr>
      <w:r>
        <w:rPr>
          <w:rFonts w:hint="eastAsia" w:ascii="宋体" w:hAnsi="宋体" w:cs="宋体"/>
          <w:b/>
          <w:color w:val="auto"/>
        </w:rPr>
        <w:t>（1）不同投标人的投标文件由同一单位或者个人编制；</w:t>
      </w:r>
      <w:r>
        <w:rPr>
          <w:rFonts w:hint="eastAsia" w:cs="宋体"/>
          <w:b/>
          <w:color w:val="auto"/>
          <w:szCs w:val="21"/>
        </w:rPr>
        <w:t>或者不同投标人报名的IP地址一致的；</w:t>
      </w:r>
    </w:p>
    <w:p>
      <w:pPr>
        <w:spacing w:line="360" w:lineRule="auto"/>
        <w:ind w:firstLine="422" w:firstLineChars="200"/>
        <w:rPr>
          <w:rFonts w:ascii="宋体" w:hAnsi="宋体" w:cs="宋体"/>
          <w:b/>
          <w:color w:val="auto"/>
        </w:rPr>
      </w:pPr>
      <w:r>
        <w:rPr>
          <w:rFonts w:hint="eastAsia" w:ascii="宋体" w:hAnsi="宋体" w:cs="宋体"/>
          <w:b/>
          <w:color w:val="auto"/>
        </w:rPr>
        <w:t>（2）不同投标人委托同一单位或者个人办理投标事宜；</w:t>
      </w:r>
    </w:p>
    <w:p>
      <w:pPr>
        <w:spacing w:line="360" w:lineRule="auto"/>
        <w:ind w:firstLine="422" w:firstLineChars="200"/>
        <w:rPr>
          <w:rFonts w:ascii="宋体" w:hAnsi="宋体" w:cs="宋体"/>
          <w:b/>
          <w:color w:val="auto"/>
        </w:rPr>
      </w:pPr>
      <w:r>
        <w:rPr>
          <w:rFonts w:hint="eastAsia" w:ascii="宋体" w:hAnsi="宋体" w:cs="宋体"/>
          <w:b/>
          <w:color w:val="auto"/>
        </w:rPr>
        <w:t>（3）不同的投标人的投标文件载明的项目管理员为同一个人；</w:t>
      </w:r>
    </w:p>
    <w:p>
      <w:pPr>
        <w:spacing w:line="360" w:lineRule="auto"/>
        <w:ind w:firstLine="422" w:firstLineChars="200"/>
        <w:rPr>
          <w:rFonts w:ascii="宋体" w:hAnsi="宋体" w:cs="宋体"/>
          <w:b/>
          <w:color w:val="auto"/>
        </w:rPr>
      </w:pPr>
      <w:r>
        <w:rPr>
          <w:rFonts w:hint="eastAsia" w:ascii="宋体" w:hAnsi="宋体" w:cs="宋体"/>
          <w:b/>
          <w:color w:val="auto"/>
        </w:rPr>
        <w:t>（4）不同投标人的电子投标文件异常一致或者投标报价呈规律性差异；</w:t>
      </w:r>
    </w:p>
    <w:p>
      <w:pPr>
        <w:spacing w:line="360" w:lineRule="auto"/>
        <w:ind w:firstLine="422" w:firstLineChars="200"/>
        <w:rPr>
          <w:rFonts w:ascii="宋体" w:hAnsi="宋体" w:cs="宋体"/>
          <w:b/>
          <w:color w:val="auto"/>
        </w:rPr>
      </w:pPr>
      <w:r>
        <w:rPr>
          <w:rFonts w:hint="eastAsia" w:ascii="宋体" w:hAnsi="宋体" w:cs="宋体"/>
          <w:b/>
          <w:color w:val="auto"/>
        </w:rPr>
        <w:t>（5）不同投标人的投标文件相互混装；</w:t>
      </w:r>
    </w:p>
    <w:p>
      <w:pPr>
        <w:spacing w:line="360" w:lineRule="auto"/>
        <w:ind w:firstLine="422" w:firstLineChars="200"/>
        <w:rPr>
          <w:rFonts w:ascii="宋体" w:hAnsi="宋体" w:cs="宋体"/>
          <w:b/>
          <w:color w:val="auto"/>
        </w:rPr>
      </w:pPr>
      <w:r>
        <w:rPr>
          <w:rFonts w:hint="eastAsia" w:ascii="宋体" w:hAnsi="宋体" w:cs="宋体"/>
          <w:b/>
          <w:color w:val="auto"/>
        </w:rPr>
        <w:t>（6）不同投标人的投标保证金从同一单位或者个人账户转出。</w:t>
      </w:r>
    </w:p>
    <w:p>
      <w:pPr>
        <w:spacing w:line="360" w:lineRule="auto"/>
        <w:ind w:firstLine="420" w:firstLineChars="200"/>
        <w:rPr>
          <w:rFonts w:ascii="宋体" w:hAnsi="宋体"/>
          <w:color w:val="auto"/>
          <w:szCs w:val="21"/>
        </w:rPr>
      </w:pPr>
      <w:r>
        <w:rPr>
          <w:rFonts w:hint="eastAsia" w:ascii="宋体" w:hAnsi="宋体"/>
          <w:color w:val="auto"/>
          <w:szCs w:val="21"/>
        </w:rPr>
        <w:t>9.3供应商有下列情形之一的，属于恶意串通行为，将报同级监督管理部门：</w:t>
      </w:r>
    </w:p>
    <w:p>
      <w:pPr>
        <w:spacing w:line="360" w:lineRule="auto"/>
        <w:ind w:firstLine="420" w:firstLineChars="200"/>
        <w:rPr>
          <w:rFonts w:ascii="宋体" w:hAnsi="宋体" w:cs="宋体"/>
          <w:color w:val="auto"/>
        </w:rPr>
      </w:pPr>
      <w:r>
        <w:rPr>
          <w:rFonts w:hint="eastAsia" w:ascii="宋体" w:hAnsi="宋体" w:cs="宋体"/>
          <w:color w:val="auto"/>
        </w:rPr>
        <w:t>（1）供应商直接或者间接从采购人或者采购代理机构处获得其他供应商的相关信息并修改其投标文件；</w:t>
      </w:r>
    </w:p>
    <w:p>
      <w:pPr>
        <w:spacing w:line="360" w:lineRule="auto"/>
        <w:ind w:firstLine="420" w:firstLineChars="200"/>
        <w:rPr>
          <w:rFonts w:ascii="宋体" w:hAnsi="宋体" w:cs="宋体"/>
          <w:color w:val="auto"/>
        </w:rPr>
      </w:pPr>
      <w:r>
        <w:rPr>
          <w:rFonts w:hint="eastAsia" w:ascii="宋体" w:hAnsi="宋体" w:cs="宋体"/>
          <w:color w:val="auto"/>
        </w:rPr>
        <w:t>（2）供应商按照采购人或者采购代理机构的授意撤换、修改投标文件；</w:t>
      </w:r>
    </w:p>
    <w:p>
      <w:pPr>
        <w:spacing w:line="360" w:lineRule="auto"/>
        <w:ind w:firstLine="420" w:firstLineChars="200"/>
        <w:rPr>
          <w:rFonts w:ascii="宋体" w:hAnsi="宋体" w:cs="宋体"/>
          <w:color w:val="auto"/>
        </w:rPr>
      </w:pPr>
      <w:r>
        <w:rPr>
          <w:rFonts w:hint="eastAsia" w:ascii="宋体" w:hAnsi="宋体" w:cs="宋体"/>
          <w:color w:val="auto"/>
        </w:rPr>
        <w:t>（3）供应商之间协商报价、技术方案等投标文件的实质性内容；</w:t>
      </w:r>
    </w:p>
    <w:p>
      <w:pPr>
        <w:spacing w:line="360" w:lineRule="auto"/>
        <w:ind w:firstLine="420" w:firstLineChars="200"/>
        <w:rPr>
          <w:rFonts w:ascii="宋体" w:hAnsi="宋体" w:cs="宋体"/>
          <w:color w:val="auto"/>
        </w:rPr>
      </w:pPr>
      <w:r>
        <w:rPr>
          <w:rFonts w:hint="eastAsia" w:ascii="宋体" w:hAnsi="宋体" w:cs="宋体"/>
          <w:color w:val="auto"/>
        </w:rPr>
        <w:t>（4）属于同一集团、协会、商会等组织成员的供应商按照该组织要求协同参加政府采购活动；</w:t>
      </w:r>
    </w:p>
    <w:p>
      <w:pPr>
        <w:spacing w:line="360" w:lineRule="auto"/>
        <w:ind w:firstLine="420" w:firstLineChars="200"/>
        <w:rPr>
          <w:rFonts w:ascii="宋体" w:hAnsi="宋体" w:cs="宋体"/>
          <w:color w:val="auto"/>
        </w:rPr>
      </w:pPr>
      <w:r>
        <w:rPr>
          <w:rFonts w:hint="eastAsia" w:ascii="宋体" w:hAnsi="宋体" w:cs="宋体"/>
          <w:color w:val="auto"/>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ascii="宋体" w:hAnsi="宋体" w:cs="宋体"/>
          <w:color w:val="auto"/>
        </w:rPr>
      </w:pPr>
      <w:r>
        <w:rPr>
          <w:rFonts w:hint="eastAsia" w:ascii="宋体" w:hAnsi="宋体" w:cs="宋体"/>
          <w:color w:val="auto"/>
        </w:rPr>
        <w:t>（6）供应商之间商定部分供应商放弃参加政府采购活动或者放弃中标；</w:t>
      </w:r>
    </w:p>
    <w:p>
      <w:pPr>
        <w:spacing w:line="360" w:lineRule="auto"/>
        <w:ind w:firstLine="420" w:firstLineChars="200"/>
        <w:rPr>
          <w:rFonts w:ascii="宋体" w:hAnsi="宋体" w:cs="宋体"/>
          <w:color w:val="auto"/>
        </w:rPr>
      </w:pPr>
      <w:r>
        <w:rPr>
          <w:rFonts w:hint="eastAsia" w:ascii="宋体" w:hAnsi="宋体" w:cs="宋体"/>
          <w:color w:val="auto"/>
        </w:rPr>
        <w:t>（7）供应商与采购人或者采购代理机构之间、供应商相互之间，为谋求特定供应商中标或者排斥其他供应商的其他串通行为。</w:t>
      </w:r>
    </w:p>
    <w:p>
      <w:pPr>
        <w:pStyle w:val="18"/>
        <w:snapToGrid w:val="0"/>
        <w:spacing w:line="360" w:lineRule="auto"/>
        <w:ind w:left="2" w:leftChars="1" w:firstLine="422" w:firstLineChars="200"/>
        <w:rPr>
          <w:rFonts w:hAnsi="宋体"/>
          <w:b/>
          <w:color w:val="auto"/>
        </w:rPr>
      </w:pPr>
    </w:p>
    <w:p>
      <w:pPr>
        <w:pStyle w:val="5"/>
        <w:keepNext w:val="0"/>
        <w:keepLines w:val="0"/>
        <w:spacing w:line="400" w:lineRule="exact"/>
        <w:jc w:val="center"/>
        <w:rPr>
          <w:color w:val="auto"/>
        </w:rPr>
      </w:pPr>
      <w:bookmarkStart w:id="161" w:name="_Toc17855"/>
      <w:bookmarkStart w:id="162" w:name="_Toc10320"/>
      <w:bookmarkStart w:id="163" w:name="_Toc128"/>
      <w:bookmarkStart w:id="164" w:name="_Toc19016"/>
      <w:bookmarkStart w:id="165" w:name="_Toc6920"/>
      <w:bookmarkStart w:id="166" w:name="_Toc254970675"/>
      <w:bookmarkStart w:id="167" w:name="_Toc25104"/>
      <w:bookmarkStart w:id="168" w:name="_Toc254970534"/>
      <w:bookmarkStart w:id="169" w:name="_Toc22911"/>
      <w:bookmarkStart w:id="170" w:name="_Toc11054"/>
      <w:bookmarkStart w:id="171" w:name="_Toc9988"/>
      <w:bookmarkStart w:id="172" w:name="_Toc18580"/>
      <w:r>
        <w:rPr>
          <w:rFonts w:hint="eastAsia"/>
          <w:color w:val="auto"/>
        </w:rPr>
        <w:t>二、招标文件</w:t>
      </w:r>
      <w:bookmarkEnd w:id="161"/>
      <w:bookmarkEnd w:id="162"/>
      <w:bookmarkEnd w:id="163"/>
      <w:bookmarkEnd w:id="164"/>
      <w:bookmarkEnd w:id="165"/>
      <w:bookmarkEnd w:id="166"/>
      <w:bookmarkEnd w:id="167"/>
      <w:bookmarkEnd w:id="168"/>
      <w:bookmarkEnd w:id="169"/>
      <w:bookmarkEnd w:id="170"/>
      <w:bookmarkEnd w:id="171"/>
      <w:bookmarkEnd w:id="172"/>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10.招标文件的组成</w:t>
      </w:r>
    </w:p>
    <w:p>
      <w:pPr>
        <w:spacing w:line="360" w:lineRule="auto"/>
        <w:ind w:firstLine="420" w:firstLineChars="200"/>
        <w:rPr>
          <w:rFonts w:ascii="宋体" w:hAnsi="宋体"/>
          <w:color w:val="auto"/>
          <w:szCs w:val="21"/>
        </w:rPr>
      </w:pPr>
      <w:r>
        <w:rPr>
          <w:rFonts w:hint="eastAsia" w:ascii="宋体" w:hAnsi="宋体"/>
          <w:color w:val="auto"/>
          <w:szCs w:val="21"/>
        </w:rPr>
        <w:t>第一章 招标公告；</w:t>
      </w:r>
    </w:p>
    <w:p>
      <w:pPr>
        <w:spacing w:line="360" w:lineRule="auto"/>
        <w:ind w:firstLine="420" w:firstLineChars="200"/>
        <w:rPr>
          <w:rFonts w:ascii="宋体" w:hAnsi="宋体"/>
          <w:color w:val="auto"/>
          <w:szCs w:val="21"/>
        </w:rPr>
      </w:pPr>
      <w:r>
        <w:rPr>
          <w:rFonts w:hint="eastAsia" w:ascii="宋体" w:hAnsi="宋体"/>
          <w:color w:val="auto"/>
          <w:szCs w:val="21"/>
        </w:rPr>
        <w:t xml:space="preserve">第二章 采购需求； </w:t>
      </w:r>
    </w:p>
    <w:p>
      <w:pPr>
        <w:spacing w:line="360" w:lineRule="auto"/>
        <w:ind w:firstLine="420" w:firstLineChars="200"/>
        <w:rPr>
          <w:rFonts w:ascii="宋体" w:hAnsi="宋体"/>
          <w:color w:val="auto"/>
          <w:szCs w:val="21"/>
        </w:rPr>
      </w:pPr>
      <w:r>
        <w:rPr>
          <w:rFonts w:hint="eastAsia" w:ascii="宋体" w:hAnsi="宋体"/>
          <w:color w:val="auto"/>
          <w:szCs w:val="21"/>
        </w:rPr>
        <w:t>第三章 投标人须知；</w:t>
      </w:r>
    </w:p>
    <w:p>
      <w:pPr>
        <w:spacing w:line="360" w:lineRule="auto"/>
        <w:ind w:firstLine="420" w:firstLineChars="200"/>
        <w:rPr>
          <w:rFonts w:ascii="宋体" w:hAnsi="宋体"/>
          <w:color w:val="auto"/>
          <w:szCs w:val="21"/>
        </w:rPr>
      </w:pPr>
      <w:r>
        <w:rPr>
          <w:rFonts w:hint="eastAsia" w:ascii="宋体" w:hAnsi="宋体"/>
          <w:color w:val="auto"/>
          <w:szCs w:val="21"/>
        </w:rPr>
        <w:t>第四章 评标方法和评标标准；</w:t>
      </w:r>
    </w:p>
    <w:p>
      <w:pPr>
        <w:spacing w:line="360" w:lineRule="auto"/>
        <w:ind w:firstLine="420" w:firstLineChars="200"/>
        <w:rPr>
          <w:rFonts w:ascii="宋体" w:hAnsi="宋体"/>
          <w:color w:val="auto"/>
          <w:szCs w:val="21"/>
        </w:rPr>
      </w:pPr>
      <w:r>
        <w:rPr>
          <w:rFonts w:hint="eastAsia" w:ascii="宋体" w:hAnsi="宋体"/>
          <w:color w:val="auto"/>
          <w:szCs w:val="21"/>
        </w:rPr>
        <w:t>第五章 拟签订的合同文本；</w:t>
      </w:r>
    </w:p>
    <w:p>
      <w:pPr>
        <w:spacing w:line="360" w:lineRule="auto"/>
        <w:ind w:firstLine="420" w:firstLineChars="200"/>
        <w:rPr>
          <w:rFonts w:ascii="宋体" w:hAnsi="宋体"/>
          <w:color w:val="auto"/>
          <w:szCs w:val="21"/>
        </w:rPr>
      </w:pPr>
      <w:r>
        <w:rPr>
          <w:rFonts w:hint="eastAsia" w:ascii="宋体" w:hAnsi="宋体"/>
          <w:color w:val="auto"/>
          <w:szCs w:val="21"/>
        </w:rPr>
        <w:t>第六章 投标文件格式；</w:t>
      </w:r>
    </w:p>
    <w:p>
      <w:pPr>
        <w:spacing w:line="360" w:lineRule="auto"/>
        <w:ind w:firstLine="420" w:firstLineChars="200"/>
        <w:rPr>
          <w:rFonts w:ascii="宋体" w:hAnsi="宋体"/>
          <w:color w:val="auto"/>
          <w:szCs w:val="21"/>
        </w:rPr>
      </w:pPr>
      <w:r>
        <w:rPr>
          <w:rFonts w:hint="eastAsia" w:ascii="宋体" w:hAnsi="宋体"/>
          <w:color w:val="auto"/>
          <w:szCs w:val="21"/>
        </w:rPr>
        <w:t>第七章 质疑、投诉材料格式</w:t>
      </w:r>
    </w:p>
    <w:p>
      <w:pPr>
        <w:spacing w:line="360" w:lineRule="auto"/>
        <w:ind w:firstLine="420" w:firstLineChars="200"/>
        <w:rPr>
          <w:rFonts w:hAnsi="宋体"/>
          <w:color w:val="auto"/>
        </w:rPr>
      </w:pPr>
      <w:r>
        <w:rPr>
          <w:rFonts w:hint="eastAsia" w:hAnsi="宋体"/>
          <w:color w:val="auto"/>
        </w:rPr>
        <w:t>根据本章</w:t>
      </w:r>
      <w:r>
        <w:rPr>
          <w:rFonts w:hint="eastAsia" w:ascii="宋体" w:hAnsi="宋体" w:cs="宋体"/>
          <w:color w:val="auto"/>
        </w:rPr>
        <w:t>第11.1</w:t>
      </w:r>
      <w:r>
        <w:rPr>
          <w:rFonts w:hint="eastAsia" w:hAnsi="宋体"/>
          <w:color w:val="auto"/>
        </w:rPr>
        <w:t>项的规定对招标文件所做的澄清、修改，构成招标文件的组成部分。当招标文件与招标文件的澄清和修改就同一内容的表述不一致时，</w:t>
      </w:r>
      <w:r>
        <w:rPr>
          <w:rFonts w:hint="eastAsia"/>
          <w:color w:val="auto"/>
        </w:rPr>
        <w:t>以最后澄清或修改公告为准。</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11.招标文件的澄清、修改 、现场考察和答疑会</w:t>
      </w:r>
    </w:p>
    <w:p>
      <w:pPr>
        <w:spacing w:line="360" w:lineRule="auto"/>
        <w:ind w:firstLine="422" w:firstLineChars="200"/>
        <w:rPr>
          <w:rFonts w:ascii="宋体" w:hAnsi="宋体"/>
          <w:b/>
          <w:color w:val="auto"/>
          <w:szCs w:val="21"/>
        </w:rPr>
      </w:pPr>
      <w:r>
        <w:rPr>
          <w:rFonts w:hint="eastAsia" w:ascii="宋体" w:hAnsi="宋体"/>
          <w:b/>
          <w:color w:val="auto"/>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pacing w:line="360" w:lineRule="auto"/>
        <w:ind w:firstLine="420" w:firstLineChars="200"/>
        <w:rPr>
          <w:rFonts w:ascii="宋体" w:hAnsi="宋体" w:cs="宋体"/>
          <w:color w:val="auto"/>
        </w:rPr>
      </w:pPr>
      <w:r>
        <w:rPr>
          <w:rFonts w:hint="eastAsia" w:ascii="宋体" w:hAnsi="宋体" w:cs="宋体"/>
          <w:color w:val="auto"/>
        </w:rPr>
        <w:t>11.2 投标人应认真审阅本招标文件，如有疑问，或发现其中有误或有要求不合理的，应在投标人须知前附表规定的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rPr>
        <w:t>前以书面形式要求采购人或采购代理机构对招标文件予以澄清；否则，由此产生的后果由投标人自行负责。</w:t>
      </w:r>
    </w:p>
    <w:p>
      <w:pPr>
        <w:spacing w:line="360" w:lineRule="auto"/>
        <w:ind w:firstLine="420" w:firstLineChars="200"/>
        <w:rPr>
          <w:rFonts w:ascii="宋体" w:hAnsi="宋体" w:cs="宋体"/>
          <w:color w:val="auto"/>
        </w:rPr>
      </w:pPr>
      <w:r>
        <w:rPr>
          <w:rFonts w:hint="eastAsia" w:ascii="宋体" w:hAnsi="宋体" w:cs="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rPr>
        <w:t>投标人须知前附表”</w:t>
      </w:r>
      <w:r>
        <w:rPr>
          <w:rFonts w:hint="eastAsia" w:ascii="宋体" w:hAnsi="宋体" w:cs="宋体"/>
          <w:color w:val="auto"/>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ascii="宋体" w:hAnsi="宋体" w:cs="宋体"/>
          <w:color w:val="auto"/>
        </w:rPr>
      </w:pPr>
      <w:r>
        <w:rPr>
          <w:rFonts w:hint="eastAsia" w:ascii="宋体" w:hAnsi="宋体" w:cs="宋体"/>
          <w:color w:val="auto"/>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ascii="宋体" w:hAnsi="宋体" w:cs="宋体"/>
          <w:color w:val="auto"/>
        </w:rPr>
      </w:pPr>
      <w:r>
        <w:rPr>
          <w:rFonts w:hint="eastAsia" w:ascii="宋体" w:hAnsi="宋体" w:cs="宋体"/>
          <w:color w:val="auto"/>
        </w:rPr>
        <w:t>11.4 采购人和采购代理机构可以视采购具体情况，变更投标截止时间和开标时间，将变更时间将在“</w:t>
      </w:r>
      <w:r>
        <w:rPr>
          <w:rFonts w:hint="eastAsia" w:ascii="宋体" w:hAnsi="宋体" w:cs="宋体"/>
          <w:color w:val="auto"/>
          <w:szCs w:val="21"/>
        </w:rPr>
        <w:t>投标人须知前附表”</w:t>
      </w:r>
      <w:r>
        <w:rPr>
          <w:rFonts w:hint="eastAsia" w:ascii="宋体" w:hAnsi="宋体" w:cs="宋体"/>
          <w:color w:val="auto"/>
          <w:kern w:val="0"/>
          <w:szCs w:val="21"/>
        </w:rPr>
        <w:t>规定的政府采购信息发布媒体上</w:t>
      </w:r>
      <w:r>
        <w:rPr>
          <w:rFonts w:hint="eastAsia" w:ascii="宋体" w:hAnsi="宋体" w:cs="宋体"/>
          <w:color w:val="auto"/>
        </w:rPr>
        <w:t>发布更正公告。</w:t>
      </w:r>
    </w:p>
    <w:p>
      <w:pPr>
        <w:spacing w:line="360" w:lineRule="auto"/>
        <w:ind w:firstLine="420" w:firstLineChars="200"/>
        <w:rPr>
          <w:rFonts w:ascii="宋体" w:hAnsi="宋体" w:cs="宋体"/>
          <w:color w:val="auto"/>
        </w:rPr>
      </w:pPr>
      <w:r>
        <w:rPr>
          <w:rFonts w:hint="eastAsia" w:ascii="宋体" w:hAnsi="宋体" w:cs="宋体"/>
          <w:color w:val="auto"/>
        </w:rPr>
        <w:t>11.</w:t>
      </w:r>
      <w:bookmarkStart w:id="173" w:name="_Hlk53134511"/>
      <w:r>
        <w:rPr>
          <w:rFonts w:hint="eastAsia" w:ascii="宋体" w:hAnsi="宋体" w:cs="宋体"/>
          <w:color w:val="auto"/>
        </w:rPr>
        <w:t>5采购人或者采购代理机构可以在招标文件提供期限截止后，组织已获取招标文件的潜在投标人现场考察或者召开开标前答疑会，具体详见“投标人须知前附表”。</w:t>
      </w:r>
    </w:p>
    <w:bookmarkEnd w:id="173"/>
    <w:p>
      <w:pPr>
        <w:pStyle w:val="5"/>
        <w:keepNext w:val="0"/>
        <w:keepLines w:val="0"/>
        <w:spacing w:line="400" w:lineRule="exact"/>
        <w:jc w:val="center"/>
        <w:rPr>
          <w:color w:val="auto"/>
        </w:rPr>
      </w:pPr>
      <w:bookmarkStart w:id="174" w:name="_Toc2635"/>
      <w:bookmarkStart w:id="175" w:name="_Toc254970676"/>
      <w:bookmarkStart w:id="176" w:name="_Toc24872"/>
      <w:bookmarkStart w:id="177" w:name="_Toc254970535"/>
      <w:bookmarkStart w:id="178" w:name="_Toc12080"/>
      <w:bookmarkStart w:id="179" w:name="_Toc7841"/>
      <w:bookmarkStart w:id="180" w:name="_Toc28419"/>
      <w:bookmarkStart w:id="181" w:name="_Toc16623"/>
      <w:bookmarkStart w:id="182" w:name="_Toc32154"/>
      <w:bookmarkStart w:id="183" w:name="_Toc20"/>
      <w:bookmarkStart w:id="184" w:name="_Toc27367"/>
      <w:bookmarkStart w:id="185" w:name="_Toc32499"/>
      <w:r>
        <w:rPr>
          <w:rFonts w:hint="eastAsia"/>
          <w:color w:val="auto"/>
        </w:rPr>
        <w:t>三、投标文件的编制</w:t>
      </w:r>
      <w:bookmarkEnd w:id="174"/>
      <w:bookmarkEnd w:id="175"/>
      <w:bookmarkEnd w:id="176"/>
      <w:bookmarkEnd w:id="177"/>
      <w:bookmarkEnd w:id="178"/>
      <w:bookmarkEnd w:id="179"/>
      <w:bookmarkEnd w:id="180"/>
      <w:bookmarkEnd w:id="181"/>
      <w:bookmarkEnd w:id="182"/>
      <w:bookmarkEnd w:id="183"/>
      <w:bookmarkEnd w:id="184"/>
      <w:bookmarkEnd w:id="185"/>
    </w:p>
    <w:p>
      <w:pPr>
        <w:spacing w:line="360" w:lineRule="auto"/>
        <w:ind w:firstLine="480" w:firstLineChars="200"/>
        <w:rPr>
          <w:rFonts w:ascii="黑体" w:hAnsi="黑体" w:eastAsia="黑体"/>
          <w:color w:val="auto"/>
          <w:sz w:val="24"/>
        </w:rPr>
      </w:pPr>
      <w:bookmarkStart w:id="186" w:name="_Toc254970536"/>
      <w:bookmarkStart w:id="187" w:name="_Toc254970677"/>
      <w:r>
        <w:rPr>
          <w:rFonts w:hint="eastAsia" w:ascii="黑体" w:hAnsi="黑体" w:eastAsia="黑体"/>
          <w:color w:val="auto"/>
          <w:sz w:val="24"/>
        </w:rPr>
        <w:t>12.投标文件的编制原则</w:t>
      </w:r>
    </w:p>
    <w:p>
      <w:pPr>
        <w:spacing w:line="360" w:lineRule="auto"/>
        <w:ind w:firstLine="420" w:firstLineChars="200"/>
        <w:rPr>
          <w:rFonts w:ascii="宋体" w:hAnsi="宋体"/>
          <w:color w:val="auto"/>
          <w:szCs w:val="21"/>
        </w:rPr>
      </w:pPr>
      <w:r>
        <w:rPr>
          <w:rFonts w:hint="eastAsia" w:ascii="宋体" w:hAnsi="宋体"/>
          <w:color w:val="auto"/>
          <w:szCs w:val="21"/>
        </w:rPr>
        <w:t>投标人必须按照招标文件的要求编制投标文件。投标文件必须对招标文件提出的要求和条件作出明确响应。</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13.投标文件的组成</w:t>
      </w:r>
      <w:bookmarkEnd w:id="186"/>
      <w:bookmarkEnd w:id="187"/>
    </w:p>
    <w:p>
      <w:pPr>
        <w:spacing w:line="360" w:lineRule="auto"/>
        <w:ind w:firstLine="420" w:firstLineChars="200"/>
        <w:rPr>
          <w:rFonts w:ascii="宋体" w:hAnsi="宋体"/>
          <w:color w:val="auto"/>
          <w:szCs w:val="21"/>
        </w:rPr>
      </w:pPr>
      <w:r>
        <w:rPr>
          <w:rFonts w:hint="eastAsia" w:ascii="宋体" w:hAnsi="宋体"/>
          <w:color w:val="auto"/>
          <w:szCs w:val="21"/>
        </w:rPr>
        <w:t>13.1投标文件由报价文件、资格证明文件、商务文件、技术文件四部分组成。</w:t>
      </w:r>
    </w:p>
    <w:p>
      <w:pPr>
        <w:spacing w:line="360" w:lineRule="auto"/>
        <w:ind w:firstLine="420" w:firstLineChars="200"/>
        <w:rPr>
          <w:rFonts w:ascii="宋体" w:hAnsi="宋体"/>
          <w:bCs/>
          <w:color w:val="auto"/>
          <w:szCs w:val="21"/>
        </w:rPr>
      </w:pPr>
      <w:bookmarkStart w:id="188" w:name="_13.2资格证明文件：具体材料见“投标人须知前附表”。"/>
      <w:bookmarkEnd w:id="188"/>
      <w:bookmarkStart w:id="189" w:name="_13.1报价文件:_具体材料见“投标人须知前附表”。"/>
      <w:bookmarkEnd w:id="189"/>
      <w:r>
        <w:rPr>
          <w:rFonts w:hint="eastAsia" w:ascii="宋体" w:hAnsi="宋体"/>
          <w:bCs/>
          <w:color w:val="auto"/>
          <w:szCs w:val="21"/>
        </w:rPr>
        <w:t>（1）资格证明文件：具体材料见“投标人须知前附表”。</w:t>
      </w:r>
    </w:p>
    <w:p>
      <w:pPr>
        <w:spacing w:line="360" w:lineRule="auto"/>
        <w:ind w:firstLine="420" w:firstLineChars="200"/>
        <w:rPr>
          <w:rFonts w:ascii="宋体" w:hAnsi="宋体"/>
          <w:bCs/>
          <w:color w:val="auto"/>
          <w:szCs w:val="21"/>
        </w:rPr>
      </w:pPr>
      <w:bookmarkStart w:id="190" w:name="_13.3商务文件:_具体材料见“投标人须知前附表”。"/>
      <w:bookmarkEnd w:id="190"/>
      <w:r>
        <w:rPr>
          <w:rFonts w:hint="eastAsia" w:ascii="宋体" w:hAnsi="宋体"/>
          <w:bCs/>
          <w:color w:val="auto"/>
          <w:szCs w:val="21"/>
        </w:rPr>
        <w:t>（2）商务文件：具体材料见“投标人须知前附表”。</w:t>
      </w:r>
    </w:p>
    <w:p>
      <w:pPr>
        <w:spacing w:line="360" w:lineRule="auto"/>
        <w:ind w:firstLine="420" w:firstLineChars="200"/>
        <w:rPr>
          <w:rFonts w:ascii="宋体" w:hAnsi="宋体"/>
          <w:bCs/>
          <w:color w:val="auto"/>
          <w:szCs w:val="21"/>
        </w:rPr>
      </w:pPr>
      <w:bookmarkStart w:id="191" w:name="_13.4技术文件：具体材料见“投标人须知前附表”。"/>
      <w:bookmarkEnd w:id="191"/>
      <w:r>
        <w:rPr>
          <w:rFonts w:hint="eastAsia" w:ascii="宋体" w:hAnsi="宋体"/>
          <w:bCs/>
          <w:color w:val="auto"/>
          <w:szCs w:val="21"/>
        </w:rPr>
        <w:t xml:space="preserve">（3）技术文件：具体材料见“投标人须知前附表”。 </w:t>
      </w:r>
    </w:p>
    <w:p>
      <w:pPr>
        <w:spacing w:line="360" w:lineRule="auto"/>
        <w:ind w:firstLine="420" w:firstLineChars="200"/>
        <w:rPr>
          <w:rFonts w:ascii="宋体" w:hAnsi="宋体"/>
          <w:bCs/>
          <w:color w:val="auto"/>
          <w:szCs w:val="21"/>
        </w:rPr>
      </w:pPr>
      <w:r>
        <w:rPr>
          <w:rFonts w:hint="eastAsia" w:ascii="宋体" w:hAnsi="宋体"/>
          <w:bCs/>
          <w:color w:val="auto"/>
          <w:szCs w:val="21"/>
        </w:rPr>
        <w:t>（4）报价文件： 具体材料见“投标人须知前附表”。</w:t>
      </w:r>
    </w:p>
    <w:p>
      <w:pPr>
        <w:spacing w:line="360" w:lineRule="auto"/>
        <w:ind w:firstLine="420" w:firstLineChars="200"/>
        <w:rPr>
          <w:rFonts w:ascii="宋体" w:hAnsi="宋体"/>
          <w:bCs/>
          <w:color w:val="auto"/>
          <w:szCs w:val="21"/>
        </w:rPr>
      </w:pPr>
      <w:bookmarkStart w:id="192" w:name="_13.5投标文件电子版：具体材料见“投标人须知前附表”。"/>
      <w:bookmarkEnd w:id="192"/>
      <w:r>
        <w:rPr>
          <w:rFonts w:hint="eastAsia" w:ascii="宋体" w:hAnsi="宋体"/>
          <w:bCs/>
          <w:color w:val="auto"/>
          <w:szCs w:val="21"/>
        </w:rPr>
        <w:t>13.2投标文件电子版：具体要求见本节19.投标文件编制。</w:t>
      </w:r>
    </w:p>
    <w:p>
      <w:pPr>
        <w:spacing w:line="360" w:lineRule="auto"/>
        <w:ind w:firstLine="480" w:firstLineChars="200"/>
        <w:rPr>
          <w:rFonts w:ascii="黑体" w:hAnsi="黑体" w:eastAsia="黑体"/>
          <w:color w:val="auto"/>
          <w:sz w:val="24"/>
        </w:rPr>
      </w:pPr>
      <w:bookmarkStart w:id="193" w:name="_Toc254970678"/>
      <w:bookmarkStart w:id="194" w:name="_Toc254970537"/>
      <w:r>
        <w:rPr>
          <w:rFonts w:hint="eastAsia" w:ascii="黑体" w:hAnsi="黑体" w:eastAsia="黑体"/>
          <w:color w:val="auto"/>
          <w:sz w:val="24"/>
        </w:rPr>
        <w:t>14.投标文件的语言及计量</w:t>
      </w:r>
      <w:bookmarkEnd w:id="193"/>
      <w:bookmarkEnd w:id="194"/>
    </w:p>
    <w:p>
      <w:pPr>
        <w:spacing w:line="360" w:lineRule="auto"/>
        <w:ind w:firstLine="420" w:firstLineChars="200"/>
        <w:rPr>
          <w:rFonts w:ascii="宋体" w:hAnsi="宋体"/>
          <w:bCs/>
          <w:color w:val="auto"/>
          <w:szCs w:val="21"/>
        </w:rPr>
      </w:pPr>
      <w:r>
        <w:rPr>
          <w:rFonts w:hint="eastAsia" w:ascii="宋体" w:hAnsi="宋体"/>
          <w:bCs/>
          <w:color w:val="auto"/>
          <w:szCs w:val="21"/>
        </w:rPr>
        <w:t>14.1语言文字</w:t>
      </w:r>
    </w:p>
    <w:p>
      <w:pPr>
        <w:spacing w:line="360" w:lineRule="auto"/>
        <w:ind w:firstLine="420" w:firstLineChars="200"/>
        <w:rPr>
          <w:rFonts w:ascii="宋体" w:hAnsi="宋体"/>
          <w:bCs/>
          <w:color w:val="auto"/>
          <w:szCs w:val="21"/>
        </w:rPr>
      </w:pPr>
      <w:r>
        <w:rPr>
          <w:rFonts w:hint="eastAsia" w:ascii="宋体" w:hAnsi="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ascii="宋体" w:hAnsi="宋体"/>
          <w:bCs/>
          <w:color w:val="auto"/>
          <w:szCs w:val="21"/>
        </w:rPr>
      </w:pPr>
      <w:r>
        <w:rPr>
          <w:rFonts w:hint="eastAsia" w:ascii="宋体" w:hAnsi="宋体"/>
          <w:bCs/>
          <w:color w:val="auto"/>
          <w:szCs w:val="21"/>
        </w:rPr>
        <w:t>14.2投标计量单位</w:t>
      </w:r>
    </w:p>
    <w:p>
      <w:pPr>
        <w:spacing w:line="360" w:lineRule="auto"/>
        <w:ind w:firstLine="420" w:firstLineChars="200"/>
        <w:rPr>
          <w:rFonts w:ascii="宋体" w:hAnsi="宋体"/>
          <w:bCs/>
          <w:color w:val="auto"/>
          <w:szCs w:val="21"/>
        </w:rPr>
      </w:pPr>
      <w:r>
        <w:rPr>
          <w:rFonts w:hint="eastAsia" w:ascii="宋体" w:hAnsi="宋体"/>
          <w:bCs/>
          <w:color w:val="auto"/>
          <w:szCs w:val="21"/>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15.投标文件提交的风险</w:t>
      </w:r>
    </w:p>
    <w:p>
      <w:pPr>
        <w:spacing w:line="360" w:lineRule="auto"/>
        <w:ind w:firstLine="420" w:firstLineChars="200"/>
        <w:rPr>
          <w:rFonts w:hAnsi="宋体"/>
          <w:b/>
          <w:bCs/>
          <w:color w:val="auto"/>
        </w:rPr>
      </w:pPr>
      <w:r>
        <w:rPr>
          <w:rFonts w:hint="eastAsia" w:hAnsi="宋体"/>
          <w:color w:val="auto"/>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olor w:val="auto"/>
          <w:sz w:val="24"/>
        </w:rPr>
      </w:pPr>
      <w:bookmarkStart w:id="195" w:name="_Toc254970679"/>
      <w:bookmarkStart w:id="196" w:name="_Toc254970538"/>
      <w:r>
        <w:rPr>
          <w:rFonts w:hint="eastAsia" w:ascii="黑体" w:hAnsi="黑体" w:eastAsia="黑体"/>
          <w:color w:val="auto"/>
          <w:sz w:val="24"/>
        </w:rPr>
        <w:t>16.投标报价</w:t>
      </w:r>
      <w:bookmarkEnd w:id="195"/>
      <w:bookmarkEnd w:id="19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pPr>
        <w:spacing w:line="360" w:lineRule="auto"/>
        <w:ind w:firstLine="420" w:firstLineChars="200"/>
        <w:rPr>
          <w:rFonts w:ascii="宋体" w:hAnsi="宋体"/>
          <w:bCs/>
          <w:color w:val="auto"/>
          <w:szCs w:val="21"/>
          <w:highlight w:val="none"/>
        </w:rPr>
      </w:pPr>
      <w:bookmarkStart w:id="197" w:name="_16.2投标报价具体定义见投标人须知前附表。"/>
      <w:bookmarkEnd w:id="197"/>
      <w:r>
        <w:rPr>
          <w:rFonts w:hint="eastAsia" w:ascii="宋体" w:hAnsi="宋体"/>
          <w:bCs/>
          <w:color w:val="auto"/>
          <w:szCs w:val="21"/>
          <w:highlight w:val="none"/>
        </w:rPr>
        <w:t>16.2投标报价具体包括内容详见“投标人须知前附表”。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16.3投标人必须就所投项目的全部内容分别作完整唯一总价报价，不得存在漏项报价；投标人必须就所投项目的单项内容作唯一报价。</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pPr>
        <w:spacing w:line="360" w:lineRule="auto"/>
        <w:ind w:firstLine="420" w:firstLineChars="200"/>
        <w:rPr>
          <w:rFonts w:ascii="宋体" w:hAnsi="宋体"/>
          <w:bCs/>
          <w:color w:val="auto"/>
          <w:szCs w:val="21"/>
          <w:highlight w:val="none"/>
        </w:rPr>
      </w:pPr>
      <w:bookmarkStart w:id="198" w:name="_17.1投标有效期应按“投标人须知中的前附表”规定的期限。"/>
      <w:bookmarkEnd w:id="198"/>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99" w:name="_Toc254970540"/>
      <w:bookmarkStart w:id="200" w:name="_Toc254970681"/>
      <w:r>
        <w:rPr>
          <w:rFonts w:hint="eastAsia" w:ascii="宋体" w:hAnsi="宋体"/>
          <w:bCs/>
          <w:color w:val="auto"/>
          <w:szCs w:val="21"/>
          <w:highlight w:val="none"/>
        </w:rPr>
        <w:t xml:space="preserve"> 投标有效期应按规定的期限作出承诺，具体详见“投标人须知前附表”。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99"/>
      <w:bookmarkEnd w:id="200"/>
    </w:p>
    <w:p>
      <w:pPr>
        <w:spacing w:line="360" w:lineRule="auto"/>
        <w:ind w:firstLine="480" w:firstLineChars="200"/>
        <w:rPr>
          <w:rFonts w:ascii="黑体" w:hAnsi="黑体" w:eastAsia="黑体"/>
          <w:color w:val="auto"/>
          <w:sz w:val="24"/>
          <w:highlight w:val="none"/>
        </w:rPr>
      </w:pPr>
      <w:bookmarkStart w:id="201" w:name="_18.投标保证金"/>
      <w:bookmarkEnd w:id="201"/>
      <w:bookmarkStart w:id="202" w:name="_Toc254970682"/>
      <w:bookmarkStart w:id="203" w:name="_Toc254970541"/>
      <w:r>
        <w:rPr>
          <w:rFonts w:hint="eastAsia" w:ascii="黑体" w:hAnsi="黑体" w:eastAsia="黑体"/>
          <w:color w:val="auto"/>
          <w:sz w:val="24"/>
          <w:highlight w:val="none"/>
        </w:rPr>
        <w:t>18.投标保证金</w:t>
      </w:r>
      <w:bookmarkEnd w:id="202"/>
      <w:bookmarkEnd w:id="203"/>
      <w:r>
        <w:rPr>
          <w:rFonts w:hint="eastAsia" w:ascii="黑体" w:hAnsi="黑体" w:eastAsia="黑体"/>
          <w:color w:val="auto"/>
          <w:sz w:val="24"/>
          <w:highlight w:val="none"/>
        </w:rPr>
        <w:t>：本项目不需要提交投标保证金。</w:t>
      </w:r>
    </w:p>
    <w:p>
      <w:pPr>
        <w:spacing w:line="360" w:lineRule="auto"/>
        <w:ind w:firstLine="480" w:firstLineChars="200"/>
        <w:rPr>
          <w:rFonts w:ascii="黑体" w:hAnsi="黑体" w:eastAsia="黑体"/>
          <w:color w:val="auto"/>
          <w:sz w:val="24"/>
          <w:highlight w:val="none"/>
        </w:rPr>
      </w:pPr>
      <w:bookmarkStart w:id="204" w:name="_Toc254970542"/>
      <w:bookmarkStart w:id="205" w:name="_Toc254970683"/>
      <w:r>
        <w:rPr>
          <w:rFonts w:hint="eastAsia" w:ascii="黑体" w:hAnsi="黑体" w:eastAsia="黑体"/>
          <w:color w:val="auto"/>
          <w:sz w:val="24"/>
          <w:highlight w:val="none"/>
        </w:rPr>
        <w:t>19.投标文件的</w:t>
      </w:r>
      <w:bookmarkEnd w:id="204"/>
      <w:bookmarkEnd w:id="205"/>
      <w:r>
        <w:rPr>
          <w:rFonts w:hint="eastAsia" w:ascii="黑体" w:hAnsi="黑体" w:eastAsia="黑体"/>
          <w:color w:val="auto"/>
          <w:sz w:val="24"/>
          <w:highlight w:val="none"/>
        </w:rPr>
        <w:t>编制</w:t>
      </w:r>
    </w:p>
    <w:p>
      <w:pPr>
        <w:spacing w:line="360" w:lineRule="auto"/>
        <w:ind w:firstLine="422" w:firstLineChars="200"/>
        <w:rPr>
          <w:rFonts w:ascii="宋体" w:hAnsi="宋体" w:cs="宋体"/>
          <w:color w:val="auto"/>
          <w:szCs w:val="21"/>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w:t>
      </w:r>
      <w:r>
        <w:rPr>
          <w:rFonts w:hint="eastAsia" w:ascii="宋体" w:hAnsi="宋体" w:cs="宋体"/>
          <w:color w:val="auto"/>
          <w:szCs w:val="21"/>
        </w:rPr>
        <w:t>不到相关内容的，由此引发的后果由投标人承担。</w:t>
      </w:r>
      <w:bookmarkStart w:id="206" w:name="_19.2投标文件应按报价文件、资格证明文件、商务文件、技术文件分别编制"/>
      <w:bookmarkEnd w:id="206"/>
      <w:r>
        <w:rPr>
          <w:rFonts w:hint="eastAsia" w:ascii="宋体" w:hAnsi="宋体" w:cs="宋体"/>
          <w:color w:val="auto"/>
          <w:szCs w:val="21"/>
        </w:rPr>
        <w:t xml:space="preserve"> </w:t>
      </w:r>
    </w:p>
    <w:p>
      <w:pPr>
        <w:pStyle w:val="37"/>
        <w:snapToGrid w:val="0"/>
        <w:spacing w:before="0"/>
        <w:ind w:firstLine="420"/>
        <w:rPr>
          <w:rFonts w:ascii="宋体" w:hAnsi="宋体" w:cs="宋体"/>
          <w:color w:val="auto"/>
          <w:sz w:val="21"/>
          <w:szCs w:val="21"/>
        </w:rPr>
      </w:pPr>
      <w:r>
        <w:rPr>
          <w:rFonts w:hint="eastAsia" w:ascii="宋体" w:hAnsi="宋体" w:cs="宋体"/>
          <w:color w:val="auto"/>
          <w:sz w:val="21"/>
          <w:szCs w:val="21"/>
        </w:rPr>
        <w:t>19.2投标文件按照招标文件第六章格式要求进行签署、盖章。投标人的投标文件未按照招标文件要求签署、盖章的，</w:t>
      </w:r>
      <w:r>
        <w:rPr>
          <w:rFonts w:hint="eastAsia" w:ascii="宋体" w:hAnsi="宋体" w:cs="宋体"/>
          <w:b/>
          <w:color w:val="auto"/>
          <w:sz w:val="21"/>
          <w:szCs w:val="21"/>
        </w:rPr>
        <w:t>其投标无效。</w:t>
      </w:r>
    </w:p>
    <w:p>
      <w:pPr>
        <w:pStyle w:val="37"/>
        <w:snapToGrid w:val="0"/>
        <w:spacing w:before="0"/>
        <w:ind w:firstLine="420"/>
        <w:rPr>
          <w:rFonts w:ascii="宋体" w:hAnsi="宋体" w:cs="宋体"/>
          <w:color w:val="auto"/>
          <w:sz w:val="21"/>
          <w:szCs w:val="21"/>
        </w:rPr>
      </w:pPr>
    </w:p>
    <w:p>
      <w:pPr>
        <w:pStyle w:val="37"/>
        <w:snapToGrid w:val="0"/>
        <w:spacing w:before="0"/>
        <w:ind w:firstLine="420"/>
        <w:rPr>
          <w:rFonts w:ascii="宋体" w:hAnsi="宋体" w:cs="宋体"/>
          <w:color w:val="auto"/>
          <w:sz w:val="21"/>
          <w:szCs w:val="21"/>
        </w:rPr>
      </w:pPr>
      <w:r>
        <w:rPr>
          <w:rFonts w:hint="eastAsia" w:ascii="宋体" w:hAnsi="宋体" w:cs="宋体"/>
          <w:color w:val="auto"/>
          <w:sz w:val="21"/>
          <w:szCs w:val="21"/>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0" w:firstLineChars="200"/>
        <w:rPr>
          <w:rFonts w:ascii="宋体" w:hAnsi="宋体" w:cs="宋体"/>
          <w:b w:val="0"/>
          <w:bCs/>
          <w:color w:val="auto"/>
          <w:szCs w:val="21"/>
        </w:rPr>
      </w:pPr>
      <w:r>
        <w:rPr>
          <w:rFonts w:hint="eastAsia" w:ascii="宋体" w:hAnsi="宋体" w:cs="宋体"/>
          <w:b w:val="0"/>
          <w:bCs/>
          <w:color w:val="auto"/>
          <w:szCs w:val="21"/>
        </w:rPr>
        <w:t>19.4投标文件中标注的投标人名称应与主体资格证明（如营业执照、事业单位法人证书、执业许可证、自然人身份证等）及公章一致，</w:t>
      </w:r>
      <w:r>
        <w:rPr>
          <w:rFonts w:hint="eastAsia" w:ascii="宋体" w:hAnsi="宋体" w:cs="宋体"/>
          <w:b/>
          <w:bCs w:val="0"/>
          <w:color w:val="auto"/>
          <w:szCs w:val="21"/>
        </w:rPr>
        <w:t>否则作无效投标处理</w:t>
      </w:r>
      <w:r>
        <w:rPr>
          <w:rFonts w:hint="eastAsia" w:ascii="宋体" w:hAnsi="宋体" w:cs="宋体"/>
          <w:b w:val="0"/>
          <w:bCs/>
          <w:color w:val="auto"/>
          <w:szCs w:val="21"/>
        </w:rPr>
        <w:t>。</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 19.5投标文件应避免涂改、行间插字或者删除。</w:t>
      </w:r>
    </w:p>
    <w:p>
      <w:pPr>
        <w:spacing w:line="360" w:lineRule="auto"/>
        <w:ind w:firstLine="525" w:firstLineChars="250"/>
        <w:rPr>
          <w:rFonts w:ascii="宋体" w:hAnsi="宋体" w:cs="宋体"/>
          <w:bCs/>
          <w:color w:val="auto"/>
        </w:rPr>
      </w:pPr>
      <w:r>
        <w:rPr>
          <w:rFonts w:hint="eastAsia" w:ascii="宋体" w:hAnsi="宋体" w:cs="宋体"/>
          <w:bCs/>
          <w:color w:val="auto"/>
        </w:rPr>
        <w:t>19.6 对招标文件的实质性要求和条件作出响应是指投标人必须对招标文件中标注为实质性要求和条件的</w:t>
      </w:r>
      <w:r>
        <w:rPr>
          <w:rFonts w:hint="eastAsia" w:ascii="宋体" w:hAnsi="宋体" w:cs="宋体"/>
          <w:bCs/>
          <w:color w:val="auto"/>
          <w:szCs w:val="21"/>
        </w:rPr>
        <w:t>服务内容及要求</w:t>
      </w:r>
      <w:r>
        <w:rPr>
          <w:rFonts w:hint="eastAsia" w:ascii="宋体" w:hAnsi="宋体" w:cs="宋体"/>
          <w:bCs/>
          <w:color w:val="auto"/>
        </w:rPr>
        <w:t>、商务条款及其它内容</w:t>
      </w:r>
      <w:r>
        <w:rPr>
          <w:rFonts w:hint="eastAsia" w:ascii="宋体" w:hAnsi="宋体" w:cs="宋体"/>
          <w:b w:val="0"/>
          <w:bCs/>
          <w:color w:val="auto"/>
        </w:rPr>
        <w:t>作出满足或者优于原要求和条件的承诺</w:t>
      </w:r>
      <w:r>
        <w:rPr>
          <w:rFonts w:hint="eastAsia" w:ascii="宋体" w:hAnsi="宋体" w:cs="宋体"/>
          <w:bCs/>
          <w:color w:val="auto"/>
        </w:rPr>
        <w:t>。</w:t>
      </w:r>
    </w:p>
    <w:p>
      <w:pPr>
        <w:spacing w:line="360" w:lineRule="auto"/>
        <w:ind w:firstLine="422" w:firstLineChars="200"/>
        <w:rPr>
          <w:rFonts w:ascii="宋体" w:hAnsi="宋体" w:cs="宋体"/>
          <w:b/>
          <w:color w:val="auto"/>
          <w:szCs w:val="21"/>
          <w:u w:val="single"/>
        </w:rPr>
      </w:pPr>
      <w:r>
        <w:rPr>
          <w:rFonts w:hint="eastAsia" w:ascii="宋体" w:hAnsi="宋体" w:cs="宋体"/>
          <w:b/>
          <w:color w:val="auto"/>
          <w:szCs w:val="21"/>
          <w:u w:val="single"/>
        </w:rPr>
        <w:t>19.7本项目为全流程电子化项目，异常情况见“第二节 投标人须知正文”中“四、24.2开标程序。</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20.备份投标文件</w:t>
      </w:r>
    </w:p>
    <w:p>
      <w:pPr>
        <w:spacing w:line="360" w:lineRule="auto"/>
        <w:ind w:firstLine="420" w:firstLineChars="200"/>
        <w:rPr>
          <w:rFonts w:ascii="黑体" w:hAnsi="黑体" w:eastAsia="黑体"/>
          <w:color w:val="auto"/>
          <w:sz w:val="24"/>
        </w:rPr>
      </w:pPr>
      <w:r>
        <w:rPr>
          <w:rFonts w:hint="eastAsia" w:hAnsi="宋体"/>
          <w:bCs/>
          <w:color w:val="auto"/>
          <w:szCs w:val="21"/>
        </w:rPr>
        <w:t>详见在“投标人须知前附表”。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21.投标文件的提交</w:t>
      </w:r>
    </w:p>
    <w:p>
      <w:pPr>
        <w:spacing w:line="360" w:lineRule="auto"/>
        <w:ind w:firstLine="420" w:firstLineChars="200"/>
        <w:rPr>
          <w:rFonts w:hAnsi="宋体"/>
          <w:b/>
          <w:color w:val="auto"/>
        </w:rPr>
      </w:pPr>
      <w:bookmarkStart w:id="207" w:name="_21.1投标人必须在“投标人须知中的前附表”规定的投标文件接收时间和投"/>
      <w:bookmarkEnd w:id="207"/>
      <w:r>
        <w:rPr>
          <w:rFonts w:hint="eastAsia" w:ascii="宋体" w:hAnsi="宋体" w:cs="宋体"/>
          <w:bCs/>
          <w:color w:val="auto"/>
          <w:szCs w:val="21"/>
        </w:rPr>
        <w:t>21.1</w:t>
      </w:r>
      <w:r>
        <w:rPr>
          <w:rFonts w:hint="eastAsia" w:hAnsi="宋体"/>
          <w:bCs/>
          <w:color w:val="auto"/>
          <w:szCs w:val="21"/>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cs="宋体"/>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21.2未在规定时间内提交或者未按照招标文件要求密封或者标记的电子投标文件，广西政府采购云平台将拒收。</w:t>
      </w:r>
    </w:p>
    <w:p>
      <w:pPr>
        <w:spacing w:line="360" w:lineRule="auto"/>
        <w:ind w:firstLine="420" w:firstLineChars="200"/>
        <w:rPr>
          <w:rFonts w:ascii="宋体" w:hAnsi="宋体"/>
          <w:color w:val="auto"/>
          <w:szCs w:val="21"/>
        </w:rPr>
      </w:pPr>
      <w:r>
        <w:rPr>
          <w:rFonts w:hint="eastAsia" w:ascii="宋体" w:hAnsi="宋体"/>
          <w:color w:val="auto"/>
          <w:szCs w:val="21"/>
        </w:rPr>
        <w:t>21.3电子版投标文件提交方式见“招标公告”。</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22. 投标文件的补充、修改、撤回</w:t>
      </w:r>
      <w:bookmarkStart w:id="208" w:name="_Toc254970543"/>
      <w:bookmarkStart w:id="209" w:name="_Toc254970684"/>
    </w:p>
    <w:p>
      <w:pPr>
        <w:spacing w:line="360" w:lineRule="auto"/>
        <w:ind w:firstLine="420" w:firstLineChars="200"/>
        <w:rPr>
          <w:rFonts w:ascii="黑体" w:hAnsi="黑体" w:eastAsia="黑体"/>
          <w:color w:val="auto"/>
          <w:sz w:val="24"/>
        </w:rPr>
      </w:pPr>
      <w:r>
        <w:rPr>
          <w:rFonts w:hint="eastAsia" w:ascii="宋体" w:hAnsi="宋体" w:cs="宋体"/>
          <w:color w:val="auto"/>
          <w:szCs w:val="21"/>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37"/>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22.2广西政府采购云平台收到投标文件，将妥善保存并即时向投标人发出确认回执通知。在投标截止时间前，除投标人补充、修改或者撤回投标文件外，任何单位和个人不得解密或提取投标文件。</w:t>
      </w:r>
    </w:p>
    <w:bookmarkEnd w:id="208"/>
    <w:bookmarkEnd w:id="209"/>
    <w:p>
      <w:pPr>
        <w:pStyle w:val="14"/>
        <w:snapToGrid w:val="0"/>
        <w:spacing w:line="400" w:lineRule="exact"/>
        <w:ind w:firstLine="739"/>
        <w:rPr>
          <w:rFonts w:hAnsi="宋体"/>
          <w:snapToGrid w:val="0"/>
          <w:color w:val="auto"/>
          <w:sz w:val="21"/>
          <w:szCs w:val="21"/>
        </w:rPr>
      </w:pPr>
    </w:p>
    <w:p>
      <w:pPr>
        <w:pStyle w:val="5"/>
        <w:keepNext w:val="0"/>
        <w:keepLines w:val="0"/>
        <w:spacing w:line="400" w:lineRule="exact"/>
        <w:jc w:val="center"/>
        <w:rPr>
          <w:color w:val="auto"/>
        </w:rPr>
      </w:pPr>
      <w:bookmarkStart w:id="210" w:name="_Toc13250"/>
      <w:bookmarkStart w:id="211" w:name="_Toc810"/>
      <w:bookmarkStart w:id="212" w:name="_Toc27037"/>
      <w:bookmarkStart w:id="213" w:name="_Toc22661"/>
      <w:bookmarkStart w:id="214" w:name="_Toc12790"/>
      <w:bookmarkStart w:id="215" w:name="_Toc254970544"/>
      <w:bookmarkStart w:id="216" w:name="_Toc1356"/>
      <w:bookmarkStart w:id="217" w:name="_Toc32494"/>
      <w:bookmarkStart w:id="218" w:name="_Toc1586"/>
      <w:bookmarkStart w:id="219" w:name="_Toc254970685"/>
      <w:bookmarkStart w:id="220" w:name="_Toc14091"/>
      <w:bookmarkStart w:id="221" w:name="_Toc2573"/>
      <w:r>
        <w:rPr>
          <w:rFonts w:hint="eastAsia"/>
          <w:color w:val="auto"/>
        </w:rPr>
        <w:t>四、开</w:t>
      </w:r>
      <w:r>
        <w:rPr>
          <w:color w:val="auto"/>
        </w:rPr>
        <w:t xml:space="preserve">    </w:t>
      </w:r>
      <w:r>
        <w:rPr>
          <w:rFonts w:hint="eastAsia"/>
          <w:color w:val="auto"/>
        </w:rPr>
        <w:t>标</w:t>
      </w:r>
      <w:bookmarkEnd w:id="210"/>
      <w:bookmarkEnd w:id="211"/>
      <w:bookmarkEnd w:id="212"/>
      <w:bookmarkEnd w:id="213"/>
      <w:bookmarkEnd w:id="214"/>
      <w:bookmarkEnd w:id="215"/>
      <w:bookmarkEnd w:id="216"/>
      <w:bookmarkEnd w:id="217"/>
      <w:bookmarkEnd w:id="218"/>
      <w:bookmarkEnd w:id="219"/>
      <w:bookmarkEnd w:id="220"/>
      <w:bookmarkEnd w:id="221"/>
    </w:p>
    <w:p>
      <w:pPr>
        <w:spacing w:line="360" w:lineRule="auto"/>
        <w:ind w:firstLine="480" w:firstLineChars="200"/>
        <w:rPr>
          <w:rFonts w:ascii="黑体" w:hAnsi="黑体" w:eastAsia="黑体"/>
          <w:color w:val="auto"/>
          <w:sz w:val="24"/>
        </w:rPr>
      </w:pPr>
      <w:bookmarkStart w:id="222" w:name="_23.开标时间和地点"/>
      <w:bookmarkEnd w:id="222"/>
      <w:r>
        <w:rPr>
          <w:rFonts w:hint="eastAsia" w:ascii="黑体" w:hAnsi="黑体" w:eastAsia="黑体"/>
          <w:color w:val="auto"/>
          <w:sz w:val="24"/>
        </w:rPr>
        <w:t>23.开标时间和地点</w:t>
      </w:r>
    </w:p>
    <w:p>
      <w:pPr>
        <w:spacing w:line="360" w:lineRule="auto"/>
        <w:ind w:firstLine="420" w:firstLineChars="200"/>
        <w:rPr>
          <w:rFonts w:ascii="宋体" w:hAnsi="宋体" w:cs="宋体"/>
          <w:bCs/>
          <w:color w:val="auto"/>
        </w:rPr>
      </w:pPr>
      <w:r>
        <w:rPr>
          <w:rFonts w:hint="eastAsia" w:ascii="宋体" w:hAnsi="宋体" w:cs="宋体"/>
          <w:bCs/>
          <w:color w:val="auto"/>
        </w:rPr>
        <w:t>23.1开标时间及地点详见“投标人须知前附表”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23.2如</w:t>
      </w:r>
      <w:r>
        <w:rPr>
          <w:rFonts w:hint="eastAsia" w:ascii="宋体" w:hAnsi="宋体" w:cs="宋体"/>
          <w:bCs/>
          <w:color w:val="auto"/>
        </w:rPr>
        <w:t>投标人成功解密投标文件，但未在</w:t>
      </w:r>
      <w:r>
        <w:rPr>
          <w:rFonts w:hint="eastAsia" w:ascii="宋体" w:hAnsi="宋体" w:cs="宋体"/>
          <w:color w:val="auto"/>
          <w:szCs w:val="21"/>
        </w:rPr>
        <w:t>广西政府采购云平台</w:t>
      </w:r>
      <w:r>
        <w:rPr>
          <w:rFonts w:hint="eastAsia" w:ascii="宋体" w:hAnsi="宋体" w:cs="宋体"/>
          <w:bCs/>
          <w:color w:val="auto"/>
        </w:rPr>
        <w:t>电子开标大厅参加开标的，视同认可开标过程和结果，</w:t>
      </w:r>
      <w:r>
        <w:rPr>
          <w:rFonts w:hint="eastAsia" w:ascii="宋体" w:hAnsi="宋体" w:cs="宋体"/>
          <w:color w:val="auto"/>
        </w:rPr>
        <w:t>由此产生的后果由投标人自行负责。 投标人不足3家的，不得开标。</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24.开标程序</w:t>
      </w:r>
    </w:p>
    <w:p>
      <w:pPr>
        <w:autoSpaceDE w:val="0"/>
        <w:autoSpaceDN w:val="0"/>
        <w:adjustRightInd w:val="0"/>
        <w:spacing w:line="440" w:lineRule="exact"/>
        <w:ind w:firstLine="420" w:firstLineChars="200"/>
        <w:rPr>
          <w:rFonts w:ascii="宋体" w:hAnsi="宋体"/>
          <w:color w:val="auto"/>
          <w:kern w:val="0"/>
          <w:szCs w:val="21"/>
        </w:rPr>
      </w:pPr>
      <w:r>
        <w:rPr>
          <w:rFonts w:hint="eastAsia" w:ascii="宋体" w:hAnsi="宋体"/>
          <w:bCs/>
          <w:color w:val="auto"/>
          <w:szCs w:val="21"/>
        </w:rPr>
        <w:t>24.1</w:t>
      </w:r>
      <w:r>
        <w:rPr>
          <w:rFonts w:hint="eastAsia" w:ascii="宋体" w:hAnsi="宋体"/>
          <w:color w:val="auto"/>
          <w:kern w:val="0"/>
          <w:szCs w:val="21"/>
        </w:rPr>
        <w:t>开标形式：</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color w:val="auto"/>
          <w:szCs w:val="21"/>
        </w:rPr>
        <w:t>（1）</w:t>
      </w:r>
      <w:r>
        <w:rPr>
          <w:rFonts w:hint="eastAsia" w:ascii="宋体" w:hAnsi="宋体"/>
          <w:bCs/>
          <w:color w:val="auto"/>
          <w:szCs w:val="21"/>
        </w:rPr>
        <w:t>开标的准备工作由采购代理机构负责落实，采购代理机构必须基于</w:t>
      </w:r>
      <w:r>
        <w:rPr>
          <w:rFonts w:hint="eastAsia" w:ascii="宋体" w:hAnsi="宋体" w:cs="宋体"/>
          <w:color w:val="auto"/>
          <w:szCs w:val="21"/>
        </w:rPr>
        <w:t>广西政府采购云平台</w:t>
      </w:r>
      <w:r>
        <w:rPr>
          <w:rFonts w:hint="eastAsia" w:ascii="宋体" w:hAnsi="宋体"/>
          <w:bCs/>
          <w:color w:val="auto"/>
          <w:szCs w:val="21"/>
        </w:rPr>
        <w:t>依法抽取评审专家，如采购代理机构未按规定抽取专家的，视为本次开评标无效，应当重新采购；</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（2）采购代理机构将按照招标文件规定的时间通过</w:t>
      </w:r>
      <w:r>
        <w:rPr>
          <w:rFonts w:hint="eastAsia" w:ascii="宋体" w:hAnsi="宋体" w:cs="宋体"/>
          <w:color w:val="auto"/>
          <w:szCs w:val="21"/>
        </w:rPr>
        <w:t>广西政府采购云平台</w:t>
      </w:r>
      <w:r>
        <w:rPr>
          <w:rFonts w:hint="eastAsia" w:ascii="宋体" w:hAnsi="宋体"/>
          <w:bCs/>
          <w:color w:val="auto"/>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24.2开标程序：</w:t>
      </w:r>
    </w:p>
    <w:p>
      <w:pPr>
        <w:pStyle w:val="18"/>
        <w:snapToGrid w:val="0"/>
        <w:spacing w:line="440" w:lineRule="exact"/>
        <w:ind w:firstLine="422" w:firstLineChars="200"/>
        <w:rPr>
          <w:rFonts w:hAnsi="宋体"/>
          <w:color w:val="auto"/>
          <w:szCs w:val="21"/>
        </w:rPr>
      </w:pPr>
      <w:r>
        <w:rPr>
          <w:rFonts w:hint="eastAsia" w:hAnsi="宋体"/>
          <w:b/>
          <w:color w:val="auto"/>
          <w:szCs w:val="21"/>
        </w:rPr>
        <w:t>（1）解密电子投标文件。</w:t>
      </w:r>
      <w:r>
        <w:rPr>
          <w:rFonts w:hint="eastAsia" w:hAnsi="宋体" w:cs="宋体"/>
          <w:color w:val="auto"/>
          <w:szCs w:val="21"/>
        </w:rPr>
        <w:t>广西政府采购云平台</w:t>
      </w:r>
      <w:r>
        <w:rPr>
          <w:rFonts w:hint="eastAsia" w:hAnsi="宋体" w:cs="仿宋_GB2312"/>
          <w:color w:val="auto"/>
          <w:szCs w:val="21"/>
          <w:highlight w:val="none"/>
        </w:rPr>
        <w:t>按开标时间自动提取</w:t>
      </w:r>
      <w:r>
        <w:rPr>
          <w:rFonts w:hint="eastAsia" w:hAnsi="宋体" w:cs="仿宋_GB2312"/>
          <w:color w:val="auto"/>
          <w:szCs w:val="21"/>
        </w:rPr>
        <w:t>所有投标文件。采购代理机构依托</w:t>
      </w:r>
      <w:r>
        <w:rPr>
          <w:rFonts w:hint="eastAsia" w:hAnsi="宋体" w:cs="宋体"/>
          <w:color w:val="auto"/>
          <w:szCs w:val="21"/>
        </w:rPr>
        <w:t>广西政府采购云平台</w:t>
      </w:r>
      <w:r>
        <w:rPr>
          <w:rFonts w:hint="eastAsia" w:hAnsi="宋体"/>
          <w:color w:val="auto"/>
          <w:szCs w:val="21"/>
        </w:rPr>
        <w:t>向各投标人发出电子加密投标文件【开始解密】通知，由投标人在规定的时间内自行将投标文件在线解密。投标人的法定代表人或其委托代理人</w:t>
      </w:r>
      <w:r>
        <w:rPr>
          <w:rFonts w:hint="eastAsia" w:hAnsi="宋体"/>
          <w:b/>
          <w:color w:val="auto"/>
          <w:szCs w:val="21"/>
        </w:rPr>
        <w:t>须携带加密时所用的CA锁准时登录到广西政府采购云平台电子开标大厅签到并对电子投标文件在线解密</w:t>
      </w:r>
      <w:r>
        <w:rPr>
          <w:rFonts w:hint="eastAsia" w:hAnsi="宋体"/>
          <w:color w:val="auto"/>
          <w:szCs w:val="21"/>
        </w:rPr>
        <w:t>。</w:t>
      </w:r>
      <w:r>
        <w:rPr>
          <w:rFonts w:hint="eastAsia" w:hAnsi="宋体"/>
          <w:b/>
          <w:bCs/>
          <w:color w:val="auto"/>
          <w:szCs w:val="21"/>
        </w:rPr>
        <w:t>投标文件未按时解密的，</w:t>
      </w:r>
      <w:r>
        <w:rPr>
          <w:rFonts w:hint="eastAsia" w:hAnsi="宋体"/>
          <w:b/>
          <w:color w:val="auto"/>
          <w:szCs w:val="21"/>
        </w:rPr>
        <w:t>均视为无效投标。</w:t>
      </w:r>
    </w:p>
    <w:p>
      <w:pPr>
        <w:pStyle w:val="18"/>
        <w:snapToGrid w:val="0"/>
        <w:spacing w:line="440" w:lineRule="exact"/>
        <w:ind w:firstLine="420" w:firstLineChars="200"/>
        <w:rPr>
          <w:rFonts w:hAnsi="宋体"/>
          <w:color w:val="auto"/>
          <w:szCs w:val="21"/>
        </w:rPr>
      </w:pPr>
      <w:r>
        <w:rPr>
          <w:rFonts w:hint="eastAsia" w:hAnsi="宋体"/>
          <w:color w:val="auto"/>
          <w:szCs w:val="21"/>
        </w:rPr>
        <w:t>（解密</w:t>
      </w:r>
      <w:r>
        <w:rPr>
          <w:rFonts w:hint="eastAsia" w:hAnsi="宋体"/>
          <w:bCs/>
          <w:color w:val="auto"/>
          <w:szCs w:val="21"/>
        </w:rPr>
        <w:t>异常情况处理：详见本章</w:t>
      </w:r>
      <w:r>
        <w:rPr>
          <w:rFonts w:hint="eastAsia" w:hAnsi="宋体"/>
          <w:color w:val="auto"/>
        </w:rPr>
        <w:t>29.3 电子交易活动的中止。</w:t>
      </w:r>
      <w:r>
        <w:rPr>
          <w:rFonts w:hint="eastAsia"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
          <w:color w:val="auto"/>
          <w:szCs w:val="21"/>
        </w:rPr>
        <w:t>电子唱标。</w:t>
      </w:r>
      <w:r>
        <w:rPr>
          <w:rFonts w:hint="eastAsia" w:ascii="宋体" w:hAnsi="宋体"/>
          <w:color w:val="auto"/>
          <w:szCs w:val="21"/>
        </w:rPr>
        <w:t>投标文件解密结束，各投标人报价均在</w:t>
      </w:r>
      <w:r>
        <w:rPr>
          <w:rFonts w:hint="eastAsia" w:ascii="宋体" w:hAnsi="宋体" w:cs="宋体"/>
          <w:color w:val="auto"/>
          <w:szCs w:val="21"/>
        </w:rPr>
        <w:t>广西政府采购云平台</w:t>
      </w:r>
      <w:r>
        <w:rPr>
          <w:rFonts w:hint="eastAsia" w:ascii="宋体" w:hAnsi="宋体"/>
          <w:color w:val="auto"/>
          <w:szCs w:val="21"/>
        </w:rPr>
        <w:t>远程不见面开标大厅展示；</w:t>
      </w:r>
    </w:p>
    <w:p>
      <w:pPr>
        <w:spacing w:line="360" w:lineRule="auto"/>
        <w:ind w:firstLine="420" w:firstLineChars="200"/>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ascii="宋体" w:hAnsi="宋体"/>
          <w:bCs/>
          <w:color w:val="auto"/>
          <w:szCs w:val="21"/>
        </w:rPr>
      </w:pPr>
      <w:r>
        <w:rPr>
          <w:rFonts w:hint="eastAsia" w:ascii="宋体" w:hAnsi="宋体"/>
          <w:bCs/>
          <w:color w:val="auto"/>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ascii="宋体" w:hAnsi="宋体"/>
          <w:bCs/>
          <w:color w:val="auto"/>
          <w:szCs w:val="21"/>
        </w:rPr>
      </w:pPr>
      <w:r>
        <w:rPr>
          <w:rFonts w:hint="eastAsia" w:ascii="宋体" w:hAnsi="宋体"/>
          <w:bCs/>
          <w:color w:val="auto"/>
          <w:szCs w:val="21"/>
        </w:rPr>
        <w:t>（5）开标结束。</w:t>
      </w:r>
    </w:p>
    <w:p>
      <w:pPr>
        <w:pStyle w:val="18"/>
        <w:snapToGrid w:val="0"/>
        <w:spacing w:line="440" w:lineRule="exact"/>
        <w:ind w:firstLine="422" w:firstLineChars="200"/>
        <w:rPr>
          <w:rFonts w:hAnsi="宋体"/>
          <w:color w:val="auto"/>
          <w:szCs w:val="21"/>
        </w:rPr>
      </w:pPr>
      <w:r>
        <w:rPr>
          <w:rFonts w:hint="eastAsia" w:hAnsi="宋体"/>
          <w:b/>
          <w:bCs/>
          <w:color w:val="auto"/>
          <w:szCs w:val="21"/>
        </w:rPr>
        <w:t>特别说明：</w:t>
      </w:r>
      <w:r>
        <w:rPr>
          <w:rFonts w:hint="eastAsia" w:hAnsi="宋体"/>
          <w:color w:val="auto"/>
          <w:szCs w:val="21"/>
        </w:rPr>
        <w:t>如遇</w:t>
      </w:r>
      <w:r>
        <w:rPr>
          <w:rFonts w:hint="eastAsia" w:hAnsi="宋体" w:cs="宋体"/>
          <w:color w:val="auto"/>
          <w:szCs w:val="21"/>
        </w:rPr>
        <w:t>广西政府采购云平台</w:t>
      </w:r>
      <w:r>
        <w:rPr>
          <w:rFonts w:hint="eastAsia" w:hAnsi="宋体"/>
          <w:color w:val="auto"/>
          <w:szCs w:val="21"/>
        </w:rPr>
        <w:t>电子化开标或评审程序调整的，按调整后执行。</w:t>
      </w:r>
    </w:p>
    <w:p>
      <w:pPr>
        <w:pStyle w:val="18"/>
        <w:snapToGrid w:val="0"/>
        <w:spacing w:line="400" w:lineRule="exact"/>
        <w:ind w:left="689" w:leftChars="228" w:hanging="210" w:hangingChars="100"/>
        <w:rPr>
          <w:rFonts w:hAnsi="宋体"/>
          <w:color w:val="auto"/>
        </w:rPr>
      </w:pPr>
    </w:p>
    <w:p>
      <w:pPr>
        <w:pStyle w:val="5"/>
        <w:keepNext w:val="0"/>
        <w:keepLines w:val="0"/>
        <w:spacing w:line="400" w:lineRule="exact"/>
        <w:jc w:val="center"/>
        <w:rPr>
          <w:color w:val="auto"/>
        </w:rPr>
      </w:pPr>
      <w:bookmarkStart w:id="223" w:name="_Toc19053"/>
      <w:bookmarkStart w:id="224" w:name="_Toc22509"/>
      <w:bookmarkStart w:id="225" w:name="_Toc2575"/>
      <w:bookmarkStart w:id="226" w:name="_Toc29189"/>
      <w:bookmarkStart w:id="227" w:name="_Toc6866"/>
      <w:bookmarkStart w:id="228" w:name="_Toc1489"/>
      <w:bookmarkStart w:id="229" w:name="_Toc23512"/>
      <w:bookmarkStart w:id="230" w:name="_Toc8919"/>
      <w:bookmarkStart w:id="231" w:name="_Toc31994"/>
      <w:bookmarkStart w:id="232" w:name="_Toc25053"/>
      <w:r>
        <w:rPr>
          <w:rFonts w:hint="eastAsia"/>
          <w:color w:val="auto"/>
        </w:rPr>
        <w:t>五、资格审查</w:t>
      </w:r>
      <w:bookmarkEnd w:id="223"/>
      <w:bookmarkEnd w:id="224"/>
      <w:bookmarkEnd w:id="225"/>
      <w:bookmarkEnd w:id="226"/>
      <w:bookmarkEnd w:id="227"/>
      <w:bookmarkEnd w:id="228"/>
      <w:bookmarkEnd w:id="229"/>
      <w:bookmarkEnd w:id="230"/>
      <w:bookmarkEnd w:id="231"/>
      <w:bookmarkEnd w:id="232"/>
    </w:p>
    <w:p>
      <w:pPr>
        <w:pStyle w:val="7"/>
        <w:keepNext w:val="0"/>
        <w:keepLines w:val="0"/>
        <w:spacing w:before="0" w:after="0" w:line="360" w:lineRule="auto"/>
        <w:ind w:firstLine="482" w:firstLineChars="200"/>
        <w:rPr>
          <w:rFonts w:ascii="黑体" w:hAnsi="黑体" w:eastAsia="黑体"/>
          <w:color w:val="auto"/>
          <w:sz w:val="24"/>
        </w:rPr>
      </w:pPr>
      <w:r>
        <w:rPr>
          <w:rFonts w:hint="eastAsia" w:ascii="黑体" w:hAnsi="黑体" w:eastAsia="黑体"/>
          <w:color w:val="auto"/>
          <w:sz w:val="24"/>
        </w:rPr>
        <w:t>25.资格审查</w:t>
      </w:r>
    </w:p>
    <w:p>
      <w:pPr>
        <w:spacing w:line="360" w:lineRule="auto"/>
        <w:ind w:firstLine="422" w:firstLineChars="200"/>
        <w:rPr>
          <w:rFonts w:ascii="宋体" w:hAnsi="宋体"/>
          <w:b/>
          <w:bCs/>
          <w:color w:val="auto"/>
          <w:szCs w:val="20"/>
        </w:rPr>
      </w:pPr>
      <w:r>
        <w:rPr>
          <w:rFonts w:hint="eastAsia" w:ascii="宋体" w:hAnsi="宋体"/>
          <w:b/>
          <w:bCs/>
          <w:color w:val="auto"/>
          <w:szCs w:val="20"/>
        </w:rPr>
        <w:t xml:space="preserve"> 25.1开标结束后，采购人或采购代理机构依法通过电子投标文件对投标人的资格进行线上审查。</w:t>
      </w:r>
    </w:p>
    <w:p>
      <w:pPr>
        <w:spacing w:line="360" w:lineRule="auto"/>
        <w:ind w:firstLine="420" w:firstLineChars="200"/>
        <w:rPr>
          <w:rFonts w:ascii="宋体" w:hAnsi="宋体"/>
          <w:color w:val="auto"/>
        </w:rPr>
      </w:pPr>
      <w:r>
        <w:rPr>
          <w:rFonts w:hint="eastAsia" w:ascii="宋体" w:hAnsi="宋体"/>
          <w:color w:val="auto"/>
        </w:rPr>
        <w:t>25.2资格审查标准为本“招标文件”中“投标人须知前附表”13.1点载明对投标人资格要求的条件。本项目资格审查采用合格制，凡符合招标文件规定的投标人资格要求的投标人均通过资格审查。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ascii="宋体" w:hAnsi="宋体"/>
          <w:b/>
          <w:bCs/>
          <w:color w:val="auto"/>
          <w:szCs w:val="20"/>
        </w:rPr>
      </w:pPr>
      <w:bookmarkStart w:id="233" w:name="_25.3_投标人有下列情形之一的，资格审查不通过而导致其投标无效："/>
      <w:bookmarkEnd w:id="233"/>
      <w:r>
        <w:rPr>
          <w:rFonts w:hint="eastAsia" w:ascii="宋体" w:hAnsi="宋体"/>
          <w:b/>
          <w:bCs/>
          <w:color w:val="auto"/>
          <w:szCs w:val="20"/>
        </w:rPr>
        <w:t>25.3投标人有下列情形之一的，资格审查不通过，作无效投标处理：</w:t>
      </w:r>
    </w:p>
    <w:p>
      <w:pPr>
        <w:spacing w:line="360" w:lineRule="auto"/>
        <w:ind w:firstLine="420" w:firstLineChars="200"/>
        <w:rPr>
          <w:rFonts w:ascii="宋体" w:hAnsi="宋体" w:cs="宋体"/>
          <w:color w:val="auto"/>
        </w:rPr>
      </w:pPr>
      <w:r>
        <w:rPr>
          <w:rFonts w:hint="eastAsia" w:ascii="宋体" w:hAnsi="宋体" w:cs="宋体"/>
          <w:color w:val="auto"/>
        </w:rPr>
        <w:t>（1）不具备招标文件中规定的资格要求的；（注：其中信用查询规则见“投标人须知前附表”，</w:t>
      </w:r>
      <w:r>
        <w:rPr>
          <w:rFonts w:hint="eastAsia" w:ascii="宋体" w:hAnsi="宋体" w:cs="宋体"/>
          <w:color w:val="auto"/>
          <w:szCs w:val="21"/>
        </w:rPr>
        <w:t>广西政府采购云平台</w:t>
      </w:r>
      <w:r>
        <w:rPr>
          <w:rFonts w:hint="eastAsia" w:ascii="宋体" w:hAnsi="宋体" w:cs="宋体"/>
          <w:color w:val="auto"/>
        </w:rPr>
        <w:t>已与“信用中国”平台做接口，采购人或者采购代理机构可直接在线查询）</w:t>
      </w:r>
    </w:p>
    <w:p>
      <w:pPr>
        <w:spacing w:line="360" w:lineRule="auto"/>
        <w:ind w:firstLine="420" w:firstLineChars="200"/>
        <w:rPr>
          <w:rFonts w:ascii="宋体" w:hAnsi="宋体" w:cs="宋体"/>
          <w:color w:val="auto"/>
        </w:rPr>
      </w:pPr>
      <w:r>
        <w:rPr>
          <w:rFonts w:hint="eastAsia" w:ascii="宋体" w:hAnsi="宋体" w:cs="宋体"/>
          <w:color w:val="auto"/>
        </w:rPr>
        <w:t>（2）投标文件未提供任一项“投标人须知前附表”资格证明文件规定的“必须提供”的文件资料的；</w:t>
      </w:r>
    </w:p>
    <w:p>
      <w:pPr>
        <w:spacing w:line="360" w:lineRule="auto"/>
        <w:ind w:firstLine="420" w:firstLineChars="200"/>
        <w:rPr>
          <w:rFonts w:ascii="宋体" w:hAnsi="宋体" w:cs="宋体"/>
          <w:color w:val="auto"/>
        </w:rPr>
      </w:pPr>
      <w:r>
        <w:rPr>
          <w:rFonts w:hint="eastAsia" w:ascii="宋体" w:hAnsi="宋体" w:cs="宋体"/>
          <w:color w:val="auto"/>
        </w:rPr>
        <w:t>（3）投标文件提供的资格证明文件出现任一项不符合“投标人须知前附表”资格证明文件规定的“必须提供”的文件资料要求或者无效的。</w:t>
      </w:r>
    </w:p>
    <w:p>
      <w:pPr>
        <w:pStyle w:val="2"/>
        <w:spacing w:line="360" w:lineRule="auto"/>
        <w:rPr>
          <w:rFonts w:ascii="宋体" w:hAnsi="宋体" w:cs="宋体"/>
          <w:color w:val="auto"/>
        </w:rPr>
      </w:pPr>
      <w:r>
        <w:rPr>
          <w:rFonts w:hint="eastAsia" w:ascii="宋体" w:hAnsi="宋体" w:cs="宋体"/>
          <w:color w:val="auto"/>
        </w:rPr>
        <w:t xml:space="preserve">    （4）同一合同项下的不同供应商，单位负责人为同一人或者存在直接控股、管理关系的；为本项目提供过整体设计、规范编制或者项目管理、监理、检测等服务的。</w:t>
      </w:r>
    </w:p>
    <w:p>
      <w:pPr>
        <w:pStyle w:val="7"/>
        <w:keepNext w:val="0"/>
        <w:keepLines w:val="0"/>
        <w:spacing w:before="0" w:after="0" w:line="360" w:lineRule="auto"/>
        <w:ind w:firstLine="420" w:firstLineChars="200"/>
        <w:rPr>
          <w:rFonts w:ascii="宋体" w:hAnsi="宋体"/>
          <w:b w:val="0"/>
          <w:bCs w:val="0"/>
          <w:color w:val="auto"/>
          <w:sz w:val="21"/>
          <w:szCs w:val="20"/>
        </w:rPr>
      </w:pPr>
      <w:r>
        <w:rPr>
          <w:rFonts w:hint="eastAsia" w:ascii="宋体" w:hAnsi="宋体"/>
          <w:b w:val="0"/>
          <w:bCs w:val="0"/>
          <w:color w:val="auto"/>
          <w:sz w:val="21"/>
          <w:szCs w:val="20"/>
        </w:rPr>
        <w:t>25.4资格审查的合格投标人不足3家的，不得评标。</w:t>
      </w:r>
    </w:p>
    <w:p>
      <w:pPr>
        <w:pStyle w:val="5"/>
        <w:keepNext w:val="0"/>
        <w:keepLines w:val="0"/>
        <w:spacing w:line="360" w:lineRule="auto"/>
        <w:jc w:val="center"/>
        <w:rPr>
          <w:color w:val="auto"/>
        </w:rPr>
      </w:pPr>
      <w:bookmarkStart w:id="234" w:name="_Toc1454"/>
      <w:bookmarkStart w:id="235" w:name="_Toc20446"/>
      <w:bookmarkStart w:id="236" w:name="_Toc3548"/>
      <w:bookmarkStart w:id="237" w:name="_Toc2770"/>
      <w:bookmarkStart w:id="238" w:name="_Toc29412"/>
      <w:bookmarkStart w:id="239" w:name="_Toc19035"/>
      <w:bookmarkStart w:id="240" w:name="_Toc15749"/>
      <w:bookmarkStart w:id="241" w:name="_Toc21152"/>
      <w:bookmarkStart w:id="242" w:name="_Toc20983"/>
      <w:bookmarkStart w:id="243" w:name="_Toc11169"/>
      <w:r>
        <w:rPr>
          <w:rFonts w:hint="eastAsia"/>
          <w:color w:val="auto"/>
        </w:rPr>
        <w:t>六、评</w:t>
      </w:r>
      <w:r>
        <w:rPr>
          <w:color w:val="auto"/>
        </w:rPr>
        <w:t xml:space="preserve">   </w:t>
      </w:r>
      <w:r>
        <w:rPr>
          <w:rFonts w:hint="eastAsia"/>
          <w:color w:val="auto"/>
        </w:rPr>
        <w:t>标</w:t>
      </w:r>
      <w:bookmarkEnd w:id="234"/>
      <w:bookmarkEnd w:id="235"/>
      <w:bookmarkEnd w:id="236"/>
      <w:bookmarkEnd w:id="237"/>
      <w:bookmarkEnd w:id="238"/>
      <w:bookmarkEnd w:id="239"/>
      <w:bookmarkEnd w:id="240"/>
      <w:bookmarkEnd w:id="241"/>
      <w:bookmarkEnd w:id="242"/>
      <w:bookmarkEnd w:id="243"/>
    </w:p>
    <w:p>
      <w:pPr>
        <w:spacing w:line="360" w:lineRule="auto"/>
        <w:ind w:firstLine="480" w:firstLineChars="200"/>
        <w:rPr>
          <w:rFonts w:ascii="黑体" w:hAnsi="黑体" w:eastAsia="黑体"/>
          <w:color w:val="auto"/>
          <w:sz w:val="24"/>
        </w:rPr>
      </w:pPr>
      <w:bookmarkStart w:id="244" w:name="_26.组建评标委员会"/>
      <w:bookmarkEnd w:id="244"/>
      <w:r>
        <w:rPr>
          <w:rFonts w:hint="eastAsia" w:ascii="黑体" w:hAnsi="黑体" w:eastAsia="黑体"/>
          <w:color w:val="auto"/>
          <w:sz w:val="24"/>
        </w:rPr>
        <w:t>26.组建评标委员会</w:t>
      </w:r>
    </w:p>
    <w:p>
      <w:pPr>
        <w:spacing w:line="360" w:lineRule="auto"/>
        <w:ind w:firstLine="420" w:firstLineChars="200"/>
        <w:rPr>
          <w:rFonts w:hAnsi="宋体"/>
          <w:color w:val="auto"/>
        </w:rPr>
      </w:pPr>
      <w:r>
        <w:rPr>
          <w:rFonts w:hint="eastAsia" w:hAnsi="宋体"/>
          <w:color w:val="auto"/>
        </w:rPr>
        <w:t>评标委员会由采购人代表和评审专家组成，人数为</w:t>
      </w:r>
      <w:r>
        <w:rPr>
          <w:rFonts w:hint="eastAsia" w:hAnsi="宋体"/>
          <w:color w:val="auto"/>
          <w:lang w:val="en-US" w:eastAsia="zh-CN"/>
        </w:rPr>
        <w:t>7</w:t>
      </w:r>
      <w:r>
        <w:rPr>
          <w:rFonts w:hint="eastAsia" w:hAnsi="宋体"/>
          <w:color w:val="auto"/>
        </w:rPr>
        <w:t>人以上单数，其中评审专家不得少于成员总数的三分之二。</w:t>
      </w:r>
    </w:p>
    <w:p>
      <w:pPr>
        <w:spacing w:line="360" w:lineRule="auto"/>
        <w:ind w:firstLine="420" w:firstLineChars="200"/>
        <w:rPr>
          <w:rFonts w:hAnsi="宋体"/>
          <w:color w:val="auto"/>
        </w:rPr>
      </w:pPr>
      <w:r>
        <w:rPr>
          <w:rFonts w:hint="eastAsia" w:hAnsi="宋体"/>
          <w:color w:val="auto"/>
        </w:rPr>
        <w:t>参加过采购项目前期咨询论证的专家，不得参加该采购项目的评审活动。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27.评标的依据</w:t>
      </w:r>
    </w:p>
    <w:p>
      <w:pPr>
        <w:spacing w:line="360" w:lineRule="auto"/>
        <w:ind w:firstLine="420" w:firstLineChars="200"/>
        <w:rPr>
          <w:rFonts w:hAnsi="宋体"/>
          <w:color w:val="auto"/>
        </w:rPr>
      </w:pPr>
      <w:r>
        <w:rPr>
          <w:rFonts w:hint="eastAsia" w:hAnsi="宋体"/>
          <w:color w:val="auto"/>
        </w:rPr>
        <w:t>评标委员会以招标文件为依据对投标文件进行评审，</w:t>
      </w:r>
      <w:r>
        <w:rPr>
          <w:rFonts w:hint="eastAsia" w:hAnsi="宋体" w:cs="宋体"/>
          <w:color w:val="auto"/>
        </w:rPr>
        <w:t>“第四章</w:t>
      </w:r>
      <w:r>
        <w:rPr>
          <w:rFonts w:hAnsi="宋体" w:cs="宋体"/>
          <w:color w:val="auto"/>
        </w:rPr>
        <w:t xml:space="preserve"> </w:t>
      </w:r>
      <w:r>
        <w:rPr>
          <w:rFonts w:hint="eastAsia" w:hAnsi="宋体" w:cs="宋体"/>
          <w:color w:val="auto"/>
        </w:rPr>
        <w:t>评标方法和评标标准”</w:t>
      </w:r>
      <w:r>
        <w:rPr>
          <w:rFonts w:hint="eastAsia" w:hAnsi="宋体"/>
          <w:color w:val="auto"/>
        </w:rPr>
        <w:t>没有规定的方法、评审因素和标准，不作为评标依据。</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28.评标原则</w:t>
      </w:r>
    </w:p>
    <w:p>
      <w:pPr>
        <w:spacing w:line="360" w:lineRule="auto"/>
        <w:ind w:firstLine="420" w:firstLineChars="200"/>
        <w:rPr>
          <w:rFonts w:ascii="宋体" w:hAnsi="宋体" w:cs="宋体"/>
          <w:color w:val="auto"/>
        </w:rPr>
      </w:pPr>
      <w:r>
        <w:rPr>
          <w:rFonts w:hint="eastAsia" w:ascii="宋体" w:hAnsi="宋体" w:cs="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ascii="宋体" w:hAnsi="宋体" w:cs="宋体"/>
          <w:color w:val="auto"/>
        </w:rPr>
      </w:pPr>
      <w:r>
        <w:rPr>
          <w:rFonts w:hint="eastAsia" w:ascii="宋体" w:hAnsi="宋体" w:cs="宋体"/>
          <w:color w:val="auto"/>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ascii="宋体" w:hAnsi="宋体" w:cs="宋体"/>
          <w:color w:val="auto"/>
        </w:rPr>
      </w:pPr>
      <w:r>
        <w:rPr>
          <w:rFonts w:hint="eastAsia" w:ascii="宋体" w:hAnsi="宋体" w:cs="宋体"/>
          <w:color w:val="auto"/>
        </w:rPr>
        <w:t>28.3评标过程的监控。本项目电子评标过程实行网上留痕、全程录音、录像监控，投标人在评标过程中所进行的试图影响评标结果的不公正活动，可能导致其投标作无效处理。</w:t>
      </w:r>
    </w:p>
    <w:p>
      <w:pPr>
        <w:widowControl/>
        <w:spacing w:line="560" w:lineRule="exact"/>
        <w:ind w:firstLine="420" w:firstLineChars="200"/>
        <w:jc w:val="left"/>
        <w:textAlignment w:val="baseline"/>
        <w:rPr>
          <w:rFonts w:ascii="宋体" w:hAnsi="宋体" w:cs="宋体"/>
          <w:color w:val="auto"/>
        </w:rPr>
      </w:pPr>
      <w:r>
        <w:rPr>
          <w:rFonts w:hint="eastAsia" w:ascii="宋体" w:hAnsi="宋体" w:cs="宋体"/>
          <w:color w:val="auto"/>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29.评标方法和评标标准</w:t>
      </w:r>
    </w:p>
    <w:p>
      <w:pPr>
        <w:spacing w:line="360" w:lineRule="auto"/>
        <w:ind w:firstLine="420" w:firstLineChars="200"/>
        <w:rPr>
          <w:rFonts w:ascii="宋体" w:hAnsi="宋体" w:cs="宋体"/>
          <w:color w:val="auto"/>
        </w:rPr>
      </w:pPr>
      <w:r>
        <w:rPr>
          <w:rFonts w:hint="eastAsia" w:ascii="宋体" w:hAnsi="宋体" w:cs="宋体"/>
          <w:color w:val="auto"/>
        </w:rPr>
        <w:t>29.1本项目的评标方法详见“投标人须知前附表”。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29.2 评标委员会按照</w:t>
      </w:r>
      <w:r>
        <w:rPr>
          <w:rFonts w:hint="eastAsia" w:ascii="宋体" w:hAnsi="宋体" w:cs="宋体"/>
          <w:b/>
          <w:color w:val="auto"/>
        </w:rPr>
        <w:t>“第四章 评标方法和评标标准”</w:t>
      </w:r>
      <w:r>
        <w:rPr>
          <w:rFonts w:hint="eastAsia" w:ascii="宋体" w:hAnsi="宋体" w:cs="宋体"/>
          <w:color w:val="auto"/>
        </w:rPr>
        <w:t>规定的方法、评审因素、标准和程序对投标文件进行评审。</w:t>
      </w:r>
    </w:p>
    <w:p>
      <w:pPr>
        <w:spacing w:line="360" w:lineRule="auto"/>
        <w:ind w:firstLine="420" w:firstLineChars="200"/>
        <w:rPr>
          <w:rFonts w:ascii="宋体" w:hAnsi="宋体" w:cs="宋体"/>
          <w:color w:val="auto"/>
        </w:rPr>
      </w:pPr>
      <w:r>
        <w:rPr>
          <w:rFonts w:hint="eastAsia" w:ascii="宋体" w:hAnsi="宋体" w:cs="宋体"/>
          <w:color w:val="auto"/>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pPr>
        <w:spacing w:line="360" w:lineRule="auto"/>
        <w:ind w:firstLine="420" w:firstLineChars="200"/>
        <w:rPr>
          <w:rFonts w:ascii="宋体" w:hAnsi="宋体" w:cs="宋体"/>
          <w:color w:val="auto"/>
        </w:rPr>
      </w:pPr>
      <w:r>
        <w:rPr>
          <w:rFonts w:hint="eastAsia" w:ascii="宋体" w:hAnsi="宋体" w:cs="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8"/>
        <w:snapToGrid w:val="0"/>
        <w:spacing w:line="400" w:lineRule="exact"/>
        <w:ind w:firstLine="420" w:firstLineChars="200"/>
        <w:rPr>
          <w:rFonts w:hAnsi="宋体"/>
          <w:color w:val="auto"/>
        </w:rPr>
      </w:pPr>
    </w:p>
    <w:p>
      <w:pPr>
        <w:pStyle w:val="5"/>
        <w:keepNext w:val="0"/>
        <w:keepLines w:val="0"/>
        <w:spacing w:line="400" w:lineRule="exact"/>
        <w:jc w:val="center"/>
        <w:rPr>
          <w:color w:val="auto"/>
        </w:rPr>
      </w:pPr>
      <w:bookmarkStart w:id="245" w:name="_Toc254970687"/>
      <w:bookmarkStart w:id="246" w:name="_Toc254970546"/>
      <w:bookmarkStart w:id="247" w:name="_Toc32339"/>
      <w:bookmarkStart w:id="248" w:name="_Toc31698"/>
      <w:bookmarkStart w:id="249" w:name="_Toc31226"/>
      <w:bookmarkStart w:id="250" w:name="_Toc24771"/>
      <w:bookmarkStart w:id="251" w:name="_Toc2302"/>
      <w:bookmarkStart w:id="252" w:name="_Toc15452"/>
      <w:bookmarkStart w:id="253" w:name="_Toc14661"/>
      <w:bookmarkStart w:id="254" w:name="_Toc10427"/>
      <w:bookmarkStart w:id="255" w:name="_Toc10518"/>
      <w:bookmarkStart w:id="256" w:name="_Toc4688"/>
      <w:r>
        <w:rPr>
          <w:rFonts w:hint="eastAsia"/>
          <w:color w:val="auto"/>
        </w:rPr>
        <w:t>七、</w:t>
      </w:r>
      <w:bookmarkEnd w:id="245"/>
      <w:bookmarkEnd w:id="246"/>
      <w:r>
        <w:rPr>
          <w:rFonts w:hint="eastAsia"/>
          <w:color w:val="auto"/>
        </w:rPr>
        <w:t>中标和合同</w:t>
      </w:r>
      <w:bookmarkEnd w:id="247"/>
      <w:bookmarkEnd w:id="248"/>
      <w:bookmarkEnd w:id="249"/>
      <w:bookmarkEnd w:id="250"/>
      <w:bookmarkEnd w:id="251"/>
      <w:bookmarkEnd w:id="252"/>
      <w:bookmarkEnd w:id="253"/>
      <w:bookmarkEnd w:id="254"/>
      <w:bookmarkEnd w:id="255"/>
      <w:bookmarkEnd w:id="256"/>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30.确定中标人</w:t>
      </w:r>
    </w:p>
    <w:p>
      <w:pPr>
        <w:spacing w:line="360" w:lineRule="auto"/>
        <w:ind w:firstLine="420" w:firstLineChars="200"/>
        <w:rPr>
          <w:rFonts w:ascii="宋体" w:hAnsi="宋体" w:cs="Courier New"/>
          <w:b/>
          <w:bCs/>
          <w:color w:val="auto"/>
          <w:szCs w:val="21"/>
        </w:rPr>
      </w:pPr>
      <w:r>
        <w:rPr>
          <w:rFonts w:hint="eastAsia" w:ascii="宋体" w:hAnsi="宋体" w:cs="宋体"/>
          <w:color w:val="auto"/>
          <w:szCs w:val="21"/>
        </w:rPr>
        <w:t>30.1</w:t>
      </w:r>
      <w:r>
        <w:rPr>
          <w:rFonts w:hint="eastAsia" w:ascii="宋体" w:hAnsi="宋体" w:cs="宋体"/>
          <w:color w:val="auto"/>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rPr>
        <w:t>中标候选人并列的，由采购人或者采购人委托评标委员会按照</w:t>
      </w:r>
      <w:r>
        <w:rPr>
          <w:rFonts w:hint="eastAsia"/>
          <w:color w:val="auto"/>
        </w:rPr>
        <w:t>“投标人须知前附表”</w:t>
      </w:r>
      <w:r>
        <w:rPr>
          <w:rFonts w:ascii="宋体" w:hAnsi="宋体" w:cs="宋体"/>
          <w:color w:val="auto"/>
        </w:rPr>
        <w:t>规定的方式确定中标人；招标文件未规定的，采取随机抽取的方式确定。</w:t>
      </w:r>
      <w:r>
        <w:rPr>
          <w:rFonts w:hint="eastAsia" w:ascii="宋体" w:hAnsi="宋体" w:cs="宋体"/>
          <w:b/>
          <w:bCs/>
          <w:color w:val="auto"/>
          <w:szCs w:val="21"/>
        </w:rPr>
        <w:t xml:space="preserve">   </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30.3中标人无正当理由拒签合同的，根据《中华人民共和国政府采购法》第七十七条第一款规定处理。</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30.4根据《中华人民共和国民法典》</w:t>
      </w:r>
      <w:r>
        <w:rPr>
          <w:rFonts w:hint="eastAsia"/>
          <w:color w:val="auto"/>
          <w:sz w:val="19"/>
          <w:szCs w:val="19"/>
        </w:rPr>
        <w:t>第五百六十三条</w:t>
      </w:r>
      <w:r>
        <w:rPr>
          <w:rFonts w:hint="eastAsia" w:ascii="宋体" w:hAnsi="宋体" w:cs="Courier New"/>
          <w:color w:val="auto"/>
          <w:szCs w:val="21"/>
        </w:rPr>
        <w:t>，因不可抗力致使不能实现合同目的的，当事人可以解除合同。</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31. 结果公告</w:t>
      </w:r>
    </w:p>
    <w:p>
      <w:pPr>
        <w:spacing w:line="360" w:lineRule="auto"/>
        <w:ind w:firstLine="420" w:firstLineChars="200"/>
        <w:rPr>
          <w:rFonts w:ascii="宋体" w:hAnsi="宋体" w:cs="宋体"/>
          <w:color w:val="auto"/>
        </w:rPr>
      </w:pPr>
      <w:r>
        <w:rPr>
          <w:rFonts w:hint="eastAsia" w:ascii="宋体" w:hAnsi="宋体" w:cs="宋体"/>
          <w:color w:val="auto"/>
          <w:szCs w:val="21"/>
        </w:rPr>
        <w:t>31.1</w:t>
      </w:r>
      <w:r>
        <w:rPr>
          <w:rFonts w:hint="eastAsia" w:ascii="宋体" w:hAnsi="宋体" w:cs="宋体"/>
          <w:color w:val="auto"/>
        </w:rPr>
        <w:t>在中标人确定之日起2个工作日内，由采购代理机</w:t>
      </w:r>
      <w:r>
        <w:rPr>
          <w:rFonts w:hint="eastAsia" w:ascii="宋体" w:hAnsi="宋体" w:cs="宋体"/>
          <w:b w:val="0"/>
          <w:bCs w:val="0"/>
          <w:color w:val="auto"/>
        </w:rPr>
        <w:t>构</w:t>
      </w:r>
      <w:r>
        <w:rPr>
          <w:rFonts w:hint="eastAsia" w:ascii="宋体" w:hAnsi="宋体" w:cs="宋体"/>
          <w:b w:val="0"/>
          <w:bCs w:val="0"/>
          <w:color w:val="auto"/>
          <w:szCs w:val="21"/>
        </w:rPr>
        <w:t>在招标公告发布媒体上</w:t>
      </w:r>
      <w:r>
        <w:rPr>
          <w:rFonts w:hint="eastAsia" w:ascii="宋体" w:hAnsi="宋体" w:cs="宋体"/>
          <w:b w:val="0"/>
          <w:bCs w:val="0"/>
          <w:color w:val="auto"/>
        </w:rPr>
        <w:t>发布中标结果公告，中标结果公告期限为1个工作日，发布中标结果公告的同时向中标人发出中标通知书。</w:t>
      </w:r>
      <w:r>
        <w:rPr>
          <w:rFonts w:hint="eastAsia" w:ascii="宋体" w:hAnsi="宋体" w:cs="宋体"/>
          <w:b w:val="0"/>
          <w:bCs w:val="0"/>
          <w:color w:val="auto"/>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w:t>
      </w:r>
      <w:r>
        <w:rPr>
          <w:rFonts w:hint="eastAsia" w:ascii="宋体" w:hAnsi="宋体" w:cs="宋体"/>
          <w:color w:val="auto"/>
          <w:szCs w:val="21"/>
        </w:rPr>
        <w:t>名第二的中标候选人因前款规定的同样原因被取消中标资格的，采购人可以依法确定排名第三的中标候选人为中标人，以此类推。</w:t>
      </w:r>
    </w:p>
    <w:p>
      <w:pPr>
        <w:spacing w:line="360" w:lineRule="auto"/>
        <w:ind w:firstLine="420" w:firstLineChars="200"/>
        <w:rPr>
          <w:rFonts w:ascii="宋体" w:hAnsi="宋体" w:cs="宋体"/>
          <w:color w:val="auto"/>
          <w:szCs w:val="21"/>
        </w:rPr>
      </w:pPr>
      <w:r>
        <w:rPr>
          <w:rFonts w:hint="eastAsia" w:ascii="宋体" w:hAnsi="宋体" w:cs="宋体"/>
          <w:color w:val="auto"/>
          <w:szCs w:val="21"/>
        </w:rPr>
        <w:t>以上信息查询记录及相关证据与采购文件一并保存。</w:t>
      </w:r>
    </w:p>
    <w:p>
      <w:pPr>
        <w:spacing w:line="360" w:lineRule="auto"/>
        <w:ind w:firstLine="420" w:firstLineChars="200"/>
        <w:rPr>
          <w:rFonts w:ascii="宋体" w:hAnsi="宋体" w:cs="宋体"/>
          <w:color w:val="auto"/>
          <w:szCs w:val="21"/>
        </w:rPr>
      </w:pPr>
      <w:r>
        <w:rPr>
          <w:rFonts w:hint="eastAsia" w:ascii="宋体" w:hAnsi="宋体" w:cs="宋体"/>
          <w:color w:val="auto"/>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32.发出中标通知书</w:t>
      </w:r>
    </w:p>
    <w:p>
      <w:pPr>
        <w:spacing w:line="360" w:lineRule="auto"/>
        <w:ind w:firstLine="422" w:firstLineChars="200"/>
        <w:rPr>
          <w:rFonts w:ascii="宋体" w:hAnsi="宋体"/>
          <w:b/>
          <w:color w:val="auto"/>
          <w:szCs w:val="21"/>
          <w:highlight w:val="none"/>
        </w:rPr>
      </w:pPr>
      <w:r>
        <w:rPr>
          <w:rFonts w:hint="eastAsia" w:ascii="宋体" w:hAnsi="宋体"/>
          <w:b/>
          <w:color w:val="auto"/>
          <w:szCs w:val="21"/>
        </w:rPr>
        <w:t>32.1</w:t>
      </w:r>
      <w:r>
        <w:rPr>
          <w:rFonts w:hint="eastAsia" w:ascii="宋体" w:hAnsi="宋体"/>
          <w:b w:val="0"/>
          <w:bCs/>
          <w:color w:val="auto"/>
          <w:szCs w:val="21"/>
          <w:highlight w:val="none"/>
        </w:rPr>
        <w:t>在发布中标公告的同时，采购代理机构向中标人发出中标通知书。</w:t>
      </w:r>
    </w:p>
    <w:p>
      <w:pPr>
        <w:spacing w:line="360" w:lineRule="auto"/>
        <w:ind w:firstLine="422" w:firstLineChars="200"/>
        <w:rPr>
          <w:rFonts w:ascii="宋体" w:hAnsi="宋体"/>
          <w:b w:val="0"/>
          <w:bCs/>
          <w:color w:val="auto"/>
          <w:szCs w:val="21"/>
          <w:highlight w:val="none"/>
        </w:rPr>
      </w:pPr>
      <w:r>
        <w:rPr>
          <w:rFonts w:hint="eastAsia" w:ascii="宋体" w:hAnsi="宋体"/>
          <w:b/>
          <w:color w:val="auto"/>
          <w:szCs w:val="21"/>
        </w:rPr>
        <w:t>32.2</w:t>
      </w:r>
      <w:r>
        <w:rPr>
          <w:rFonts w:hint="eastAsia" w:ascii="宋体" w:hAnsi="宋体"/>
          <w:b w:val="0"/>
          <w:bCs/>
          <w:color w:val="auto"/>
          <w:szCs w:val="21"/>
          <w:highlight w:val="none"/>
        </w:rPr>
        <w:t>对未通过资格审查的投标人，采购人或采购代理机构应当告知其未通过的原因；采用综合评分办法评审的，采购人或采购机构还应当告知未中标人本人的评审得分与排序。</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33. 无义务解释未中标原因</w:t>
      </w:r>
    </w:p>
    <w:p>
      <w:pPr>
        <w:spacing w:line="360" w:lineRule="auto"/>
        <w:ind w:firstLine="420" w:firstLineChars="200"/>
        <w:rPr>
          <w:rFonts w:ascii="宋体" w:hAnsi="宋体"/>
          <w:b w:val="0"/>
          <w:bCs/>
          <w:color w:val="auto"/>
          <w:szCs w:val="21"/>
        </w:rPr>
      </w:pPr>
      <w:r>
        <w:rPr>
          <w:rFonts w:hint="eastAsia" w:ascii="宋体" w:hAnsi="宋体"/>
          <w:b w:val="0"/>
          <w:bCs/>
          <w:color w:val="auto"/>
          <w:szCs w:val="21"/>
        </w:rPr>
        <w:t>采购代理机构无义务向未中标的投标人解释未中标原因和退还投标文件。</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34.合同授予标准</w:t>
      </w:r>
    </w:p>
    <w:p>
      <w:pPr>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合同将授予被确定实质上响应招标文件要求，具备履行合同能力的中标人（招标文件另有约定多名中标人的除外）。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35.履约保证金：</w:t>
      </w:r>
    </w:p>
    <w:p>
      <w:pPr>
        <w:pStyle w:val="7"/>
        <w:keepNext w:val="0"/>
        <w:keepLines w:val="0"/>
        <w:spacing w:before="0" w:after="0" w:line="360" w:lineRule="auto"/>
        <w:ind w:firstLine="315" w:firstLineChars="150"/>
        <w:rPr>
          <w:rFonts w:ascii="宋体" w:hAnsi="宋体" w:cs="宋体"/>
          <w:b w:val="0"/>
          <w:color w:val="auto"/>
          <w:sz w:val="21"/>
          <w:szCs w:val="21"/>
        </w:rPr>
      </w:pPr>
      <w:bookmarkStart w:id="257" w:name="_39.1中标人须于签订合同前按本须知前附表规定的金额转账或电汇到指定账"/>
      <w:bookmarkEnd w:id="257"/>
      <w:r>
        <w:rPr>
          <w:rFonts w:hint="eastAsia" w:ascii="宋体" w:hAnsi="宋体" w:cs="宋体"/>
          <w:b w:val="0"/>
          <w:color w:val="auto"/>
          <w:sz w:val="21"/>
          <w:szCs w:val="21"/>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7"/>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35.2签订合同后，如中标人不按双方签订的合同规定履约，则没收其全部履约保证金，履约保证金不足以赔偿损失的，按实际损失赔偿。</w:t>
      </w:r>
    </w:p>
    <w:p>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rPr>
        <w:t>35.3在履约保证金退还日期前，若中标人的开户名称、开户银行、账号有变动的，请以书面形式通知履约保证金收取单位，否则由此产生的后果由中标人自行</w:t>
      </w:r>
      <w:r>
        <w:rPr>
          <w:rFonts w:hint="eastAsia" w:ascii="宋体" w:hAnsi="宋体" w:cs="宋体"/>
          <w:b w:val="0"/>
          <w:color w:val="auto"/>
          <w:sz w:val="21"/>
          <w:szCs w:val="21"/>
          <w:highlight w:val="none"/>
        </w:rPr>
        <w:t>承担。</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pPr>
        <w:spacing w:line="360" w:lineRule="auto"/>
        <w:ind w:firstLine="422" w:firstLineChars="200"/>
        <w:rPr>
          <w:b/>
          <w:bCs/>
          <w:i/>
          <w:iCs/>
          <w:color w:val="auto"/>
          <w:szCs w:val="21"/>
          <w:highlight w:val="none"/>
        </w:rPr>
      </w:pPr>
      <w:bookmarkStart w:id="258" w:name="_40.1投标人接到中标通知书后，按须知前附表规定向采购人出示相关资格证"/>
      <w:bookmarkEnd w:id="258"/>
      <w:r>
        <w:rPr>
          <w:rFonts w:hint="eastAsia" w:ascii="宋体" w:hAnsi="宋体" w:cs="宋体"/>
          <w:b/>
          <w:color w:val="auto"/>
          <w:szCs w:val="21"/>
          <w:highlight w:val="none"/>
        </w:rPr>
        <w:t>36.1</w:t>
      </w:r>
      <w:r>
        <w:rPr>
          <w:rFonts w:hint="eastAsia" w:ascii="宋体" w:hAnsi="宋体" w:cs="宋体"/>
          <w:b w:val="0"/>
          <w:bCs/>
          <w:color w:val="auto"/>
          <w:szCs w:val="21"/>
          <w:highlight w:val="none"/>
        </w:rPr>
        <w:t>中标人在</w:t>
      </w:r>
      <w:r>
        <w:rPr>
          <w:rFonts w:ascii="宋体" w:hAnsi="宋体" w:cs="宋体"/>
          <w:b w:val="0"/>
          <w:bCs/>
          <w:color w:val="auto"/>
          <w:kern w:val="0"/>
          <w:szCs w:val="21"/>
          <w:highlight w:val="none"/>
        </w:rPr>
        <w:t>中标通知书发出之日起</w:t>
      </w:r>
      <w:r>
        <w:rPr>
          <w:rFonts w:hint="eastAsia" w:ascii="宋体" w:hAnsi="宋体" w:cs="宋体"/>
          <w:b w:val="0"/>
          <w:bCs/>
          <w:color w:val="auto"/>
          <w:szCs w:val="21"/>
          <w:highlight w:val="none"/>
        </w:rPr>
        <w:t>，</w:t>
      </w:r>
      <w:r>
        <w:rPr>
          <w:rFonts w:hint="eastAsia" w:ascii="宋体" w:hAnsi="宋体" w:cs="宋体"/>
          <w:bCs/>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pPr>
        <w:pStyle w:val="37"/>
        <w:snapToGrid w:val="0"/>
        <w:spacing w:before="0"/>
        <w:ind w:firstLine="420"/>
        <w:rPr>
          <w:b/>
          <w:bCs/>
          <w:i/>
          <w:iCs/>
          <w:color w:val="auto"/>
          <w:szCs w:val="21"/>
          <w:highlight w:val="none"/>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采购合同由采购人与中标人根据招标文件、投标文件等内容通过政府采购电子交易平台在线签订，自动备案。</w:t>
      </w:r>
    </w:p>
    <w:p>
      <w:pPr>
        <w:pStyle w:val="37"/>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pPr>
        <w:spacing w:line="360" w:lineRule="auto"/>
        <w:ind w:firstLine="420" w:firstLineChars="200"/>
        <w:rPr>
          <w:rFonts w:ascii="宋体" w:hAnsi="宋体"/>
          <w:color w:val="auto"/>
          <w:szCs w:val="21"/>
        </w:rPr>
      </w:pPr>
      <w:r>
        <w:rPr>
          <w:rFonts w:hint="eastAsia" w:ascii="宋体" w:hAnsi="宋体"/>
          <w:color w:val="auto"/>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pacing w:line="360" w:lineRule="auto"/>
        <w:ind w:firstLine="420" w:firstLineChars="200"/>
        <w:rPr>
          <w:rFonts w:ascii="宋体" w:hAnsi="宋体"/>
          <w:color w:val="auto"/>
          <w:szCs w:val="21"/>
        </w:rPr>
      </w:pPr>
      <w:r>
        <w:rPr>
          <w:rFonts w:hint="eastAsia" w:ascii="宋体" w:hAnsi="宋体"/>
          <w:color w:val="auto"/>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ascii="宋体" w:hAnsi="宋体"/>
          <w:color w:val="auto"/>
          <w:szCs w:val="21"/>
        </w:rPr>
      </w:pPr>
      <w:r>
        <w:rPr>
          <w:rFonts w:hint="eastAsia" w:ascii="宋体" w:hAnsi="宋体"/>
          <w:color w:val="auto"/>
          <w:szCs w:val="21"/>
        </w:rPr>
        <w:t>36.6采购人或中标人不得单方面向合同另一方提出任何招标文件没有约定的条件或不合理的要求，作为签订合同的条件；也不得协商另行订立背离招标文件和合同实质性内容的协议。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仿宋_GB2312"/>
          <w:color w:val="auto"/>
          <w:szCs w:val="21"/>
        </w:rPr>
        <w:t>如签订合同并生效后，中标人无故拒绝或延期，除按照合同条款处理外，将承担相应的法律责任。</w:t>
      </w:r>
    </w:p>
    <w:p>
      <w:pPr>
        <w:spacing w:line="360" w:lineRule="auto"/>
        <w:ind w:firstLine="480" w:firstLineChars="200"/>
        <w:rPr>
          <w:rFonts w:ascii="黑体" w:hAnsi="黑体" w:eastAsia="黑体"/>
          <w:color w:val="auto"/>
          <w:sz w:val="24"/>
        </w:rPr>
      </w:pPr>
      <w:bookmarkStart w:id="259" w:name="_41.政府采购合同公告"/>
      <w:bookmarkEnd w:id="259"/>
      <w:r>
        <w:rPr>
          <w:rFonts w:hint="eastAsia" w:ascii="黑体" w:hAnsi="黑体" w:eastAsia="黑体"/>
          <w:color w:val="auto"/>
          <w:sz w:val="24"/>
        </w:rPr>
        <w:t>37.政府采购合同公告</w:t>
      </w:r>
    </w:p>
    <w:p>
      <w:pPr>
        <w:spacing w:line="360" w:lineRule="auto"/>
        <w:ind w:firstLine="420" w:firstLineChars="200"/>
        <w:rPr>
          <w:rFonts w:ascii="宋体" w:hAnsi="宋体"/>
          <w:color w:val="auto"/>
        </w:rPr>
      </w:pPr>
      <w:r>
        <w:rPr>
          <w:rFonts w:hint="eastAsia" w:hAnsi="宋体"/>
          <w:color w:val="auto"/>
        </w:rPr>
        <w:t>采购人应当自政府采购合同签订之日起</w:t>
      </w:r>
      <w:r>
        <w:rPr>
          <w:rFonts w:hAnsi="宋体"/>
          <w:color w:val="auto"/>
        </w:rPr>
        <w:t>2</w:t>
      </w:r>
      <w:r>
        <w:rPr>
          <w:rFonts w:hint="eastAsia" w:hAnsi="宋体"/>
          <w:color w:val="auto"/>
        </w:rPr>
        <w:t>个工作日内，将政府采购合同</w:t>
      </w:r>
      <w:r>
        <w:rPr>
          <w:rFonts w:hint="eastAsia" w:ascii="宋体" w:hAnsi="宋体"/>
          <w:bCs/>
          <w:color w:val="auto"/>
        </w:rPr>
        <w:t>在省级以上人民政府财政部门指定的媒体</w:t>
      </w:r>
      <w:r>
        <w:rPr>
          <w:rFonts w:hint="eastAsia" w:hAnsi="宋体"/>
          <w:color w:val="auto"/>
        </w:rPr>
        <w:t>上公告，但政府采购合同中涉及国家秘密、商业秘密的内容除外。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38. 询问、质疑和投诉</w:t>
      </w:r>
    </w:p>
    <w:p>
      <w:pPr>
        <w:spacing w:line="360" w:lineRule="auto"/>
        <w:ind w:firstLine="422" w:firstLineChars="200"/>
        <w:rPr>
          <w:rFonts w:hAnsi="宋体"/>
          <w:b/>
          <w:color w:val="auto"/>
          <w:szCs w:val="21"/>
        </w:rPr>
      </w:pPr>
      <w:r>
        <w:rPr>
          <w:rFonts w:hAnsi="宋体"/>
          <w:b/>
          <w:color w:val="auto"/>
          <w:szCs w:val="21"/>
        </w:rPr>
        <w:t>38.1</w:t>
      </w:r>
      <w:r>
        <w:rPr>
          <w:rFonts w:hint="eastAsia" w:hAnsi="宋体"/>
          <w:b/>
          <w:color w:val="auto"/>
          <w:szCs w:val="21"/>
        </w:rPr>
        <w:t>询问</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38.1.1供应商在开标前对政府采购活动事项有疑问的，可以向采购人或采购代理机构项目负责人提出询问。</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38.1.2采购人或采购人委托的采购代理机构自受理询问之日起3个工作日内对供应商依法提出的询问作出答复，</w:t>
      </w:r>
      <w:r>
        <w:rPr>
          <w:rFonts w:hint="eastAsia" w:ascii="宋体" w:hAnsi="宋体" w:cs="宋体"/>
          <w:color w:val="auto"/>
        </w:rPr>
        <w:t>但答复内容不得涉及商业秘密</w:t>
      </w:r>
      <w:r>
        <w:rPr>
          <w:rFonts w:hint="eastAsia" w:ascii="宋体" w:hAnsi="宋体" w:cs="宋体"/>
          <w:bCs/>
          <w:color w:val="auto"/>
          <w:szCs w:val="21"/>
        </w:rPr>
        <w:t>。</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38.1.3 询问事项可能影响中标结果的，采购人应当暂停签订合同，已经签订合同的，应当中止履行合同。</w:t>
      </w:r>
    </w:p>
    <w:p>
      <w:pPr>
        <w:spacing w:line="360" w:lineRule="auto"/>
        <w:ind w:firstLine="422" w:firstLineChars="200"/>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38.2质疑</w:t>
      </w:r>
    </w:p>
    <w:p>
      <w:pPr>
        <w:spacing w:line="360" w:lineRule="auto"/>
        <w:ind w:firstLine="422" w:firstLineChars="200"/>
        <w:rPr>
          <w:rFonts w:ascii="宋体" w:hAnsi="宋体"/>
          <w:b/>
          <w:color w:val="auto"/>
          <w:szCs w:val="21"/>
        </w:rPr>
      </w:pPr>
      <w:r>
        <w:rPr>
          <w:rFonts w:hint="eastAsia" w:ascii="宋体" w:hAnsi="宋体"/>
          <w:b/>
          <w:bCs/>
          <w:color w:val="auto"/>
          <w:szCs w:val="21"/>
        </w:rPr>
        <w:t>38.2.1</w:t>
      </w:r>
      <w:r>
        <w:rPr>
          <w:rFonts w:hint="eastAsia" w:ascii="宋体" w:hAnsi="宋体"/>
          <w:b/>
          <w:color w:val="auto"/>
          <w:szCs w:val="21"/>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ascii="宋体" w:hAnsi="宋体" w:cs="宋体"/>
          <w:bCs/>
          <w:color w:val="auto"/>
        </w:rPr>
      </w:pPr>
      <w:r>
        <w:rPr>
          <w:rFonts w:hint="eastAsia" w:ascii="宋体" w:hAnsi="宋体" w:cs="宋体"/>
          <w:bCs/>
          <w:color w:val="auto"/>
        </w:rPr>
        <w:t>（1）潜在供应商依法获取招标文件后，认为采购文件使自己的权益受到损害的，应当在招标文件公告期限届满之日起7个工作日内提出质疑。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ascii="宋体" w:hAnsi="宋体" w:cs="宋体"/>
          <w:bCs/>
          <w:color w:val="auto"/>
          <w:szCs w:val="21"/>
        </w:rPr>
      </w:pPr>
      <w:r>
        <w:rPr>
          <w:rFonts w:hint="eastAsia" w:ascii="宋体" w:hAnsi="宋体" w:cs="宋体"/>
          <w:b/>
          <w:bCs/>
          <w:color w:val="auto"/>
          <w:szCs w:val="21"/>
        </w:rPr>
        <w:t>38.2.2</w:t>
      </w:r>
      <w:r>
        <w:rPr>
          <w:rFonts w:hint="eastAsia" w:ascii="宋体" w:hAnsi="宋体" w:cs="宋体"/>
          <w:bCs/>
          <w:color w:val="auto"/>
          <w:szCs w:val="21"/>
        </w:rPr>
        <w:t>供应商质疑实行实名制，其质疑应当有具体的质疑事项及事实根据，质疑应当坚持依法依规、诚实信用原则，不得进行虚假、恶意质疑。</w:t>
      </w:r>
    </w:p>
    <w:p>
      <w:pPr>
        <w:spacing w:line="360" w:lineRule="auto"/>
        <w:ind w:firstLine="422" w:firstLineChars="200"/>
        <w:rPr>
          <w:rFonts w:ascii="宋体" w:hAnsi="宋体" w:cs="宋体"/>
          <w:bCs/>
          <w:color w:val="auto"/>
        </w:rPr>
      </w:pPr>
      <w:r>
        <w:rPr>
          <w:rFonts w:hint="eastAsia" w:ascii="宋体" w:hAnsi="宋体" w:cs="宋体"/>
          <w:b/>
          <w:bCs/>
          <w:color w:val="auto"/>
        </w:rPr>
        <w:t>38.2.3</w:t>
      </w:r>
      <w:r>
        <w:rPr>
          <w:rFonts w:hint="eastAsia" w:ascii="宋体" w:hAnsi="宋体" w:cs="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rPr>
        <w:t>。</w:t>
      </w:r>
    </w:p>
    <w:p>
      <w:pPr>
        <w:spacing w:line="360" w:lineRule="auto"/>
        <w:ind w:firstLine="422" w:firstLineChars="200"/>
        <w:rPr>
          <w:rFonts w:ascii="宋体" w:hAnsi="宋体" w:cs="宋体"/>
          <w:b/>
          <w:bCs/>
          <w:color w:val="auto"/>
        </w:rPr>
      </w:pPr>
      <w:r>
        <w:rPr>
          <w:rFonts w:hint="eastAsia" w:ascii="宋体" w:hAnsi="宋体" w:cs="宋体"/>
          <w:b/>
          <w:bCs/>
          <w:color w:val="auto"/>
        </w:rPr>
        <w:t>38.2.4 质疑供应商提起质疑应当符合下列条件：</w:t>
      </w:r>
    </w:p>
    <w:p>
      <w:pPr>
        <w:spacing w:line="360" w:lineRule="auto"/>
        <w:ind w:firstLine="420" w:firstLineChars="200"/>
        <w:rPr>
          <w:rFonts w:ascii="宋体" w:hAnsi="宋体" w:cs="宋体"/>
          <w:bCs/>
          <w:color w:val="auto"/>
        </w:rPr>
      </w:pPr>
      <w:r>
        <w:rPr>
          <w:rFonts w:hint="eastAsia" w:ascii="宋体" w:hAnsi="宋体" w:cs="宋体"/>
          <w:bCs/>
          <w:color w:val="auto"/>
        </w:rPr>
        <w:t>（1）质疑供应商是参与所质疑</w:t>
      </w:r>
      <w:r>
        <w:rPr>
          <w:rFonts w:hint="eastAsia" w:ascii="宋体" w:hAnsi="宋体" w:cs="宋体"/>
          <w:bCs/>
          <w:color w:val="auto"/>
          <w:szCs w:val="21"/>
        </w:rPr>
        <w:t>项目</w:t>
      </w:r>
      <w:r>
        <w:rPr>
          <w:rFonts w:hint="eastAsia" w:ascii="宋体" w:hAnsi="宋体" w:cs="宋体"/>
          <w:bCs/>
          <w:color w:val="auto"/>
        </w:rPr>
        <w:t>采购活动的供应商（潜在供应商已依法获取可质疑的采购文件的，可以对该采购文件质疑）；</w:t>
      </w:r>
    </w:p>
    <w:p>
      <w:pPr>
        <w:spacing w:line="360" w:lineRule="auto"/>
        <w:ind w:firstLine="420" w:firstLineChars="200"/>
        <w:rPr>
          <w:rFonts w:ascii="宋体" w:hAnsi="宋体" w:cs="宋体"/>
          <w:bCs/>
          <w:color w:val="auto"/>
        </w:rPr>
      </w:pPr>
      <w:r>
        <w:rPr>
          <w:rFonts w:hint="eastAsia" w:ascii="宋体" w:hAnsi="宋体" w:cs="宋体"/>
          <w:bCs/>
          <w:color w:val="auto"/>
        </w:rPr>
        <w:t>（2）质疑函内容符合本章第38.2.5项的规定；</w:t>
      </w:r>
    </w:p>
    <w:p>
      <w:pPr>
        <w:spacing w:line="360" w:lineRule="auto"/>
        <w:ind w:firstLine="420" w:firstLineChars="200"/>
        <w:rPr>
          <w:rFonts w:ascii="宋体" w:hAnsi="宋体" w:cs="宋体"/>
          <w:bCs/>
          <w:color w:val="auto"/>
        </w:rPr>
      </w:pPr>
      <w:r>
        <w:rPr>
          <w:rFonts w:hint="eastAsia" w:ascii="宋体" w:hAnsi="宋体" w:cs="宋体"/>
          <w:bCs/>
          <w:color w:val="auto"/>
        </w:rPr>
        <w:t>（3）在质疑有效期限内提起质疑；</w:t>
      </w:r>
    </w:p>
    <w:p>
      <w:pPr>
        <w:spacing w:line="360" w:lineRule="auto"/>
        <w:ind w:firstLine="420" w:firstLineChars="200"/>
        <w:rPr>
          <w:rFonts w:ascii="宋体" w:hAnsi="宋体" w:cs="宋体"/>
          <w:bCs/>
          <w:color w:val="auto"/>
        </w:rPr>
      </w:pPr>
      <w:r>
        <w:rPr>
          <w:rFonts w:hint="eastAsia" w:ascii="宋体" w:hAnsi="宋体" w:cs="宋体"/>
          <w:bCs/>
          <w:color w:val="auto"/>
        </w:rPr>
        <w:t>（4）属于所质疑的采购人或采购人委托的采购代理机构组织的采购活动；</w:t>
      </w:r>
    </w:p>
    <w:p>
      <w:pPr>
        <w:spacing w:line="360" w:lineRule="auto"/>
        <w:ind w:firstLine="420" w:firstLineChars="200"/>
        <w:rPr>
          <w:rFonts w:ascii="宋体" w:hAnsi="宋体" w:cs="宋体"/>
          <w:bCs/>
          <w:color w:val="auto"/>
        </w:rPr>
      </w:pPr>
      <w:r>
        <w:rPr>
          <w:rFonts w:hint="eastAsia" w:ascii="宋体" w:hAnsi="宋体" w:cs="宋体"/>
          <w:bCs/>
          <w:color w:val="auto"/>
        </w:rPr>
        <w:t>（5）供应商对同一采购程序环节的质疑应当在质疑有效期内一次性提出；</w:t>
      </w:r>
    </w:p>
    <w:p>
      <w:pPr>
        <w:spacing w:line="360" w:lineRule="auto"/>
        <w:ind w:firstLine="420" w:firstLineChars="200"/>
        <w:rPr>
          <w:rFonts w:ascii="宋体" w:hAnsi="宋体" w:cs="宋体"/>
          <w:bCs/>
          <w:color w:val="auto"/>
        </w:rPr>
      </w:pPr>
      <w:r>
        <w:rPr>
          <w:rFonts w:hint="eastAsia" w:ascii="宋体" w:hAnsi="宋体" w:cs="宋体"/>
          <w:bCs/>
          <w:color w:val="auto"/>
        </w:rPr>
        <w:t>（6）供应商提交质疑应当提交必要的证明材料，证明材料应以合法手段取得；</w:t>
      </w:r>
    </w:p>
    <w:p>
      <w:pPr>
        <w:spacing w:line="360" w:lineRule="auto"/>
        <w:ind w:firstLine="420" w:firstLineChars="200"/>
        <w:rPr>
          <w:rFonts w:ascii="宋体" w:hAnsi="宋体" w:cs="宋体"/>
          <w:color w:val="auto"/>
        </w:rPr>
      </w:pPr>
      <w:r>
        <w:rPr>
          <w:rFonts w:hint="eastAsia" w:ascii="宋体" w:hAnsi="宋体" w:cs="宋体"/>
          <w:bCs/>
          <w:color w:val="auto"/>
        </w:rPr>
        <w:t>（7）财政部门规定的其他条件。</w:t>
      </w:r>
    </w:p>
    <w:p>
      <w:pPr>
        <w:spacing w:line="360" w:lineRule="auto"/>
        <w:ind w:firstLine="422" w:firstLineChars="200"/>
        <w:rPr>
          <w:rFonts w:ascii="宋体" w:hAnsi="宋体"/>
          <w:b/>
          <w:bCs/>
          <w:color w:val="auto"/>
          <w:szCs w:val="21"/>
        </w:rPr>
      </w:pPr>
      <w:bookmarkStart w:id="260" w:name="_9.2质疑、投诉应当采用书面形式，质疑函、投诉书均应明确阐述招标文件、"/>
      <w:bookmarkEnd w:id="260"/>
      <w:r>
        <w:rPr>
          <w:rFonts w:hint="eastAsia" w:ascii="宋体" w:hAnsi="宋体"/>
          <w:b/>
          <w:bCs/>
          <w:color w:val="auto"/>
          <w:szCs w:val="21"/>
        </w:rPr>
        <w:t xml:space="preserve"> 38.2.5 </w:t>
      </w:r>
      <w:r>
        <w:rPr>
          <w:rFonts w:hint="eastAsia" w:hAnsi="宋体"/>
          <w:b/>
          <w:bCs/>
          <w:color w:val="auto"/>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color w:val="auto"/>
        </w:rPr>
      </w:pPr>
      <w:r>
        <w:rPr>
          <w:rFonts w:hint="eastAsia" w:ascii="宋体" w:hAnsi="宋体" w:cs="宋体"/>
          <w:bCs/>
          <w:color w:val="auto"/>
        </w:rPr>
        <w:t>（1）供应商的姓名或者名称、地址、邮编、联系人及联系电话；</w:t>
      </w:r>
    </w:p>
    <w:p>
      <w:pPr>
        <w:spacing w:line="360" w:lineRule="auto"/>
        <w:ind w:firstLine="420" w:firstLineChars="200"/>
        <w:rPr>
          <w:rFonts w:ascii="宋体" w:hAnsi="宋体" w:cs="宋体"/>
          <w:bCs/>
          <w:color w:val="auto"/>
        </w:rPr>
      </w:pPr>
      <w:r>
        <w:rPr>
          <w:rFonts w:hint="eastAsia" w:ascii="宋体" w:hAnsi="宋体" w:cs="宋体"/>
          <w:bCs/>
          <w:color w:val="auto"/>
        </w:rPr>
        <w:t>（2）质疑项目的名称、编号；</w:t>
      </w:r>
    </w:p>
    <w:p>
      <w:pPr>
        <w:spacing w:line="360" w:lineRule="auto"/>
        <w:ind w:firstLine="420" w:firstLineChars="200"/>
        <w:rPr>
          <w:rFonts w:ascii="宋体" w:hAnsi="宋体" w:cs="宋体"/>
          <w:bCs/>
          <w:color w:val="auto"/>
        </w:rPr>
      </w:pPr>
      <w:r>
        <w:rPr>
          <w:rFonts w:hint="eastAsia" w:ascii="宋体" w:hAnsi="宋体" w:cs="宋体"/>
          <w:bCs/>
          <w:color w:val="auto"/>
        </w:rPr>
        <w:t>（3）具体、明确的质疑事项和与质疑事项相关的请求；</w:t>
      </w:r>
    </w:p>
    <w:p>
      <w:pPr>
        <w:spacing w:line="360" w:lineRule="auto"/>
        <w:ind w:firstLine="420" w:firstLineChars="200"/>
        <w:rPr>
          <w:rFonts w:ascii="宋体" w:hAnsi="宋体" w:cs="宋体"/>
          <w:bCs/>
          <w:color w:val="auto"/>
        </w:rPr>
      </w:pPr>
      <w:r>
        <w:rPr>
          <w:rFonts w:hint="eastAsia" w:ascii="宋体" w:hAnsi="宋体" w:cs="宋体"/>
          <w:bCs/>
          <w:color w:val="auto"/>
        </w:rPr>
        <w:t>（4）事实依据（列明权益受到损害的事实和理由）；</w:t>
      </w:r>
    </w:p>
    <w:p>
      <w:pPr>
        <w:spacing w:line="360" w:lineRule="auto"/>
        <w:ind w:firstLine="420" w:firstLineChars="200"/>
        <w:rPr>
          <w:rFonts w:ascii="宋体" w:hAnsi="宋体" w:cs="宋体"/>
          <w:bCs/>
          <w:color w:val="auto"/>
        </w:rPr>
      </w:pPr>
      <w:r>
        <w:rPr>
          <w:rFonts w:hint="eastAsia" w:ascii="宋体" w:hAnsi="宋体" w:cs="宋体"/>
          <w:bCs/>
          <w:color w:val="auto"/>
        </w:rPr>
        <w:t>（5）必要的法律依据；</w:t>
      </w:r>
    </w:p>
    <w:p>
      <w:pPr>
        <w:spacing w:line="360" w:lineRule="auto"/>
        <w:ind w:firstLine="420" w:firstLineChars="200"/>
        <w:rPr>
          <w:rFonts w:ascii="宋体" w:hAnsi="宋体" w:cs="宋体"/>
          <w:bCs/>
          <w:color w:val="auto"/>
        </w:rPr>
      </w:pPr>
      <w:r>
        <w:rPr>
          <w:rFonts w:hint="eastAsia" w:ascii="宋体" w:hAnsi="宋体" w:cs="宋体"/>
          <w:bCs/>
          <w:color w:val="auto"/>
        </w:rPr>
        <w:t>（6）提出质疑的日期。</w:t>
      </w:r>
    </w:p>
    <w:p>
      <w:pPr>
        <w:spacing w:line="360" w:lineRule="auto"/>
        <w:ind w:firstLine="420" w:firstLineChars="200"/>
        <w:rPr>
          <w:rFonts w:hAnsi="宋体"/>
          <w:bCs/>
          <w:color w:val="auto"/>
        </w:rPr>
      </w:pPr>
      <w:r>
        <w:rPr>
          <w:rFonts w:hint="eastAsia" w:hAnsi="宋体"/>
          <w:bCs/>
          <w:color w:val="auto"/>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b/>
          <w:color w:val="auto"/>
          <w:szCs w:val="20"/>
        </w:rPr>
      </w:pPr>
      <w:r>
        <w:rPr>
          <w:rFonts w:hint="eastAsia" w:ascii="宋体" w:hAnsi="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rPr>
        <w:t>。</w:t>
      </w:r>
    </w:p>
    <w:p>
      <w:pPr>
        <w:spacing w:line="360" w:lineRule="auto"/>
        <w:ind w:firstLine="420" w:firstLineChars="200"/>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Ansi="宋体"/>
          <w:bCs/>
          <w:color w:val="auto"/>
        </w:rPr>
      </w:pPr>
      <w:r>
        <w:rPr>
          <w:rFonts w:hint="eastAsia" w:hAnsi="宋体"/>
          <w:bCs/>
          <w:color w:val="auto"/>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hAnsi="宋体"/>
          <w:bCs/>
          <w:color w:val="auto"/>
        </w:rPr>
      </w:pPr>
      <w:r>
        <w:rPr>
          <w:rFonts w:hint="eastAsia" w:hAnsi="宋体"/>
          <w:bCs/>
          <w:color w:val="auto"/>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hAnsi="宋体"/>
          <w:bCs/>
          <w:color w:val="auto"/>
        </w:rPr>
      </w:pPr>
      <w:r>
        <w:rPr>
          <w:rFonts w:hint="eastAsia" w:hAnsi="宋体"/>
          <w:bCs/>
          <w:color w:val="auto"/>
        </w:rPr>
        <w:t>质疑答复导致中标结果改变的，采购人或者采购代理机构应当将有关情况书面报告本级财政部门。</w:t>
      </w:r>
    </w:p>
    <w:p>
      <w:pPr>
        <w:spacing w:line="360" w:lineRule="auto"/>
        <w:ind w:firstLine="422" w:firstLineChars="200"/>
        <w:rPr>
          <w:rFonts w:hAnsi="宋体"/>
          <w:b/>
          <w:color w:val="auto"/>
        </w:rPr>
      </w:pPr>
      <w:r>
        <w:rPr>
          <w:rFonts w:hAnsi="宋体"/>
          <w:b/>
          <w:color w:val="auto"/>
        </w:rPr>
        <w:t>38.3</w:t>
      </w:r>
      <w:r>
        <w:rPr>
          <w:rFonts w:hint="eastAsia" w:hAnsi="宋体"/>
          <w:b/>
          <w:color w:val="auto"/>
        </w:rPr>
        <w:t>投诉</w:t>
      </w:r>
    </w:p>
    <w:p>
      <w:pPr>
        <w:spacing w:line="360" w:lineRule="auto"/>
        <w:ind w:firstLine="422" w:firstLineChars="200"/>
        <w:rPr>
          <w:rFonts w:ascii="宋体" w:hAnsi="宋体" w:cs="宋体"/>
          <w:bCs/>
          <w:color w:val="auto"/>
        </w:rPr>
      </w:pPr>
      <w:r>
        <w:rPr>
          <w:rFonts w:hint="eastAsia" w:ascii="宋体" w:hAnsi="宋体" w:cs="宋体"/>
          <w:b/>
          <w:color w:val="auto"/>
        </w:rPr>
        <w:t>38.3</w:t>
      </w:r>
      <w:r>
        <w:rPr>
          <w:rFonts w:hint="eastAsia" w:ascii="宋体" w:hAnsi="宋体" w:cs="宋体"/>
          <w:bCs/>
          <w:color w:val="auto"/>
        </w:rPr>
        <w:t>.</w:t>
      </w:r>
      <w:r>
        <w:rPr>
          <w:rFonts w:hint="eastAsia" w:ascii="宋体" w:hAnsi="宋体" w:cs="宋体"/>
          <w:b/>
          <w:bCs/>
          <w:color w:val="auto"/>
        </w:rPr>
        <w:t xml:space="preserve">1 </w:t>
      </w:r>
      <w:r>
        <w:rPr>
          <w:rFonts w:hint="eastAsia" w:ascii="宋体" w:hAnsi="宋体" w:cs="宋体"/>
          <w:bCs/>
          <w:color w:val="auto"/>
        </w:rPr>
        <w:t xml:space="preserve"> 供应商认为采购文件、采购过程、中标和成交结果使自己的合法权益受到损害的，应当首先依法向采购人或采购人委托的</w:t>
      </w:r>
      <w:r>
        <w:rPr>
          <w:rFonts w:hint="eastAsia" w:ascii="宋体" w:hAnsi="宋体" w:cs="宋体"/>
          <w:color w:val="auto"/>
        </w:rPr>
        <w:t>采购代理机构</w:t>
      </w:r>
      <w:r>
        <w:rPr>
          <w:rFonts w:hint="eastAsia" w:ascii="宋体" w:hAnsi="宋体" w:cs="宋体"/>
          <w:bCs/>
          <w:color w:val="auto"/>
        </w:rPr>
        <w:t>提出质疑。对采购人或</w:t>
      </w:r>
      <w:r>
        <w:rPr>
          <w:rFonts w:hint="eastAsia" w:ascii="宋体" w:hAnsi="宋体" w:cs="宋体"/>
          <w:color w:val="auto"/>
        </w:rPr>
        <w:t>采购代理机构</w:t>
      </w:r>
      <w:r>
        <w:rPr>
          <w:rFonts w:hint="eastAsia" w:ascii="宋体" w:hAnsi="宋体" w:cs="宋体"/>
          <w:bCs/>
          <w:color w:val="auto"/>
        </w:rPr>
        <w:t>的答复不满意，或者采购人或</w:t>
      </w:r>
      <w:r>
        <w:rPr>
          <w:rFonts w:hint="eastAsia" w:ascii="宋体" w:hAnsi="宋体" w:cs="宋体"/>
          <w:color w:val="auto"/>
        </w:rPr>
        <w:t>采购代理机构</w:t>
      </w:r>
      <w:r>
        <w:rPr>
          <w:rFonts w:hint="eastAsia" w:ascii="宋体" w:hAnsi="宋体" w:cs="宋体"/>
          <w:bCs/>
          <w:color w:val="auto"/>
        </w:rPr>
        <w:t>未在规定期限内做出答复的，供应商可以在答复期满后15个工作日内向本级财政部门提起投诉，投诉联系方式见“投标人须知前附表”。</w:t>
      </w:r>
    </w:p>
    <w:p>
      <w:pPr>
        <w:spacing w:line="360" w:lineRule="auto"/>
        <w:ind w:firstLine="422" w:firstLineChars="200"/>
        <w:rPr>
          <w:rFonts w:ascii="宋体" w:hAnsi="宋体" w:cs="宋体"/>
          <w:bCs/>
          <w:color w:val="auto"/>
        </w:rPr>
      </w:pPr>
      <w:r>
        <w:rPr>
          <w:rFonts w:hint="eastAsia" w:ascii="宋体" w:hAnsi="宋体" w:cs="宋体"/>
          <w:b/>
          <w:color w:val="auto"/>
        </w:rPr>
        <w:t xml:space="preserve">38.3.2 </w:t>
      </w:r>
      <w:r>
        <w:rPr>
          <w:rFonts w:hint="eastAsia" w:ascii="宋体" w:hAnsi="宋体" w:cs="宋体"/>
          <w:color w:val="auto"/>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rPr>
        <w:t>应当包括下列主要内容</w:t>
      </w:r>
      <w:r>
        <w:rPr>
          <w:rFonts w:hint="eastAsia" w:ascii="宋体" w:hAnsi="宋体" w:cs="宋体"/>
          <w:color w:val="auto"/>
        </w:rPr>
        <w:t>（如材料中有外文资料应同时附上对应的中文译本）</w:t>
      </w:r>
      <w:r>
        <w:rPr>
          <w:rFonts w:hint="eastAsia" w:ascii="宋体" w:hAnsi="宋体" w:cs="宋体"/>
          <w:bCs/>
          <w:color w:val="auto"/>
        </w:rPr>
        <w:t>（投诉书格式后附）</w:t>
      </w:r>
      <w:r>
        <w:rPr>
          <w:rFonts w:hint="eastAsia" w:ascii="宋体" w:hAnsi="宋体" w:cs="宋体"/>
          <w:color w:val="auto"/>
          <w:szCs w:val="21"/>
        </w:rPr>
        <w:t>：</w:t>
      </w:r>
    </w:p>
    <w:p>
      <w:pPr>
        <w:spacing w:line="360" w:lineRule="auto"/>
        <w:ind w:firstLine="420" w:firstLineChars="200"/>
        <w:rPr>
          <w:rFonts w:ascii="宋体" w:hAnsi="宋体" w:cs="宋体"/>
          <w:color w:val="auto"/>
        </w:rPr>
      </w:pPr>
      <w:r>
        <w:rPr>
          <w:rFonts w:hint="eastAsia" w:ascii="宋体" w:hAnsi="宋体" w:cs="宋体"/>
          <w:color w:val="auto"/>
        </w:rPr>
        <w:t xml:space="preserve">（1）投诉人和被投诉人的名称、地址、邮编、联系人及联系电话等； </w:t>
      </w:r>
    </w:p>
    <w:p>
      <w:pPr>
        <w:spacing w:line="360" w:lineRule="auto"/>
        <w:ind w:firstLine="420" w:firstLineChars="200"/>
        <w:rPr>
          <w:rFonts w:ascii="宋体" w:hAnsi="宋体" w:cs="宋体"/>
          <w:color w:val="auto"/>
        </w:rPr>
      </w:pPr>
      <w:r>
        <w:rPr>
          <w:rFonts w:hint="eastAsia" w:ascii="宋体" w:hAnsi="宋体" w:cs="宋体"/>
          <w:color w:val="auto"/>
        </w:rPr>
        <w:t xml:space="preserve">（2）质疑和质疑答复情况及相关证明材料； </w:t>
      </w:r>
    </w:p>
    <w:p>
      <w:pPr>
        <w:spacing w:line="360" w:lineRule="auto"/>
        <w:ind w:firstLine="420" w:firstLineChars="200"/>
        <w:rPr>
          <w:rFonts w:ascii="宋体" w:hAnsi="宋体" w:cs="宋体"/>
          <w:color w:val="auto"/>
        </w:rPr>
      </w:pPr>
      <w:r>
        <w:rPr>
          <w:rFonts w:hint="eastAsia" w:ascii="宋体" w:hAnsi="宋体" w:cs="宋体"/>
          <w:color w:val="auto"/>
        </w:rPr>
        <w:t>（3）具体、明确的投诉事项和与投诉事项相关的投诉请求；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（5）法律依据；</w:t>
      </w:r>
    </w:p>
    <w:p>
      <w:pPr>
        <w:spacing w:line="360" w:lineRule="auto"/>
        <w:ind w:firstLine="420" w:firstLineChars="200"/>
        <w:rPr>
          <w:rFonts w:ascii="宋体" w:hAnsi="宋体" w:cs="宋体"/>
          <w:color w:val="auto"/>
        </w:rPr>
      </w:pPr>
      <w:r>
        <w:rPr>
          <w:rFonts w:hint="eastAsia" w:ascii="宋体" w:hAnsi="宋体" w:cs="宋体"/>
          <w:color w:val="auto"/>
        </w:rPr>
        <w:t>（6）提起投诉的日期。</w:t>
      </w:r>
    </w:p>
    <w:p>
      <w:pPr>
        <w:spacing w:line="360" w:lineRule="auto"/>
        <w:ind w:firstLine="420" w:firstLineChars="200"/>
        <w:rPr>
          <w:rFonts w:ascii="宋体" w:hAnsi="宋体" w:cs="宋体"/>
          <w:bCs/>
          <w:color w:val="auto"/>
        </w:rPr>
      </w:pPr>
      <w:r>
        <w:rPr>
          <w:rFonts w:hint="eastAsia" w:ascii="宋体" w:hAnsi="宋体" w:cs="宋体"/>
          <w:bCs/>
          <w:color w:val="auto"/>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ascii="宋体" w:hAnsi="宋体" w:cs="宋体"/>
          <w:bCs/>
          <w:color w:val="auto"/>
        </w:rPr>
      </w:pPr>
      <w:r>
        <w:rPr>
          <w:rFonts w:hint="eastAsia" w:ascii="宋体" w:hAnsi="宋体" w:cs="宋体"/>
          <w:b/>
          <w:color w:val="auto"/>
        </w:rPr>
        <w:t xml:space="preserve">38.3.3  </w:t>
      </w:r>
      <w:r>
        <w:rPr>
          <w:rFonts w:hint="eastAsia" w:ascii="宋体" w:hAnsi="宋体" w:cs="宋体"/>
          <w:color w:val="auto"/>
        </w:rPr>
        <w:t>投诉人可以委托代理人办理投诉事务。</w:t>
      </w:r>
      <w:r>
        <w:rPr>
          <w:rFonts w:hint="eastAsia" w:ascii="宋体" w:hAnsi="宋体" w:cs="宋体"/>
          <w:bCs/>
          <w:color w:val="auto"/>
        </w:rPr>
        <w:t>委托代理人应熟悉相关业务情况。</w:t>
      </w:r>
      <w:r>
        <w:rPr>
          <w:rFonts w:hint="eastAsia" w:ascii="宋体" w:hAnsi="宋体" w:cs="宋体"/>
          <w:color w:val="auto"/>
        </w:rPr>
        <w:t>代理人办理投诉事务时，除提交投诉书外，还应当提交投诉人的授权委托书和委托代理人身份证明复印件。</w:t>
      </w:r>
    </w:p>
    <w:p>
      <w:pPr>
        <w:spacing w:line="360" w:lineRule="auto"/>
        <w:ind w:firstLine="422" w:firstLineChars="200"/>
        <w:rPr>
          <w:rFonts w:ascii="宋体" w:hAnsi="宋体" w:cs="宋体"/>
          <w:color w:val="auto"/>
        </w:rPr>
      </w:pPr>
      <w:r>
        <w:rPr>
          <w:rFonts w:hint="eastAsia" w:ascii="宋体" w:hAnsi="宋体" w:cs="宋体"/>
          <w:b/>
          <w:color w:val="auto"/>
        </w:rPr>
        <w:t>38.3.4</w:t>
      </w:r>
      <w:r>
        <w:rPr>
          <w:rFonts w:hint="eastAsia" w:ascii="宋体" w:hAnsi="宋体" w:cs="宋体"/>
          <w:color w:val="auto"/>
        </w:rPr>
        <w:t xml:space="preserve">  投诉人提起投诉应当符合下列条件：</w:t>
      </w:r>
    </w:p>
    <w:p>
      <w:pPr>
        <w:spacing w:line="360" w:lineRule="auto"/>
        <w:ind w:firstLine="420" w:firstLineChars="200"/>
        <w:rPr>
          <w:rFonts w:ascii="宋体" w:hAnsi="宋体" w:cs="宋体"/>
          <w:color w:val="auto"/>
        </w:rPr>
      </w:pPr>
      <w:r>
        <w:rPr>
          <w:rFonts w:hint="eastAsia" w:ascii="宋体" w:hAnsi="宋体" w:cs="宋体"/>
          <w:color w:val="auto"/>
        </w:rPr>
        <w:t>（1）投诉人是参与所投诉政府采购活动的供应商；</w:t>
      </w:r>
    </w:p>
    <w:p>
      <w:pPr>
        <w:spacing w:line="360" w:lineRule="auto"/>
        <w:ind w:firstLine="420" w:firstLineChars="200"/>
        <w:rPr>
          <w:rFonts w:ascii="宋体" w:hAnsi="宋体" w:cs="宋体"/>
          <w:color w:val="auto"/>
        </w:rPr>
      </w:pPr>
      <w:r>
        <w:rPr>
          <w:rFonts w:hint="eastAsia" w:ascii="宋体" w:hAnsi="宋体" w:cs="宋体"/>
          <w:color w:val="auto"/>
        </w:rPr>
        <w:t>（2）提起投诉前已依法进行质疑；</w:t>
      </w:r>
    </w:p>
    <w:p>
      <w:pPr>
        <w:spacing w:line="360" w:lineRule="auto"/>
        <w:ind w:firstLine="420" w:firstLineChars="200"/>
        <w:rPr>
          <w:rFonts w:ascii="宋体" w:hAnsi="宋体" w:cs="宋体"/>
          <w:color w:val="auto"/>
        </w:rPr>
      </w:pPr>
      <w:r>
        <w:rPr>
          <w:rFonts w:hint="eastAsia" w:ascii="宋体" w:hAnsi="宋体" w:cs="宋体"/>
          <w:color w:val="auto"/>
        </w:rPr>
        <w:t>（3）投诉书内容符合本章第38.3.2项的规定；</w:t>
      </w:r>
    </w:p>
    <w:p>
      <w:pPr>
        <w:spacing w:line="360" w:lineRule="auto"/>
        <w:ind w:firstLine="420" w:firstLineChars="200"/>
        <w:rPr>
          <w:rFonts w:ascii="宋体" w:hAnsi="宋体" w:cs="宋体"/>
          <w:color w:val="auto"/>
        </w:rPr>
      </w:pPr>
      <w:r>
        <w:rPr>
          <w:rFonts w:hint="eastAsia" w:ascii="宋体" w:hAnsi="宋体" w:cs="宋体"/>
          <w:color w:val="auto"/>
        </w:rPr>
        <w:t>（4）在投诉有效期限内提起投诉；</w:t>
      </w:r>
    </w:p>
    <w:p>
      <w:pPr>
        <w:spacing w:line="360" w:lineRule="auto"/>
        <w:ind w:firstLine="420" w:firstLineChars="200"/>
        <w:rPr>
          <w:rFonts w:ascii="宋体" w:hAnsi="宋体" w:cs="宋体"/>
          <w:color w:val="auto"/>
        </w:rPr>
      </w:pPr>
      <w:r>
        <w:rPr>
          <w:rFonts w:hint="eastAsia" w:ascii="宋体" w:hAnsi="宋体" w:cs="宋体"/>
          <w:color w:val="auto"/>
        </w:rPr>
        <w:t>（5）同一投诉事项未经</w:t>
      </w:r>
      <w:r>
        <w:rPr>
          <w:rFonts w:hint="eastAsia" w:ascii="宋体" w:hAnsi="宋体" w:cs="宋体"/>
          <w:bCs/>
          <w:color w:val="auto"/>
        </w:rPr>
        <w:t>财政部门</w:t>
      </w:r>
      <w:r>
        <w:rPr>
          <w:rFonts w:hint="eastAsia" w:ascii="宋体" w:hAnsi="宋体" w:cs="宋体"/>
          <w:color w:val="auto"/>
        </w:rPr>
        <w:t>投诉处理；</w:t>
      </w:r>
    </w:p>
    <w:p>
      <w:pPr>
        <w:spacing w:line="360" w:lineRule="auto"/>
        <w:ind w:firstLine="420" w:firstLineChars="200"/>
        <w:rPr>
          <w:rFonts w:ascii="宋体" w:hAnsi="宋体" w:cs="宋体"/>
          <w:color w:val="auto"/>
        </w:rPr>
      </w:pPr>
      <w:r>
        <w:rPr>
          <w:rFonts w:hint="eastAsia" w:ascii="宋体" w:hAnsi="宋体" w:cs="宋体"/>
          <w:color w:val="auto"/>
        </w:rPr>
        <w:t>（6）国务院财政部门规定的其他条件。</w:t>
      </w:r>
    </w:p>
    <w:p>
      <w:pPr>
        <w:snapToGrid w:val="0"/>
        <w:spacing w:line="360" w:lineRule="auto"/>
        <w:ind w:left="120" w:leftChars="57" w:firstLine="482" w:firstLineChars="150"/>
        <w:jc w:val="center"/>
        <w:outlineLvl w:val="2"/>
        <w:rPr>
          <w:b/>
          <w:bCs/>
          <w:color w:val="auto"/>
          <w:sz w:val="32"/>
          <w:szCs w:val="32"/>
        </w:rPr>
      </w:pPr>
      <w:bookmarkStart w:id="261" w:name="_Toc14937"/>
      <w:bookmarkStart w:id="262" w:name="_Toc1756"/>
      <w:bookmarkStart w:id="263" w:name="_Toc26583"/>
      <w:bookmarkStart w:id="264" w:name="_Toc7828"/>
      <w:bookmarkStart w:id="265" w:name="_Toc13659"/>
      <w:bookmarkStart w:id="266" w:name="_Toc25946"/>
      <w:bookmarkStart w:id="267" w:name="_Toc27653"/>
      <w:bookmarkStart w:id="268" w:name="_Toc23239"/>
      <w:bookmarkStart w:id="269" w:name="_Toc29288"/>
      <w:bookmarkStart w:id="270" w:name="_Toc8731"/>
      <w:r>
        <w:rPr>
          <w:rFonts w:hint="eastAsia"/>
          <w:b/>
          <w:bCs/>
          <w:color w:val="auto"/>
          <w:sz w:val="32"/>
          <w:szCs w:val="32"/>
        </w:rPr>
        <w:t>八、验收</w:t>
      </w:r>
      <w:bookmarkEnd w:id="261"/>
      <w:bookmarkEnd w:id="262"/>
      <w:bookmarkEnd w:id="263"/>
      <w:bookmarkEnd w:id="264"/>
      <w:bookmarkEnd w:id="265"/>
      <w:bookmarkEnd w:id="266"/>
      <w:bookmarkEnd w:id="267"/>
      <w:bookmarkEnd w:id="268"/>
      <w:bookmarkEnd w:id="269"/>
      <w:bookmarkEnd w:id="270"/>
    </w:p>
    <w:p>
      <w:pPr>
        <w:spacing w:line="360" w:lineRule="auto"/>
        <w:ind w:firstLine="422" w:firstLineChars="200"/>
        <w:rPr>
          <w:rFonts w:hAnsi="宋体"/>
          <w:b/>
          <w:color w:val="auto"/>
        </w:rPr>
      </w:pPr>
      <w:r>
        <w:rPr>
          <w:rFonts w:hAnsi="宋体"/>
          <w:b/>
          <w:color w:val="auto"/>
        </w:rPr>
        <w:t>39.</w:t>
      </w:r>
      <w:r>
        <w:rPr>
          <w:rFonts w:hint="eastAsia" w:hAnsi="宋体"/>
          <w:b/>
          <w:color w:val="auto"/>
        </w:rPr>
        <w:t>验收</w:t>
      </w:r>
    </w:p>
    <w:p>
      <w:pPr>
        <w:tabs>
          <w:tab w:val="left" w:pos="0"/>
        </w:tabs>
        <w:spacing w:line="360" w:lineRule="auto"/>
        <w:ind w:firstLine="480"/>
        <w:rPr>
          <w:rFonts w:ascii="宋体" w:hAnsi="宋体" w:cs="宋体"/>
          <w:color w:val="auto"/>
        </w:rPr>
      </w:pPr>
      <w:r>
        <w:rPr>
          <w:rFonts w:hint="eastAsia" w:ascii="宋体" w:hAnsi="宋体" w:cs="宋体"/>
          <w:color w:val="auto"/>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tabs>
          <w:tab w:val="left" w:pos="0"/>
        </w:tabs>
        <w:spacing w:line="360" w:lineRule="auto"/>
        <w:ind w:firstLine="48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rPr>
      </w:pPr>
      <w:r>
        <w:rPr>
          <w:rFonts w:hint="eastAsia" w:ascii="宋体" w:hAnsi="宋体" w:cs="宋体"/>
          <w:color w:val="auto"/>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w:t>
      </w:r>
      <w:r>
        <w:rPr>
          <w:rFonts w:hint="eastAsia" w:ascii="宋体" w:hAnsi="宋体" w:cs="宋体"/>
          <w:color w:val="auto"/>
          <w:highlight w:val="none"/>
        </w:rPr>
        <w:t>及履约保证金（如有）返还</w:t>
      </w:r>
      <w:r>
        <w:rPr>
          <w:rFonts w:hint="eastAsia" w:ascii="宋体" w:hAnsi="宋体" w:cs="宋体"/>
          <w:color w:val="auto"/>
        </w:rPr>
        <w:t>条件挂钩。履约验收的各项资料应当存档备查。</w:t>
      </w:r>
    </w:p>
    <w:p>
      <w:pPr>
        <w:tabs>
          <w:tab w:val="left" w:pos="0"/>
        </w:tabs>
        <w:spacing w:line="360" w:lineRule="auto"/>
        <w:ind w:firstLine="480"/>
        <w:rPr>
          <w:rFonts w:ascii="宋体" w:hAnsi="宋体" w:cs="宋体"/>
          <w:color w:val="auto"/>
        </w:rPr>
      </w:pPr>
      <w:r>
        <w:rPr>
          <w:rFonts w:hint="eastAsia" w:ascii="宋体" w:hAnsi="宋体" w:cs="宋体"/>
          <w:color w:val="auto"/>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8"/>
        <w:snapToGrid w:val="0"/>
        <w:spacing w:line="400" w:lineRule="exact"/>
        <w:rPr>
          <w:rFonts w:hAnsi="宋体"/>
          <w:color w:val="auto"/>
        </w:rPr>
      </w:pPr>
    </w:p>
    <w:p>
      <w:pPr>
        <w:pStyle w:val="5"/>
        <w:keepNext w:val="0"/>
        <w:keepLines w:val="0"/>
        <w:spacing w:line="360" w:lineRule="auto"/>
        <w:jc w:val="center"/>
        <w:rPr>
          <w:color w:val="auto"/>
        </w:rPr>
      </w:pPr>
      <w:bookmarkStart w:id="271" w:name="_八、其他事项"/>
      <w:bookmarkEnd w:id="271"/>
      <w:bookmarkStart w:id="272" w:name="_Toc13612"/>
      <w:bookmarkStart w:id="273" w:name="_Toc16509"/>
      <w:bookmarkStart w:id="274" w:name="_Toc13217"/>
      <w:bookmarkStart w:id="275" w:name="_Toc28972"/>
      <w:bookmarkStart w:id="276" w:name="_Toc24348"/>
      <w:bookmarkStart w:id="277" w:name="_Toc27249"/>
      <w:bookmarkStart w:id="278" w:name="_Toc5795"/>
      <w:bookmarkStart w:id="279" w:name="_Toc32163"/>
      <w:bookmarkStart w:id="280" w:name="_Toc31560"/>
      <w:bookmarkStart w:id="281" w:name="_Toc14814"/>
      <w:r>
        <w:rPr>
          <w:rFonts w:hint="eastAsia"/>
          <w:color w:val="auto"/>
        </w:rPr>
        <w:t>九、其他事项</w:t>
      </w:r>
      <w:bookmarkEnd w:id="272"/>
      <w:bookmarkEnd w:id="273"/>
      <w:bookmarkEnd w:id="274"/>
      <w:bookmarkEnd w:id="275"/>
      <w:bookmarkEnd w:id="276"/>
      <w:bookmarkEnd w:id="277"/>
      <w:bookmarkEnd w:id="278"/>
      <w:bookmarkEnd w:id="279"/>
      <w:bookmarkEnd w:id="280"/>
      <w:bookmarkEnd w:id="281"/>
    </w:p>
    <w:p>
      <w:pPr>
        <w:spacing w:line="360" w:lineRule="auto"/>
        <w:ind w:firstLine="480" w:firstLineChars="200"/>
        <w:rPr>
          <w:rFonts w:ascii="黑体" w:hAnsi="黑体" w:eastAsia="黑体"/>
          <w:color w:val="auto"/>
          <w:sz w:val="24"/>
        </w:rPr>
      </w:pPr>
      <w:bookmarkStart w:id="282" w:name="_42.代理服务费"/>
      <w:bookmarkEnd w:id="282"/>
      <w:r>
        <w:rPr>
          <w:rFonts w:hint="eastAsia" w:ascii="黑体" w:hAnsi="黑体" w:eastAsia="黑体"/>
          <w:color w:val="auto"/>
          <w:sz w:val="24"/>
        </w:rPr>
        <w:t>40.采购代理服务费</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40.1采购代理服务费收费标准及缴费账户详见“投标人须知前附表”，投标人为联合体的，可以由联合体中的一方或者多方共同缴纳采购代理服务费。</w:t>
      </w:r>
    </w:p>
    <w:p>
      <w:pPr>
        <w:pStyle w:val="7"/>
        <w:keepNext w:val="0"/>
        <w:keepLines w:val="0"/>
        <w:spacing w:before="0" w:after="0" w:line="320" w:lineRule="exact"/>
        <w:ind w:left="420" w:leftChars="200"/>
        <w:rPr>
          <w:rFonts w:hint="eastAsia" w:ascii="宋体" w:hAnsi="宋体"/>
          <w:color w:val="auto"/>
          <w:szCs w:val="21"/>
        </w:rPr>
      </w:pPr>
      <w:r>
        <w:rPr>
          <w:rFonts w:hint="eastAsia" w:ascii="宋体" w:hAnsi="宋体"/>
          <w:b w:val="0"/>
          <w:color w:val="auto"/>
          <w:sz w:val="21"/>
          <w:szCs w:val="21"/>
          <w:lang w:val="en-US" w:eastAsia="zh-CN"/>
        </w:rPr>
        <w:t>40.2</w:t>
      </w:r>
      <w:r>
        <w:rPr>
          <w:rFonts w:hint="eastAsia" w:ascii="宋体" w:hAnsi="宋体"/>
          <w:b w:val="0"/>
          <w:color w:val="auto"/>
          <w:sz w:val="21"/>
          <w:szCs w:val="21"/>
        </w:rPr>
        <w:t>代理服务收费标准：</w:t>
      </w:r>
    </w:p>
    <w:p>
      <w:pPr>
        <w:pStyle w:val="2"/>
        <w:rPr>
          <w:rFonts w:hint="eastAsia" w:ascii="宋体" w:hAnsi="宋体"/>
          <w:bCs/>
          <w:color w:val="auto"/>
          <w:szCs w:val="21"/>
        </w:rPr>
      </w:pPr>
    </w:p>
    <w:tbl>
      <w:tblPr>
        <w:tblStyle w:val="2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655"/>
        <w:gridCol w:w="1683"/>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465" w:type="dxa"/>
            <w:tcBorders>
              <w:tl2br w:val="single" w:color="auto" w:sz="4" w:space="0"/>
            </w:tcBorders>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费率</w:t>
            </w:r>
          </w:p>
          <w:p>
            <w:pPr>
              <w:spacing w:line="320" w:lineRule="exact"/>
              <w:rPr>
                <w:rFonts w:hint="eastAsia" w:ascii="宋体" w:hAnsi="宋体"/>
                <w:color w:val="auto"/>
                <w:szCs w:val="21"/>
              </w:rPr>
            </w:pPr>
            <w:r>
              <w:rPr>
                <w:rFonts w:hint="eastAsia" w:ascii="宋体" w:hAnsi="宋体"/>
                <w:color w:val="auto"/>
                <w:szCs w:val="21"/>
              </w:rPr>
              <w:t>中标金额</w:t>
            </w:r>
          </w:p>
        </w:tc>
        <w:tc>
          <w:tcPr>
            <w:tcW w:w="1655" w:type="dxa"/>
            <w:noWrap w:val="0"/>
            <w:vAlign w:val="center"/>
          </w:tcPr>
          <w:p>
            <w:pPr>
              <w:spacing w:line="320" w:lineRule="exact"/>
              <w:ind w:firstLine="105" w:firstLineChars="50"/>
              <w:jc w:val="center"/>
              <w:rPr>
                <w:rFonts w:hint="eastAsia" w:ascii="宋体" w:hAnsi="宋体"/>
                <w:color w:val="auto"/>
                <w:szCs w:val="21"/>
              </w:rPr>
            </w:pPr>
            <w:r>
              <w:rPr>
                <w:rFonts w:hint="eastAsia" w:ascii="宋体" w:hAnsi="宋体"/>
                <w:color w:val="auto"/>
                <w:szCs w:val="21"/>
              </w:rPr>
              <w:t>货物招标</w:t>
            </w:r>
          </w:p>
        </w:tc>
        <w:tc>
          <w:tcPr>
            <w:tcW w:w="1683"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服务招标</w:t>
            </w:r>
          </w:p>
        </w:tc>
        <w:tc>
          <w:tcPr>
            <w:tcW w:w="1655"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100万元以下</w:t>
            </w:r>
          </w:p>
        </w:tc>
        <w:tc>
          <w:tcPr>
            <w:tcW w:w="1655" w:type="dxa"/>
            <w:noWrap w:val="0"/>
            <w:vAlign w:val="top"/>
          </w:tcPr>
          <w:p>
            <w:pPr>
              <w:spacing w:line="320" w:lineRule="exact"/>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1.5%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1.5%</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100～500万元</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 xml:space="preserve">1.1%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0.8%</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500～1000万元</w:t>
            </w:r>
          </w:p>
        </w:tc>
        <w:tc>
          <w:tcPr>
            <w:tcW w:w="1655" w:type="dxa"/>
            <w:noWrap w:val="0"/>
            <w:vAlign w:val="top"/>
          </w:tcPr>
          <w:p>
            <w:pPr>
              <w:spacing w:line="320" w:lineRule="exact"/>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0.8%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0.45%</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1000～5000万元</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 xml:space="preserve">0.5%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0.25%</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5000万元～1亿元</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0.25%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0.1%</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1～5亿元</w:t>
            </w:r>
          </w:p>
        </w:tc>
        <w:tc>
          <w:tcPr>
            <w:tcW w:w="1655" w:type="dxa"/>
            <w:noWrap w:val="0"/>
            <w:vAlign w:val="top"/>
          </w:tcPr>
          <w:p>
            <w:pPr>
              <w:spacing w:line="320" w:lineRule="exact"/>
              <w:ind w:firstLine="210" w:firstLineChars="100"/>
              <w:rPr>
                <w:rFonts w:hint="eastAsia" w:ascii="宋体" w:hAnsi="宋体"/>
                <w:color w:val="auto"/>
                <w:szCs w:val="21"/>
              </w:rPr>
            </w:pPr>
            <w:r>
              <w:rPr>
                <w:rFonts w:hint="eastAsia" w:ascii="宋体" w:hAnsi="宋体"/>
                <w:color w:val="auto"/>
                <w:szCs w:val="21"/>
              </w:rPr>
              <w:t>0.05%</w:t>
            </w:r>
          </w:p>
        </w:tc>
        <w:tc>
          <w:tcPr>
            <w:tcW w:w="1683"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0.05%</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5～10亿元</w:t>
            </w:r>
          </w:p>
        </w:tc>
        <w:tc>
          <w:tcPr>
            <w:tcW w:w="1655" w:type="dxa"/>
            <w:noWrap w:val="0"/>
            <w:vAlign w:val="top"/>
          </w:tcPr>
          <w:p>
            <w:pPr>
              <w:spacing w:line="320" w:lineRule="exact"/>
              <w:ind w:firstLine="105" w:firstLineChars="50"/>
              <w:rPr>
                <w:rFonts w:hint="eastAsia" w:ascii="宋体" w:hAnsi="宋体"/>
                <w:color w:val="auto"/>
                <w:szCs w:val="21"/>
              </w:rPr>
            </w:pPr>
            <w:r>
              <w:rPr>
                <w:rFonts w:hint="eastAsia" w:ascii="宋体" w:hAnsi="宋体"/>
                <w:color w:val="auto"/>
                <w:szCs w:val="21"/>
              </w:rPr>
              <w:t>0.035%</w:t>
            </w:r>
          </w:p>
        </w:tc>
        <w:tc>
          <w:tcPr>
            <w:tcW w:w="1683"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0.035%</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10～50亿元</w:t>
            </w:r>
          </w:p>
        </w:tc>
        <w:tc>
          <w:tcPr>
            <w:tcW w:w="1655" w:type="dxa"/>
            <w:noWrap w:val="0"/>
            <w:vAlign w:val="top"/>
          </w:tcPr>
          <w:p>
            <w:pPr>
              <w:spacing w:line="320" w:lineRule="exact"/>
              <w:ind w:firstLine="105" w:firstLineChars="50"/>
              <w:rPr>
                <w:rFonts w:hint="eastAsia" w:ascii="宋体" w:hAnsi="宋体"/>
                <w:color w:val="auto"/>
                <w:szCs w:val="21"/>
              </w:rPr>
            </w:pPr>
            <w:r>
              <w:rPr>
                <w:rFonts w:hint="eastAsia" w:ascii="宋体" w:hAnsi="宋体"/>
                <w:color w:val="auto"/>
                <w:szCs w:val="21"/>
              </w:rPr>
              <w:t>0.008%</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0.008%</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50～100亿元</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0.006%</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0.006%</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100亿以上</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0.004%</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0.004%</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0.004%</w:t>
            </w:r>
          </w:p>
        </w:tc>
      </w:tr>
    </w:tbl>
    <w:p>
      <w:pPr>
        <w:spacing w:line="320" w:lineRule="exact"/>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pPr>
        <w:spacing w:line="320" w:lineRule="exact"/>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pPr>
        <w:spacing w:line="320" w:lineRule="exact"/>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pPr>
        <w:spacing w:line="320" w:lineRule="exact"/>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服务采购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pPr>
        <w:spacing w:line="320" w:lineRule="exact"/>
        <w:ind w:firstLine="420" w:firstLineChars="200"/>
        <w:rPr>
          <w:rFonts w:ascii="宋体" w:hAnsi="宋体" w:cs="宋体"/>
          <w:color w:val="auto"/>
          <w:szCs w:val="21"/>
        </w:rPr>
      </w:pPr>
      <w:r>
        <w:rPr>
          <w:rFonts w:ascii="宋体" w:hAnsi="宋体" w:cs="宋体"/>
          <w:color w:val="auto"/>
          <w:szCs w:val="21"/>
        </w:rPr>
        <w:t>100 万元×l.5 ％＝ 1.5 万元</w:t>
      </w:r>
    </w:p>
    <w:p>
      <w:pPr>
        <w:spacing w:line="320" w:lineRule="exact"/>
        <w:ind w:firstLine="420" w:firstLineChars="200"/>
        <w:rPr>
          <w:rFonts w:ascii="宋体" w:hAnsi="宋体" w:cs="宋体"/>
          <w:color w:val="auto"/>
          <w:szCs w:val="21"/>
        </w:rPr>
      </w:pPr>
      <w:r>
        <w:rPr>
          <w:rFonts w:ascii="宋体" w:hAnsi="宋体" w:cs="宋体"/>
          <w:color w:val="auto"/>
          <w:szCs w:val="21"/>
        </w:rPr>
        <w:t>（ 200 － 100 ）万元 ×0.8％＝0.8万元</w:t>
      </w:r>
    </w:p>
    <w:p>
      <w:pPr>
        <w:pStyle w:val="18"/>
        <w:snapToGrid w:val="0"/>
        <w:spacing w:before="120" w:after="120" w:line="320" w:lineRule="exact"/>
        <w:ind w:firstLine="420" w:firstLineChars="200"/>
        <w:rPr>
          <w:rFonts w:hint="eastAsia" w:ascii="宋体" w:hAnsi="宋体"/>
          <w:bCs/>
          <w:color w:val="auto"/>
          <w:szCs w:val="21"/>
        </w:rPr>
      </w:pPr>
      <w:r>
        <w:rPr>
          <w:rFonts w:hAnsi="宋体" w:cs="宋体"/>
          <w:color w:val="auto"/>
          <w:sz w:val="21"/>
        </w:rPr>
        <w:t>合计收费＝ 1.5</w:t>
      </w:r>
      <w:r>
        <w:rPr>
          <w:rFonts w:hint="eastAsia" w:hAnsi="宋体" w:cs="宋体"/>
          <w:color w:val="auto"/>
          <w:sz w:val="21"/>
        </w:rPr>
        <w:t>+</w:t>
      </w:r>
      <w:r>
        <w:rPr>
          <w:rFonts w:hAnsi="宋体" w:cs="宋体"/>
          <w:color w:val="auto"/>
          <w:sz w:val="21"/>
        </w:rPr>
        <w:t>0.8＝ 2.3（万元）</w:t>
      </w:r>
    </w:p>
    <w:p>
      <w:pPr>
        <w:pStyle w:val="2"/>
        <w:rPr>
          <w:color w:val="auto"/>
        </w:rPr>
      </w:pP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41. 需要补充的其他内容</w:t>
      </w:r>
    </w:p>
    <w:p>
      <w:pPr>
        <w:spacing w:line="360" w:lineRule="auto"/>
        <w:ind w:firstLine="420" w:firstLineChars="200"/>
        <w:rPr>
          <w:rFonts w:ascii="宋体" w:hAnsi="宋体" w:cs="宋体"/>
          <w:color w:val="auto"/>
        </w:rPr>
      </w:pPr>
      <w:r>
        <w:rPr>
          <w:rFonts w:hint="eastAsia" w:ascii="宋体" w:hAnsi="宋体" w:cs="宋体"/>
          <w:color w:val="auto"/>
        </w:rPr>
        <w:t>41.1本招标文件解释规则详见“投标人须知前附表”。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41.2 其他事项详见“投标人须知前附表”。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w:t>
      </w:r>
      <w:r>
        <w:rPr>
          <w:rFonts w:hint="eastAsia" w:ascii="宋体" w:hAnsi="宋体" w:eastAsia="宋体" w:cs="宋体"/>
          <w:color w:val="auto"/>
          <w:sz w:val="21"/>
          <w:szCs w:val="21"/>
          <w:highlight w:val="none"/>
        </w:rPr>
        <w:t>中华人民共和国民法典</w:t>
      </w:r>
      <w:r>
        <w:rPr>
          <w:rFonts w:hint="eastAsia" w:ascii="宋体" w:hAnsi="宋体" w:cs="宋体"/>
          <w:color w:val="auto"/>
        </w:rPr>
        <w:t>》订立劳动合同的从业人员，不对其中涉及的货物的制造商和工程承建商作出要求的，享受本文件规定的中小企业扶持政策。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color w:val="auto"/>
        </w:rPr>
      </w:pPr>
      <w:r>
        <w:rPr>
          <w:rFonts w:hint="eastAsia" w:ascii="宋体" w:hAnsi="宋体" w:cs="宋体"/>
          <w:color w:val="auto"/>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hAnsi="宋体"/>
          <w:color w:val="auto"/>
          <w:sz w:val="21"/>
          <w:lang w:val="en-US" w:eastAsia="zh-CN"/>
        </w:rPr>
      </w:pPr>
      <w:r>
        <w:rPr>
          <w:rFonts w:hint="eastAsia" w:ascii="宋体" w:hAnsi="宋体" w:cs="宋体"/>
          <w:color w:val="auto"/>
        </w:rPr>
        <w:t>依据本文件规定享受扶持政策获得政府采购合同的，小微企业不得将合同分包给大中型企业，中型企业不得将合同分包给大型企业。</w:t>
      </w: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r>
        <w:rPr>
          <w:rFonts w:hint="eastAsia" w:hAnsi="宋体"/>
          <w:color w:val="auto"/>
          <w:sz w:val="21"/>
          <w:lang w:val="en-US" w:eastAsia="zh-CN"/>
        </w:rPr>
        <w:t>41.4 崇左市线上“政采贷”政策告知函</w:t>
      </w:r>
    </w:p>
    <w:p>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pPr>
        <w:spacing w:line="580" w:lineRule="exact"/>
        <w:ind w:firstLine="420" w:firstLineChars="200"/>
        <w:rPr>
          <w:color w:val="auto"/>
          <w:szCs w:val="32"/>
        </w:rPr>
      </w:pPr>
    </w:p>
    <w:p>
      <w:pPr>
        <w:pStyle w:val="18"/>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各供应商：</w:t>
      </w:r>
    </w:p>
    <w:p>
      <w:pPr>
        <w:pStyle w:val="18"/>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欢迎贵公司参与</w:t>
      </w:r>
      <w:r>
        <w:rPr>
          <w:rFonts w:hint="eastAsia" w:ascii="宋体" w:hAnsi="宋体" w:eastAsia="宋体" w:cs="Times New Roman"/>
          <w:color w:val="auto"/>
          <w:sz w:val="24"/>
          <w:szCs w:val="24"/>
          <w:lang w:eastAsia="zh-CN"/>
        </w:rPr>
        <w:t>崇左市</w:t>
      </w:r>
      <w:r>
        <w:rPr>
          <w:rFonts w:hint="eastAsia" w:ascii="宋体" w:hAnsi="宋体" w:eastAsia="宋体" w:cs="Times New Roman"/>
          <w:color w:val="auto"/>
          <w:sz w:val="24"/>
          <w:szCs w:val="24"/>
        </w:rPr>
        <w:t>政府采购活动！</w:t>
      </w:r>
    </w:p>
    <w:p>
      <w:pPr>
        <w:pStyle w:val="18"/>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申请贷款，融资机构将根据《中国人民银行南宁中心支行 广西壮族自治区财政厅关于推广线上“政采贷”融资模式的通知》（南宁银发〔2021〕</w:t>
      </w:r>
      <w:r>
        <w:rPr>
          <w:rFonts w:hint="eastAsia" w:ascii="宋体" w:hAnsi="宋体" w:eastAsia="宋体" w:cs="Times New Roman"/>
          <w:color w:val="auto"/>
          <w:sz w:val="24"/>
          <w:szCs w:val="24"/>
          <w:lang w:val="en-US" w:eastAsia="zh-CN"/>
        </w:rPr>
        <w:t>258</w:t>
      </w:r>
      <w:r>
        <w:rPr>
          <w:rFonts w:hint="eastAsia" w:ascii="宋体" w:hAnsi="宋体" w:eastAsia="宋体" w:cs="Times New Roman"/>
          <w:color w:val="auto"/>
          <w:sz w:val="24"/>
          <w:szCs w:val="24"/>
        </w:rPr>
        <w:t>号），按照双方自愿的原则提供便捷、优惠的贷款服务。</w:t>
      </w:r>
    </w:p>
    <w:p>
      <w:pPr>
        <w:pStyle w:val="18"/>
        <w:spacing w:line="360" w:lineRule="auto"/>
        <w:ind w:firstLine="480" w:firstLineChars="200"/>
        <w:contextualSpacing/>
        <w:rPr>
          <w:rFonts w:hint="eastAsia" w:hAnsi="宋体"/>
          <w:color w:val="auto"/>
          <w:sz w:val="24"/>
          <w:szCs w:val="24"/>
          <w:lang w:val="en-US" w:eastAsia="zh-CN"/>
        </w:rPr>
      </w:pPr>
      <w:r>
        <w:rPr>
          <w:rFonts w:hint="eastAsia" w:ascii="宋体" w:hAnsi="宋体" w:eastAsia="宋体" w:cs="Times New Roman"/>
          <w:color w:val="auto"/>
          <w:sz w:val="24"/>
          <w:szCs w:val="24"/>
        </w:rPr>
        <w:t>相关金融产品和</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联系方式，可在中征应收账款融资服务平台查询</w:t>
      </w:r>
      <w:r>
        <w:rPr>
          <w:rFonts w:hint="eastAsia" w:ascii="宋体" w:hAnsi="宋体" w:eastAsia="宋体" w:cs="Times New Roman"/>
          <w:color w:val="auto"/>
          <w:sz w:val="24"/>
          <w:szCs w:val="24"/>
          <w:lang w:eastAsia="zh-CN"/>
        </w:rPr>
        <w:t>（网址：</w:t>
      </w:r>
      <w:r>
        <w:rPr>
          <w:rFonts w:hint="eastAsia" w:ascii="宋体" w:hAnsi="宋体" w:eastAsia="宋体" w:cs="Times New Roman"/>
          <w:color w:val="auto"/>
          <w:sz w:val="24"/>
          <w:szCs w:val="24"/>
          <w:lang w:eastAsia="zh-CN"/>
        </w:rPr>
        <w:fldChar w:fldCharType="begin"/>
      </w:r>
      <w:r>
        <w:rPr>
          <w:rFonts w:hint="eastAsia" w:ascii="宋体" w:hAnsi="宋体" w:eastAsia="宋体" w:cs="Times New Roman"/>
          <w:color w:val="auto"/>
          <w:sz w:val="24"/>
          <w:szCs w:val="24"/>
          <w:lang w:eastAsia="zh-CN"/>
        </w:rPr>
        <w:instrText xml:space="preserve"> HYPERLINK "https://www.crcrfsp.com/" </w:instrText>
      </w:r>
      <w:r>
        <w:rPr>
          <w:rFonts w:hint="eastAsia" w:ascii="宋体" w:hAnsi="宋体" w:eastAsia="宋体" w:cs="Times New Roman"/>
          <w:color w:val="auto"/>
          <w:sz w:val="24"/>
          <w:szCs w:val="24"/>
          <w:lang w:eastAsia="zh-CN"/>
        </w:rPr>
        <w:fldChar w:fldCharType="separate"/>
      </w:r>
      <w:r>
        <w:rPr>
          <w:rFonts w:hint="eastAsia" w:ascii="宋体" w:hAnsi="宋体" w:eastAsia="宋体" w:cs="Times New Roman"/>
          <w:color w:val="auto"/>
          <w:sz w:val="24"/>
          <w:szCs w:val="24"/>
          <w:lang w:eastAsia="zh-CN"/>
        </w:rPr>
        <w:t>https://www.crcrfsp.com/</w:t>
      </w:r>
      <w:r>
        <w:rPr>
          <w:rFonts w:hint="eastAsia" w:ascii="宋体" w:hAnsi="宋体" w:eastAsia="宋体" w:cs="Times New Roman"/>
          <w:color w:val="auto"/>
          <w:sz w:val="24"/>
          <w:szCs w:val="24"/>
          <w:lang w:eastAsia="zh-CN"/>
        </w:rPr>
        <w:fldChar w:fldCharType="end"/>
      </w:r>
      <w:r>
        <w:rPr>
          <w:rFonts w:hint="eastAsia" w:ascii="宋体" w:hAnsi="宋体" w:eastAsia="宋体" w:cs="Times New Roman"/>
          <w:color w:val="auto"/>
          <w:sz w:val="24"/>
          <w:szCs w:val="24"/>
          <w:lang w:eastAsia="zh-CN"/>
        </w:rPr>
        <w:t>，客服电话：</w:t>
      </w:r>
      <w:r>
        <w:rPr>
          <w:rFonts w:hint="eastAsia" w:ascii="宋体" w:hAnsi="宋体" w:eastAsia="宋体" w:cs="Times New Roman"/>
          <w:color w:val="auto"/>
          <w:sz w:val="24"/>
          <w:szCs w:val="24"/>
          <w:lang w:val="en-US" w:eastAsia="zh-CN"/>
        </w:rPr>
        <w:t>400-009-0001</w:t>
      </w:r>
      <w:r>
        <w:rPr>
          <w:rFonts w:hint="eastAsia" w:ascii="宋体" w:hAnsi="宋体" w:eastAsia="宋体" w:cs="Times New Roman"/>
          <w:color w:val="auto"/>
          <w:sz w:val="24"/>
          <w:szCs w:val="24"/>
          <w:lang w:eastAsia="zh-CN"/>
        </w:rPr>
        <w:t>）。</w:t>
      </w:r>
    </w:p>
    <w:p>
      <w:pPr>
        <w:pStyle w:val="18"/>
        <w:spacing w:line="360" w:lineRule="auto"/>
        <w:ind w:firstLine="480" w:firstLineChars="200"/>
        <w:contextualSpacing/>
        <w:rPr>
          <w:rFonts w:hint="eastAsia" w:hAnsi="宋体"/>
          <w:color w:val="auto"/>
          <w:sz w:val="24"/>
          <w:szCs w:val="24"/>
          <w:lang w:val="en-US" w:eastAsia="zh-CN"/>
        </w:rPr>
      </w:pPr>
    </w:p>
    <w:p>
      <w:pPr>
        <w:pStyle w:val="18"/>
        <w:spacing w:line="360" w:lineRule="auto"/>
        <w:ind w:firstLine="480" w:firstLineChars="200"/>
        <w:contextualSpacing/>
        <w:rPr>
          <w:rFonts w:hint="eastAsia" w:hAnsi="宋体"/>
          <w:color w:val="auto"/>
          <w:sz w:val="21"/>
          <w:lang w:val="en-US" w:eastAsia="zh-CN"/>
        </w:rPr>
      </w:pPr>
      <w:r>
        <w:rPr>
          <w:rFonts w:hint="eastAsia" w:hAnsi="宋体"/>
          <w:color w:val="auto"/>
          <w:sz w:val="24"/>
          <w:szCs w:val="24"/>
          <w:lang w:val="en-US" w:eastAsia="zh-CN"/>
        </w:rPr>
        <w:t>41.5崇左市线上“政采贷”业务流程图</w:t>
      </w: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黑体" w:hAnsi="黑体" w:eastAsia="黑体" w:cs="黑体"/>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线上“政采贷”业务流程图</w:t>
      </w:r>
    </w:p>
    <w:p>
      <w:pPr>
        <w:jc w:val="center"/>
        <w:rPr>
          <w:rFonts w:hint="eastAsia"/>
          <w:color w:val="auto"/>
        </w:rPr>
      </w:pPr>
      <w:r>
        <w:rPr>
          <w:rFonts w:hint="eastAsia" w:eastAsia="仿宋_GB2312"/>
          <w:color w:val="auto"/>
          <w:lang w:eastAsia="zh-CN"/>
        </w:rPr>
        <w:drawing>
          <wp:inline distT="0" distB="0" distL="114300" distR="114300">
            <wp:extent cx="4926965" cy="7002780"/>
            <wp:effectExtent l="0" t="0" r="6985" b="7620"/>
            <wp:docPr id="8" name="图片 8"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流程图1011"/>
                    <pic:cNvPicPr>
                      <a:picLocks noChangeAspect="1"/>
                    </pic:cNvPicPr>
                  </pic:nvPicPr>
                  <pic:blipFill>
                    <a:blip r:embed="rId14"/>
                    <a:stretch>
                      <a:fillRect/>
                    </a:stretch>
                  </pic:blipFill>
                  <pic:spPr>
                    <a:xfrm>
                      <a:off x="0" y="0"/>
                      <a:ext cx="4926965" cy="70027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eastAsia="zh-CN"/>
        </w:rPr>
      </w:pPr>
    </w:p>
    <w:p>
      <w:pPr>
        <w:pStyle w:val="21"/>
        <w:ind w:left="0" w:leftChars="0" w:firstLine="0" w:firstLineChars="0"/>
        <w:rPr>
          <w:rFonts w:hint="eastAsia"/>
          <w:color w:val="auto"/>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eastAsia" w:hAnsi="宋体"/>
          <w:color w:val="auto"/>
          <w:sz w:val="21"/>
          <w:lang w:val="en-US" w:eastAsia="zh-CN"/>
        </w:rPr>
      </w:pPr>
    </w:p>
    <w:p>
      <w:pPr>
        <w:pStyle w:val="18"/>
        <w:spacing w:line="360" w:lineRule="auto"/>
        <w:ind w:firstLine="420" w:firstLineChars="200"/>
        <w:contextualSpacing/>
        <w:rPr>
          <w:rFonts w:hint="default" w:hAnsi="宋体"/>
          <w:color w:val="auto"/>
          <w:sz w:val="21"/>
          <w:lang w:val="en-US" w:eastAsia="zh-CN"/>
        </w:rPr>
      </w:pPr>
      <w:r>
        <w:rPr>
          <w:rFonts w:hint="eastAsia" w:hAnsi="宋体"/>
          <w:color w:val="auto"/>
          <w:sz w:val="21"/>
          <w:lang w:val="en-US" w:eastAsia="zh-CN"/>
        </w:rPr>
        <w:t>41.6崇左市金融机构线上“政采贷”业务办理联络表</w:t>
      </w:r>
    </w:p>
    <w:p>
      <w:pPr>
        <w:pStyle w:val="37"/>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8"/>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江州区</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w:t>
            </w:r>
            <w:r>
              <w:rPr>
                <w:rFonts w:hint="eastAsia" w:ascii="宋体" w:hAnsi="宋体" w:cs="宋体"/>
                <w:color w:val="auto"/>
                <w:sz w:val="21"/>
                <w:szCs w:val="21"/>
                <w:lang w:val="en-US" w:eastAsia="zh-CN"/>
              </w:rPr>
              <w:t>江州区</w:t>
            </w:r>
            <w:r>
              <w:rPr>
                <w:rFonts w:hint="eastAsia" w:ascii="宋体" w:hAnsi="宋体" w:eastAsia="宋体" w:cs="宋体"/>
                <w:color w:val="auto"/>
                <w:sz w:val="21"/>
                <w:szCs w:val="21"/>
                <w:lang w:val="en-US"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龙江街</w:t>
            </w:r>
            <w:r>
              <w:rPr>
                <w:rFonts w:hint="eastAsia" w:ascii="宋体" w:hAnsi="宋体" w:eastAsia="宋体" w:cs="宋体"/>
                <w:color w:val="auto"/>
                <w:sz w:val="21"/>
                <w:szCs w:val="21"/>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w:t>
            </w: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pPr>
        <w:jc w:val="left"/>
        <w:rPr>
          <w:rFonts w:hint="eastAsia" w:ascii="宋体" w:hAnsi="宋体" w:eastAsia="宋体" w:cs="宋体"/>
          <w:color w:val="auto"/>
          <w:sz w:val="21"/>
          <w:szCs w:val="21"/>
        </w:rPr>
      </w:pPr>
    </w:p>
    <w:p>
      <w:pPr>
        <w:jc w:val="left"/>
        <w:rPr>
          <w:rFonts w:hint="eastAsia" w:ascii="宋体" w:hAnsi="宋体" w:eastAsia="宋体" w:cs="宋体"/>
          <w:color w:val="auto"/>
          <w:sz w:val="21"/>
          <w:szCs w:val="21"/>
        </w:rPr>
      </w:pPr>
    </w:p>
    <w:p>
      <w:pPr>
        <w:pStyle w:val="18"/>
        <w:jc w:val="center"/>
        <w:outlineLvl w:val="0"/>
        <w:rPr>
          <w:rFonts w:hint="eastAsia" w:ascii="Times New Roman" w:hAnsi="Times New Roman"/>
          <w:b/>
          <w:color w:val="auto"/>
          <w:sz w:val="36"/>
        </w:rPr>
      </w:pPr>
      <w:bookmarkStart w:id="283" w:name="_Toc31952"/>
      <w:bookmarkStart w:id="284" w:name="_Toc2789"/>
      <w:bookmarkStart w:id="285" w:name="_Toc11694"/>
      <w:bookmarkStart w:id="286" w:name="_Toc24569"/>
      <w:bookmarkStart w:id="287" w:name="_Toc12751"/>
      <w:bookmarkStart w:id="288" w:name="_Toc532545043"/>
      <w:bookmarkStart w:id="289" w:name="_Toc14666"/>
      <w:bookmarkStart w:id="290" w:name="_Toc18631"/>
      <w:bookmarkStart w:id="291" w:name="_Toc26567"/>
      <w:bookmarkStart w:id="292" w:name="_Toc10034"/>
      <w:bookmarkStart w:id="293" w:name="_Toc19117"/>
      <w:bookmarkStart w:id="294" w:name="_Toc3584"/>
      <w:bookmarkStart w:id="295" w:name="_Toc10118"/>
      <w:bookmarkStart w:id="296" w:name="_Toc28468"/>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rPr>
          <w:rFonts w:hint="eastAsia"/>
          <w:color w:val="auto"/>
        </w:rPr>
      </w:pPr>
    </w:p>
    <w:p>
      <w:pPr>
        <w:pStyle w:val="18"/>
        <w:jc w:val="center"/>
        <w:outlineLvl w:val="0"/>
        <w:rPr>
          <w:rFonts w:hint="eastAsia" w:ascii="Times New Roman" w:hAnsi="Times New Roman"/>
          <w:b/>
          <w:color w:val="auto"/>
          <w:sz w:val="36"/>
        </w:rPr>
      </w:pPr>
    </w:p>
    <w:p>
      <w:pPr>
        <w:pStyle w:val="18"/>
        <w:jc w:val="center"/>
        <w:outlineLvl w:val="0"/>
        <w:rPr>
          <w:rFonts w:hint="eastAsia" w:ascii="Times New Roman" w:hAnsi="Times New Roman"/>
          <w:b/>
          <w:color w:val="auto"/>
          <w:sz w:val="36"/>
        </w:rPr>
      </w:pPr>
    </w:p>
    <w:p>
      <w:pPr>
        <w:pStyle w:val="18"/>
        <w:jc w:val="center"/>
        <w:outlineLvl w:val="0"/>
        <w:rPr>
          <w:rFonts w:ascii="Times New Roman" w:hAnsi="Times New Roman"/>
          <w:b/>
          <w:color w:val="auto"/>
          <w:sz w:val="36"/>
        </w:rPr>
      </w:pPr>
      <w:r>
        <w:rPr>
          <w:rFonts w:hint="eastAsia" w:ascii="Times New Roman" w:hAnsi="Times New Roman"/>
          <w:b/>
          <w:color w:val="auto"/>
          <w:sz w:val="36"/>
        </w:rPr>
        <w:t>第四章</w:t>
      </w:r>
      <w:r>
        <w:rPr>
          <w:rFonts w:ascii="Times New Roman" w:hAnsi="Times New Roman"/>
          <w:b/>
          <w:color w:val="auto"/>
          <w:sz w:val="36"/>
        </w:rPr>
        <w:t xml:space="preserve">  </w:t>
      </w:r>
      <w:bookmarkEnd w:id="283"/>
      <w:bookmarkEnd w:id="284"/>
      <w:bookmarkEnd w:id="285"/>
      <w:bookmarkEnd w:id="286"/>
      <w:bookmarkEnd w:id="287"/>
      <w:bookmarkEnd w:id="288"/>
      <w:bookmarkEnd w:id="289"/>
      <w:bookmarkEnd w:id="290"/>
      <w:bookmarkEnd w:id="291"/>
      <w:r>
        <w:rPr>
          <w:rFonts w:hint="eastAsia" w:ascii="Times New Roman" w:hAnsi="Times New Roman"/>
          <w:b/>
          <w:color w:val="auto"/>
          <w:sz w:val="36"/>
        </w:rPr>
        <w:t>评标方法和评标标准</w:t>
      </w:r>
      <w:bookmarkEnd w:id="292"/>
      <w:bookmarkEnd w:id="293"/>
      <w:bookmarkEnd w:id="294"/>
      <w:bookmarkEnd w:id="295"/>
      <w:bookmarkEnd w:id="296"/>
    </w:p>
    <w:p>
      <w:pPr>
        <w:pStyle w:val="18"/>
        <w:jc w:val="center"/>
        <w:outlineLvl w:val="1"/>
        <w:rPr>
          <w:rFonts w:ascii="Times New Roman" w:hAnsi="Times New Roman"/>
          <w:b/>
          <w:bCs/>
          <w:color w:val="auto"/>
          <w:sz w:val="32"/>
          <w:szCs w:val="32"/>
        </w:rPr>
      </w:pPr>
      <w:bookmarkStart w:id="297" w:name="_Toc5889"/>
      <w:bookmarkStart w:id="298" w:name="_Toc9604"/>
      <w:bookmarkStart w:id="299" w:name="_Toc28074"/>
      <w:bookmarkStart w:id="300" w:name="_Toc6104"/>
      <w:bookmarkStart w:id="301" w:name="_Toc20519"/>
      <w:bookmarkStart w:id="302" w:name="_Toc29945"/>
      <w:bookmarkStart w:id="303" w:name="_Toc12345"/>
      <w:bookmarkStart w:id="304" w:name="_Toc3574"/>
      <w:bookmarkStart w:id="305" w:name="_Toc28945"/>
      <w:bookmarkStart w:id="306" w:name="_Toc14342"/>
      <w:r>
        <w:rPr>
          <w:rFonts w:hint="eastAsia" w:ascii="Times New Roman" w:hAnsi="Times New Roman"/>
          <w:b/>
          <w:bCs/>
          <w:color w:val="auto"/>
          <w:sz w:val="32"/>
          <w:szCs w:val="32"/>
        </w:rPr>
        <w:t>第一节</w:t>
      </w:r>
      <w:r>
        <w:rPr>
          <w:rFonts w:ascii="Times New Roman" w:hAnsi="Times New Roman"/>
          <w:b/>
          <w:bCs/>
          <w:color w:val="auto"/>
          <w:sz w:val="32"/>
          <w:szCs w:val="32"/>
        </w:rPr>
        <w:t xml:space="preserve"> </w:t>
      </w:r>
      <w:r>
        <w:rPr>
          <w:rFonts w:hint="eastAsia" w:ascii="Times New Roman" w:hAnsi="Times New Roman"/>
          <w:b/>
          <w:bCs/>
          <w:color w:val="auto"/>
          <w:sz w:val="32"/>
          <w:szCs w:val="32"/>
        </w:rPr>
        <w:t>评标方法</w:t>
      </w:r>
      <w:bookmarkEnd w:id="297"/>
      <w:bookmarkEnd w:id="298"/>
      <w:bookmarkEnd w:id="299"/>
      <w:bookmarkEnd w:id="300"/>
      <w:bookmarkEnd w:id="301"/>
      <w:bookmarkEnd w:id="302"/>
      <w:bookmarkEnd w:id="303"/>
      <w:bookmarkEnd w:id="304"/>
      <w:bookmarkEnd w:id="305"/>
      <w:bookmarkEnd w:id="306"/>
    </w:p>
    <w:p>
      <w:pPr>
        <w:pStyle w:val="18"/>
        <w:tabs>
          <w:tab w:val="left" w:pos="2472"/>
        </w:tabs>
        <w:spacing w:line="460" w:lineRule="exact"/>
        <w:ind w:firstLine="420" w:firstLineChars="200"/>
        <w:rPr>
          <w:color w:val="auto"/>
          <w:szCs w:val="21"/>
        </w:rPr>
      </w:pPr>
      <w:r>
        <w:rPr>
          <w:rFonts w:hint="eastAsia" w:hAnsi="宋体" w:cs="宋体"/>
          <w:color w:val="auto"/>
          <w:szCs w:val="21"/>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rPr>
        <w:t>进行评审。</w:t>
      </w:r>
    </w:p>
    <w:p>
      <w:pPr>
        <w:pStyle w:val="18"/>
        <w:spacing w:line="360" w:lineRule="auto"/>
        <w:ind w:firstLine="420"/>
        <w:rPr>
          <w:rFonts w:hAnsi="宋体"/>
          <w:color w:val="auto"/>
        </w:rPr>
      </w:pPr>
      <w:r>
        <w:rPr>
          <w:rFonts w:hint="eastAsia" w:hAnsi="宋体"/>
          <w:color w:val="auto"/>
          <w:szCs w:val="21"/>
        </w:rPr>
        <w:t>□最低评标价法，是指投标文件满足招标文件</w:t>
      </w:r>
      <w:r>
        <w:rPr>
          <w:rFonts w:hint="eastAsia" w:hAnsi="宋体"/>
          <w:color w:val="auto"/>
        </w:rPr>
        <w:t>全部实质性要求，且投标报价最低</w:t>
      </w:r>
      <w:r>
        <w:rPr>
          <w:rFonts w:hint="eastAsia" w:hAnsi="宋体"/>
          <w:color w:val="auto"/>
          <w:lang w:eastAsia="zh-CN"/>
        </w:rPr>
        <w:t>（投标优惠率最高）</w:t>
      </w:r>
      <w:r>
        <w:rPr>
          <w:rFonts w:hint="eastAsia" w:hAnsi="宋体"/>
          <w:color w:val="auto"/>
        </w:rPr>
        <w:t>的投标人为中标候选人的评标方法。</w:t>
      </w:r>
    </w:p>
    <w:p>
      <w:pPr>
        <w:autoSpaceDE w:val="0"/>
        <w:autoSpaceDN w:val="0"/>
        <w:adjustRightInd w:val="0"/>
        <w:spacing w:line="440" w:lineRule="exact"/>
        <w:ind w:firstLine="420" w:firstLineChars="200"/>
        <w:rPr>
          <w:rFonts w:ascii="宋体" w:hAnsi="宋体"/>
          <w:color w:val="auto"/>
          <w:sz w:val="24"/>
        </w:rPr>
      </w:pPr>
      <w:r>
        <w:rPr>
          <w:rFonts w:hint="eastAsia" w:hAnsi="宋体"/>
          <w:color w:val="auto"/>
          <w:lang w:eastAsia="zh-CN"/>
        </w:rPr>
        <w:t>☑</w:t>
      </w:r>
      <w:r>
        <w:rPr>
          <w:rFonts w:hint="eastAsia" w:hAnsi="宋体"/>
          <w:color w:val="auto"/>
        </w:rPr>
        <w:t>综合评分法，</w:t>
      </w:r>
      <w:r>
        <w:rPr>
          <w:rFonts w:hint="eastAsia" w:ascii="宋体" w:hAnsi="宋体"/>
          <w:color w:val="auto"/>
          <w:szCs w:val="20"/>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pPr>
        <w:pStyle w:val="18"/>
        <w:spacing w:line="360" w:lineRule="auto"/>
        <w:ind w:firstLine="420"/>
        <w:rPr>
          <w:rFonts w:hAnsi="宋体"/>
          <w:color w:val="auto"/>
        </w:rPr>
      </w:pPr>
    </w:p>
    <w:p>
      <w:pPr>
        <w:pStyle w:val="18"/>
        <w:tabs>
          <w:tab w:val="left" w:pos="2472"/>
        </w:tabs>
        <w:spacing w:line="460" w:lineRule="exact"/>
        <w:jc w:val="center"/>
        <w:outlineLvl w:val="1"/>
        <w:rPr>
          <w:rFonts w:ascii="Times New Roman" w:hAnsi="Times New Roman"/>
          <w:b/>
          <w:bCs/>
          <w:color w:val="auto"/>
          <w:sz w:val="32"/>
          <w:szCs w:val="32"/>
        </w:rPr>
      </w:pPr>
      <w:bookmarkStart w:id="307" w:name="_Toc9259"/>
      <w:bookmarkStart w:id="308" w:name="_Toc9023"/>
      <w:bookmarkStart w:id="309" w:name="_Toc588"/>
      <w:bookmarkStart w:id="310" w:name="_Toc18477"/>
      <w:bookmarkStart w:id="311" w:name="_Toc10545"/>
      <w:bookmarkStart w:id="312" w:name="_Toc24507"/>
      <w:bookmarkStart w:id="313" w:name="_Toc23151"/>
      <w:bookmarkStart w:id="314" w:name="_Toc30114"/>
      <w:bookmarkStart w:id="315" w:name="_Toc1643"/>
      <w:bookmarkStart w:id="316" w:name="_Toc4190"/>
      <w:r>
        <w:rPr>
          <w:rFonts w:hint="eastAsia" w:ascii="Times New Roman" w:hAnsi="Times New Roman"/>
          <w:b/>
          <w:bCs/>
          <w:color w:val="auto"/>
          <w:sz w:val="32"/>
          <w:szCs w:val="32"/>
        </w:rPr>
        <w:t>第二节</w:t>
      </w:r>
      <w:r>
        <w:rPr>
          <w:rFonts w:ascii="Times New Roman" w:hAnsi="Times New Roman"/>
          <w:b/>
          <w:bCs/>
          <w:color w:val="auto"/>
          <w:sz w:val="32"/>
          <w:szCs w:val="32"/>
        </w:rPr>
        <w:t xml:space="preserve"> </w:t>
      </w:r>
      <w:r>
        <w:rPr>
          <w:rFonts w:hint="eastAsia" w:ascii="Times New Roman" w:hAnsi="Times New Roman"/>
          <w:b/>
          <w:bCs/>
          <w:color w:val="auto"/>
          <w:sz w:val="32"/>
          <w:szCs w:val="32"/>
        </w:rPr>
        <w:t>评标程序</w:t>
      </w:r>
      <w:bookmarkEnd w:id="307"/>
      <w:bookmarkEnd w:id="308"/>
      <w:bookmarkEnd w:id="309"/>
      <w:bookmarkEnd w:id="310"/>
      <w:bookmarkEnd w:id="311"/>
      <w:bookmarkEnd w:id="312"/>
      <w:bookmarkEnd w:id="313"/>
      <w:bookmarkEnd w:id="314"/>
      <w:bookmarkEnd w:id="315"/>
      <w:bookmarkEnd w:id="316"/>
    </w:p>
    <w:p>
      <w:pPr>
        <w:spacing w:line="360" w:lineRule="auto"/>
        <w:ind w:firstLine="422" w:firstLineChars="200"/>
        <w:rPr>
          <w:rFonts w:ascii="宋体" w:hAnsi="宋体"/>
          <w:b/>
          <w:color w:val="auto"/>
          <w:szCs w:val="21"/>
        </w:rPr>
      </w:pPr>
      <w:r>
        <w:rPr>
          <w:rFonts w:hint="eastAsia" w:ascii="宋体" w:hAnsi="宋体"/>
          <w:b/>
          <w:color w:val="auto"/>
          <w:szCs w:val="21"/>
        </w:rPr>
        <w:t>1.符合性审查</w:t>
      </w:r>
    </w:p>
    <w:p>
      <w:pPr>
        <w:spacing w:line="360" w:lineRule="auto"/>
        <w:ind w:firstLine="420" w:firstLineChars="200"/>
        <w:rPr>
          <w:rFonts w:hAnsi="宋体"/>
          <w:color w:val="auto"/>
        </w:rPr>
      </w:pPr>
      <w:r>
        <w:rPr>
          <w:rFonts w:hint="eastAsia" w:hAnsi="宋体"/>
          <w:color w:val="auto"/>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b/>
          <w:color w:val="auto"/>
          <w:szCs w:val="21"/>
        </w:rPr>
      </w:pPr>
      <w:r>
        <w:rPr>
          <w:rFonts w:hint="eastAsia" w:ascii="宋体" w:hAnsi="宋体"/>
          <w:b/>
          <w:color w:val="auto"/>
          <w:szCs w:val="21"/>
        </w:rPr>
        <w:t>2.符合性审查不通过而导致投标无效的情形</w:t>
      </w:r>
    </w:p>
    <w:p>
      <w:pPr>
        <w:spacing w:line="360" w:lineRule="auto"/>
        <w:ind w:firstLine="420" w:firstLineChars="200"/>
        <w:rPr>
          <w:rFonts w:ascii="宋体" w:hAnsi="宋体"/>
          <w:color w:val="auto"/>
          <w:szCs w:val="21"/>
        </w:rPr>
      </w:pPr>
      <w:r>
        <w:rPr>
          <w:rFonts w:hint="eastAsia" w:ascii="宋体" w:hAnsi="宋体"/>
          <w:color w:val="auto"/>
          <w:szCs w:val="21"/>
        </w:rPr>
        <w:t>投标人的投标文件中存在对招标文件的任何实质性要求和条件的负偏离，将被视为投标无效。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2.1在报价评审时，如发现下列情形之一的，将被视为投标无效：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（1）投标文件未提供“投标人须知前附表”第13.1条规定中“必须提供”的文件资料的;</w:t>
      </w:r>
    </w:p>
    <w:p>
      <w:pPr>
        <w:spacing w:line="360" w:lineRule="auto"/>
        <w:ind w:firstLine="420" w:firstLineChars="200"/>
        <w:rPr>
          <w:rFonts w:ascii="宋体" w:hAnsi="宋体"/>
          <w:color w:val="auto"/>
          <w:szCs w:val="21"/>
        </w:rPr>
      </w:pPr>
      <w:r>
        <w:rPr>
          <w:rFonts w:hint="eastAsia" w:ascii="宋体" w:hAnsi="宋体"/>
          <w:color w:val="auto"/>
          <w:szCs w:val="21"/>
        </w:rPr>
        <w:t>（2）未采用人民币报价或者未按照招标文件标明的币种报价的；</w:t>
      </w:r>
    </w:p>
    <w:p>
      <w:pPr>
        <w:spacing w:line="360" w:lineRule="auto"/>
        <w:ind w:firstLine="420" w:firstLineChars="200"/>
        <w:rPr>
          <w:rFonts w:ascii="宋体" w:hAnsi="宋体"/>
          <w:color w:val="auto"/>
          <w:szCs w:val="21"/>
          <w:highlight w:val="none"/>
        </w:rPr>
      </w:pPr>
      <w:r>
        <w:rPr>
          <w:rFonts w:hint="eastAsia" w:ascii="宋体" w:hAnsi="宋体"/>
          <w:color w:val="auto"/>
          <w:szCs w:val="21"/>
        </w:rPr>
        <w:t>（3）报价超出招</w:t>
      </w:r>
      <w:r>
        <w:rPr>
          <w:rFonts w:hint="eastAsia" w:ascii="宋体" w:hAnsi="宋体"/>
          <w:color w:val="auto"/>
          <w:szCs w:val="21"/>
          <w:highlight w:val="none"/>
        </w:rPr>
        <w:t>标文件规定最高限价，或者超出采购预算金额的；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w:t>
      </w:r>
      <w:r>
        <w:rPr>
          <w:rFonts w:hint="eastAsia" w:ascii="宋体" w:hAnsi="宋体" w:cs="宋体"/>
          <w:color w:val="auto"/>
          <w:szCs w:val="21"/>
          <w:highlight w:val="none"/>
        </w:rPr>
        <w:t>项目</w:t>
      </w:r>
      <w:r>
        <w:rPr>
          <w:rFonts w:hint="eastAsia" w:ascii="宋体" w:hAnsi="宋体"/>
          <w:color w:val="auto"/>
          <w:szCs w:val="21"/>
          <w:highlight w:val="none"/>
        </w:rPr>
        <w:t>进行报价或者存在漏项报价；投标人未就所投</w:t>
      </w:r>
      <w:r>
        <w:rPr>
          <w:rFonts w:hint="eastAsia" w:ascii="宋体" w:hAnsi="宋体" w:cs="宋体"/>
          <w:color w:val="auto"/>
          <w:szCs w:val="21"/>
          <w:highlight w:val="none"/>
        </w:rPr>
        <w:t>项目</w:t>
      </w:r>
      <w:r>
        <w:rPr>
          <w:rFonts w:hint="eastAsia" w:ascii="宋体" w:hAnsi="宋体"/>
          <w:color w:val="auto"/>
          <w:szCs w:val="21"/>
          <w:highlight w:val="none"/>
        </w:rPr>
        <w:t>的单项内容作唯一报价；投标人未就所投</w:t>
      </w:r>
      <w:r>
        <w:rPr>
          <w:rFonts w:hint="eastAsia" w:ascii="宋体" w:hAnsi="宋体" w:cs="宋体"/>
          <w:color w:val="auto"/>
          <w:szCs w:val="21"/>
          <w:highlight w:val="none"/>
        </w:rPr>
        <w:t>项目</w:t>
      </w:r>
      <w:r>
        <w:rPr>
          <w:rFonts w:hint="eastAsia" w:ascii="宋体" w:hAnsi="宋体"/>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pPr>
        <w:spacing w:line="360" w:lineRule="auto"/>
        <w:ind w:firstLine="420" w:firstLineChars="200"/>
        <w:rPr>
          <w:rFonts w:ascii="宋体" w:hAnsi="宋体"/>
          <w:color w:val="auto"/>
          <w:szCs w:val="21"/>
        </w:rPr>
      </w:pPr>
      <w:r>
        <w:rPr>
          <w:rFonts w:hint="eastAsia" w:ascii="宋体" w:hAnsi="宋体"/>
          <w:color w:val="auto"/>
          <w:szCs w:val="21"/>
        </w:rPr>
        <w:t>（6）投标人属于本章第5条第（2）项情形的。</w:t>
      </w:r>
    </w:p>
    <w:p>
      <w:pPr>
        <w:spacing w:line="360" w:lineRule="auto"/>
        <w:ind w:firstLine="420" w:firstLineChars="200"/>
        <w:rPr>
          <w:rFonts w:ascii="宋体" w:hAnsi="宋体"/>
          <w:color w:val="auto"/>
          <w:szCs w:val="21"/>
        </w:rPr>
      </w:pPr>
      <w:r>
        <w:rPr>
          <w:rFonts w:hint="eastAsia" w:ascii="宋体" w:hAnsi="宋体"/>
          <w:color w:val="auto"/>
          <w:szCs w:val="21"/>
        </w:rPr>
        <w:t>2.2在商务评审时，如发现下列情形之一的，将被视为投标无效：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（1）投标文件未按招标文件要求签署、盖章的；</w:t>
      </w:r>
    </w:p>
    <w:p>
      <w:pPr>
        <w:spacing w:line="360" w:lineRule="auto"/>
        <w:ind w:firstLine="420" w:firstLineChars="200"/>
        <w:rPr>
          <w:rFonts w:ascii="宋体" w:hAnsi="宋体"/>
          <w:color w:val="auto"/>
          <w:szCs w:val="21"/>
        </w:rPr>
      </w:pPr>
      <w:r>
        <w:rPr>
          <w:rFonts w:hint="eastAsia" w:ascii="宋体" w:hAnsi="宋体"/>
          <w:color w:val="auto"/>
          <w:szCs w:val="21"/>
        </w:rPr>
        <w:t>（2）委托代理人未能出具有效身份证明或者出具的身份证明与授权委托书中的信息不符的；</w:t>
      </w:r>
    </w:p>
    <w:p>
      <w:pPr>
        <w:spacing w:line="360" w:lineRule="auto"/>
        <w:ind w:firstLine="420" w:firstLineChars="200"/>
        <w:rPr>
          <w:rFonts w:ascii="宋体" w:hAnsi="宋体"/>
          <w:color w:val="auto"/>
          <w:szCs w:val="21"/>
        </w:rPr>
      </w:pPr>
      <w:r>
        <w:rPr>
          <w:rFonts w:hint="eastAsia" w:ascii="宋体" w:hAnsi="宋体"/>
          <w:color w:val="auto"/>
          <w:szCs w:val="21"/>
        </w:rPr>
        <w:t xml:space="preserve">（3）为无效投标保证金的或者未按照招标文件的规定提交投标保证金的； </w:t>
      </w:r>
    </w:p>
    <w:p>
      <w:pPr>
        <w:spacing w:line="360" w:lineRule="auto"/>
        <w:ind w:firstLine="420" w:firstLineChars="200"/>
        <w:rPr>
          <w:rFonts w:ascii="宋体" w:hAnsi="宋体"/>
          <w:color w:val="auto"/>
          <w:szCs w:val="21"/>
        </w:rPr>
      </w:pPr>
      <w:r>
        <w:rPr>
          <w:rFonts w:hint="eastAsia" w:ascii="宋体" w:hAnsi="宋体"/>
          <w:color w:val="auto"/>
          <w:szCs w:val="21"/>
        </w:rPr>
        <w:t>（4）投标文件未提供“投标人须知前附表”第13.1条规定中“必须提供”或者“委托时必须提供”的文件资料的;</w:t>
      </w:r>
    </w:p>
    <w:p>
      <w:pPr>
        <w:spacing w:line="360" w:lineRule="auto"/>
        <w:ind w:firstLine="420" w:firstLineChars="200"/>
        <w:rPr>
          <w:rFonts w:ascii="宋体" w:hAnsi="宋体"/>
          <w:color w:val="auto"/>
          <w:szCs w:val="21"/>
        </w:rPr>
      </w:pPr>
      <w:r>
        <w:rPr>
          <w:rFonts w:hint="eastAsia" w:ascii="宋体" w:hAnsi="宋体"/>
          <w:color w:val="auto"/>
          <w:szCs w:val="21"/>
        </w:rPr>
        <w:t>（5）投标有效期、项目完成时间（交货时间、服务完成时间或者服务期等）、质保期及招标文件中标“▲”的商务条款发生负偏离的；</w:t>
      </w:r>
    </w:p>
    <w:p>
      <w:pPr>
        <w:spacing w:line="360" w:lineRule="auto"/>
        <w:ind w:firstLine="420" w:firstLineChars="200"/>
        <w:rPr>
          <w:rFonts w:ascii="宋体" w:hAnsi="宋体"/>
          <w:color w:val="auto"/>
          <w:szCs w:val="21"/>
        </w:rPr>
      </w:pPr>
      <w:r>
        <w:rPr>
          <w:rFonts w:hint="eastAsia" w:ascii="宋体" w:hAnsi="宋体"/>
          <w:color w:val="auto"/>
          <w:szCs w:val="21"/>
        </w:rPr>
        <w:t>（6）商务条款评审允许负偏离的条款数超过“投标人须知前附表”规定项数的。</w:t>
      </w:r>
    </w:p>
    <w:p>
      <w:pPr>
        <w:spacing w:line="360" w:lineRule="auto"/>
        <w:ind w:firstLine="420" w:firstLineChars="200"/>
        <w:rPr>
          <w:rFonts w:ascii="宋体" w:hAnsi="宋体"/>
          <w:color w:val="auto"/>
          <w:szCs w:val="21"/>
        </w:rPr>
      </w:pPr>
      <w:r>
        <w:rPr>
          <w:rFonts w:hint="eastAsia" w:ascii="宋体" w:hAnsi="宋体"/>
          <w:color w:val="auto"/>
          <w:szCs w:val="21"/>
        </w:rPr>
        <w:t>（7）投标文件的实质性内容未使用中文表述、使用计量单位不符合招标文件要求的；</w:t>
      </w:r>
    </w:p>
    <w:p>
      <w:pPr>
        <w:spacing w:line="360" w:lineRule="auto"/>
        <w:ind w:firstLine="420" w:firstLineChars="200"/>
        <w:rPr>
          <w:rFonts w:ascii="宋体" w:hAnsi="宋体"/>
          <w:color w:val="auto"/>
          <w:szCs w:val="21"/>
        </w:rPr>
      </w:pPr>
      <w:r>
        <w:rPr>
          <w:rFonts w:hint="eastAsia" w:ascii="宋体" w:hAnsi="宋体"/>
          <w:color w:val="auto"/>
          <w:szCs w:val="21"/>
        </w:rPr>
        <w:t>（8）投标文件中的文件资料因填写不齐全或者内容虚假或者出现其他情形而导致被评标委员会认定无效的；</w:t>
      </w:r>
    </w:p>
    <w:p>
      <w:pPr>
        <w:spacing w:line="360" w:lineRule="auto"/>
        <w:ind w:firstLine="420" w:firstLineChars="200"/>
        <w:rPr>
          <w:rFonts w:ascii="宋体" w:hAnsi="宋体"/>
          <w:color w:val="auto"/>
          <w:szCs w:val="21"/>
        </w:rPr>
      </w:pPr>
      <w:r>
        <w:rPr>
          <w:rFonts w:hint="eastAsia" w:ascii="宋体" w:hAnsi="宋体"/>
          <w:color w:val="auto"/>
          <w:szCs w:val="21"/>
        </w:rPr>
        <w:t>（9）投标文件含有采购人不能接受的附加条件的；</w:t>
      </w:r>
    </w:p>
    <w:p>
      <w:pPr>
        <w:spacing w:line="360" w:lineRule="auto"/>
        <w:ind w:firstLine="420" w:firstLineChars="200"/>
        <w:rPr>
          <w:rFonts w:ascii="宋体" w:hAnsi="宋体"/>
          <w:color w:val="auto"/>
          <w:szCs w:val="21"/>
        </w:rPr>
      </w:pPr>
      <w:r>
        <w:rPr>
          <w:rFonts w:hint="eastAsia" w:ascii="宋体" w:hAnsi="宋体"/>
          <w:color w:val="auto"/>
          <w:szCs w:val="21"/>
        </w:rPr>
        <w:t>（10）未响应招标文件实质性要求的；</w:t>
      </w:r>
    </w:p>
    <w:p>
      <w:pPr>
        <w:spacing w:line="360" w:lineRule="auto"/>
        <w:ind w:firstLine="420" w:firstLineChars="200"/>
        <w:rPr>
          <w:rFonts w:ascii="宋体" w:hAnsi="宋体"/>
          <w:color w:val="auto"/>
          <w:szCs w:val="21"/>
        </w:rPr>
      </w:pPr>
      <w:r>
        <w:rPr>
          <w:rFonts w:hint="eastAsia" w:ascii="宋体" w:hAnsi="宋体"/>
          <w:color w:val="auto"/>
          <w:szCs w:val="21"/>
        </w:rPr>
        <w:t>（11）属于投标人须知正文第9.2条情形的；</w:t>
      </w:r>
    </w:p>
    <w:p>
      <w:pPr>
        <w:spacing w:line="360" w:lineRule="auto"/>
        <w:ind w:firstLine="420" w:firstLineChars="200"/>
        <w:rPr>
          <w:rFonts w:ascii="宋体" w:hAnsi="宋体"/>
          <w:color w:val="auto"/>
          <w:szCs w:val="21"/>
        </w:rPr>
      </w:pPr>
      <w:r>
        <w:rPr>
          <w:rFonts w:hint="eastAsia" w:ascii="宋体" w:hAnsi="宋体"/>
          <w:color w:val="auto"/>
          <w:szCs w:val="21"/>
        </w:rPr>
        <w:t>（12）法律、法规和招标文件规定的其他无效情形。</w:t>
      </w:r>
    </w:p>
    <w:p>
      <w:pPr>
        <w:spacing w:line="360" w:lineRule="auto"/>
        <w:ind w:firstLine="420" w:firstLineChars="200"/>
        <w:rPr>
          <w:rFonts w:ascii="宋体" w:hAnsi="宋体"/>
          <w:color w:val="auto"/>
          <w:szCs w:val="21"/>
        </w:rPr>
      </w:pPr>
      <w:r>
        <w:rPr>
          <w:rFonts w:hint="eastAsia" w:ascii="宋体" w:hAnsi="宋体"/>
          <w:color w:val="auto"/>
          <w:szCs w:val="21"/>
        </w:rPr>
        <w:t>2.3在技术评审时，如发现下列情形之一的，将被视为投标无效：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（1）不满足招标文件要求的服务内容、技术要求、安全、质量标准，或者与招标文件中标“▲”的技术需求发生负偏离的；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（2）技术需求评审允许负偏离的条款数超过“投标人须知前附表”规定项数的；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（3）投标文件未提供“投标人须知前附表”第13.1条规定中“必须提供”的文件资料的;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（4）虚假投标，或者出现其他情形而导致被评标委员会认定无效的；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）招标文件要求提供技术方案的，投标技术方案不明确，招标文件未允许但存在一个或者一个以上备选（替代）投标方案的。</w:t>
      </w:r>
    </w:p>
    <w:p>
      <w:pPr>
        <w:spacing w:line="360" w:lineRule="auto"/>
        <w:ind w:firstLine="422" w:firstLineChars="200"/>
        <w:rPr>
          <w:rFonts w:ascii="宋体" w:hAnsi="宋体"/>
          <w:b/>
          <w:color w:val="auto"/>
          <w:szCs w:val="21"/>
        </w:rPr>
      </w:pPr>
      <w:r>
        <w:rPr>
          <w:rFonts w:hint="eastAsia" w:ascii="宋体" w:hAnsi="宋体"/>
          <w:b/>
          <w:color w:val="auto"/>
          <w:szCs w:val="21"/>
        </w:rPr>
        <w:t>3.澄清补正、说明或者补正</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w:t>
      </w:r>
      <w:r>
        <w:rPr>
          <w:rFonts w:hint="eastAsia" w:ascii="宋体" w:hAnsi="宋体" w:cs="宋体"/>
          <w:color w:val="auto"/>
          <w:szCs w:val="21"/>
        </w:rPr>
        <w:t>广西政府采购云平台</w:t>
      </w:r>
      <w:r>
        <w:rPr>
          <w:rFonts w:hint="eastAsia" w:ascii="宋体" w:hAnsi="宋体" w:cs="Courier New"/>
          <w:color w:val="auto"/>
          <w:szCs w:val="21"/>
        </w:rPr>
        <w:t>发布电子澄清函，要求投标人在规定时间内作出必要的澄清、说明或者补正。投标人在</w:t>
      </w:r>
      <w:r>
        <w:rPr>
          <w:rFonts w:hint="eastAsia" w:ascii="宋体" w:hAnsi="宋体" w:cs="宋体"/>
          <w:color w:val="auto"/>
          <w:szCs w:val="21"/>
        </w:rPr>
        <w:t>广西政府采购云平台</w:t>
      </w:r>
      <w:r>
        <w:rPr>
          <w:rFonts w:hint="eastAsia" w:ascii="宋体" w:hAnsi="宋体" w:cs="Courier New"/>
          <w:color w:val="auto"/>
          <w:szCs w:val="21"/>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ascii="宋体" w:hAnsi="宋体"/>
          <w:b/>
          <w:color w:val="auto"/>
          <w:szCs w:val="21"/>
        </w:rPr>
      </w:pPr>
      <w:r>
        <w:rPr>
          <w:rFonts w:hint="eastAsia" w:ascii="宋体" w:hAnsi="宋体"/>
          <w:b/>
          <w:color w:val="auto"/>
          <w:szCs w:val="21"/>
        </w:rPr>
        <w:t>4.投标文件修正</w:t>
      </w:r>
    </w:p>
    <w:p>
      <w:pPr>
        <w:spacing w:line="360" w:lineRule="auto"/>
        <w:ind w:firstLine="420" w:firstLineChars="200"/>
        <w:rPr>
          <w:rFonts w:ascii="宋体" w:hAnsi="宋体"/>
          <w:color w:val="auto"/>
          <w:szCs w:val="21"/>
        </w:rPr>
      </w:pPr>
      <w:r>
        <w:rPr>
          <w:rFonts w:hint="eastAsia" w:ascii="宋体" w:hAnsi="宋体"/>
          <w:color w:val="auto"/>
          <w:szCs w:val="21"/>
        </w:rPr>
        <w:t xml:space="preserve">4.1投标文件报价出现前后不一致的，按照下列规定修正： </w:t>
      </w:r>
    </w:p>
    <w:p>
      <w:pPr>
        <w:spacing w:line="360" w:lineRule="auto"/>
        <w:ind w:firstLine="420" w:firstLineChars="200"/>
        <w:rPr>
          <w:rFonts w:ascii="宋体" w:hAnsi="宋体" w:cs="宋体"/>
          <w:color w:val="auto"/>
        </w:rPr>
      </w:pPr>
      <w:r>
        <w:rPr>
          <w:rFonts w:hint="eastAsia" w:ascii="宋体" w:hAnsi="宋体" w:cs="宋体"/>
          <w:color w:val="auto"/>
        </w:rPr>
        <w:t>（1）报价文件中“开标一览表”内容与投标文件中相应内容不一致的，以“开标一览表”为准；</w:t>
      </w:r>
    </w:p>
    <w:p>
      <w:pPr>
        <w:spacing w:line="360" w:lineRule="auto"/>
        <w:ind w:firstLine="420" w:firstLineChars="200"/>
        <w:rPr>
          <w:rFonts w:ascii="宋体" w:hAnsi="宋体" w:cs="宋体"/>
          <w:color w:val="auto"/>
        </w:rPr>
      </w:pPr>
      <w:r>
        <w:rPr>
          <w:rFonts w:hint="eastAsia" w:ascii="宋体" w:hAnsi="宋体" w:cs="宋体"/>
          <w:color w:val="auto"/>
        </w:rPr>
        <w:t>（2）大写金额和小写金额不一致的，以大写金额为准；</w:t>
      </w:r>
    </w:p>
    <w:p>
      <w:pPr>
        <w:spacing w:line="360" w:lineRule="auto"/>
        <w:ind w:firstLine="420" w:firstLineChars="200"/>
        <w:rPr>
          <w:rFonts w:ascii="宋体" w:hAnsi="宋体" w:cs="宋体"/>
          <w:color w:val="auto"/>
        </w:rPr>
      </w:pPr>
      <w:r>
        <w:rPr>
          <w:rFonts w:hint="eastAsia" w:ascii="宋体" w:hAnsi="宋体" w:cs="宋体"/>
          <w:color w:val="auto"/>
        </w:rPr>
        <w:t>（3）单价金额小数点或者百分比有明显错位的，以开标一览表的总价为准，并修改单价；</w:t>
      </w:r>
    </w:p>
    <w:p>
      <w:pPr>
        <w:spacing w:line="360" w:lineRule="auto"/>
        <w:ind w:firstLine="420" w:firstLineChars="200"/>
        <w:rPr>
          <w:rFonts w:ascii="宋体" w:hAnsi="宋体" w:cs="宋体"/>
          <w:color w:val="auto"/>
        </w:rPr>
      </w:pPr>
      <w:r>
        <w:rPr>
          <w:rFonts w:hint="eastAsia" w:ascii="宋体" w:hAnsi="宋体" w:cs="宋体"/>
          <w:color w:val="auto"/>
        </w:rPr>
        <w:t>（4）总价金额与按单价汇总金额不一致的，以单价金额计算结果为准。</w:t>
      </w:r>
    </w:p>
    <w:p>
      <w:pPr>
        <w:spacing w:line="360" w:lineRule="auto"/>
        <w:ind w:firstLine="420" w:firstLineChars="200"/>
        <w:rPr>
          <w:rFonts w:hAnsi="宋体"/>
          <w:color w:val="auto"/>
        </w:rPr>
      </w:pPr>
      <w:r>
        <w:rPr>
          <w:rFonts w:hint="eastAsia" w:hAnsi="宋体"/>
          <w:color w:val="auto"/>
        </w:rPr>
        <w:t>同时出现两种以上不一致的，按照以上（</w:t>
      </w:r>
      <w:r>
        <w:rPr>
          <w:rFonts w:hAnsi="宋体"/>
          <w:color w:val="auto"/>
        </w:rPr>
        <w:t>1</w:t>
      </w:r>
      <w:r>
        <w:rPr>
          <w:rFonts w:hint="eastAsia" w:hAnsi="宋体"/>
          <w:color w:val="auto"/>
        </w:rPr>
        <w:t>）</w:t>
      </w:r>
      <w:r>
        <w:rPr>
          <w:rFonts w:hAnsi="宋体"/>
          <w:color w:val="auto"/>
        </w:rPr>
        <w:t>-</w:t>
      </w:r>
      <w:r>
        <w:rPr>
          <w:rFonts w:hint="eastAsia" w:hAnsi="宋体"/>
          <w:color w:val="auto"/>
        </w:rPr>
        <w:t>（</w:t>
      </w:r>
      <w:r>
        <w:rPr>
          <w:rFonts w:hAnsi="宋体"/>
          <w:color w:val="auto"/>
        </w:rPr>
        <w:t>4</w:t>
      </w:r>
      <w:r>
        <w:rPr>
          <w:rFonts w:hint="eastAsia" w:hAnsi="宋体"/>
          <w:color w:val="auto"/>
        </w:rPr>
        <w:t>）规定的顺序修正。修正后的报价经投标人确认后产生约束力，投标人不确认的，其投标无效。</w:t>
      </w:r>
    </w:p>
    <w:p>
      <w:pPr>
        <w:spacing w:line="360" w:lineRule="auto"/>
        <w:ind w:firstLine="420" w:firstLineChars="200"/>
        <w:rPr>
          <w:rFonts w:ascii="宋体" w:hAnsi="宋体"/>
          <w:color w:val="auto"/>
          <w:szCs w:val="21"/>
        </w:rPr>
      </w:pPr>
      <w:r>
        <w:rPr>
          <w:rFonts w:hint="eastAsia" w:ascii="宋体" w:hAnsi="宋体"/>
          <w:color w:val="auto"/>
          <w:szCs w:val="21"/>
        </w:rPr>
        <w:t>4.2经投标人确认修正后的报价若超过采购预算金额或者最高限价，投标人的投标文件作无效投标处理。</w:t>
      </w:r>
    </w:p>
    <w:p>
      <w:pPr>
        <w:spacing w:line="360" w:lineRule="auto"/>
        <w:ind w:firstLine="420" w:firstLineChars="200"/>
        <w:rPr>
          <w:rFonts w:ascii="宋体" w:hAnsi="宋体"/>
          <w:color w:val="auto"/>
          <w:szCs w:val="21"/>
        </w:rPr>
      </w:pPr>
      <w:r>
        <w:rPr>
          <w:rFonts w:hint="eastAsia" w:ascii="宋体" w:hAnsi="宋体"/>
          <w:color w:val="auto"/>
          <w:szCs w:val="21"/>
        </w:rPr>
        <w:t>4.3经投标人确认修正后的报价作为签订合同的依据，并以此报价计算价格分。</w:t>
      </w:r>
    </w:p>
    <w:p>
      <w:pPr>
        <w:spacing w:line="360" w:lineRule="auto"/>
        <w:ind w:firstLine="420" w:firstLineChars="200"/>
        <w:rPr>
          <w:rFonts w:ascii="宋体" w:hAnsi="宋体"/>
          <w:color w:val="auto"/>
          <w:szCs w:val="21"/>
        </w:rPr>
      </w:pPr>
      <w:r>
        <w:rPr>
          <w:rFonts w:hint="eastAsia" w:ascii="宋体" w:hAnsi="宋体"/>
          <w:color w:val="auto"/>
          <w:szCs w:val="21"/>
        </w:rPr>
        <w:t>5.比较与评价</w:t>
      </w:r>
    </w:p>
    <w:p>
      <w:pPr>
        <w:spacing w:line="360" w:lineRule="auto"/>
        <w:ind w:firstLine="420" w:firstLineChars="200"/>
        <w:rPr>
          <w:rFonts w:ascii="宋体" w:hAnsi="宋体" w:cs="宋体"/>
          <w:color w:val="auto"/>
        </w:rPr>
      </w:pPr>
      <w:r>
        <w:rPr>
          <w:rFonts w:hint="eastAsia" w:ascii="宋体" w:hAnsi="宋体" w:cs="宋体"/>
          <w:color w:val="auto"/>
        </w:rPr>
        <w:t>5.1评标委员会按照招标文件中规定的评标方法和评标标准，对符合性审查合格的投标文件进行商务和技术评估，综合比较与评价。</w:t>
      </w:r>
    </w:p>
    <w:p>
      <w:pPr>
        <w:spacing w:line="360" w:lineRule="auto"/>
        <w:ind w:firstLine="420" w:firstLineChars="200"/>
        <w:rPr>
          <w:rFonts w:ascii="宋体" w:hAnsi="宋体" w:cs="宋体"/>
          <w:color w:val="auto"/>
        </w:rPr>
      </w:pPr>
      <w:r>
        <w:rPr>
          <w:rFonts w:hint="eastAsia" w:ascii="宋体" w:hAnsi="宋体" w:cs="宋体"/>
          <w:color w:val="auto"/>
        </w:rPr>
        <w:t>5.2评标委员会各成员独立对每个投标人的投标文件进行评价，并汇总每个投标人的得分。</w:t>
      </w:r>
    </w:p>
    <w:p>
      <w:pPr>
        <w:widowControl/>
        <w:numPr>
          <w:ilvl w:val="0"/>
          <w:numId w:val="8"/>
        </w:numPr>
        <w:spacing w:after="150" w:line="480" w:lineRule="auto"/>
        <w:ind w:firstLine="420" w:firstLineChars="200"/>
        <w:jc w:val="left"/>
        <w:rPr>
          <w:rFonts w:ascii="宋体" w:hAnsi="宋体" w:cs="宋体"/>
          <w:color w:val="auto"/>
        </w:rPr>
      </w:pPr>
      <w:r>
        <w:rPr>
          <w:rFonts w:hint="eastAsia" w:ascii="宋体" w:hAnsi="宋体" w:cs="宋体"/>
          <w:color w:val="auto"/>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widowControl/>
        <w:numPr>
          <w:ilvl w:val="0"/>
          <w:numId w:val="8"/>
        </w:numPr>
        <w:spacing w:after="150" w:line="480" w:lineRule="auto"/>
        <w:ind w:firstLine="422" w:firstLineChars="200"/>
        <w:jc w:val="left"/>
        <w:rPr>
          <w:rFonts w:ascii="宋体" w:hAnsi="宋体" w:cs="宋体"/>
          <w:b/>
          <w:bCs/>
          <w:color w:val="auto"/>
        </w:rPr>
      </w:pPr>
      <w:r>
        <w:rPr>
          <w:rFonts w:hint="eastAsia" w:ascii="宋体" w:hAnsi="宋体" w:cs="宋体"/>
          <w:b/>
          <w:bCs/>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ascii="宋体" w:hAnsi="宋体" w:cs="宋体"/>
          <w:color w:val="auto"/>
        </w:rPr>
      </w:pPr>
      <w:r>
        <w:rPr>
          <w:rFonts w:hint="eastAsia" w:ascii="宋体" w:hAnsi="宋体" w:cs="宋体"/>
          <w:color w:val="auto"/>
        </w:rPr>
        <w:t>5.3评标委员会按照招标文件中规定的评标方法和标准计算各投标人的报价得分。在评标过程中，不得去掉报价中的最高报价和最低报价。</w:t>
      </w:r>
    </w:p>
    <w:p>
      <w:pPr>
        <w:spacing w:line="360" w:lineRule="auto"/>
        <w:ind w:firstLine="420" w:firstLineChars="200"/>
        <w:rPr>
          <w:rFonts w:ascii="宋体" w:hAnsi="宋体" w:cs="宋体"/>
          <w:color w:val="auto"/>
        </w:rPr>
      </w:pPr>
      <w:r>
        <w:rPr>
          <w:rFonts w:hint="eastAsia" w:ascii="宋体" w:hAnsi="宋体" w:cs="宋体"/>
          <w:color w:val="auto"/>
        </w:rPr>
        <w:t>5.4各投标人的得分为评标委员会各成员的有效评分的算术平均数。</w:t>
      </w:r>
    </w:p>
    <w:p>
      <w:pPr>
        <w:spacing w:line="360" w:lineRule="auto"/>
        <w:ind w:firstLine="420" w:firstLineChars="200"/>
        <w:rPr>
          <w:rFonts w:ascii="宋体" w:hAnsi="宋体" w:cs="宋体"/>
          <w:color w:val="auto"/>
        </w:rPr>
      </w:pPr>
      <w:r>
        <w:rPr>
          <w:rFonts w:hint="eastAsia" w:ascii="宋体" w:hAnsi="宋体" w:cs="宋体"/>
          <w:color w:val="auto"/>
        </w:rPr>
        <w:t>5.5评标委员会按照招标文件中的规定推荐中标候选人。</w:t>
      </w:r>
    </w:p>
    <w:p>
      <w:pPr>
        <w:spacing w:line="360" w:lineRule="auto"/>
        <w:ind w:firstLine="420" w:firstLineChars="200"/>
        <w:rPr>
          <w:rFonts w:ascii="宋体" w:hAnsi="宋体" w:cs="宋体"/>
          <w:color w:val="auto"/>
        </w:rPr>
      </w:pPr>
      <w:r>
        <w:rPr>
          <w:rFonts w:hint="eastAsia" w:ascii="宋体" w:hAnsi="宋体" w:cs="宋体"/>
          <w:color w:val="auto"/>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b/>
          <w:color w:val="auto"/>
          <w:szCs w:val="21"/>
        </w:rPr>
      </w:pPr>
      <w:r>
        <w:rPr>
          <w:rFonts w:hint="eastAsia" w:ascii="宋体" w:hAnsi="宋体"/>
          <w:b/>
          <w:color w:val="auto"/>
          <w:szCs w:val="21"/>
        </w:rPr>
        <w:t>6.评审复核</w:t>
      </w:r>
    </w:p>
    <w:p>
      <w:pPr>
        <w:spacing w:line="360" w:lineRule="auto"/>
        <w:ind w:firstLine="420" w:firstLineChars="200"/>
        <w:rPr>
          <w:rFonts w:ascii="宋体" w:hAnsi="宋体"/>
          <w:color w:val="auto"/>
          <w:szCs w:val="21"/>
        </w:rPr>
      </w:pPr>
      <w:r>
        <w:rPr>
          <w:rFonts w:hint="eastAsia" w:ascii="宋体" w:hAnsi="宋体"/>
          <w:color w:val="auto"/>
          <w:szCs w:val="21"/>
        </w:rPr>
        <w:t>6.1评标报告签署前，评标委员会要对评审结果进行复核，复核意见要体现在评标报告中。</w:t>
      </w:r>
    </w:p>
    <w:p>
      <w:pPr>
        <w:widowControl/>
        <w:spacing w:line="560" w:lineRule="exact"/>
        <w:ind w:firstLine="420" w:firstLineChars="200"/>
        <w:jc w:val="left"/>
        <w:textAlignment w:val="baseline"/>
        <w:rPr>
          <w:rFonts w:hAnsi="宋体"/>
          <w:color w:val="auto"/>
        </w:rPr>
      </w:pPr>
      <w:r>
        <w:rPr>
          <w:rFonts w:hint="eastAsia" w:ascii="宋体" w:hAnsi="宋体" w:cs="宋体"/>
          <w:color w:val="auto"/>
        </w:rPr>
        <w:t>6.2</w:t>
      </w:r>
      <w:r>
        <w:rPr>
          <w:rFonts w:hint="eastAsia" w:hAnsi="宋体"/>
          <w:color w:val="auto"/>
        </w:rPr>
        <w:t>评标结果汇总完成后，除下列情形外，任何人不得修改评标结果：</w:t>
      </w:r>
    </w:p>
    <w:p>
      <w:pPr>
        <w:widowControl/>
        <w:spacing w:line="560" w:lineRule="exact"/>
        <w:jc w:val="left"/>
        <w:textAlignment w:val="baseline"/>
        <w:rPr>
          <w:rFonts w:hAnsi="宋体"/>
          <w:color w:val="auto"/>
        </w:rPr>
      </w:pPr>
      <w:r>
        <w:rPr>
          <w:rFonts w:hint="eastAsia" w:hAnsi="宋体"/>
          <w:color w:val="auto"/>
        </w:rPr>
        <w:t>　　（一）分值汇总计算错误的；</w:t>
      </w:r>
    </w:p>
    <w:p>
      <w:pPr>
        <w:widowControl/>
        <w:spacing w:line="560" w:lineRule="exact"/>
        <w:jc w:val="left"/>
        <w:textAlignment w:val="baseline"/>
        <w:rPr>
          <w:rFonts w:hAnsi="宋体"/>
          <w:color w:val="auto"/>
        </w:rPr>
      </w:pPr>
      <w:r>
        <w:rPr>
          <w:rFonts w:hint="eastAsia" w:hAnsi="宋体"/>
          <w:color w:val="auto"/>
        </w:rPr>
        <w:t>　　（二）分项评分超出评分标准范围的；</w:t>
      </w:r>
    </w:p>
    <w:p>
      <w:pPr>
        <w:widowControl/>
        <w:spacing w:line="560" w:lineRule="exact"/>
        <w:jc w:val="left"/>
        <w:textAlignment w:val="baseline"/>
        <w:rPr>
          <w:rFonts w:hAnsi="宋体"/>
          <w:color w:val="auto"/>
        </w:rPr>
      </w:pPr>
      <w:r>
        <w:rPr>
          <w:rFonts w:hint="eastAsia" w:hAnsi="宋体"/>
          <w:color w:val="auto"/>
        </w:rPr>
        <w:t>　　（三）评标委员会成员对客观评审因素评分不一致的；</w:t>
      </w:r>
    </w:p>
    <w:p>
      <w:pPr>
        <w:widowControl/>
        <w:spacing w:line="560" w:lineRule="exact"/>
        <w:jc w:val="left"/>
        <w:textAlignment w:val="baseline"/>
        <w:rPr>
          <w:rFonts w:hAnsi="宋体"/>
          <w:color w:val="auto"/>
        </w:rPr>
      </w:pPr>
      <w:r>
        <w:rPr>
          <w:rFonts w:hint="eastAsia" w:hAnsi="宋体"/>
          <w:color w:val="auto"/>
        </w:rPr>
        <w:t>　　（四）经评标委员会认定评分畸高、畸低的。</w:t>
      </w:r>
    </w:p>
    <w:p>
      <w:pPr>
        <w:spacing w:line="360" w:lineRule="auto"/>
        <w:ind w:firstLine="420" w:firstLineChars="200"/>
        <w:rPr>
          <w:rFonts w:hAnsi="宋体"/>
          <w:color w:val="auto"/>
        </w:rPr>
      </w:pPr>
      <w:r>
        <w:rPr>
          <w:rFonts w:hint="eastAsia" w:hAnsi="宋体"/>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4"/>
        <w:jc w:val="center"/>
        <w:rPr>
          <w:b w:val="0"/>
          <w:color w:val="auto"/>
          <w:sz w:val="30"/>
          <w:szCs w:val="30"/>
        </w:rPr>
      </w:pPr>
      <w:bookmarkStart w:id="317" w:name="_Toc13548"/>
      <w:bookmarkStart w:id="318" w:name="_Toc28193"/>
      <w:bookmarkStart w:id="319" w:name="_Toc19942"/>
      <w:bookmarkStart w:id="320" w:name="_Toc28829"/>
      <w:bookmarkStart w:id="321" w:name="_Toc5755"/>
      <w:bookmarkStart w:id="322" w:name="_Toc4866"/>
      <w:bookmarkStart w:id="323" w:name="_Toc22963"/>
      <w:bookmarkStart w:id="324" w:name="_Toc25728"/>
      <w:bookmarkStart w:id="325" w:name="_Toc27331"/>
      <w:bookmarkStart w:id="326" w:name="_Toc17834"/>
      <w:r>
        <w:rPr>
          <w:rFonts w:hint="eastAsia"/>
          <w:b w:val="0"/>
          <w:color w:val="auto"/>
          <w:sz w:val="30"/>
          <w:szCs w:val="30"/>
        </w:rPr>
        <w:t>第三节</w:t>
      </w:r>
      <w:r>
        <w:rPr>
          <w:b w:val="0"/>
          <w:color w:val="auto"/>
          <w:sz w:val="30"/>
          <w:szCs w:val="30"/>
        </w:rPr>
        <w:t xml:space="preserve"> </w:t>
      </w:r>
      <w:r>
        <w:rPr>
          <w:rFonts w:hint="eastAsia"/>
          <w:b w:val="0"/>
          <w:color w:val="auto"/>
          <w:sz w:val="30"/>
          <w:szCs w:val="30"/>
        </w:rPr>
        <w:t>评分标准</w:t>
      </w:r>
      <w:bookmarkEnd w:id="317"/>
      <w:bookmarkEnd w:id="318"/>
      <w:bookmarkEnd w:id="319"/>
      <w:bookmarkEnd w:id="320"/>
      <w:bookmarkEnd w:id="321"/>
      <w:bookmarkEnd w:id="322"/>
      <w:bookmarkEnd w:id="323"/>
      <w:bookmarkEnd w:id="324"/>
      <w:bookmarkEnd w:id="325"/>
      <w:bookmarkEnd w:id="326"/>
    </w:p>
    <w:p>
      <w:pPr>
        <w:spacing w:line="360" w:lineRule="auto"/>
        <w:ind w:firstLine="3614" w:firstLineChars="1200"/>
        <w:rPr>
          <w:rFonts w:hint="eastAsia" w:ascii="宋体" w:hAnsi="宋体" w:eastAsia="宋体" w:cs="宋体"/>
          <w:b/>
          <w:color w:val="auto"/>
          <w:sz w:val="30"/>
          <w:szCs w:val="30"/>
          <w:lang w:eastAsia="zh-CN"/>
        </w:rPr>
      </w:pPr>
      <w:r>
        <w:rPr>
          <w:rFonts w:hint="eastAsia" w:ascii="宋体" w:hAnsi="宋体" w:cs="宋体"/>
          <w:b/>
          <w:color w:val="auto"/>
          <w:sz w:val="30"/>
          <w:szCs w:val="30"/>
        </w:rPr>
        <w:t>一、</w:t>
      </w:r>
      <w:r>
        <w:rPr>
          <w:rFonts w:hint="default" w:ascii="宋体" w:hAnsi="宋体" w:cs="宋体"/>
          <w:b/>
          <w:color w:val="auto"/>
          <w:sz w:val="30"/>
          <w:szCs w:val="30"/>
          <w:lang w:val="en-US"/>
        </w:rPr>
        <w:t>最低评标价法</w:t>
      </w:r>
    </w:p>
    <w:p>
      <w:pPr>
        <w:pStyle w:val="18"/>
        <w:spacing w:line="400" w:lineRule="exact"/>
        <w:ind w:firstLine="420" w:firstLineChars="200"/>
        <w:rPr>
          <w:rFonts w:hAnsi="宋体" w:cs="宋体"/>
          <w:color w:val="auto"/>
        </w:rPr>
      </w:pPr>
      <w:r>
        <w:rPr>
          <w:rFonts w:hint="eastAsia" w:hAnsi="宋体" w:cs="宋体"/>
          <w:color w:val="auto"/>
        </w:rPr>
        <w:t>通过资格审查、符合性审查的投标人，评标委员会将按照有效评标报价从低到高顺序排列，并推荐中标候选人。评标报价相同的，评标委员会推荐方式见本章“第四节 中标候选人推荐原则”。</w:t>
      </w:r>
    </w:p>
    <w:p>
      <w:pPr>
        <w:pStyle w:val="18"/>
        <w:spacing w:line="400" w:lineRule="exact"/>
        <w:ind w:firstLine="420" w:firstLineChars="200"/>
        <w:rPr>
          <w:rFonts w:hAnsi="宋体" w:cs="宋体"/>
          <w:color w:val="auto"/>
        </w:rPr>
      </w:pPr>
      <w:r>
        <w:rPr>
          <w:rFonts w:hint="eastAsia" w:hAnsi="宋体" w:cs="宋体"/>
          <w:color w:val="auto"/>
        </w:rPr>
        <w:t>说明：</w:t>
      </w:r>
    </w:p>
    <w:p>
      <w:pPr>
        <w:pStyle w:val="18"/>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lang w:eastAsia="zh-CN"/>
        </w:rPr>
        <w:t>本项目为专门面向中小企业采购的项目，按照《政府采购促进中小企业发展管理办法》（财库〔2020〕46号）的规定，对投标人的投标报价不再执行价格评审优惠的扶持政策。</w:t>
      </w:r>
    </w:p>
    <w:p>
      <w:pPr>
        <w:pStyle w:val="18"/>
        <w:spacing w:line="40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（2）评标报价为投标人的投标报价，评标报价只是作为评审时使用。最终中标人的中标金额等于投标报价。</w:t>
      </w:r>
    </w:p>
    <w:p>
      <w:pPr>
        <w:pStyle w:val="18"/>
        <w:ind w:firstLine="602" w:firstLineChars="200"/>
        <w:jc w:val="center"/>
        <w:rPr>
          <w:rFonts w:ascii="Times New Roman" w:hAnsi="Times New Roman"/>
          <w:b/>
          <w:color w:val="auto"/>
          <w:sz w:val="30"/>
          <w:szCs w:val="30"/>
        </w:rPr>
      </w:pPr>
    </w:p>
    <w:p>
      <w:pPr>
        <w:pStyle w:val="18"/>
        <w:ind w:firstLine="602" w:firstLineChars="200"/>
        <w:jc w:val="center"/>
        <w:rPr>
          <w:rFonts w:ascii="Times New Roman" w:hAnsi="Times New Roman"/>
          <w:b/>
          <w:color w:val="auto"/>
          <w:sz w:val="30"/>
          <w:szCs w:val="30"/>
        </w:rPr>
      </w:pPr>
      <w:bookmarkStart w:id="327" w:name="OLE_LINK2"/>
      <w:r>
        <w:rPr>
          <w:rFonts w:hint="eastAsia" w:hAnsi="宋体" w:cs="宋体"/>
          <w:b/>
          <w:color w:val="auto"/>
          <w:sz w:val="30"/>
          <w:szCs w:val="30"/>
        </w:rPr>
        <w:t>二、</w:t>
      </w:r>
      <w:r>
        <w:rPr>
          <w:rFonts w:hint="eastAsia" w:ascii="Times New Roman" w:hAnsi="Times New Roman"/>
          <w:b/>
          <w:color w:val="auto"/>
          <w:sz w:val="30"/>
          <w:szCs w:val="30"/>
        </w:rPr>
        <w:t>综合评分法</w:t>
      </w:r>
    </w:p>
    <w:p>
      <w:pPr>
        <w:spacing w:line="360" w:lineRule="auto"/>
        <w:ind w:firstLine="420"/>
        <w:rPr>
          <w:rFonts w:ascii="宋体" w:hAnsi="宋体"/>
          <w:bCs/>
          <w:color w:val="auto"/>
          <w:szCs w:val="20"/>
        </w:rPr>
      </w:pPr>
    </w:p>
    <w:p>
      <w:pPr>
        <w:spacing w:line="360" w:lineRule="auto"/>
        <w:ind w:firstLine="420"/>
        <w:rPr>
          <w:rFonts w:ascii="宋体" w:hAnsi="宋体"/>
          <w:bCs/>
          <w:color w:val="auto"/>
          <w:szCs w:val="20"/>
        </w:rPr>
      </w:pPr>
      <w:r>
        <w:rPr>
          <w:rFonts w:hint="eastAsia" w:ascii="宋体" w:hAnsi="宋体"/>
          <w:bCs/>
          <w:color w:val="auto"/>
          <w:szCs w:val="20"/>
        </w:rPr>
        <w:t>注：计分方法按四舍五入取至百分位。</w:t>
      </w:r>
    </w:p>
    <w:tbl>
      <w:tblPr>
        <w:tblStyle w:val="28"/>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425"/>
        <w:gridCol w:w="666"/>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29" w:type="dxa"/>
            <w:gridSpan w:val="4"/>
            <w:noWrap w:val="0"/>
            <w:vAlign w:val="center"/>
          </w:tcPr>
          <w:p>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1.价格分（满分10分）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91" w:type="dxa"/>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4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内容</w:t>
            </w:r>
          </w:p>
        </w:tc>
        <w:tc>
          <w:tcPr>
            <w:tcW w:w="66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满分</w:t>
            </w:r>
          </w:p>
        </w:tc>
        <w:tc>
          <w:tcPr>
            <w:tcW w:w="6647" w:type="dxa"/>
            <w:noWrap w:val="0"/>
            <w:vAlign w:val="center"/>
          </w:tcPr>
          <w:p>
            <w:pPr>
              <w:keepNext w:val="0"/>
              <w:keepLines w:val="0"/>
              <w:suppressLineNumbers w:val="0"/>
              <w:adjustRightInd/>
              <w:spacing w:before="0" w:beforeAutospacing="0" w:after="0" w:afterAutospacing="0" w:line="36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25" w:type="dxa"/>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投标报价得分</w:t>
            </w:r>
          </w:p>
        </w:tc>
        <w:tc>
          <w:tcPr>
            <w:tcW w:w="666" w:type="dxa"/>
            <w:noWrap w:val="0"/>
            <w:vAlign w:val="center"/>
          </w:tcPr>
          <w:p>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满分10分</w:t>
            </w:r>
          </w:p>
        </w:tc>
        <w:tc>
          <w:tcPr>
            <w:tcW w:w="6647" w:type="dxa"/>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金额等于</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报价。</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）以进入综合评分环节的最低的评标报价为基准价，基准价报价得分为10分。</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w:t>
            </w:r>
            <w:r>
              <w:rPr>
                <w:rFonts w:hint="eastAsia" w:ascii="宋体" w:hAnsi="宋体" w:eastAsia="宋体" w:cs="宋体"/>
                <w:bCs/>
                <w:color w:val="auto"/>
                <w:spacing w:val="4"/>
                <w:sz w:val="21"/>
                <w:szCs w:val="21"/>
                <w:highlight w:val="none"/>
              </w:rPr>
              <w:t>某投标人价格分=基准价/某投标人评标报价金额×10分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9" w:type="dxa"/>
            <w:gridSpan w:val="4"/>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技术标部分（满分</w:t>
            </w:r>
            <w:r>
              <w:rPr>
                <w:rFonts w:hint="eastAsia" w:ascii="宋体" w:hAnsi="宋体" w:eastAsia="宋体" w:cs="宋体"/>
                <w:b/>
                <w:bCs w:val="0"/>
                <w:color w:val="auto"/>
                <w:sz w:val="21"/>
                <w:szCs w:val="21"/>
                <w:highlight w:val="none"/>
                <w:lang w:val="en-US" w:eastAsia="zh-CN"/>
              </w:rPr>
              <w:t>88分</w:t>
            </w:r>
            <w:r>
              <w:rPr>
                <w:rFonts w:hint="eastAsia" w:ascii="宋体" w:hAnsi="宋体" w:eastAsia="宋体" w:cs="宋体"/>
                <w:b/>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序号</w:t>
            </w:r>
          </w:p>
        </w:tc>
        <w:tc>
          <w:tcPr>
            <w:tcW w:w="14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内容</w:t>
            </w:r>
          </w:p>
        </w:tc>
        <w:tc>
          <w:tcPr>
            <w:tcW w:w="666" w:type="dxa"/>
            <w:noWrap w:val="0"/>
            <w:tcMar>
              <w:left w:w="57" w:type="dxa"/>
              <w:right w:w="57" w:type="dxa"/>
            </w:tcMar>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满分</w:t>
            </w:r>
          </w:p>
        </w:tc>
        <w:tc>
          <w:tcPr>
            <w:tcW w:w="6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1425" w:type="dxa"/>
            <w:noWrap w:val="0"/>
            <w:vAlign w:val="center"/>
          </w:tcPr>
          <w:p>
            <w:pPr>
              <w:keepNext w:val="0"/>
              <w:keepLines w:val="0"/>
              <w:suppressLineNumbers w:val="0"/>
              <w:autoSpaceDE w:val="0"/>
              <w:autoSpaceDN w:val="0"/>
              <w:spacing w:before="0" w:beforeAutospacing="0" w:after="0" w:afterAutospacing="0" w:line="360" w:lineRule="auto"/>
              <w:ind w:right="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服务管理措施</w:t>
            </w:r>
          </w:p>
        </w:tc>
        <w:tc>
          <w:tcPr>
            <w:tcW w:w="666"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lang w:val="en-US" w:eastAsia="zh-CN" w:bidi="ar-SA"/>
              </w:rPr>
              <w:t>25</w:t>
            </w:r>
            <w:r>
              <w:rPr>
                <w:rFonts w:hint="eastAsia" w:ascii="宋体" w:hAnsi="宋体" w:eastAsia="宋体" w:cs="宋体"/>
                <w:bCs/>
                <w:color w:val="auto"/>
                <w:kern w:val="0"/>
                <w:sz w:val="21"/>
                <w:szCs w:val="21"/>
                <w:highlight w:val="none"/>
                <w:lang w:val="en-US" w:eastAsia="zh-CN" w:bidi="ar-SA"/>
              </w:rPr>
              <w:t xml:space="preserve"> </w:t>
            </w:r>
          </w:p>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lang w:val="en-US" w:eastAsia="zh-CN" w:bidi="ar-SA"/>
              </w:rPr>
              <w:t>分</w:t>
            </w:r>
          </w:p>
        </w:tc>
        <w:tc>
          <w:tcPr>
            <w:tcW w:w="6647" w:type="dxa"/>
            <w:noWrap w:val="0"/>
            <w:vAlign w:val="center"/>
          </w:tcPr>
          <w:p>
            <w:pPr>
              <w:keepNext w:val="0"/>
              <w:keepLines w:val="0"/>
              <w:suppressLineNumbers w:val="0"/>
              <w:autoSpaceDE w:val="0"/>
              <w:autoSpaceDN w:val="0"/>
              <w:spacing w:before="0" w:beforeAutospacing="0" w:after="0" w:afterAutospacing="0" w:line="360" w:lineRule="auto"/>
              <w:ind w:right="0" w:firstLine="422" w:firstLineChars="200"/>
              <w:jc w:val="left"/>
              <w:rPr>
                <w:rFonts w:hint="eastAsia" w:ascii="Times New Roman" w:hAnsi="Times New Roman" w:cs="Times New Roman"/>
                <w:color w:val="auto"/>
                <w:lang w:val="en-US" w:eastAsia="zh-CN"/>
              </w:rPr>
            </w:pPr>
            <w:bookmarkStart w:id="328" w:name="OLE_LINK21"/>
            <w:r>
              <w:rPr>
                <w:rFonts w:hint="eastAsia" w:ascii="Times New Roman" w:hAnsi="Times New Roman" w:cs="Times New Roman"/>
                <w:b/>
                <w:bCs/>
                <w:color w:val="auto"/>
                <w:lang w:val="en-US" w:eastAsia="zh-CN"/>
              </w:rPr>
              <w:t>投标文件中未提供服务管理措施或所提供的内容未达最低档的得0分。</w:t>
            </w:r>
          </w:p>
          <w:p>
            <w:pPr>
              <w:keepNext w:val="0"/>
              <w:keepLines w:val="0"/>
              <w:suppressLineNumbers w:val="0"/>
              <w:autoSpaceDE w:val="0"/>
              <w:autoSpaceDN w:val="0"/>
              <w:spacing w:before="0" w:beforeAutospacing="0" w:after="0" w:afterAutospacing="0" w:line="360" w:lineRule="auto"/>
              <w:ind w:right="0" w:firstLine="210" w:firstLineChars="100"/>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一档（5分）：提供的服务管理措施简单，内容不具体；</w:t>
            </w:r>
          </w:p>
          <w:p>
            <w:pPr>
              <w:keepNext w:val="0"/>
              <w:keepLines w:val="0"/>
              <w:suppressLineNumbers w:val="0"/>
              <w:autoSpaceDE w:val="0"/>
              <w:autoSpaceDN w:val="0"/>
              <w:spacing w:before="0" w:beforeAutospacing="0" w:after="0" w:afterAutospacing="0" w:line="360" w:lineRule="auto"/>
              <w:ind w:right="0" w:firstLine="210" w:firstLineChars="1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二档（10分）：提供的服务管理措施有各服务区域的管理措施。 </w:t>
            </w:r>
          </w:p>
          <w:p>
            <w:pPr>
              <w:keepNext w:val="0"/>
              <w:keepLines w:val="0"/>
              <w:suppressLineNumbers w:val="0"/>
              <w:autoSpaceDE w:val="0"/>
              <w:autoSpaceDN w:val="0"/>
              <w:spacing w:before="0" w:beforeAutospacing="0" w:after="0" w:afterAutospacing="0" w:line="360" w:lineRule="auto"/>
              <w:ind w:right="0" w:firstLine="210" w:firstLineChars="1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三档（15分）：提供的服务管理措施能针对项目需求制定保安服务总体要求与目标，有详细的各服务区域的管理措施、保安服务工作流程管理。 </w:t>
            </w:r>
          </w:p>
          <w:p>
            <w:pPr>
              <w:keepNext w:val="0"/>
              <w:keepLines w:val="0"/>
              <w:suppressLineNumbers w:val="0"/>
              <w:autoSpaceDE w:val="0"/>
              <w:autoSpaceDN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四档（20分）：提供的服务管理措施能针对项目需求制定的保安服务总体要求与目标，有各服务区域的管理措施，能提供保安员工作管理计划、保安服务工作流程管理、轮岗管理制度、交接工作管理安排。 </w:t>
            </w:r>
          </w:p>
          <w:p>
            <w:pPr>
              <w:keepNext w:val="0"/>
              <w:keepLines w:val="0"/>
              <w:suppressLineNumbers w:val="0"/>
              <w:autoSpaceDE w:val="0"/>
              <w:autoSpaceDN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五档（25分）：提供的服务管理措施能针对项目需求制定保安服务总体要求与目标，有各服务区域的管理措施，能提供保安员工作管理计划、保安服务工作流程管理、轮岗管理制度、交接工作管理安排，明确服务人员的职责和权限，配备接收投诉人员、协调处理人员，有健全的管理机制。</w:t>
            </w:r>
            <w:bookmarkEnd w:id="3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.2</w:t>
            </w:r>
          </w:p>
        </w:tc>
        <w:tc>
          <w:tcPr>
            <w:tcW w:w="1425" w:type="dxa"/>
            <w:noWrap w:val="0"/>
            <w:vAlign w:val="center"/>
          </w:tcPr>
          <w:p>
            <w:pPr>
              <w:snapToGrid w:val="0"/>
              <w:spacing w:line="36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lang w:val="en-US" w:eastAsia="zh-CN" w:bidi="ar-SA"/>
              </w:rPr>
              <w:t>管理规章制度及考核管理办法</w:t>
            </w:r>
          </w:p>
        </w:tc>
        <w:tc>
          <w:tcPr>
            <w:tcW w:w="666" w:type="dxa"/>
            <w:noWrap w:val="0"/>
            <w:tcMar>
              <w:left w:w="57" w:type="dxa"/>
              <w:right w:w="57" w:type="dxa"/>
            </w:tcMar>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lang w:val="en-US" w:eastAsia="zh-CN" w:bidi="ar-SA"/>
              </w:rPr>
              <w:t>满分1</w:t>
            </w:r>
            <w:r>
              <w:rPr>
                <w:rFonts w:hint="eastAsia" w:ascii="宋体" w:hAnsi="宋体" w:cs="宋体"/>
                <w:bCs/>
                <w:color w:val="auto"/>
                <w:kern w:val="0"/>
                <w:sz w:val="21"/>
                <w:szCs w:val="21"/>
                <w:lang w:val="en-US" w:eastAsia="zh-CN" w:bidi="ar-SA"/>
              </w:rPr>
              <w:t>6</w:t>
            </w:r>
            <w:r>
              <w:rPr>
                <w:rFonts w:hint="eastAsia" w:ascii="宋体" w:hAnsi="宋体" w:eastAsia="宋体" w:cs="宋体"/>
                <w:bCs/>
                <w:color w:val="auto"/>
                <w:kern w:val="0"/>
                <w:sz w:val="21"/>
                <w:szCs w:val="21"/>
                <w:lang w:val="en-US" w:eastAsia="zh-CN" w:bidi="ar-SA"/>
              </w:rPr>
              <w:t>分</w:t>
            </w:r>
          </w:p>
        </w:tc>
        <w:tc>
          <w:tcPr>
            <w:tcW w:w="6647" w:type="dxa"/>
            <w:noWrap w:val="0"/>
            <w:vAlign w:val="center"/>
          </w:tcPr>
          <w:p>
            <w:pPr>
              <w:keepNext w:val="0"/>
              <w:keepLines w:val="0"/>
              <w:suppressLineNumbers w:val="0"/>
              <w:spacing w:before="0" w:beforeAutospacing="0" w:after="0" w:afterAutospacing="0" w:line="360" w:lineRule="auto"/>
              <w:ind w:right="0"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 xml:space="preserve">投标文件中未提供管理规章制度及考核管理办法或所提供的内容未达最低档的得0分。 </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一档（4分）：具有内部管理构架、管理运作制度及人员服务考核制度，实行3个月一次的考核管理。 </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二档（8分）：具有内部管理构架、管理运作制度、管理规章制度及人员服务考核制度，实行二个月一次的考核管理，对考核不合格的人员进行整顿及加强管理，有保安人员监督机制、奖惩制度。 </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三档（12分）：具有内部管理构架、管理运作制度及标准、管理规章制度、考勤管理制度、人员服务考核制度，实行一个月一次的考核管理， 有简单的对考核不合格的人员进行整顿及加强管理措施，有保安人员监督机制、奖惩机制等。</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lang w:val="zh-CN" w:eastAsia="zh-CN"/>
              </w:rPr>
            </w:pPr>
            <w:r>
              <w:rPr>
                <w:rFonts w:hint="eastAsia" w:ascii="Times New Roman" w:hAnsi="Times New Roman" w:cs="Times New Roman"/>
                <w:color w:val="auto"/>
                <w:lang w:val="en-US" w:eastAsia="zh-CN"/>
              </w:rPr>
              <w:t>四档（16分）：具有内部管理构架、管理运作制度及标准、管理规章制度、考勤管理制度、档案管理制度、人员服务考核制度，实行半个月一次的考核管理， 有对考核不合格的人员进行整顿及加强管理的详细措施，有保安人员监督机制、奖惩机制、 安保人员自我约束机制等。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1425" w:type="dxa"/>
            <w:noWrap w:val="0"/>
            <w:vAlign w:val="center"/>
          </w:tcPr>
          <w:p>
            <w:pPr>
              <w:snapToGrid w:val="0"/>
              <w:spacing w:line="36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lang w:val="en-US" w:eastAsia="zh-CN" w:bidi="ar-SA"/>
              </w:rPr>
              <w:t>服务质量保障方案</w:t>
            </w:r>
          </w:p>
        </w:tc>
        <w:tc>
          <w:tcPr>
            <w:tcW w:w="666" w:type="dxa"/>
            <w:noWrap w:val="0"/>
            <w:tcMar>
              <w:left w:w="57" w:type="dxa"/>
              <w:right w:w="57" w:type="dxa"/>
            </w:tcMar>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满分</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w:t>
            </w:r>
          </w:p>
        </w:tc>
        <w:tc>
          <w:tcPr>
            <w:tcW w:w="6647" w:type="dxa"/>
            <w:noWrap w:val="0"/>
            <w:vAlign w:val="center"/>
          </w:tcPr>
          <w:p>
            <w:pPr>
              <w:keepNext w:val="0"/>
              <w:keepLines w:val="0"/>
              <w:suppressLineNumbers w:val="0"/>
              <w:spacing w:before="0" w:beforeAutospacing="0" w:after="0" w:afterAutospacing="0" w:line="360" w:lineRule="auto"/>
              <w:ind w:left="0" w:right="0" w:firstLine="422" w:firstLineChars="20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投标文件中未提供服务质量保障措施或所提供的内容未达最低档的得0分。</w:t>
            </w:r>
            <w:r>
              <w:rPr>
                <w:rFonts w:hint="eastAsia" w:ascii="Times New Roman" w:hAnsi="Times New Roman" w:cs="Times New Roman"/>
                <w:color w:val="auto"/>
                <w:lang w:val="en-US" w:eastAsia="zh-CN"/>
              </w:rPr>
              <w:t xml:space="preserve">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一档（4分）：提供有基本的服务质量保障方案，提供有保安服务质量标准，方案基本符合项目需求。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二档（8分）：提供有阐述清晰服务质量保障方案，提供有保安服务质量标准，方案中有针对本项目建立的检查及监督机制，方案符合项目需求。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三档（12分）：提供有阐述清晰的服务质量保障方案，提供有保安服务质量标准，方案中有针对本项目建立的检查及监督机制，能说明各级别检查及监督机制的主要职责及检查程序，方案完全满足项目需求。</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四档（16分）：提供有合理、有针对性的服务质量保障方案，提供保安服务质量标准，方案中有针对本项目建立的检查及监督机制，能说明各级别检查及监督机制的主要职责及检查程序，并提供有针对性、可行性服务保障措施，保证安保人员的服务质量，有利于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1425" w:type="dxa"/>
            <w:noWrap w:val="0"/>
            <w:vAlign w:val="center"/>
          </w:tcPr>
          <w:p>
            <w:pPr>
              <w:snapToGrid w:val="0"/>
              <w:spacing w:line="360" w:lineRule="atLeast"/>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岗前培训方 </w:t>
            </w:r>
          </w:p>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案</w:t>
            </w:r>
          </w:p>
        </w:tc>
        <w:tc>
          <w:tcPr>
            <w:tcW w:w="666" w:type="dxa"/>
            <w:noWrap w:val="0"/>
            <w:tcMar>
              <w:left w:w="57" w:type="dxa"/>
              <w:right w:w="57" w:type="dxa"/>
            </w:tcMar>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满分</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w:t>
            </w:r>
          </w:p>
        </w:tc>
        <w:tc>
          <w:tcPr>
            <w:tcW w:w="6647" w:type="dxa"/>
            <w:noWrap w:val="0"/>
            <w:vAlign w:val="center"/>
          </w:tcPr>
          <w:p>
            <w:pPr>
              <w:keepNext w:val="0"/>
              <w:keepLines w:val="0"/>
              <w:suppressLineNumbers w:val="0"/>
              <w:spacing w:before="0" w:beforeAutospacing="0" w:after="0" w:afterAutospacing="0" w:line="360" w:lineRule="auto"/>
              <w:ind w:left="0" w:right="0" w:firstLine="422" w:firstLineChars="20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投标文件中未提供岗前培训方案或所提供的内容未达最低档的得0分。</w:t>
            </w:r>
            <w:r>
              <w:rPr>
                <w:rFonts w:hint="eastAsia" w:ascii="Times New Roman" w:hAnsi="Times New Roman" w:cs="Times New Roman"/>
                <w:color w:val="auto"/>
                <w:lang w:val="en-US" w:eastAsia="zh-CN"/>
              </w:rPr>
              <w:t xml:space="preserve">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一档（4分）：拟订有安保人员培训计划，每三个月实行一次培训活动，有培训目标、培训内容。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二档（8分）：拟订有安保人员培训计划，每二个月实行一次培训活动，有培训目标、培训内容、培训方式，包含保安理论知识及专业技能培训，有不少于2种培训方式。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三档（12分）：拟订有安保人员培训计划，每一个月实行一次培训活动，有培训目标、培训内容、培训方式，包含保安理论知识及专业技能培训，有不少于3种培训方式，制定有培训考核办法及考核标准。</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四档（16分）：拟订有安保人员培训计划，每半个月实行一次培训活动，有培训目标、培训内容、培训方式，包含保安理论知识及专业技能培训，有不少于4种培训方式，制定有详细的培训考核办法及考核标准。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w:t>
            </w:r>
          </w:p>
        </w:tc>
        <w:tc>
          <w:tcPr>
            <w:tcW w:w="14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应急预案</w:t>
            </w:r>
          </w:p>
        </w:tc>
        <w:tc>
          <w:tcPr>
            <w:tcW w:w="666" w:type="dxa"/>
            <w:noWrap w:val="0"/>
            <w:tcMar>
              <w:left w:w="57" w:type="dxa"/>
              <w:right w:w="57" w:type="dxa"/>
            </w:tcMar>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满分</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en-US" w:eastAsia="zh-CN"/>
              </w:rPr>
              <w:t>分</w:t>
            </w:r>
          </w:p>
        </w:tc>
        <w:tc>
          <w:tcPr>
            <w:tcW w:w="6647" w:type="dxa"/>
            <w:noWrap w:val="0"/>
            <w:vAlign w:val="center"/>
          </w:tcPr>
          <w:p>
            <w:pPr>
              <w:keepNext w:val="0"/>
              <w:keepLines w:val="0"/>
              <w:suppressLineNumbers w:val="0"/>
              <w:spacing w:before="0" w:beforeAutospacing="0" w:after="0" w:afterAutospacing="0" w:line="360" w:lineRule="auto"/>
              <w:ind w:left="0" w:right="0" w:firstLine="422" w:firstLineChars="20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投标文件中未提供应急预案或所提供的内容未达最低档的得0分。</w:t>
            </w:r>
            <w:r>
              <w:rPr>
                <w:rFonts w:hint="eastAsia" w:ascii="Times New Roman" w:hAnsi="Times New Roman" w:cs="Times New Roman"/>
                <w:color w:val="auto"/>
                <w:lang w:val="en-US" w:eastAsia="zh-CN"/>
              </w:rPr>
              <w:t xml:space="preserve">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一档（5分）：具有基本的应急组织措施，提供应急人员安排及应急人员岗位职责、应急人员调配计划及人员计划（安排）表。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二档（10分）：具有应急组织措施，提供应急人员安排及应急人员岗位职责、应急人员调配计划及人员计划（安排）表，能提出对消防管理、治安事件、卫生事件的解决措施，能对应急情况发生的问题立即响应，配备应急人员调配计划与应急事件处理方案。 </w:t>
            </w:r>
          </w:p>
          <w:p>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三档（15分）：具有应急组织措施，提供应急人员安排及应急人员岗位职责、应急人员调配计划及人员计划（安排）表，能提出对消防管理、治安事件、卫生事件、自然灾害事件、意外事件等突发事件的解决措施，能对应急情况发生的问题立即响应，提供处理完成时间，配备应急人员调配计划及人员计划（安排）表及应急事件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329" w:type="dxa"/>
            <w:gridSpan w:val="4"/>
            <w:noWrap w:val="0"/>
            <w:vAlign w:val="center"/>
          </w:tcPr>
          <w:p>
            <w:pPr>
              <w:keepNext w:val="0"/>
              <w:keepLines w:val="0"/>
              <w:suppressLineNumbers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商务分：满分</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序号</w:t>
            </w:r>
          </w:p>
        </w:tc>
        <w:tc>
          <w:tcPr>
            <w:tcW w:w="14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内容</w:t>
            </w:r>
          </w:p>
        </w:tc>
        <w:tc>
          <w:tcPr>
            <w:tcW w:w="66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满分</w:t>
            </w:r>
          </w:p>
        </w:tc>
        <w:tc>
          <w:tcPr>
            <w:tcW w:w="6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9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.1</w:t>
            </w:r>
          </w:p>
        </w:tc>
        <w:tc>
          <w:tcPr>
            <w:tcW w:w="14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tc>
        <w:tc>
          <w:tcPr>
            <w:tcW w:w="66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6647"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lang w:val="en-US" w:eastAsia="zh-CN" w:bidi="ar-SA"/>
              </w:rPr>
              <w:t>2022年1月1日至提交投标文件截止时间止，投标人具有</w:t>
            </w:r>
            <w:r>
              <w:rPr>
                <w:rFonts w:hint="eastAsia" w:ascii="宋体" w:hAnsi="宋体" w:eastAsia="宋体" w:cs="宋体"/>
                <w:bCs/>
                <w:color w:val="auto"/>
                <w:sz w:val="21"/>
                <w:szCs w:val="21"/>
                <w:highlight w:val="none"/>
                <w:lang w:val="en-US" w:eastAsia="zh-CN"/>
              </w:rPr>
              <w:t>承接过校园</w:t>
            </w:r>
            <w:r>
              <w:rPr>
                <w:rFonts w:hint="eastAsia" w:ascii="宋体" w:hAnsi="宋体" w:eastAsia="宋体" w:cs="宋体"/>
                <w:bCs/>
                <w:color w:val="auto"/>
                <w:sz w:val="21"/>
                <w:szCs w:val="21"/>
                <w:highlight w:val="none"/>
              </w:rPr>
              <w:t>安保服务项目业绩的</w:t>
            </w:r>
            <w:r>
              <w:rPr>
                <w:rFonts w:hint="eastAsia" w:ascii="宋体" w:hAnsi="宋体" w:eastAsia="宋体" w:cs="宋体"/>
                <w:color w:val="auto"/>
                <w:szCs w:val="21"/>
              </w:rPr>
              <w:t>，</w:t>
            </w:r>
            <w:r>
              <w:rPr>
                <w:rFonts w:hint="eastAsia" w:ascii="宋体" w:hAnsi="宋体" w:eastAsia="宋体" w:cs="宋体"/>
                <w:bCs/>
                <w:color w:val="auto"/>
                <w:sz w:val="21"/>
                <w:szCs w:val="21"/>
                <w:highlight w:val="none"/>
              </w:rPr>
              <w:t>每</w:t>
            </w:r>
            <w:r>
              <w:rPr>
                <w:rFonts w:hint="eastAsia" w:ascii="宋体" w:hAnsi="宋体" w:eastAsia="宋体" w:cs="宋体"/>
                <w:bCs/>
                <w:color w:val="auto"/>
                <w:kern w:val="0"/>
                <w:sz w:val="21"/>
                <w:szCs w:val="21"/>
                <w:lang w:val="en-US" w:eastAsia="zh-CN" w:bidi="ar-SA"/>
              </w:rPr>
              <w:t>提供</w:t>
            </w:r>
            <w:r>
              <w:rPr>
                <w:rFonts w:hint="eastAsia" w:ascii="宋体" w:hAnsi="宋体" w:cs="宋体"/>
                <w:bCs/>
                <w:color w:val="auto"/>
                <w:sz w:val="21"/>
                <w:szCs w:val="21"/>
                <w:highlight w:val="none"/>
                <w:lang w:val="en-US" w:eastAsia="zh-CN"/>
              </w:rPr>
              <w:t>一个</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color w:val="auto"/>
                <w:szCs w:val="21"/>
              </w:rPr>
              <w:t>。（需在投标文件中提供</w:t>
            </w:r>
            <w:r>
              <w:rPr>
                <w:rFonts w:hint="eastAsia" w:ascii="宋体" w:hAnsi="宋体" w:eastAsia="宋体" w:cs="宋体"/>
                <w:bCs/>
                <w:color w:val="auto"/>
                <w:sz w:val="21"/>
                <w:szCs w:val="21"/>
                <w:highlight w:val="none"/>
                <w:lang w:val="en-US" w:eastAsia="zh-CN"/>
              </w:rPr>
              <w:t>校园</w:t>
            </w:r>
            <w:r>
              <w:rPr>
                <w:rFonts w:hint="eastAsia" w:ascii="宋体" w:hAnsi="宋体" w:eastAsia="宋体" w:cs="宋体"/>
                <w:bCs/>
                <w:color w:val="auto"/>
                <w:sz w:val="21"/>
                <w:szCs w:val="21"/>
                <w:highlight w:val="none"/>
              </w:rPr>
              <w:t>安保服务项目业绩的</w:t>
            </w:r>
            <w:r>
              <w:rPr>
                <w:rFonts w:hint="eastAsia" w:ascii="宋体" w:hAnsi="宋体" w:eastAsia="宋体" w:cs="宋体"/>
                <w:color w:val="auto"/>
                <w:szCs w:val="21"/>
              </w:rPr>
              <w:t>有效的合同或者中标（成交）通知书复印件并加盖投标人公章，未按要求提供的该项不得分）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29" w:type="dxa"/>
            <w:gridSpan w:val="4"/>
            <w:noWrap w:val="0"/>
            <w:vAlign w:val="center"/>
          </w:tcPr>
          <w:p>
            <w:pPr>
              <w:pStyle w:val="18"/>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总得分=1+2+3</w:t>
            </w:r>
          </w:p>
        </w:tc>
      </w:tr>
    </w:tbl>
    <w:p>
      <w:pPr>
        <w:pStyle w:val="18"/>
        <w:spacing w:line="360" w:lineRule="auto"/>
        <w:ind w:firstLine="420"/>
        <w:rPr>
          <w:rFonts w:hAnsi="宋体" w:cs="宋体"/>
          <w:bCs/>
          <w:i/>
          <w:iCs/>
          <w:color w:val="auto"/>
          <w:szCs w:val="21"/>
          <w:highlight w:val="yellow"/>
        </w:rPr>
      </w:pPr>
    </w:p>
    <w:p>
      <w:pPr>
        <w:rPr>
          <w:color w:val="auto"/>
        </w:rPr>
      </w:pPr>
    </w:p>
    <w:bookmarkEnd w:id="327"/>
    <w:p>
      <w:pPr>
        <w:pStyle w:val="4"/>
        <w:jc w:val="center"/>
        <w:rPr>
          <w:b w:val="0"/>
          <w:color w:val="auto"/>
          <w:sz w:val="30"/>
          <w:szCs w:val="30"/>
        </w:rPr>
      </w:pPr>
      <w:bookmarkStart w:id="329" w:name="_Toc15061"/>
      <w:bookmarkStart w:id="330" w:name="_Toc9480"/>
      <w:bookmarkStart w:id="331" w:name="_Toc2202"/>
      <w:bookmarkStart w:id="332" w:name="_Toc18582"/>
      <w:bookmarkStart w:id="333" w:name="_Toc23906"/>
      <w:bookmarkStart w:id="334" w:name="_Toc11083"/>
      <w:bookmarkStart w:id="335" w:name="_Toc20313"/>
      <w:bookmarkStart w:id="336" w:name="_Toc12855"/>
      <w:bookmarkStart w:id="337" w:name="_Toc16466"/>
      <w:bookmarkStart w:id="338" w:name="_Toc10751"/>
      <w:r>
        <w:rPr>
          <w:rFonts w:hint="eastAsia"/>
          <w:b w:val="0"/>
          <w:color w:val="auto"/>
          <w:sz w:val="30"/>
          <w:szCs w:val="30"/>
        </w:rPr>
        <w:t>第四节</w:t>
      </w:r>
      <w:r>
        <w:rPr>
          <w:b w:val="0"/>
          <w:color w:val="auto"/>
          <w:sz w:val="30"/>
          <w:szCs w:val="30"/>
        </w:rPr>
        <w:t xml:space="preserve"> </w:t>
      </w:r>
      <w:r>
        <w:rPr>
          <w:rFonts w:hint="eastAsia"/>
          <w:b w:val="0"/>
          <w:color w:val="auto"/>
          <w:sz w:val="30"/>
          <w:szCs w:val="30"/>
        </w:rPr>
        <w:t>中标候选人推荐原则</w:t>
      </w:r>
      <w:bookmarkEnd w:id="329"/>
      <w:bookmarkEnd w:id="330"/>
      <w:bookmarkEnd w:id="331"/>
      <w:bookmarkEnd w:id="332"/>
      <w:bookmarkEnd w:id="333"/>
      <w:bookmarkEnd w:id="334"/>
      <w:bookmarkEnd w:id="335"/>
      <w:bookmarkEnd w:id="336"/>
      <w:bookmarkEnd w:id="337"/>
      <w:bookmarkEnd w:id="338"/>
    </w:p>
    <w:p>
      <w:pPr>
        <w:pStyle w:val="18"/>
        <w:spacing w:line="360" w:lineRule="auto"/>
        <w:ind w:left="472"/>
        <w:contextualSpacing/>
        <w:rPr>
          <w:rFonts w:hAnsi="宋体"/>
          <w:b/>
          <w:bCs/>
          <w:color w:val="auto"/>
          <w:sz w:val="24"/>
          <w:szCs w:val="24"/>
        </w:rPr>
      </w:pPr>
      <w:r>
        <w:rPr>
          <w:rFonts w:hint="eastAsia" w:hAnsi="宋体"/>
          <w:b/>
          <w:bCs/>
          <w:color w:val="auto"/>
          <w:sz w:val="24"/>
          <w:szCs w:val="24"/>
        </w:rPr>
        <w:t>（一）综合评分法</w:t>
      </w:r>
    </w:p>
    <w:p>
      <w:pPr>
        <w:pStyle w:val="18"/>
        <w:spacing w:line="360" w:lineRule="auto"/>
        <w:ind w:firstLine="420" w:firstLineChars="200"/>
        <w:rPr>
          <w:rFonts w:hAnsi="宋体"/>
          <w:color w:val="auto"/>
        </w:rPr>
      </w:pPr>
      <w:r>
        <w:rPr>
          <w:rFonts w:hint="eastAsia" w:hAnsi="宋体"/>
          <w:color w:val="auto"/>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18"/>
        <w:spacing w:line="360" w:lineRule="auto"/>
        <w:ind w:firstLine="482" w:firstLineChars="200"/>
        <w:rPr>
          <w:rFonts w:hAnsi="宋体"/>
          <w:color w:val="auto"/>
        </w:rPr>
      </w:pPr>
      <w:r>
        <w:rPr>
          <w:rFonts w:hint="eastAsia" w:hAnsi="宋体"/>
          <w:b/>
          <w:bCs/>
          <w:color w:val="auto"/>
          <w:sz w:val="24"/>
          <w:szCs w:val="24"/>
        </w:rPr>
        <w:t>（二）最低评标报价法</w:t>
      </w:r>
    </w:p>
    <w:p>
      <w:pPr>
        <w:pStyle w:val="18"/>
        <w:tabs>
          <w:tab w:val="left" w:pos="2472"/>
        </w:tabs>
        <w:spacing w:line="480" w:lineRule="exact"/>
        <w:ind w:firstLine="420" w:firstLineChars="200"/>
        <w:rPr>
          <w:color w:val="auto"/>
        </w:rPr>
      </w:pPr>
      <w:r>
        <w:rPr>
          <w:rFonts w:hint="eastAsia" w:hAnsi="宋体"/>
          <w:color w:val="auto"/>
        </w:rPr>
        <w:t>评标委员会将按照有效评标报价从低到高顺序排列，评标报价相同的并列。投标文件满足招标文件全部实质性要求且评标报价最低的投标人为排名第一的中标候选人。</w:t>
      </w:r>
    </w:p>
    <w:p>
      <w:pPr>
        <w:pStyle w:val="4"/>
        <w:spacing w:before="0" w:after="0" w:line="360" w:lineRule="auto"/>
        <w:ind w:firstLine="600" w:firstLineChars="200"/>
        <w:jc w:val="center"/>
        <w:rPr>
          <w:b w:val="0"/>
          <w:color w:val="auto"/>
          <w:sz w:val="30"/>
          <w:szCs w:val="30"/>
        </w:rPr>
      </w:pPr>
      <w:bookmarkStart w:id="339" w:name="_Toc13625"/>
      <w:bookmarkStart w:id="340" w:name="_Toc11545"/>
      <w:bookmarkStart w:id="341" w:name="_Toc13808"/>
      <w:bookmarkStart w:id="342" w:name="_Toc27419"/>
      <w:bookmarkStart w:id="343" w:name="_Toc7971"/>
      <w:bookmarkStart w:id="344" w:name="_Toc22384"/>
      <w:bookmarkStart w:id="345" w:name="_Toc9602"/>
      <w:bookmarkStart w:id="346" w:name="_Toc11695"/>
      <w:bookmarkStart w:id="347" w:name="_Toc11073"/>
      <w:bookmarkStart w:id="348" w:name="_Toc29218"/>
      <w:r>
        <w:rPr>
          <w:rFonts w:hint="eastAsia"/>
          <w:b w:val="0"/>
          <w:color w:val="auto"/>
          <w:sz w:val="30"/>
          <w:szCs w:val="30"/>
        </w:rPr>
        <w:t>第五节</w:t>
      </w:r>
      <w:r>
        <w:rPr>
          <w:b w:val="0"/>
          <w:color w:val="auto"/>
          <w:sz w:val="30"/>
          <w:szCs w:val="30"/>
        </w:rPr>
        <w:t xml:space="preserve"> </w:t>
      </w:r>
      <w:r>
        <w:rPr>
          <w:rFonts w:hint="eastAsia"/>
          <w:b w:val="0"/>
          <w:color w:val="auto"/>
          <w:sz w:val="30"/>
          <w:szCs w:val="30"/>
        </w:rPr>
        <w:t>评标报告</w:t>
      </w:r>
      <w:bookmarkEnd w:id="339"/>
      <w:bookmarkEnd w:id="340"/>
      <w:bookmarkEnd w:id="341"/>
      <w:bookmarkEnd w:id="342"/>
      <w:bookmarkEnd w:id="343"/>
      <w:bookmarkEnd w:id="344"/>
      <w:bookmarkEnd w:id="345"/>
      <w:bookmarkEnd w:id="346"/>
      <w:bookmarkEnd w:id="347"/>
      <w:bookmarkEnd w:id="348"/>
    </w:p>
    <w:p>
      <w:pPr>
        <w:pStyle w:val="37"/>
        <w:spacing w:before="0"/>
        <w:ind w:firstLine="482"/>
        <w:rPr>
          <w:rFonts w:ascii="宋体" w:hAnsi="宋体"/>
          <w:b/>
          <w:bCs/>
          <w:color w:val="auto"/>
          <w:szCs w:val="24"/>
        </w:rPr>
      </w:pPr>
      <w:r>
        <w:rPr>
          <w:rFonts w:hint="eastAsia" w:ascii="宋体" w:hAnsi="宋体"/>
          <w:b/>
          <w:bCs/>
          <w:color w:val="auto"/>
          <w:szCs w:val="24"/>
        </w:rPr>
        <w:t>（一）评标报告与推荐中标候选人</w:t>
      </w:r>
    </w:p>
    <w:p>
      <w:pPr>
        <w:pStyle w:val="18"/>
        <w:tabs>
          <w:tab w:val="left" w:pos="2472"/>
        </w:tabs>
        <w:spacing w:line="360" w:lineRule="auto"/>
        <w:ind w:firstLine="420" w:firstLineChars="200"/>
        <w:rPr>
          <w:rFonts w:hAnsi="宋体"/>
          <w:color w:val="auto"/>
        </w:rPr>
      </w:pPr>
      <w:r>
        <w:rPr>
          <w:rFonts w:hint="eastAsia" w:hAnsi="宋体"/>
          <w:color w:val="auto"/>
        </w:rPr>
        <w:t>评标委员会根据原始评标记录和评标结果编写评标报告，并通过电子交易平台向采购人、采购代理机构提交。</w:t>
      </w:r>
    </w:p>
    <w:p>
      <w:pPr>
        <w:widowControl/>
        <w:spacing w:line="360" w:lineRule="auto"/>
        <w:ind w:firstLine="482" w:firstLineChars="200"/>
        <w:jc w:val="left"/>
        <w:rPr>
          <w:rFonts w:ascii="宋体" w:hAnsi="宋体"/>
          <w:b/>
          <w:bCs/>
          <w:color w:val="auto"/>
          <w:sz w:val="24"/>
        </w:rPr>
      </w:pPr>
      <w:r>
        <w:rPr>
          <w:rFonts w:hint="eastAsia" w:ascii="宋体" w:hAnsi="宋体"/>
          <w:b/>
          <w:bCs/>
          <w:color w:val="auto"/>
          <w:sz w:val="24"/>
        </w:rPr>
        <w:t>（二）评标争议事项处理</w:t>
      </w:r>
    </w:p>
    <w:p>
      <w:pPr>
        <w:pStyle w:val="18"/>
        <w:tabs>
          <w:tab w:val="left" w:pos="2472"/>
        </w:tabs>
        <w:spacing w:line="360" w:lineRule="auto"/>
        <w:ind w:firstLine="420" w:firstLineChars="200"/>
        <w:rPr>
          <w:rFonts w:hAnsi="宋体"/>
          <w:color w:val="auto"/>
        </w:rPr>
      </w:pPr>
      <w:r>
        <w:rPr>
          <w:rFonts w:hint="eastAsia"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color w:val="auto"/>
          <w:sz w:val="36"/>
          <w:szCs w:val="20"/>
        </w:rPr>
        <w:sectPr>
          <w:pgSz w:w="11905" w:h="16838"/>
          <w:pgMar w:top="1134" w:right="1134" w:bottom="1134" w:left="1134" w:header="850" w:footer="850" w:gutter="0"/>
          <w:pgNumType w:fmt="decimal"/>
          <w:cols w:space="0" w:num="1"/>
          <w:titlePg/>
          <w:docGrid w:linePitch="331" w:charSpace="0"/>
        </w:sect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outlineLvl w:val="0"/>
        <w:rPr>
          <w:rFonts w:ascii="宋体" w:hAnsi="Courier New"/>
          <w:bCs/>
          <w:color w:val="auto"/>
          <w:szCs w:val="20"/>
        </w:rPr>
        <w:sectPr>
          <w:pgSz w:w="11905" w:h="16838"/>
          <w:pgMar w:top="1134" w:right="1134" w:bottom="1134" w:left="1134" w:header="850" w:footer="850" w:gutter="0"/>
          <w:pgNumType w:fmt="decimal"/>
          <w:cols w:space="0" w:num="1"/>
          <w:titlePg/>
          <w:docGrid w:linePitch="331" w:charSpace="0"/>
        </w:sectPr>
      </w:pPr>
      <w:bookmarkStart w:id="349" w:name="_Toc9012"/>
      <w:bookmarkStart w:id="350" w:name="_Toc31791"/>
      <w:bookmarkStart w:id="351" w:name="_Toc29347"/>
      <w:bookmarkStart w:id="352" w:name="_Toc3838"/>
      <w:bookmarkStart w:id="353" w:name="_Toc27014"/>
      <w:bookmarkStart w:id="354" w:name="_Toc25572"/>
      <w:bookmarkStart w:id="355" w:name="_Toc7167"/>
      <w:bookmarkStart w:id="356" w:name="_Toc9058"/>
      <w:bookmarkStart w:id="357" w:name="_Toc20993"/>
      <w:bookmarkStart w:id="358" w:name="_Toc17049"/>
      <w:bookmarkStart w:id="359" w:name="_Toc32021"/>
      <w:bookmarkStart w:id="360" w:name="_Toc3422"/>
      <w:bookmarkStart w:id="361" w:name="_Toc26262"/>
      <w:r>
        <w:rPr>
          <w:rFonts w:hint="eastAsia" w:ascii="Times New Roman" w:hAnsi="Times New Roman"/>
          <w:b/>
          <w:color w:val="auto"/>
          <w:sz w:val="36"/>
        </w:rPr>
        <w:t>第五章</w:t>
      </w:r>
      <w:r>
        <w:rPr>
          <w:rFonts w:ascii="Times New Roman" w:hAnsi="Times New Roman"/>
          <w:b/>
          <w:color w:val="auto"/>
          <w:sz w:val="36"/>
        </w:rPr>
        <w:t xml:space="preserve"> </w:t>
      </w:r>
      <w:r>
        <w:rPr>
          <w:rFonts w:hint="eastAsia" w:ascii="Times New Roman" w:hAnsi="Times New Roman"/>
          <w:b/>
          <w:color w:val="auto"/>
          <w:sz w:val="36"/>
        </w:rPr>
        <w:t>拟签订的合同文本</w:t>
      </w:r>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4"/>
        <w:keepNext w:val="0"/>
        <w:keepLines w:val="0"/>
        <w:spacing w:before="0" w:after="0" w:line="360" w:lineRule="auto"/>
        <w:ind w:firstLine="1124" w:firstLineChars="400"/>
        <w:jc w:val="both"/>
        <w:rPr>
          <w:rFonts w:hint="eastAsia" w:ascii="宋体" w:hAnsi="宋体" w:eastAsia="宋体" w:cs="Times New Roman"/>
          <w:b/>
          <w:bCs/>
          <w:color w:val="auto"/>
          <w:sz w:val="28"/>
          <w:szCs w:val="28"/>
          <w:highlight w:val="none"/>
          <w:lang w:eastAsia="zh-CN"/>
        </w:rPr>
      </w:pPr>
      <w:r>
        <w:rPr>
          <w:rFonts w:hint="eastAsia" w:ascii="宋体" w:hAnsi="宋体" w:eastAsia="宋体" w:cs="Times New Roman"/>
          <w:b/>
          <w:bCs/>
          <w:color w:val="auto"/>
          <w:sz w:val="28"/>
          <w:szCs w:val="28"/>
          <w:highlight w:val="none"/>
          <w:lang w:eastAsia="zh-CN"/>
        </w:rPr>
        <w:t>凭祥市中小学校幼儿园实施购买保安服务项目合同</w:t>
      </w:r>
    </w:p>
    <w:p>
      <w:pPr>
        <w:pStyle w:val="4"/>
        <w:keepNext w:val="0"/>
        <w:keepLines w:val="0"/>
        <w:spacing w:before="0" w:after="0" w:line="360" w:lineRule="auto"/>
        <w:jc w:val="center"/>
        <w:rPr>
          <w:rFonts w:ascii="宋体" w:hAnsi="宋体" w:cs="宋体"/>
          <w:color w:val="auto"/>
        </w:rPr>
      </w:pP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1"/>
          <w:szCs w:val="21"/>
          <w:highlight w:val="none"/>
          <w:lang w:eastAsia="zh-CN"/>
        </w:rPr>
        <w:t>合同以采购人最终与中标人签订的为准</w:t>
      </w:r>
      <w:r>
        <w:rPr>
          <w:rFonts w:hint="eastAsia" w:ascii="宋体" w:hAnsi="宋体" w:eastAsia="宋体" w:cs="Times New Roman"/>
          <w:b/>
          <w:bCs/>
          <w:color w:val="auto"/>
          <w:sz w:val="28"/>
          <w:szCs w:val="28"/>
          <w:highlight w:val="none"/>
          <w:lang w:eastAsia="zh-CN"/>
        </w:rPr>
        <w:t>）</w:t>
      </w:r>
    </w:p>
    <w:p>
      <w:pPr>
        <w:spacing w:line="520" w:lineRule="exact"/>
        <w:rPr>
          <w:rFonts w:ascii="宋体" w:hAnsi="宋体" w:cs="宋体"/>
          <w:b/>
          <w:color w:val="auto"/>
          <w:sz w:val="32"/>
          <w:szCs w:val="32"/>
        </w:rPr>
      </w:pPr>
    </w:p>
    <w:p>
      <w:pPr>
        <w:spacing w:line="360" w:lineRule="auto"/>
        <w:ind w:right="800" w:firstLine="6090" w:firstLineChars="2900"/>
        <w:rPr>
          <w:rFonts w:ascii="宋体" w:hAnsi="宋体" w:cs="宋体"/>
          <w:color w:val="auto"/>
          <w:szCs w:val="21"/>
          <w:u w:val="single"/>
        </w:rPr>
      </w:pPr>
      <w:r>
        <w:rPr>
          <w:rFonts w:hint="eastAsia" w:ascii="宋体" w:hAnsi="宋体" w:cs="宋体"/>
          <w:bCs/>
          <w:color w:val="auto"/>
          <w:szCs w:val="21"/>
        </w:rPr>
        <w:t>合同编号：</w:t>
      </w:r>
      <w:r>
        <w:rPr>
          <w:rFonts w:hint="eastAsia" w:ascii="宋体" w:hAnsi="宋体" w:cs="宋体"/>
          <w:color w:val="auto"/>
          <w:szCs w:val="21"/>
          <w:u w:val="single"/>
        </w:rPr>
        <w:t xml:space="preserve">               </w:t>
      </w:r>
    </w:p>
    <w:p>
      <w:pPr>
        <w:spacing w:line="360" w:lineRule="auto"/>
        <w:ind w:right="800" w:firstLine="6090" w:firstLineChars="2900"/>
        <w:rPr>
          <w:rFonts w:ascii="宋体" w:hAnsi="宋体" w:cs="宋体"/>
          <w:color w:val="auto"/>
          <w:szCs w:val="21"/>
        </w:rPr>
      </w:pPr>
      <w:r>
        <w:rPr>
          <w:rFonts w:hint="eastAsia" w:ascii="宋体" w:hAnsi="宋体" w:cs="宋体"/>
          <w:color w:val="auto"/>
          <w:szCs w:val="21"/>
        </w:rPr>
        <w:t>采购计划号：</w:t>
      </w:r>
      <w:r>
        <w:rPr>
          <w:rFonts w:hint="eastAsia" w:ascii="宋体" w:hAnsi="宋体" w:cs="宋体"/>
          <w:color w:val="auto"/>
          <w:szCs w:val="21"/>
          <w:u w:val="single"/>
        </w:rPr>
        <w:t xml:space="preserve">               </w:t>
      </w:r>
    </w:p>
    <w:p>
      <w:pPr>
        <w:spacing w:line="360" w:lineRule="auto"/>
        <w:rPr>
          <w:rFonts w:ascii="宋体" w:hAnsi="宋体" w:cs="宋体"/>
          <w:color w:val="auto"/>
          <w:szCs w:val="21"/>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rPr>
          <w:rFonts w:ascii="宋体" w:hAnsi="宋体" w:cs="宋体"/>
          <w:color w:val="auto"/>
          <w:szCs w:val="21"/>
          <w:u w:val="single"/>
        </w:rPr>
      </w:pPr>
      <w:r>
        <w:rPr>
          <w:rFonts w:hint="eastAsia" w:ascii="宋体" w:hAnsi="宋体" w:cs="宋体"/>
          <w:color w:val="auto"/>
          <w:szCs w:val="21"/>
        </w:rPr>
        <w:t>中标人（乙方）：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rPr>
          <w:rFonts w:ascii="宋体" w:hAnsi="宋体" w:cs="宋体"/>
          <w:color w:val="auto"/>
          <w:szCs w:val="21"/>
          <w:u w:val="single"/>
        </w:rPr>
      </w:pPr>
      <w:r>
        <w:rPr>
          <w:rFonts w:hint="eastAsia" w:ascii="宋体" w:hAnsi="宋体" w:cs="宋体"/>
          <w:color w:val="auto"/>
          <w:szCs w:val="21"/>
        </w:rPr>
        <w:t>项目编号：</w:t>
      </w:r>
      <w:r>
        <w:rPr>
          <w:rFonts w:hint="eastAsia" w:ascii="宋体" w:hAnsi="宋体" w:cs="宋体"/>
          <w:color w:val="auto"/>
          <w:szCs w:val="21"/>
          <w:u w:val="single"/>
        </w:rPr>
        <w:t xml:space="preserve">                             </w:t>
      </w:r>
    </w:p>
    <w:p>
      <w:pPr>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p>
    <w:p>
      <w:pPr>
        <w:spacing w:line="360" w:lineRule="auto"/>
        <w:ind w:firstLine="420" w:firstLineChars="200"/>
        <w:rPr>
          <w:rFonts w:ascii="宋体" w:hAnsi="宋体" w:cs="宋体"/>
          <w:color w:val="auto"/>
          <w:szCs w:val="21"/>
        </w:rPr>
      </w:pP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bookmarkStart w:id="362" w:name="OLE_LINK23"/>
      <w:r>
        <w:rPr>
          <w:rFonts w:hint="eastAsia" w:ascii="宋体" w:hAnsi="宋体" w:eastAsia="宋体" w:cs="宋体"/>
          <w:color w:val="auto"/>
          <w:sz w:val="21"/>
          <w:szCs w:val="21"/>
          <w:highlight w:val="none"/>
        </w:rPr>
        <w:t>中华人民共和国民法典</w:t>
      </w:r>
      <w:bookmarkEnd w:id="362"/>
      <w:r>
        <w:rPr>
          <w:rFonts w:hint="eastAsia" w:ascii="宋体" w:hAnsi="宋体" w:eastAsia="宋体" w:cs="宋体"/>
          <w:color w:val="auto"/>
          <w:sz w:val="21"/>
          <w:szCs w:val="21"/>
          <w:highlight w:val="none"/>
        </w:rPr>
        <w:t>》及有关安保管理法律、法规和政策，在平等、自愿、协商一致的基础上，就甲方委托乙方对</w:t>
      </w:r>
      <w:r>
        <w:rPr>
          <w:rFonts w:hint="eastAsia" w:ascii="宋体" w:hAnsi="宋体" w:eastAsia="宋体" w:cs="宋体"/>
          <w:color w:val="auto"/>
          <w:sz w:val="21"/>
          <w:szCs w:val="21"/>
          <w:highlight w:val="none"/>
          <w:u w:val="single"/>
          <w:lang w:eastAsia="zh-CN"/>
        </w:rPr>
        <w:t>凭祥市中小学校幼儿园实施购买保安服务项目</w:t>
      </w:r>
      <w:r>
        <w:rPr>
          <w:rFonts w:hint="eastAsia" w:ascii="宋体" w:hAnsi="宋体" w:eastAsia="宋体" w:cs="宋体"/>
          <w:color w:val="auto"/>
          <w:sz w:val="21"/>
          <w:szCs w:val="21"/>
          <w:highlight w:val="none"/>
        </w:rPr>
        <w:t>实行专业化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一体化的</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管理订立本合同。</w:t>
      </w:r>
    </w:p>
    <w:p>
      <w:pPr>
        <w:pStyle w:val="47"/>
        <w:adjustRightInd w:val="0"/>
        <w:snapToGrid w:val="0"/>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、本合同总价为：</w:t>
      </w:r>
      <w:r>
        <w:rPr>
          <w:rFonts w:hint="eastAsia" w:ascii="宋体" w:hAnsi="宋体" w:eastAsia="宋体" w:cs="宋体"/>
          <w:color w:val="auto"/>
          <w:sz w:val="21"/>
          <w:szCs w:val="21"/>
          <w:highlight w:val="none"/>
        </w:rPr>
        <w:t>人民币大写（¥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月/人）该服务费用是履行本项目合同的最终价格，实行包干制，应包括管理、服务人员的工资(不能低于当地人社局规定的最低工资标准)、按规定提取的社会保险和福利费及国家地方规定必须缴纳的费用、治安秩序维护费、日常行政办公费、水电费、公司与本项目直接有关的固定资产折旧费、服装费及满足安保服务工作所需的基本执勤装备、法定税费、公司合理利润、不可预见费用(含学校赋予的临时任务、学校周边出现突发事件临时机动等费用)以上所列项目费用及管理服务所发生的一切成本费用的总和。</w:t>
      </w:r>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、付款方式：</w:t>
      </w:r>
    </w:p>
    <w:p>
      <w:pPr>
        <w:spacing w:line="360" w:lineRule="auto"/>
        <w:ind w:firstLine="420" w:firstLineChars="200"/>
        <w:rPr>
          <w:rFonts w:ascii="宋体" w:hAnsi="宋体" w:cs="宋体"/>
          <w:color w:val="auto"/>
          <w:szCs w:val="21"/>
        </w:rPr>
      </w:pPr>
      <w:r>
        <w:rPr>
          <w:rFonts w:hint="eastAsia" w:ascii="宋体" w:hAnsi="宋体" w:eastAsia="宋体" w:cs="宋体"/>
          <w:color w:val="auto"/>
          <w:sz w:val="21"/>
          <w:szCs w:val="21"/>
          <w:highlight w:val="none"/>
          <w:lang w:eastAsia="zh-CN"/>
        </w:rPr>
        <w:t>在合同履行期间内</w:t>
      </w:r>
      <w:r>
        <w:rPr>
          <w:rFonts w:hint="eastAsia" w:ascii="宋体" w:hAnsi="宋体" w:eastAsia="宋体" w:cs="宋体"/>
          <w:color w:val="auto"/>
          <w:sz w:val="21"/>
          <w:szCs w:val="21"/>
          <w:highlight w:val="none"/>
        </w:rPr>
        <w:t>甲方按月支付结算一次:首次支付结算在乙方进场及双方签订合同生效，正式开始安保管理服务满30个日历天后的首月，乙方须提交服务价款的结算付款票据单证资料给甲方，甲方收齐后的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个工作日内办理支付手续，按照考评结果向乙方核拨合同总价的三十六分之一的费款</w:t>
      </w:r>
      <w:r>
        <w:rPr>
          <w:rFonts w:hint="eastAsia" w:ascii="宋体" w:hAnsi="宋体" w:cs="宋体"/>
          <w:color w:val="auto"/>
          <w:sz w:val="21"/>
          <w:szCs w:val="21"/>
          <w:highlight w:val="none"/>
          <w:lang w:eastAsia="zh-CN"/>
        </w:rPr>
        <w:t>，</w:t>
      </w:r>
      <w:r>
        <w:rPr>
          <w:rFonts w:hint="eastAsia" w:ascii="宋体" w:hAnsi="宋体" w:cs="宋体"/>
          <w:color w:val="auto"/>
          <w:szCs w:val="21"/>
        </w:rPr>
        <w:t>如乙方违反本合同约定需要扣除相关服务费的，最终付款金额为合同总价的三十六分之一的款项扣除按本合同约定应扣除的管理费用。</w:t>
      </w:r>
    </w:p>
    <w:p>
      <w:pPr>
        <w:spacing w:line="360" w:lineRule="auto"/>
        <w:ind w:firstLine="420" w:firstLineChars="200"/>
        <w:rPr>
          <w:rFonts w:hint="eastAsia"/>
          <w:color w:val="auto"/>
        </w:rPr>
      </w:pPr>
      <w:r>
        <w:rPr>
          <w:rFonts w:hint="eastAsia" w:ascii="宋体" w:hAnsi="宋体" w:cs="宋体"/>
          <w:color w:val="auto"/>
          <w:szCs w:val="21"/>
        </w:rPr>
        <w:t>甲方每次付款前，乙方应提供相应金额的合法有效的增值税专用发票给甲方，如逾期提供的，甲方的付款时间相应顺延且不构成违约。</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、交付和验收</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本合同期限为：</w:t>
      </w:r>
      <w:r>
        <w:rPr>
          <w:rFonts w:hint="eastAsia" w:ascii="宋体" w:hAnsi="宋体" w:eastAsia="宋体" w:cs="宋体"/>
          <w:color w:val="auto"/>
          <w:sz w:val="21"/>
          <w:szCs w:val="21"/>
          <w:highlight w:val="none"/>
          <w:lang w:val="en-US" w:eastAsia="zh-CN"/>
        </w:rPr>
        <w:t>3年</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止。</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2．服务地点：凭祥市中小学、幼儿园，采购人指定地点。</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3．乙方提供不符合公开招标文件、投标文件和本合同规定的服务，甲方有权拒绝接受。</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Cs w:val="21"/>
        </w:rPr>
        <w:t>甲方</w:t>
      </w:r>
      <w:r>
        <w:rPr>
          <w:rFonts w:hint="eastAsia" w:ascii="宋体" w:hAnsi="宋体" w:eastAsia="宋体" w:cs="宋体"/>
          <w:color w:val="auto"/>
          <w:sz w:val="21"/>
          <w:szCs w:val="21"/>
          <w:highlight w:val="none"/>
        </w:rPr>
        <w:t>每月一次对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的服务水平组织满意度问卷调查考核，调查对象为学校教师和管理行政，调查人员与被调查人员情况做好书面情况报告，存档留底。</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根据项目服务要求对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在服务期内的服务实施情况进行分期考核，结合考核情况、服务效果，对招标文件服务内容和要求、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响应和承诺内容等有关标准进行问卷调查验收，达不到要求的发出书面整改通知，并按要求进行整改，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拒绝整改或一个季度内收到整改通知超过3次或以上，则</w:t>
      </w:r>
      <w:r>
        <w:rPr>
          <w:rFonts w:hint="eastAsia" w:ascii="宋体" w:hAnsi="宋体" w:cs="宋体"/>
          <w:color w:val="auto"/>
          <w:szCs w:val="21"/>
        </w:rPr>
        <w:t>甲方</w:t>
      </w:r>
      <w:r>
        <w:rPr>
          <w:rFonts w:hint="eastAsia" w:ascii="宋体" w:hAnsi="宋体" w:eastAsia="宋体" w:cs="宋体"/>
          <w:color w:val="auto"/>
          <w:sz w:val="21"/>
          <w:szCs w:val="21"/>
          <w:highlight w:val="none"/>
        </w:rPr>
        <w:t>有权立即终止合同并不予支付任何赔偿或补偿。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履约验收验收标准：符合国家相关法规、</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行业规范和</w:t>
      </w:r>
      <w:r>
        <w:rPr>
          <w:rFonts w:hint="eastAsia" w:ascii="宋体" w:hAnsi="宋体" w:cs="宋体"/>
          <w:color w:val="auto"/>
          <w:szCs w:val="21"/>
        </w:rPr>
        <w:t>甲方</w:t>
      </w:r>
      <w:r>
        <w:rPr>
          <w:rFonts w:hint="eastAsia" w:ascii="宋体" w:hAnsi="宋体" w:eastAsia="宋体" w:cs="宋体"/>
          <w:color w:val="auto"/>
          <w:sz w:val="21"/>
          <w:szCs w:val="21"/>
          <w:highlight w:val="none"/>
        </w:rPr>
        <w:t>规定要求</w:t>
      </w:r>
      <w:r>
        <w:rPr>
          <w:rFonts w:hint="eastAsia" w:ascii="宋体" w:hAnsi="宋体" w:cs="宋体"/>
          <w:color w:val="auto"/>
          <w:szCs w:val="21"/>
        </w:rPr>
        <w:t>（详见附件《保安员服务满意度测评表》）</w:t>
      </w:r>
      <w:r>
        <w:rPr>
          <w:rFonts w:hint="eastAsia" w:ascii="宋体" w:hAnsi="宋体" w:eastAsia="宋体" w:cs="宋体"/>
          <w:color w:val="auto"/>
          <w:sz w:val="21"/>
          <w:szCs w:val="21"/>
          <w:highlight w:val="none"/>
        </w:rPr>
        <w:t>；考核实行百分制评分（100%），服务质量考核标准定为优良、合格、不合格，满意度90%</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以上为优良，满意度80%</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以上为合格，满意度80%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以下为不合格，当满意度低于80%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时扣除当月服务费10%。一年连续出现3次满意度调查满意度低于80%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ascii="宋体" w:hAnsi="宋体" w:cs="宋体"/>
          <w:color w:val="auto"/>
          <w:szCs w:val="21"/>
        </w:rPr>
        <w:t>甲方</w:t>
      </w:r>
      <w:r>
        <w:rPr>
          <w:rFonts w:hint="eastAsia" w:ascii="宋体" w:hAnsi="宋体" w:eastAsia="宋体" w:cs="宋体"/>
          <w:color w:val="auto"/>
          <w:sz w:val="21"/>
          <w:szCs w:val="21"/>
          <w:highlight w:val="none"/>
        </w:rPr>
        <w:t>有权终止合同且不承担任何赔偿或补偿责任，一切后果由</w:t>
      </w:r>
      <w:r>
        <w:rPr>
          <w:rFonts w:hint="eastAsia" w:ascii="宋体" w:hAnsi="宋体" w:cs="宋体"/>
          <w:color w:val="auto"/>
          <w:szCs w:val="21"/>
        </w:rPr>
        <w:t>乙方</w:t>
      </w:r>
      <w:r>
        <w:rPr>
          <w:rFonts w:hint="eastAsia" w:ascii="宋体" w:hAnsi="宋体" w:eastAsia="宋体" w:cs="宋体"/>
          <w:color w:val="auto"/>
          <w:sz w:val="21"/>
          <w:szCs w:val="21"/>
          <w:highlight w:val="none"/>
        </w:rPr>
        <w:t>自负。</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7.甲方在调查过程中发现乙方有违约问题，按本合同违约责任条款处理。</w:t>
      </w:r>
    </w:p>
    <w:p>
      <w:pPr>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、甲方的权利和义务</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1.与乙方议定年度管理计划以及年度报告。</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2.对乙方的管理实施监督检查，每月进行一次全面考核评定，如因乙方管理不善，造成重大经济损失或管理失误，有权终止合同。</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3.甲方在合同生效之日起30日内按规定向乙方提供</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服务管理工作档案、资料，并在乙方管理期满时予以收回。</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4.不得干涉乙方依法或依本合同规定内容所进行的管理活动。</w:t>
      </w:r>
    </w:p>
    <w:p>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5.负责处理非乙方原因而产生的各种纠纷。</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6.协助乙方做好</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管理工作。</w:t>
      </w:r>
    </w:p>
    <w:p>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7.法规政策规定由甲方承担的其他责任。</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、乙方的权利和义务</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1.根据有关法律、法规政策及本合同的规定，制订</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服务的各项管理办法、规章制度、实施细则，自主开展各项管理活动。</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2.接受管理主管部门及有关政府部门的监督、指导，并接受甲方的监督。</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.公用设施不得擅自占用和改变使用功能。</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.建立</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管理档案并负责及时记载有关变更情况。</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.本合同终止时，乙方必须向甲方移交原委托管理的全部</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管理档案、财务等资料。</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.在服务期内接受甲方的考核、评议，师生满意度达到80％以上，有效投诉处理率应达到100%，投诉回复率达到100%。</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.在合同有效期内，乙方负责按</w:t>
      </w:r>
      <w:bookmarkStart w:id="363" w:name="OLE_LINK22"/>
      <w:r>
        <w:rPr>
          <w:rFonts w:hint="eastAsia" w:ascii="宋体" w:hAnsi="宋体" w:eastAsia="宋体" w:cs="宋体"/>
          <w:color w:val="auto"/>
          <w:sz w:val="21"/>
          <w:szCs w:val="21"/>
          <w:highlight w:val="none"/>
        </w:rPr>
        <w:t>《中华人民共和国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w:t>
      </w:r>
      <w:bookmarkEnd w:id="363"/>
      <w:r>
        <w:rPr>
          <w:rFonts w:hint="eastAsia" w:ascii="宋体" w:hAnsi="宋体" w:eastAsia="宋体" w:cs="宋体"/>
          <w:color w:val="auto"/>
          <w:sz w:val="21"/>
          <w:szCs w:val="21"/>
          <w:highlight w:val="none"/>
        </w:rPr>
        <w:t>规定为所聘安保</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购买</w:t>
      </w:r>
      <w:r>
        <w:rPr>
          <w:rFonts w:hint="eastAsia" w:ascii="宋体" w:hAnsi="宋体" w:eastAsia="宋体" w:cs="宋体"/>
          <w:color w:val="auto"/>
          <w:sz w:val="21"/>
          <w:szCs w:val="21"/>
          <w:highlight w:val="none"/>
          <w:lang w:val="en-US" w:eastAsia="zh-CN"/>
        </w:rPr>
        <w:t>社保</w:t>
      </w:r>
      <w:r>
        <w:rPr>
          <w:rFonts w:hint="eastAsia" w:ascii="宋体" w:hAnsi="宋体" w:eastAsia="宋体" w:cs="宋体"/>
          <w:color w:val="auto"/>
          <w:sz w:val="21"/>
          <w:szCs w:val="21"/>
          <w:highlight w:val="none"/>
        </w:rPr>
        <w:t>和发放节假日加班费，乙方要确保每月按时足额发放</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的工资。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.乙方人员的劳务纠纷、经济纠纷、工伤事故以及乙方在执勤或者进行其他活动时所发生的人身伤亡，由乙方承担责任。</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.乙方应自行配足装备(如对讲机、警械、手电等器材)。乙方按甲方指定的服装</w:t>
      </w:r>
      <w:r>
        <w:rPr>
          <w:rFonts w:hint="eastAsia" w:ascii="宋体" w:hAnsi="宋体" w:eastAsia="宋体" w:cs="宋体"/>
          <w:color w:val="auto"/>
          <w:sz w:val="21"/>
          <w:szCs w:val="21"/>
          <w:highlight w:val="none"/>
          <w:lang w:val="en-US" w:eastAsia="zh-CN"/>
        </w:rPr>
        <w:t>试样</w:t>
      </w:r>
      <w:r>
        <w:rPr>
          <w:rFonts w:hint="eastAsia" w:ascii="宋体" w:hAnsi="宋体" w:eastAsia="宋体" w:cs="宋体"/>
          <w:color w:val="auto"/>
          <w:sz w:val="21"/>
          <w:szCs w:val="21"/>
          <w:highlight w:val="none"/>
        </w:rPr>
        <w:t>，服装由乙方自行订做，费用自理。</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.甲方不提供乙方聘用人员的食宿，甲方向乙方提供管理服务的办公用房，乙方不得买卖，不得将甲方提供的办公用房抵押或者改作他用。</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.乙方应派出有一定管理能力、政治素质较好的管理人员，并保证骨干</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的稳定性，治安</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年龄在18—</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0岁、相貌端庄、有较好的政治素质、品行好、法制观念强、作风正派、无犯罪记录、身体健康，能够胜任</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工作的男性。所有</w:t>
      </w:r>
      <w:r>
        <w:rPr>
          <w:rFonts w:hint="eastAsia" w:ascii="宋体" w:hAnsi="宋体" w:eastAsia="宋体" w:cs="宋体"/>
          <w:color w:val="auto"/>
          <w:sz w:val="21"/>
          <w:szCs w:val="21"/>
          <w:highlight w:val="none"/>
          <w:lang w:eastAsia="zh-CN"/>
        </w:rPr>
        <w:t>保安员</w:t>
      </w:r>
      <w:r>
        <w:rPr>
          <w:rFonts w:hint="eastAsia" w:ascii="宋体" w:hAnsi="宋体" w:eastAsia="宋体" w:cs="宋体"/>
          <w:color w:val="auto"/>
          <w:sz w:val="21"/>
          <w:szCs w:val="21"/>
          <w:highlight w:val="none"/>
        </w:rPr>
        <w:t>必须经过安全保卫业务培训，有体格健康检查表。</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.乙方应向甲方提供所聘请人员的书面个人资料情况表(含人员姓名、身份证号等信息)及相关上岗证件及登记表复印件。乙方如更换工作人员，应3天内书面通知甲方，以便甲方备案。</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乙方不承担不属于乙方责任范围内的意外事故、自然灾害等不可抗力因素对甲方造成的人身财产损害赔偿责任。</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乙方每天24小时保持有人员在规定岗位值班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部分教学点按采购人要求不用值班的，必须要保持通讯工具24小时畅通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b w:val="0"/>
          <w:bCs w:val="0"/>
          <w:color w:val="auto"/>
          <w:sz w:val="21"/>
          <w:szCs w:val="21"/>
          <w:highlight w:val="none"/>
          <w:lang w:val="en-US" w:eastAsia="zh-CN"/>
        </w:rPr>
        <w:t>接到采购人通知后，</w:t>
      </w:r>
      <w:r>
        <w:rPr>
          <w:rFonts w:hint="eastAsia" w:ascii="宋体" w:hAnsi="宋体" w:eastAsia="宋体" w:cs="宋体"/>
          <w:b w:val="0"/>
          <w:bCs w:val="0"/>
          <w:color w:val="auto"/>
          <w:sz w:val="21"/>
          <w:szCs w:val="21"/>
          <w:highlight w:val="none"/>
          <w:lang w:val="en-US" w:eastAsia="zh-CN"/>
        </w:rPr>
        <w:t>一般事件必须在10分钟内响应，20分钟内保安员或区域站（队）长必须到达现场，在与采购人沟通确认后1个小时内做出处理方案；突发事件和重大事件必须立即响应，10分钟内保安员或区域站（队）长必须到达现场，在与采购人沟通确认后20分内做出处理方案</w:t>
      </w:r>
      <w:r>
        <w:rPr>
          <w:rFonts w:hint="eastAsia" w:ascii="宋体" w:hAnsi="宋体" w:eastAsia="宋体" w:cs="宋体"/>
          <w:color w:val="auto"/>
          <w:sz w:val="21"/>
          <w:szCs w:val="21"/>
          <w:highlight w:val="none"/>
        </w:rPr>
        <w:t>。</w:t>
      </w:r>
    </w:p>
    <w:p>
      <w:pPr>
        <w:numPr>
          <w:ilvl w:val="0"/>
          <w:numId w:val="0"/>
        </w:num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w:t>
      </w:r>
      <w:r>
        <w:rPr>
          <w:rFonts w:hint="eastAsia" w:ascii="宋体" w:hAnsi="宋体" w:cs="宋体"/>
          <w:color w:val="auto"/>
          <w:szCs w:val="21"/>
        </w:rPr>
        <w:t>工作人员</w:t>
      </w:r>
      <w:r>
        <w:rPr>
          <w:rFonts w:hint="eastAsia" w:ascii="宋体" w:hAnsi="宋体" w:eastAsia="宋体" w:cs="宋体"/>
          <w:color w:val="auto"/>
          <w:sz w:val="21"/>
          <w:szCs w:val="21"/>
          <w:highlight w:val="none"/>
        </w:rPr>
        <w:t>在合同期内，因故伤亡，一切费用由乙方承担。</w:t>
      </w:r>
      <w:r>
        <w:rPr>
          <w:rFonts w:hint="eastAsia" w:ascii="宋体" w:hAnsi="宋体" w:cs="宋体"/>
          <w:color w:val="auto"/>
          <w:szCs w:val="21"/>
        </w:rPr>
        <w:t>甲方因此承担责任的，甲方有权向乙方进行追偿。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.乙方及其工作人员在甲方交由乙方管理和服务的工作区域内违法犯罪属实的，乙方应赔偿并承担相应的法律责任，并不得</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本项目中</w:t>
      </w:r>
      <w:r>
        <w:rPr>
          <w:rFonts w:hint="eastAsia" w:ascii="宋体" w:hAnsi="宋体" w:eastAsia="宋体" w:cs="宋体"/>
          <w:color w:val="auto"/>
          <w:sz w:val="21"/>
          <w:szCs w:val="21"/>
          <w:highlight w:val="none"/>
        </w:rPr>
        <w:t>再使用有关员工。</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在提供管理服务时必须做好各项安全防范措施，按劳动法与从业人员签订劳动合同。乙方所有工作人员在合约期间如发生任何人身意外（生病、伤亡事故）、事故或触犯法律法规（包括劳动用工制度、发生劳资纠纷、甲方的校规校纪等）、或损坏采购人的设施和物品，由乙方负完全责任。</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、违约责任</w:t>
      </w:r>
    </w:p>
    <w:p>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1.试用期：一个月，从开始服务之日起的一个月内为试用期，试用期满后甲方将对乙方的工作做初次验收，若因提供的服务达不到招标文件要求，甲方有权解除合同并追究相关违约责任</w:t>
      </w:r>
      <w:r>
        <w:rPr>
          <w:rFonts w:hint="eastAsia" w:ascii="宋体" w:hAnsi="宋体" w:cs="宋体"/>
          <w:color w:val="auto"/>
          <w:szCs w:val="21"/>
        </w:rPr>
        <w:t>，违约金为合同规定的每年校园安全管理服务费10%。如因此造成甲方经济损失的，按造成的实际损失予以赔偿</w:t>
      </w:r>
      <w:r>
        <w:rPr>
          <w:rFonts w:hint="eastAsia" w:ascii="宋体" w:hAnsi="宋体" w:eastAsia="宋体" w:cs="宋体"/>
          <w:color w:val="auto"/>
          <w:sz w:val="21"/>
          <w:szCs w:val="21"/>
          <w:highlight w:val="none"/>
        </w:rPr>
        <w:t>。试用期后的服务中，如乙方不按合同要求提供服务，甲方提出整改要求，而乙方未按要求整改累计达3次以上的，甲方有权终止合同，乙方应承担违约责任并向甲方支付违约金，违约金为合同规定的每年校园安全管理服务费10%</w:t>
      </w:r>
      <w:r>
        <w:rPr>
          <w:rFonts w:hint="eastAsia" w:ascii="宋体" w:hAnsi="宋体" w:cs="宋体"/>
          <w:color w:val="auto"/>
          <w:sz w:val="21"/>
          <w:szCs w:val="21"/>
          <w:highlight w:val="none"/>
          <w:lang w:eastAsia="zh-CN"/>
        </w:rPr>
        <w:t>，</w:t>
      </w:r>
      <w:bookmarkStart w:id="364" w:name="_Hlk206745641"/>
      <w:r>
        <w:rPr>
          <w:rFonts w:hint="eastAsia" w:ascii="宋体" w:hAnsi="宋体" w:cs="宋体"/>
          <w:color w:val="auto"/>
          <w:szCs w:val="21"/>
        </w:rPr>
        <w:t>如因此造成甲方经济损失的，按造成的实际损失予以赔偿。</w:t>
      </w:r>
      <w:bookmarkEnd w:id="364"/>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应按合同约定期限支付校园安全管理服务费，无正当理由拖欠费用的，乙方有权停止各项服务；如因甲方的原因，造成乙方未能达到承包工作甲方认可的目标和标准的，乙方有权要求甲方在一定期限内解决，逾期未解决的，乙方有权终止合同。</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3.甲、乙双方如有采取不正当竞争手段而取得管理权或致使对方失去管理权，或造成对方经济损失的，应当承担全部责任。</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托管期间，甲方所属财产被盗，或者火灾等安全隐患因未能及时发现和排除而造成损失的，根据责任认定，乙方承担相应部分的赔偿责任，赔偿费直接从校园安全管理服务费中扣除；乙方管理不到位或服务不规范造成甲方财产损失、损坏的，乙方应足额给予赔偿；因甲方房屋建筑、设施设备质量或安装技术等原因，造成重大事故的，由甲方承担责任并负责善后处理；在</w:t>
      </w:r>
      <w:r>
        <w:rPr>
          <w:rFonts w:hint="eastAsia" w:ascii="宋体" w:hAnsi="宋体" w:eastAsia="宋体" w:cs="宋体"/>
          <w:color w:val="auto"/>
          <w:sz w:val="21"/>
          <w:szCs w:val="21"/>
          <w:highlight w:val="none"/>
          <w:lang w:eastAsia="zh-CN"/>
        </w:rPr>
        <w:t>合同履行期间</w:t>
      </w:r>
      <w:r>
        <w:rPr>
          <w:rFonts w:hint="eastAsia" w:ascii="宋体" w:hAnsi="宋体" w:eastAsia="宋体" w:cs="宋体"/>
          <w:color w:val="auto"/>
          <w:sz w:val="21"/>
          <w:szCs w:val="21"/>
          <w:highlight w:val="none"/>
        </w:rPr>
        <w:t>由于乙方的原因与其他单位或个人发生冲突事件，给甲方造成损失的，由乙方承担赔偿责任。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5.若乙方擅自转包、分包，或以任何形式与第三方进行合作的属违约，一经查实，乙方应向甲方承担违约责任，违约金为合同规定的每年校园安全管理服务费10%，甲方可随时单方面解除合同。</w:t>
      </w:r>
      <w:r>
        <w:rPr>
          <w:rFonts w:hint="eastAsia" w:ascii="宋体" w:hAnsi="宋体" w:cs="宋体"/>
          <w:color w:val="auto"/>
          <w:szCs w:val="21"/>
        </w:rPr>
        <w:t>如因此造成甲方经济损失的，按造成的实际损失予以赔偿。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乙方违约，未能达到标书中约定的管理目标，造成甲方损失金额巨大的，甲方有权单方提前解除合同，乙方承担违约责任，按乙方每年校园安全管理服务费总额的10%计付违约金；造成甲方经济损失的，按造成的实际损失予以赔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按照甲方校园安全管理服务范围和服务规范进行服务。管理工作不到位、服务不达标或有其他违约现象的，如经甲方发现和指证（监管部门现场指认或拍照存档）并通知乙方后，乙方不及时整改的，每发现一起扣减乙方当月校园安全管理服务费的0.5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学校保卫处牵头，组织校办、学工处、后勤基建管理处、纪检审计室、人事处、财务处、校工会有关人员组成测评小组，每月对安全保卫工作服务质量进行考评，并充分征求师生员工的意见（问卷形式）综合评定，招标人每月对校园安保服务质量进行考评（</w:t>
      </w:r>
      <w:r>
        <w:rPr>
          <w:rFonts w:hint="eastAsia" w:ascii="宋体" w:hAnsi="宋体" w:eastAsia="宋体" w:cs="宋体"/>
          <w:color w:val="auto"/>
          <w:sz w:val="21"/>
          <w:szCs w:val="21"/>
          <w:highlight w:val="none"/>
          <w:lang w:val="en-US" w:eastAsia="zh-CN"/>
        </w:rPr>
        <w:t>考评标准参考采购需求附件：保安员服务质量满意度测评表），</w:t>
      </w:r>
      <w:r>
        <w:rPr>
          <w:rFonts w:hint="eastAsia" w:ascii="宋体" w:hAnsi="宋体" w:eastAsia="宋体" w:cs="宋体"/>
          <w:color w:val="auto"/>
          <w:sz w:val="21"/>
          <w:szCs w:val="21"/>
          <w:highlight w:val="none"/>
        </w:rPr>
        <w:t>综合评分低于80分后每低1分，扣除本月服务费的5%，同时</w:t>
      </w:r>
      <w:r>
        <w:rPr>
          <w:rFonts w:hint="eastAsia" w:ascii="宋体" w:hAnsi="宋体" w:eastAsia="宋体" w:cs="宋体"/>
          <w:color w:val="auto"/>
          <w:sz w:val="21"/>
          <w:szCs w:val="21"/>
          <w:highlight w:val="none"/>
          <w:lang w:val="en-US" w:eastAsia="zh-CN"/>
        </w:rPr>
        <w:t>安保公司</w:t>
      </w:r>
      <w:r>
        <w:rPr>
          <w:rFonts w:hint="eastAsia" w:ascii="宋体" w:hAnsi="宋体" w:eastAsia="宋体" w:cs="宋体"/>
          <w:color w:val="auto"/>
          <w:sz w:val="21"/>
          <w:szCs w:val="21"/>
          <w:highlight w:val="none"/>
        </w:rPr>
        <w:t>必须进行整改；综合评分连续三次低于60分，招标人有权解除合同，并扣罚履约保证金。</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、责任赔偿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1.乙方对所提供服务与合同要求不符负有责任，并且甲方已于合同</w:t>
      </w:r>
      <w:r>
        <w:rPr>
          <w:rFonts w:hint="eastAsia" w:ascii="宋体" w:hAnsi="宋体" w:eastAsia="宋体" w:cs="宋体"/>
          <w:color w:val="auto"/>
          <w:sz w:val="21"/>
          <w:szCs w:val="21"/>
          <w:highlight w:val="none"/>
          <w:lang w:val="en-US" w:eastAsia="zh-CN"/>
        </w:rPr>
        <w:t>履行期间内</w:t>
      </w:r>
      <w:r>
        <w:rPr>
          <w:rFonts w:hint="eastAsia" w:ascii="宋体" w:hAnsi="宋体" w:eastAsia="宋体" w:cs="宋体"/>
          <w:color w:val="auto"/>
          <w:sz w:val="21"/>
          <w:szCs w:val="21"/>
          <w:highlight w:val="none"/>
        </w:rPr>
        <w:t>提出索赔，乙方应按甲方同意的下述一种或多种方法解决索赔事宜：</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（1）乙方同意甲方取消其不符合要求的服务项目，退还已经收取的该项目的管理费、佣金和酬金。</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（2）对于情节轻微的，经双方同意可降低该类项目的管理服务价格。</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（3）对于情节严重，造成甲方损失金额巨大的，同意甲方终止全部委托管理合同，并赔偿甲方因</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此造成的损失。</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甲方提出索赔通知后30天内乙方未能予以签复，该索赔应视为已被乙方接受。若乙方未能在甲方提出索赔通知后30天内或甲方同意的更长一些的时间内，按甲方同意的上述任何一种方式处理索赔事宜，甲方将从预付款或乙方提供的履约保证金中扣回索赔金额，同时保留进一步要求赔偿的权利。</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3.服务管理范围内发生的人身伤害、物品被盗、人为损坏设备设施，属乙方及其工作人员管理不善原因造成的，由乙方负责按本合同第十四条“赔偿标准”进行赔偿。</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4.乙方在合同执行期间，如果有下列情形之一者，甲方有权从</w:t>
      </w:r>
      <w:r>
        <w:rPr>
          <w:rFonts w:hint="eastAsia" w:ascii="宋体" w:hAnsi="宋体" w:eastAsia="宋体" w:cs="宋体"/>
          <w:color w:val="auto"/>
          <w:sz w:val="21"/>
          <w:szCs w:val="21"/>
          <w:highlight w:val="none"/>
          <w:lang w:val="en-US" w:eastAsia="zh-CN"/>
        </w:rPr>
        <w:t>当月服务费</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扣除，</w:t>
      </w:r>
      <w:r>
        <w:rPr>
          <w:rFonts w:hint="eastAsia" w:ascii="宋体" w:hAnsi="宋体" w:eastAsia="宋体" w:cs="宋体"/>
          <w:color w:val="auto"/>
          <w:sz w:val="21"/>
          <w:szCs w:val="21"/>
          <w:highlight w:val="none"/>
        </w:rPr>
        <w:t>情节</w:t>
      </w:r>
      <w:r>
        <w:rPr>
          <w:rFonts w:hint="eastAsia" w:ascii="宋体" w:hAnsi="宋体" w:eastAsia="宋体" w:cs="宋体"/>
          <w:color w:val="auto"/>
          <w:sz w:val="21"/>
          <w:szCs w:val="21"/>
          <w:highlight w:val="none"/>
          <w:lang w:val="en-US" w:eastAsia="zh-CN"/>
        </w:rPr>
        <w:t>轻微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扣除</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00元/次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情节严重的扣除500元/次</w:t>
      </w:r>
      <w:r>
        <w:rPr>
          <w:rFonts w:hint="eastAsia" w:ascii="宋体" w:hAnsi="宋体" w:eastAsia="宋体" w:cs="宋体"/>
          <w:color w:val="auto"/>
          <w:sz w:val="21"/>
          <w:szCs w:val="21"/>
          <w:highlight w:val="none"/>
        </w:rPr>
        <w:t>。</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（1）未按合同规定派足工作人员或未执行合同规定任务的。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（2）未经甲方同意，擅自更换主管或一次性更换2名以上工作人员的。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（3）未经甲方同意，擅自外调（借）工作人员的。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（4）未及时配备工作人员的统一服装及附属装备并给甲方带来不良影响的。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（5）发生其他有损甲方形象或影响正常工作并造成损失的。</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（6）甲方对乙方指出的工作中存在的问题与不足，乙方未能及时整改的。</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、赔偿标准</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（一）损失的认定和赔偿比例</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损失的认定：以公安部门的鉴定为准</w:t>
      </w:r>
      <w:r>
        <w:rPr>
          <w:rFonts w:hint="eastAsia" w:ascii="宋体" w:hAnsi="宋体" w:eastAsia="宋体" w:cs="宋体"/>
          <w:color w:val="auto"/>
          <w:sz w:val="21"/>
          <w:szCs w:val="21"/>
          <w:highlight w:val="none"/>
          <w:lang w:val="en-US" w:eastAsia="zh-CN"/>
        </w:rPr>
        <w:t>或经双方协商后按</w:t>
      </w:r>
      <w:r>
        <w:rPr>
          <w:rFonts w:hint="eastAsia" w:ascii="宋体" w:hAnsi="宋体" w:eastAsia="宋体" w:cs="宋体"/>
          <w:color w:val="auto"/>
          <w:sz w:val="21"/>
          <w:szCs w:val="21"/>
          <w:highlight w:val="none"/>
        </w:rPr>
        <w:t>公共财产的原购价扣除折旧（采用平均年限法）后的折余价值计算确认；</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赔偿比例：乙方按财产损失的折后价值实行责任赔偿，或由被盗损失方与乙方协商赔偿额度。</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）关于办公楼，教学楼、图书馆和实验楼、体育馆等场所内公共财产被盗损失的赔偿。中标人提供安全服务时，不履行合同规定的，应承担赔偿责任。</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1.赔偿的范围</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（1）电脑、打印机、复印件、投影机、传真机等公共财产；</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（2）其他经认定应予赔偿的办公用品等公共财产。</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2.损失价值的确认</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按以公安部门的鉴定为准</w:t>
      </w:r>
      <w:r>
        <w:rPr>
          <w:rFonts w:hint="eastAsia" w:ascii="宋体" w:hAnsi="宋体" w:eastAsia="宋体" w:cs="宋体"/>
          <w:color w:val="auto"/>
          <w:sz w:val="21"/>
          <w:szCs w:val="21"/>
          <w:highlight w:val="none"/>
          <w:lang w:val="en-US" w:eastAsia="zh-CN"/>
        </w:rPr>
        <w:t>或经双方协商后按</w:t>
      </w:r>
      <w:r>
        <w:rPr>
          <w:rFonts w:hint="eastAsia" w:ascii="宋体" w:hAnsi="宋体" w:eastAsia="宋体" w:cs="宋体"/>
          <w:color w:val="auto"/>
          <w:sz w:val="21"/>
          <w:szCs w:val="21"/>
          <w:highlight w:val="none"/>
        </w:rPr>
        <w:t>公共财产的原购价扣除折旧（采用平均年限法）后的折余价值计算确认。</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3.损失的认定和赔偿比例由双方协商确定。所有被盗损失物品须有正式购买发票。</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、不可抗力</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双方任一方由于受诸如战争、严重火灾、洪水、台风、地震等不可抗力事故影响而不能执行合同时，履行合同的期限应予以延长，则延长的期限应相当于事故所影响的时间。不可抗力事故系指甲乙双方在履行合同时所不能预见的，并且它的发生及其后果是无法避免和无法克服的事故。</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受助一方应在不可抗力事故发生后3天之内用电报或传真等书面通知对方，并于事故发生后14天内将有关当局出具的证明文件用特快专递或挂号信寄给对方审阅确认。一旦不可抗力事故的影响持续30天以上，双方应通过友好协商在合理的时间内达成进一步履行合同的协议。</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3.本合同执行期间如遇不可抗力，致使合同无法履行时，双方均不承担违约责任并按有关法规政策规定及时协商处理。</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十、争议解决</w:t>
      </w:r>
    </w:p>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 w:val="21"/>
          <w:szCs w:val="21"/>
          <w:highlight w:val="none"/>
        </w:rPr>
        <w:t>本合同在履行中如发生争议，双方应协商解决；协商不成时，提请主管部门调解；调解不成的，可向</w:t>
      </w:r>
      <w:r>
        <w:rPr>
          <w:rFonts w:hint="eastAsia" w:ascii="宋体" w:hAnsi="宋体" w:cs="宋体"/>
          <w:color w:val="auto"/>
          <w:szCs w:val="21"/>
        </w:rPr>
        <w:t>甲方所在地</w:t>
      </w:r>
      <w:r>
        <w:rPr>
          <w:rFonts w:hint="eastAsia" w:ascii="宋体" w:hAnsi="宋体" w:eastAsia="宋体" w:cs="宋体"/>
          <w:color w:val="auto"/>
          <w:sz w:val="21"/>
          <w:szCs w:val="21"/>
          <w:highlight w:val="none"/>
        </w:rPr>
        <w:t>有管辖权的人民法院提起诉讼。</w:t>
      </w:r>
      <w:r>
        <w:rPr>
          <w:rFonts w:hint="eastAsia" w:ascii="宋体" w:hAnsi="宋体" w:cs="宋体"/>
          <w:color w:val="auto"/>
          <w:szCs w:val="21"/>
        </w:rPr>
        <w:t>因争议所产生的诉讼费、保全费、保全担保保险费、律师费、公证费等费用由违约方承担。</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十</w:t>
      </w:r>
      <w:r>
        <w:rPr>
          <w:rFonts w:hint="eastAsia" w:ascii="宋体" w:hAnsi="宋体" w:cs="宋体"/>
          <w:b/>
          <w:bCs/>
          <w:color w:val="auto"/>
          <w:szCs w:val="21"/>
          <w:lang w:val="en-US" w:eastAsia="zh-CN"/>
        </w:rPr>
        <w:t>一</w:t>
      </w:r>
      <w:r>
        <w:rPr>
          <w:rFonts w:hint="eastAsia" w:ascii="宋体" w:hAnsi="宋体" w:cs="宋体"/>
          <w:b/>
          <w:bCs/>
          <w:color w:val="auto"/>
          <w:szCs w:val="21"/>
        </w:rPr>
        <w:t>、履约保证金条款</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1.本合同履约保证金金额：按项目中标总金额的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%，即</w:t>
      </w:r>
      <w:r>
        <w:rPr>
          <w:rFonts w:hint="eastAsia" w:ascii="宋体" w:hAnsi="宋体" w:cs="宋体"/>
          <w:color w:val="auto"/>
          <w:szCs w:val="21"/>
          <w:u w:val="single"/>
          <w:lang w:val="en-US" w:eastAsia="zh-CN"/>
        </w:rPr>
        <w:t xml:space="preserve">    </w:t>
      </w:r>
      <w:r>
        <w:rPr>
          <w:rFonts w:hint="eastAsia" w:ascii="宋体" w:hAnsi="宋体" w:cs="宋体"/>
          <w:color w:val="auto"/>
          <w:szCs w:val="21"/>
        </w:rPr>
        <w:t>元。</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2.履约保证金递交方式：乙方在</w:t>
      </w:r>
      <w:r>
        <w:rPr>
          <w:rFonts w:hint="eastAsia" w:ascii="宋体" w:hAnsi="宋体" w:cs="宋体"/>
          <w:color w:val="auto"/>
          <w:szCs w:val="21"/>
          <w:u w:val="single"/>
        </w:rPr>
        <w:t>签订合同前</w:t>
      </w:r>
      <w:r>
        <w:rPr>
          <w:rFonts w:hint="eastAsia" w:ascii="宋体" w:hAnsi="宋体" w:cs="宋体"/>
          <w:color w:val="auto"/>
          <w:szCs w:val="21"/>
        </w:rPr>
        <w:t>以银行转账、支票、汇票、本票或者金融机构、担保机构出具的保函等非现金方式向</w:t>
      </w:r>
      <w:r>
        <w:rPr>
          <w:rFonts w:hint="eastAsia" w:ascii="宋体" w:hAnsi="宋体" w:cs="宋体"/>
          <w:color w:val="auto"/>
          <w:szCs w:val="21"/>
          <w:u w:val="single"/>
        </w:rPr>
        <w:t>甲方</w:t>
      </w:r>
      <w:r>
        <w:rPr>
          <w:rFonts w:hint="eastAsia" w:ascii="宋体" w:hAnsi="宋体" w:cs="宋体"/>
          <w:color w:val="auto"/>
          <w:szCs w:val="21"/>
        </w:rPr>
        <w:t>提交。</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3.履约保证金退付方式、时间及条件：</w:t>
      </w:r>
      <w:r>
        <w:rPr>
          <w:rFonts w:hint="eastAsia" w:ascii="宋体" w:hAnsi="宋体" w:cs="宋体"/>
          <w:color w:val="auto"/>
          <w:szCs w:val="21"/>
          <w:u w:val="single"/>
        </w:rPr>
        <w:t xml:space="preserve"> 服务期满且无扣除履约保证金情形后无息退付。</w:t>
      </w:r>
      <w:r>
        <w:rPr>
          <w:rFonts w:hint="eastAsia" w:ascii="宋体" w:hAnsi="宋体" w:cs="宋体"/>
          <w:color w:val="auto"/>
          <w:szCs w:val="21"/>
        </w:rPr>
        <w:t>由乙方向履约保证金收取单位提供《政府采购项目履约保证金退付意见书》和《广西壮族自治区政府采购项目合同验收书》，保证金收取单位在收到合格材料后5个工作日内办理退还手续（不计利息）。涉及违约的违约金和损失赔付从履约保证金中扣减。</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rPr>
        <w:t>、安保服务内容</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rPr>
        <w:t>、合同文件</w:t>
      </w:r>
    </w:p>
    <w:p>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本合同所附下列文件是构成本合同不可分割的部分</w:t>
      </w:r>
      <w:r>
        <w:rPr>
          <w:rFonts w:hint="eastAsia" w:ascii="宋体" w:hAnsi="宋体" w:cs="宋体"/>
          <w:color w:val="auto"/>
          <w:sz w:val="21"/>
          <w:szCs w:val="21"/>
          <w:highlight w:val="none"/>
          <w:lang w:eastAsia="zh-CN"/>
        </w:rPr>
        <w:t>，</w:t>
      </w:r>
      <w:r>
        <w:rPr>
          <w:rFonts w:hint="eastAsia" w:ascii="宋体" w:hAnsi="宋体" w:cs="宋体"/>
          <w:color w:val="auto"/>
          <w:szCs w:val="21"/>
        </w:rPr>
        <w:t>并按下列</w:t>
      </w:r>
      <w:r>
        <w:rPr>
          <w:rFonts w:ascii="宋体" w:hAnsi="宋体" w:cs="宋体"/>
          <w:color w:val="auto"/>
          <w:szCs w:val="21"/>
        </w:rPr>
        <w:t>合同文件</w:t>
      </w:r>
      <w:r>
        <w:rPr>
          <w:rFonts w:hint="eastAsia" w:ascii="宋体" w:hAnsi="宋体" w:cs="宋体"/>
          <w:color w:val="auto"/>
          <w:szCs w:val="21"/>
        </w:rPr>
        <w:t>的</w:t>
      </w:r>
      <w:r>
        <w:rPr>
          <w:rFonts w:ascii="宋体" w:hAnsi="宋体" w:cs="宋体"/>
          <w:color w:val="auto"/>
          <w:szCs w:val="21"/>
        </w:rPr>
        <w:t>优先顺序</w:t>
      </w:r>
      <w:r>
        <w:rPr>
          <w:rFonts w:hint="eastAsia" w:ascii="宋体" w:hAnsi="宋体" w:cs="宋体"/>
          <w:color w:val="auto"/>
          <w:szCs w:val="21"/>
        </w:rPr>
        <w:t>：</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1.合同条款</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2.投标人提交的投标函、投标报价表和技术文件等全部投标文件</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3.投标内容及要求</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4.中标通知书</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5.甲、乙双方商定的补充协议</w:t>
      </w:r>
    </w:p>
    <w:p>
      <w:pPr>
        <w:spacing w:line="400" w:lineRule="exact"/>
        <w:ind w:firstLine="600"/>
        <w:rPr>
          <w:color w:val="auto"/>
          <w:szCs w:val="21"/>
        </w:rPr>
      </w:pPr>
      <w:r>
        <w:rPr>
          <w:color w:val="auto"/>
          <w:szCs w:val="21"/>
        </w:rPr>
        <w:t>上述各项合同文件包括双方就该项合同文件所作出的补充和修改，属于同一类内容的合同文件应以最新签署的为准。</w:t>
      </w:r>
    </w:p>
    <w:p>
      <w:pPr>
        <w:pStyle w:val="12"/>
        <w:rPr>
          <w:rFonts w:hint="eastAsia"/>
          <w:color w:val="auto"/>
        </w:rPr>
      </w:pPr>
    </w:p>
    <w:p>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、其他事项</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1.双方可对本合同的条款进行修订更改或补充，但应书面签订补充协议，补充协议与本合同具有同等效力。</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2.合同规定的管理期满，本合同自然终止。</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3.本合同之附件均为合同有效组成部分，本合同及其附件内空格部分填写的文字与印刷文字具有同等效力。本合同及其附件和补充协</w:t>
      </w:r>
      <w:bookmarkStart w:id="461" w:name="_GoBack"/>
      <w:bookmarkEnd w:id="461"/>
      <w:r>
        <w:rPr>
          <w:rFonts w:hint="eastAsia" w:ascii="宋体" w:hAnsi="宋体" w:eastAsia="宋体" w:cs="宋体"/>
          <w:color w:val="auto"/>
          <w:sz w:val="21"/>
          <w:szCs w:val="21"/>
          <w:highlight w:val="none"/>
        </w:rPr>
        <w:t>议中未规定的事项，均遵照中华人民共和国有关法律、法规和政策执行。</w:t>
      </w:r>
    </w:p>
    <w:p>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4.本合同</w:t>
      </w:r>
      <w:r>
        <w:rPr>
          <w:rFonts w:hint="eastAsia" w:ascii="宋体" w:hAnsi="宋体" w:eastAsia="宋体" w:cs="宋体"/>
          <w:color w:val="auto"/>
          <w:sz w:val="21"/>
          <w:szCs w:val="21"/>
          <w:highlight w:val="none"/>
          <w:lang w:eastAsia="zh-CN"/>
        </w:rPr>
        <w:t>在</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签订</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具有同等法律效力。</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5.本合同自双方签字盖章之日起生效。</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6.其他约定事项：合同履行中，如需修改或补充合同内容，由双方协商另签署书面修改或补充协议，作为本合同不可分割的一部分。</w:t>
      </w:r>
    </w:p>
    <w:p>
      <w:pPr>
        <w:pStyle w:val="12"/>
        <w:rPr>
          <w:rFonts w:hint="eastAsia"/>
          <w:color w:val="auto"/>
        </w:rPr>
      </w:pPr>
    </w:p>
    <w:tbl>
      <w:tblPr>
        <w:tblStyle w:val="28"/>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napToGrid w:val="0"/>
              <w:spacing w:line="360" w:lineRule="auto"/>
              <w:ind w:firstLine="945" w:firstLineChars="450"/>
              <w:jc w:val="right"/>
              <w:rPr>
                <w:rFonts w:hint="eastAsia" w:ascii="宋体" w:hAnsi="宋体" w:cs="宋体"/>
                <w:color w:val="auto"/>
                <w:szCs w:val="21"/>
                <w:highlight w:val="none"/>
              </w:rPr>
            </w:pPr>
          </w:p>
          <w:p>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年月日</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乙方：（章）</w:t>
            </w: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eastAsia="宋体" w:cs="宋体"/>
                <w:color w:val="auto"/>
                <w:szCs w:val="21"/>
                <w:highlight w:val="none"/>
                <w:lang w:eastAsia="zh-CN"/>
              </w:rPr>
            </w:pPr>
          </w:p>
          <w:p>
            <w:pPr>
              <w:snapToGrid w:val="0"/>
              <w:spacing w:line="360" w:lineRule="auto"/>
              <w:jc w:val="right"/>
              <w:rPr>
                <w:rFonts w:hint="eastAsia" w:ascii="宋体" w:hAnsi="宋体" w:cs="宋体"/>
                <w:color w:val="auto"/>
                <w:szCs w:val="21"/>
                <w:highlight w:val="none"/>
              </w:rPr>
            </w:pPr>
          </w:p>
          <w:p>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eastAsia="宋体"/>
                <w:color w:val="auto"/>
                <w:highlight w:val="none"/>
                <w:lang w:eastAsia="zh-CN"/>
              </w:rPr>
            </w:pPr>
            <w:r>
              <w:rPr>
                <w:rFonts w:hint="eastAsia"/>
                <w:color w:val="auto"/>
                <w:highlight w:val="none"/>
              </w:rPr>
              <w:t>单位地址：</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eastAsia="宋体"/>
                <w:color w:val="auto"/>
                <w:highlight w:val="none"/>
                <w:lang w:eastAsia="zh-CN"/>
              </w:rPr>
            </w:pPr>
            <w:r>
              <w:rPr>
                <w:rFonts w:hint="eastAsia"/>
                <w:color w:val="auto"/>
                <w:highlight w:val="none"/>
              </w:rPr>
              <w:t>单位地址：</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法定代表人：</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委托代理人：</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委托代理人：</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电话：</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电话：</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eastAsia="宋体"/>
                <w:color w:val="auto"/>
                <w:highlight w:val="none"/>
                <w:lang w:eastAsia="zh-CN"/>
              </w:rPr>
            </w:pPr>
            <w:r>
              <w:rPr>
                <w:rFonts w:hint="eastAsia"/>
                <w:color w:val="auto"/>
                <w:highlight w:val="none"/>
              </w:rPr>
              <w:t>开户银行：</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eastAsia="宋体"/>
                <w:color w:val="auto"/>
                <w:highlight w:val="none"/>
                <w:lang w:eastAsia="zh-CN"/>
              </w:rPr>
            </w:pPr>
            <w:r>
              <w:rPr>
                <w:rFonts w:hint="eastAsia"/>
                <w:color w:val="auto"/>
                <w:highlight w:val="none"/>
              </w:rPr>
              <w:t>开户银行：</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账号：</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账号：</w:t>
            </w:r>
          </w:p>
          <w:p>
            <w:pPr>
              <w:pStyle w:val="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邮政编码：</w:t>
            </w:r>
          </w:p>
          <w:p>
            <w:pPr>
              <w:pStyle w:val="40"/>
              <w:rPr>
                <w:rFonts w:hint="eastAsia"/>
                <w:color w:val="auto"/>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color w:val="auto"/>
                <w:highlight w:val="none"/>
              </w:rPr>
            </w:pPr>
            <w:r>
              <w:rPr>
                <w:rFonts w:hint="eastAsia"/>
                <w:color w:val="auto"/>
                <w:highlight w:val="none"/>
              </w:rPr>
              <w:t>邮政编码：</w:t>
            </w:r>
          </w:p>
          <w:p>
            <w:pPr>
              <w:pStyle w:val="40"/>
              <w:rPr>
                <w:rFonts w:hint="eastAsia"/>
                <w:color w:val="auto"/>
                <w:highlight w:val="none"/>
              </w:rPr>
            </w:pPr>
          </w:p>
        </w:tc>
      </w:tr>
    </w:tbl>
    <w:p>
      <w:pPr>
        <w:snapToGrid w:val="0"/>
        <w:spacing w:line="360" w:lineRule="auto"/>
        <w:ind w:left="420" w:hanging="420" w:hangingChars="200"/>
        <w:rPr>
          <w:rFonts w:ascii="宋体" w:hAnsi="宋体" w:cs="宋体"/>
          <w:color w:val="auto"/>
          <w:szCs w:val="21"/>
          <w:highlight w:val="none"/>
        </w:rPr>
        <w:sectPr>
          <w:pgSz w:w="11906" w:h="16838"/>
          <w:pgMar w:top="1134" w:right="1247" w:bottom="1560" w:left="1247" w:header="851" w:footer="992" w:gutter="0"/>
          <w:pgNumType w:fmt="decimal"/>
          <w:cols w:space="720" w:num="1"/>
          <w:formProt w:val="1"/>
          <w:titlePg/>
          <w:docGrid w:linePitch="312" w:charSpace="0"/>
        </w:sectPr>
      </w:pPr>
    </w:p>
    <w:p>
      <w:pPr>
        <w:snapToGrid w:val="0"/>
        <w:spacing w:line="360" w:lineRule="auto"/>
        <w:jc w:val="both"/>
        <w:rPr>
          <w:rFonts w:ascii="宋体" w:hAnsi="宋体" w:cs="宋体"/>
          <w:b/>
          <w:color w:val="auto"/>
          <w:szCs w:val="21"/>
        </w:rPr>
      </w:pPr>
      <w:r>
        <w:rPr>
          <w:rFonts w:hint="eastAsia" w:ascii="宋体" w:hAnsi="宋体" w:cs="宋体"/>
          <w:b/>
          <w:color w:val="auto"/>
          <w:szCs w:val="21"/>
        </w:rPr>
        <w:t>合 同 附 件</w:t>
      </w:r>
    </w:p>
    <w:tbl>
      <w:tblPr>
        <w:tblStyle w:val="28"/>
        <w:tblW w:w="9160" w:type="dxa"/>
        <w:tblInd w:w="0" w:type="dxa"/>
        <w:tblLayout w:type="fixed"/>
        <w:tblCellMar>
          <w:top w:w="0" w:type="dxa"/>
          <w:left w:w="108" w:type="dxa"/>
          <w:bottom w:w="0" w:type="dxa"/>
          <w:right w:w="108" w:type="dxa"/>
        </w:tblCellMar>
      </w:tblPr>
      <w:tblGrid>
        <w:gridCol w:w="4566"/>
        <w:gridCol w:w="4594"/>
      </w:tblGrid>
      <w:tr>
        <w:tblPrEx>
          <w:tblCellMar>
            <w:top w:w="0" w:type="dxa"/>
            <w:left w:w="108" w:type="dxa"/>
            <w:bottom w:w="0" w:type="dxa"/>
            <w:right w:w="108" w:type="dxa"/>
          </w:tblCellMar>
        </w:tblPrEx>
        <w:trPr>
          <w:trHeight w:val="1252"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1. 乙方承诺具体事项：</w:t>
            </w:r>
          </w:p>
        </w:tc>
      </w:tr>
      <w:tr>
        <w:tblPrEx>
          <w:tblCellMar>
            <w:top w:w="0" w:type="dxa"/>
            <w:left w:w="108" w:type="dxa"/>
            <w:bottom w:w="0" w:type="dxa"/>
            <w:right w:w="108" w:type="dxa"/>
          </w:tblCellMar>
        </w:tblPrEx>
        <w:trPr>
          <w:trHeight w:val="1254"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 服务具体事项：</w:t>
            </w:r>
          </w:p>
        </w:tc>
      </w:tr>
      <w:tr>
        <w:tblPrEx>
          <w:tblCellMar>
            <w:top w:w="0" w:type="dxa"/>
            <w:left w:w="108" w:type="dxa"/>
            <w:bottom w:w="0" w:type="dxa"/>
            <w:right w:w="108" w:type="dxa"/>
          </w:tblCellMar>
        </w:tblPrEx>
        <w:trPr>
          <w:trHeight w:val="1388"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3. 其他具体事项：</w:t>
            </w:r>
          </w:p>
        </w:tc>
      </w:tr>
      <w:tr>
        <w:tblPrEx>
          <w:tblCellMar>
            <w:top w:w="0" w:type="dxa"/>
            <w:left w:w="108" w:type="dxa"/>
            <w:bottom w:w="0" w:type="dxa"/>
            <w:right w:w="108" w:type="dxa"/>
          </w:tblCellMar>
        </w:tblPrEx>
        <w:trPr>
          <w:trHeight w:val="1746" w:hRule="atLeast"/>
        </w:trPr>
        <w:tc>
          <w:tcPr>
            <w:tcW w:w="45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color w:val="auto"/>
                <w:szCs w:val="21"/>
              </w:rPr>
            </w:pPr>
            <w:r>
              <w:rPr>
                <w:rFonts w:hint="eastAsia" w:ascii="宋体" w:hAnsi="宋体" w:cs="宋体"/>
                <w:b/>
                <w:color w:val="auto"/>
                <w:szCs w:val="21"/>
              </w:rPr>
              <w:t>甲方（章）</w:t>
            </w:r>
          </w:p>
          <w:p>
            <w:pPr>
              <w:snapToGrid w:val="0"/>
              <w:spacing w:line="360" w:lineRule="auto"/>
              <w:ind w:firstLine="422" w:firstLineChars="200"/>
              <w:rPr>
                <w:rFonts w:ascii="宋体" w:hAnsi="宋体" w:cs="宋体"/>
                <w:b/>
                <w:color w:val="auto"/>
                <w:szCs w:val="21"/>
              </w:rPr>
            </w:pPr>
          </w:p>
          <w:p>
            <w:pPr>
              <w:snapToGrid w:val="0"/>
              <w:spacing w:line="360" w:lineRule="auto"/>
              <w:rPr>
                <w:rFonts w:ascii="宋体" w:hAnsi="宋体" w:cs="宋体"/>
                <w:b/>
                <w:color w:val="auto"/>
                <w:szCs w:val="21"/>
              </w:rPr>
            </w:pPr>
          </w:p>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                 年   月   日 </w:t>
            </w:r>
          </w:p>
        </w:tc>
        <w:tc>
          <w:tcPr>
            <w:tcW w:w="45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color w:val="auto"/>
                <w:szCs w:val="21"/>
              </w:rPr>
            </w:pPr>
            <w:r>
              <w:rPr>
                <w:rFonts w:hint="eastAsia" w:ascii="宋体" w:hAnsi="宋体" w:cs="宋体"/>
                <w:b/>
                <w:color w:val="auto"/>
                <w:szCs w:val="21"/>
              </w:rPr>
              <w:t>乙方（章）</w:t>
            </w:r>
          </w:p>
          <w:p>
            <w:pPr>
              <w:snapToGrid w:val="0"/>
              <w:spacing w:line="360" w:lineRule="auto"/>
              <w:ind w:firstLine="422" w:firstLineChars="200"/>
              <w:rPr>
                <w:rFonts w:ascii="宋体" w:hAnsi="宋体" w:cs="宋体"/>
                <w:b/>
                <w:color w:val="auto"/>
                <w:szCs w:val="21"/>
              </w:rPr>
            </w:pPr>
          </w:p>
          <w:p>
            <w:pPr>
              <w:snapToGrid w:val="0"/>
              <w:spacing w:line="360" w:lineRule="auto"/>
              <w:rPr>
                <w:rFonts w:ascii="宋体" w:hAnsi="宋体" w:cs="宋体"/>
                <w:b/>
                <w:color w:val="auto"/>
                <w:szCs w:val="21"/>
              </w:rPr>
            </w:pPr>
          </w:p>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                年   月   日</w:t>
            </w:r>
          </w:p>
        </w:tc>
      </w:tr>
    </w:tbl>
    <w:p>
      <w:pPr>
        <w:snapToGrid w:val="0"/>
        <w:spacing w:line="360" w:lineRule="auto"/>
        <w:jc w:val="left"/>
        <w:rPr>
          <w:rFonts w:ascii="宋体" w:hAnsi="宋体" w:cs="宋体"/>
          <w:color w:val="auto"/>
          <w:szCs w:val="21"/>
        </w:rPr>
      </w:pPr>
      <w:r>
        <w:rPr>
          <w:rFonts w:hint="eastAsia" w:ascii="宋体" w:hAnsi="宋体" w:cs="宋体"/>
          <w:color w:val="auto"/>
          <w:szCs w:val="21"/>
        </w:rPr>
        <w:t xml:space="preserve">   注：服务事项填不下时可另加附页</w:t>
      </w:r>
    </w:p>
    <w:p>
      <w:pPr>
        <w:snapToGrid w:val="0"/>
        <w:spacing w:line="360" w:lineRule="auto"/>
        <w:jc w:val="left"/>
        <w:rPr>
          <w:rFonts w:ascii="宋体" w:hAnsi="宋体" w:cs="宋体"/>
          <w:color w:val="auto"/>
          <w:szCs w:val="21"/>
        </w:rPr>
      </w:pPr>
    </w:p>
    <w:p>
      <w:pPr>
        <w:pStyle w:val="18"/>
        <w:tabs>
          <w:tab w:val="left" w:pos="2472"/>
        </w:tabs>
        <w:spacing w:line="460" w:lineRule="exact"/>
        <w:jc w:val="center"/>
        <w:rPr>
          <w:rFonts w:ascii="Times New Roman" w:hAnsi="Times New Roman"/>
          <w:b/>
          <w:color w:val="auto"/>
          <w:sz w:val="36"/>
        </w:rPr>
      </w:pPr>
      <w:r>
        <w:rPr>
          <w:rFonts w:hint="eastAsia" w:hAnsi="宋体" w:cs="宋体"/>
          <w:b/>
          <w:color w:val="auto"/>
          <w:sz w:val="32"/>
          <w:szCs w:val="32"/>
        </w:rPr>
        <w:br w:type="page"/>
      </w: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outlineLvl w:val="0"/>
        <w:rPr>
          <w:rFonts w:ascii="Times New Roman" w:hAnsi="Times New Roman"/>
          <w:b/>
          <w:color w:val="auto"/>
          <w:sz w:val="36"/>
        </w:rPr>
      </w:pPr>
      <w:bookmarkStart w:id="365" w:name="_Toc26390"/>
      <w:bookmarkStart w:id="366" w:name="_Toc24704"/>
      <w:bookmarkStart w:id="367" w:name="_Toc19350"/>
      <w:bookmarkStart w:id="368" w:name="_Toc9123"/>
      <w:bookmarkStart w:id="369" w:name="_Toc11043"/>
      <w:bookmarkStart w:id="370" w:name="_Toc5736"/>
      <w:bookmarkStart w:id="371" w:name="_Toc26884"/>
      <w:bookmarkStart w:id="372" w:name="_Toc20296"/>
      <w:bookmarkStart w:id="373" w:name="_Toc2377"/>
      <w:bookmarkStart w:id="374" w:name="_Toc20832"/>
      <w:bookmarkStart w:id="375" w:name="_Toc19106"/>
      <w:bookmarkStart w:id="376" w:name="_Toc2517"/>
      <w:bookmarkStart w:id="377" w:name="_Toc32149"/>
      <w:r>
        <w:rPr>
          <w:rFonts w:hint="eastAsia" w:ascii="Times New Roman" w:hAnsi="Times New Roman"/>
          <w:b/>
          <w:color w:val="auto"/>
          <w:sz w:val="36"/>
        </w:rPr>
        <w:t>第六章</w:t>
      </w:r>
      <w:r>
        <w:rPr>
          <w:rFonts w:ascii="Times New Roman" w:hAnsi="Times New Roman"/>
          <w:b/>
          <w:color w:val="auto"/>
          <w:sz w:val="36"/>
        </w:rPr>
        <w:t xml:space="preserve"> </w:t>
      </w:r>
      <w:r>
        <w:rPr>
          <w:rFonts w:hint="eastAsia" w:ascii="Times New Roman" w:hAnsi="Times New Roman"/>
          <w:b/>
          <w:color w:val="auto"/>
          <w:sz w:val="36"/>
        </w:rPr>
        <w:t>投标文件格式</w:t>
      </w:r>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spacing w:beforeAutospacing="1" w:line="360" w:lineRule="auto"/>
        <w:jc w:val="left"/>
        <w:rPr>
          <w:rFonts w:ascii="宋体" w:hAnsi="宋体"/>
          <w:color w:val="auto"/>
          <w:szCs w:val="20"/>
        </w:rPr>
        <w:sectPr>
          <w:pgSz w:w="11905" w:h="16838"/>
          <w:pgMar w:top="1134" w:right="1134" w:bottom="1134" w:left="1134" w:header="850" w:footer="850" w:gutter="0"/>
          <w:pgNumType w:fmt="decimal"/>
          <w:cols w:space="0" w:num="1"/>
          <w:titlePg/>
          <w:docGrid w:linePitch="331" w:charSpace="0"/>
        </w:sectPr>
      </w:pPr>
    </w:p>
    <w:p>
      <w:pPr>
        <w:pStyle w:val="18"/>
        <w:jc w:val="center"/>
        <w:outlineLvl w:val="1"/>
        <w:rPr>
          <w:rFonts w:hAnsi="宋体"/>
          <w:b/>
          <w:bCs/>
          <w:color w:val="auto"/>
          <w:sz w:val="28"/>
          <w:szCs w:val="28"/>
        </w:rPr>
      </w:pPr>
      <w:bookmarkStart w:id="378" w:name="_Toc32370"/>
      <w:bookmarkStart w:id="379" w:name="_Toc4270"/>
      <w:bookmarkStart w:id="380" w:name="_Toc7817"/>
      <w:bookmarkStart w:id="381" w:name="_Toc11854"/>
      <w:bookmarkStart w:id="382" w:name="_Toc21700"/>
      <w:bookmarkStart w:id="383" w:name="_Toc24486"/>
      <w:bookmarkStart w:id="384" w:name="_Toc23486"/>
      <w:bookmarkStart w:id="385" w:name="_Toc32508"/>
      <w:bookmarkStart w:id="386" w:name="_Toc16890"/>
      <w:bookmarkStart w:id="387" w:name="_Toc20281"/>
      <w:r>
        <w:rPr>
          <w:rFonts w:hint="eastAsia" w:hAnsi="宋体"/>
          <w:b/>
          <w:bCs/>
          <w:color w:val="auto"/>
          <w:sz w:val="28"/>
          <w:szCs w:val="28"/>
        </w:rPr>
        <w:t>第一节 资格证明文件格式</w:t>
      </w:r>
      <w:bookmarkEnd w:id="378"/>
      <w:bookmarkEnd w:id="379"/>
      <w:bookmarkEnd w:id="380"/>
      <w:bookmarkEnd w:id="381"/>
      <w:bookmarkEnd w:id="382"/>
      <w:bookmarkEnd w:id="383"/>
      <w:bookmarkEnd w:id="384"/>
      <w:bookmarkEnd w:id="385"/>
      <w:bookmarkEnd w:id="386"/>
      <w:bookmarkEnd w:id="387"/>
    </w:p>
    <w:p>
      <w:pPr>
        <w:pStyle w:val="18"/>
        <w:spacing w:line="360" w:lineRule="auto"/>
        <w:ind w:firstLine="420"/>
        <w:rPr>
          <w:rFonts w:hAnsi="宋体"/>
          <w:color w:val="auto"/>
          <w:sz w:val="30"/>
        </w:rPr>
      </w:pPr>
    </w:p>
    <w:p>
      <w:pPr>
        <w:pStyle w:val="9"/>
        <w:ind w:left="0"/>
        <w:jc w:val="left"/>
        <w:rPr>
          <w:rFonts w:hAnsi="宋体"/>
          <w:color w:val="auto"/>
          <w:sz w:val="30"/>
        </w:rPr>
      </w:pPr>
      <w:r>
        <w:rPr>
          <w:rFonts w:hint="eastAsia" w:hAnsi="宋体" w:cs="宋体"/>
          <w:b/>
          <w:bCs/>
          <w:color w:val="auto"/>
          <w:sz w:val="28"/>
          <w:szCs w:val="28"/>
        </w:rPr>
        <w:t>1.资格证明文件封面的格式（参照此格式自拟）：</w:t>
      </w:r>
    </w:p>
    <w:p>
      <w:pPr>
        <w:rPr>
          <w:color w:val="auto"/>
        </w:rPr>
      </w:pPr>
    </w:p>
    <w:p>
      <w:pPr>
        <w:snapToGrid w:val="0"/>
        <w:spacing w:before="120"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项目名称：</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r>
        <w:rPr>
          <w:rFonts w:hint="eastAsia" w:ascii="宋体" w:hAnsi="宋体" w:cs="宋体"/>
          <w:bCs/>
          <w:color w:val="auto"/>
          <w:sz w:val="24"/>
        </w:rPr>
        <w:t>（如有则填写，无分标时填写“无”或者留空）</w:t>
      </w:r>
      <w:r>
        <w:rPr>
          <w:rFonts w:hint="eastAsia" w:ascii="宋体" w:hAnsi="宋体"/>
          <w:bCs/>
          <w:color w:val="auto"/>
          <w:sz w:val="24"/>
        </w:rPr>
        <w:t>：</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960" w:firstLineChars="400"/>
        <w:rPr>
          <w:rFonts w:ascii="宋体" w:hAnsi="宋体"/>
          <w:bCs/>
          <w:color w:val="auto"/>
          <w:sz w:val="24"/>
          <w:szCs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pPr>
        <w:widowControl/>
        <w:spacing w:line="360" w:lineRule="auto"/>
        <w:jc w:val="left"/>
        <w:rPr>
          <w:rFonts w:ascii="宋体" w:hAnsi="宋体"/>
          <w:color w:val="auto"/>
          <w:sz w:val="30"/>
          <w:szCs w:val="20"/>
        </w:rPr>
        <w:sectPr>
          <w:pgSz w:w="11905" w:h="16838"/>
          <w:pgMar w:top="1134" w:right="1134" w:bottom="1134" w:left="1134" w:header="850" w:footer="850" w:gutter="0"/>
          <w:pgNumType w:fmt="decimal"/>
          <w:cols w:space="0" w:num="1"/>
          <w:titlePg/>
          <w:docGrid w:linePitch="331" w:charSpace="0"/>
        </w:sectPr>
      </w:pPr>
    </w:p>
    <w:p>
      <w:pPr>
        <w:rPr>
          <w:rFonts w:ascii="宋体" w:hAnsi="宋体" w:cs="宋体"/>
          <w:b/>
          <w:color w:val="auto"/>
          <w:kern w:val="0"/>
          <w:sz w:val="28"/>
          <w:szCs w:val="28"/>
        </w:rPr>
      </w:pPr>
      <w:r>
        <w:rPr>
          <w:rFonts w:hint="eastAsia" w:ascii="宋体" w:hAnsi="宋体" w:cs="宋体"/>
          <w:b/>
          <w:color w:val="auto"/>
          <w:kern w:val="0"/>
          <w:sz w:val="28"/>
          <w:szCs w:val="28"/>
        </w:rPr>
        <w:t>2.资格证明文件目录</w:t>
      </w:r>
    </w:p>
    <w:p>
      <w:pPr>
        <w:snapToGrid w:val="0"/>
        <w:spacing w:line="360" w:lineRule="auto"/>
        <w:rPr>
          <w:rFonts w:ascii="宋体" w:hAnsi="宋体" w:cs="宋体"/>
          <w:color w:val="auto"/>
          <w:kern w:val="0"/>
          <w:sz w:val="24"/>
        </w:rPr>
      </w:pPr>
      <w:r>
        <w:rPr>
          <w:rFonts w:hint="eastAsia" w:ascii="宋体" w:hAnsi="宋体" w:cs="宋体"/>
          <w:color w:val="auto"/>
          <w:kern w:val="0"/>
          <w:sz w:val="24"/>
        </w:rPr>
        <w:t>根据招标文件规定及投标人提供的材料自行编写目录（部分格式后附）。</w:t>
      </w:r>
    </w:p>
    <w:p>
      <w:pPr>
        <w:spacing w:line="360" w:lineRule="auto"/>
        <w:rPr>
          <w:rFonts w:ascii="仿宋_GB2312" w:hAnsi="仿宋" w:eastAsia="仿宋_GB2312" w:cs="仿宋_GB2312"/>
          <w:b/>
          <w:bCs/>
          <w:color w:val="auto"/>
          <w:sz w:val="24"/>
        </w:rPr>
      </w:pPr>
    </w:p>
    <w:p>
      <w:pPr>
        <w:snapToGrid w:val="0"/>
        <w:spacing w:line="360" w:lineRule="auto"/>
        <w:rPr>
          <w:rFonts w:ascii="仿宋_GB2312" w:hAnsi="仿宋" w:eastAsia="仿宋_GB2312" w:cs="仿宋_GB2312"/>
          <w:b/>
          <w:color w:val="auto"/>
          <w:kern w:val="0"/>
          <w:sz w:val="32"/>
          <w:szCs w:val="32"/>
          <w:lang w:val="zh-CN"/>
        </w:rPr>
      </w:pPr>
    </w:p>
    <w:p>
      <w:pPr>
        <w:snapToGrid w:val="0"/>
        <w:spacing w:line="360" w:lineRule="auto"/>
        <w:ind w:firstLine="5160" w:firstLineChars="2150"/>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2"/>
        <w:rPr>
          <w:color w:val="auto"/>
          <w:lang w:val="zh-CN"/>
        </w:rPr>
      </w:pPr>
    </w:p>
    <w:p>
      <w:pPr>
        <w:snapToGrid w:val="0"/>
        <w:spacing w:line="360" w:lineRule="auto"/>
        <w:ind w:right="480"/>
        <w:jc w:val="center"/>
        <w:rPr>
          <w:rFonts w:ascii="仿宋_GB2312" w:hAnsi="仿宋" w:eastAsia="仿宋_GB2312" w:cs="仿宋_GB2312"/>
          <w:b/>
          <w:color w:val="auto"/>
          <w:kern w:val="0"/>
          <w:sz w:val="32"/>
          <w:szCs w:val="32"/>
          <w:lang w:val="zh-CN"/>
        </w:rPr>
      </w:pP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、崇左市政府采购供应商信用承诺函（格式）</w:t>
      </w:r>
    </w:p>
    <w:p>
      <w:pPr>
        <w:widowControl/>
        <w:spacing w:line="440" w:lineRule="exact"/>
        <w:jc w:val="center"/>
        <w:rPr>
          <w:rFonts w:ascii="宋体" w:hAnsi="宋体" w:cs="宋体"/>
          <w:color w:val="auto"/>
          <w:kern w:val="0"/>
          <w:sz w:val="32"/>
          <w:szCs w:val="32"/>
          <w:highlight w:val="none"/>
          <w:lang w:bidi="ar"/>
        </w:rPr>
      </w:pPr>
    </w:p>
    <w:p>
      <w:pPr>
        <w:pStyle w:val="12"/>
        <w:rPr>
          <w:color w:val="auto"/>
          <w:highlight w:val="none"/>
        </w:rPr>
      </w:pPr>
    </w:p>
    <w:p>
      <w:pPr>
        <w:widowControl/>
        <w:spacing w:line="440" w:lineRule="exact"/>
        <w:jc w:val="center"/>
        <w:rPr>
          <w:rFonts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ascii="宋体" w:hAnsi="宋体" w:cs="宋体"/>
          <w:color w:val="auto"/>
          <w:kern w:val="0"/>
          <w:sz w:val="28"/>
          <w:szCs w:val="28"/>
          <w:highlight w:val="none"/>
          <w:lang w:bidi="ar"/>
        </w:rPr>
      </w:pPr>
    </w:p>
    <w:p>
      <w:pPr>
        <w:widowControl/>
        <w:spacing w:line="440" w:lineRule="exact"/>
        <w:rPr>
          <w:rFonts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致</w:t>
      </w:r>
      <w:r>
        <w:rPr>
          <w:rFonts w:hint="eastAsia" w:ascii="宋体" w:hAnsi="宋体" w:cs="宋体"/>
          <w:color w:val="auto"/>
          <w:kern w:val="0"/>
          <w:sz w:val="22"/>
          <w:szCs w:val="22"/>
          <w:highlight w:val="none"/>
          <w:u w:val="single"/>
          <w:lang w:bidi="ar"/>
        </w:rPr>
        <w:t>（采购代理机构名称）</w:t>
      </w:r>
      <w:r>
        <w:rPr>
          <w:rFonts w:hint="eastAsia" w:ascii="宋体" w:hAnsi="宋体" w:cs="宋体"/>
          <w:color w:val="auto"/>
          <w:kern w:val="0"/>
          <w:sz w:val="22"/>
          <w:szCs w:val="22"/>
          <w:highlight w:val="none"/>
          <w:lang w:bidi="ar"/>
        </w:rPr>
        <w:t>:</w:t>
      </w:r>
    </w:p>
    <w:p>
      <w:pPr>
        <w:widowControl/>
        <w:spacing w:line="440" w:lineRule="exact"/>
        <w:ind w:firstLine="440" w:firstLineChars="200"/>
        <w:rPr>
          <w:rFonts w:ascii="宋体" w:hAnsi="宋体" w:cs="宋体"/>
          <w:color w:val="auto"/>
          <w:spacing w:val="-6"/>
          <w:sz w:val="22"/>
          <w:szCs w:val="22"/>
          <w:highlight w:val="none"/>
        </w:rPr>
      </w:pPr>
      <w:r>
        <w:rPr>
          <w:rFonts w:hint="eastAsia" w:ascii="宋体" w:hAnsi="宋体" w:cs="宋体"/>
          <w:color w:val="auto"/>
          <w:kern w:val="0"/>
          <w:sz w:val="22"/>
          <w:szCs w:val="22"/>
          <w:highlight w:val="none"/>
          <w:lang w:bidi="ar"/>
        </w:rPr>
        <w:t>我方自愿参加</w:t>
      </w:r>
      <w:r>
        <w:rPr>
          <w:rFonts w:hint="eastAsia" w:ascii="宋体" w:hAnsi="宋体" w:cs="宋体"/>
          <w:color w:val="auto"/>
          <w:kern w:val="0"/>
          <w:sz w:val="22"/>
          <w:szCs w:val="22"/>
          <w:highlight w:val="none"/>
          <w:u w:val="single"/>
          <w:lang w:bidi="ar"/>
        </w:rPr>
        <w:t xml:space="preserve"> （项目名称） </w:t>
      </w:r>
      <w:r>
        <w:rPr>
          <w:rFonts w:hint="eastAsia" w:ascii="宋体" w:hAnsi="宋体" w:cs="宋体"/>
          <w:color w:val="auto"/>
          <w:kern w:val="0"/>
          <w:sz w:val="22"/>
          <w:szCs w:val="22"/>
          <w:highlight w:val="none"/>
          <w:lang w:bidi="ar"/>
        </w:rPr>
        <w:t>项目</w:t>
      </w:r>
      <w:r>
        <w:rPr>
          <w:rFonts w:hint="eastAsia" w:ascii="宋体" w:hAnsi="宋体" w:cs="宋体"/>
          <w:color w:val="auto"/>
          <w:spacing w:val="6"/>
          <w:sz w:val="22"/>
          <w:szCs w:val="22"/>
          <w:highlight w:val="none"/>
        </w:rPr>
        <w:t>（项目编号：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w:t>
      </w:r>
      <w:r>
        <w:rPr>
          <w:rFonts w:hint="eastAsia" w:ascii="宋体" w:hAnsi="宋体" w:cs="宋体"/>
          <w:color w:val="auto"/>
          <w:kern w:val="0"/>
          <w:sz w:val="22"/>
          <w:szCs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szCs w:val="22"/>
          <w:highlight w:val="none"/>
          <w:lang w:bidi="ar"/>
        </w:rPr>
        <w:t xml:space="preserve">： </w:t>
      </w:r>
    </w:p>
    <w:p>
      <w:pPr>
        <w:widowControl/>
        <w:spacing w:line="440" w:lineRule="exact"/>
        <w:ind w:firstLine="440" w:firstLineChars="20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2.我方具有符合采购文件资格要求的财务状况报告。 </w:t>
      </w:r>
    </w:p>
    <w:p>
      <w:pPr>
        <w:widowControl/>
        <w:spacing w:line="440" w:lineRule="exact"/>
        <w:ind w:firstLine="416" w:firstLineChars="200"/>
        <w:rPr>
          <w:rFonts w:ascii="宋体" w:hAnsi="宋体" w:cs="宋体"/>
          <w:color w:val="auto"/>
          <w:spacing w:val="-17"/>
          <w:sz w:val="22"/>
          <w:szCs w:val="22"/>
          <w:highlight w:val="none"/>
        </w:rPr>
      </w:pPr>
      <w:r>
        <w:rPr>
          <w:rFonts w:hint="eastAsia" w:ascii="宋体" w:hAnsi="宋体" w:cs="宋体"/>
          <w:color w:val="auto"/>
          <w:spacing w:val="-6"/>
          <w:kern w:val="0"/>
          <w:sz w:val="22"/>
          <w:szCs w:val="22"/>
          <w:highlight w:val="none"/>
          <w:lang w:bidi="ar"/>
        </w:rPr>
        <w:t>3.我方具有符合采购文件资格要求的依法缴纳税收和社会保障资金的良好记录。</w:t>
      </w:r>
      <w:r>
        <w:rPr>
          <w:rFonts w:hint="eastAsia" w:ascii="宋体" w:hAnsi="宋体" w:cs="宋体"/>
          <w:color w:val="auto"/>
          <w:spacing w:val="-17"/>
          <w:kern w:val="0"/>
          <w:sz w:val="22"/>
          <w:szCs w:val="22"/>
          <w:highlight w:val="none"/>
          <w:lang w:bidi="ar"/>
        </w:rPr>
        <w:t xml:space="preserve"> </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4.我方具有符合采购文件资格要求履行合同所必需的设备和专业技术能力。 </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5.我方参加政府采购活动前3年内在经营活动中没有重大违法记录。 </w:t>
      </w:r>
    </w:p>
    <w:p>
      <w:pPr>
        <w:widowControl/>
        <w:spacing w:line="440" w:lineRule="exact"/>
        <w:ind w:firstLine="440" w:firstLineChars="20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我方对以上承诺内容的真实性负责。如有虚假，将依法承担相应责任。</w:t>
      </w:r>
    </w:p>
    <w:p>
      <w:pPr>
        <w:widowControl/>
        <w:spacing w:line="440" w:lineRule="exact"/>
        <w:ind w:firstLine="440" w:firstLineChars="200"/>
        <w:rPr>
          <w:rFonts w:ascii="宋体" w:hAnsi="宋体" w:cs="宋体"/>
          <w:color w:val="auto"/>
          <w:kern w:val="0"/>
          <w:sz w:val="22"/>
          <w:szCs w:val="22"/>
          <w:highlight w:val="none"/>
          <w:lang w:bidi="ar"/>
        </w:rPr>
      </w:pPr>
    </w:p>
    <w:p>
      <w:pPr>
        <w:widowControl/>
        <w:spacing w:line="440" w:lineRule="exact"/>
        <w:ind w:firstLine="440" w:firstLineChars="200"/>
        <w:rPr>
          <w:rFonts w:ascii="宋体" w:hAnsi="宋体" w:cs="宋体"/>
          <w:color w:val="auto"/>
          <w:kern w:val="0"/>
          <w:sz w:val="22"/>
          <w:szCs w:val="22"/>
          <w:highlight w:val="none"/>
          <w:lang w:bidi="ar"/>
        </w:rPr>
      </w:pPr>
    </w:p>
    <w:p>
      <w:pPr>
        <w:widowControl/>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供应商名称（盖章）： </w:t>
      </w:r>
    </w:p>
    <w:p>
      <w:pPr>
        <w:tabs>
          <w:tab w:val="left" w:pos="7560"/>
        </w:tabs>
        <w:spacing w:line="440" w:lineRule="exact"/>
        <w:ind w:firstLine="3300" w:firstLineChars="1500"/>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日期：</w:t>
      </w:r>
    </w:p>
    <w:p>
      <w:pPr>
        <w:pStyle w:val="26"/>
        <w:wordWrap w:val="0"/>
        <w:spacing w:before="0" w:beforeAutospacing="0" w:after="0" w:afterAutospacing="0" w:line="560" w:lineRule="exact"/>
        <w:jc w:val="both"/>
        <w:rPr>
          <w:color w:val="auto"/>
          <w:sz w:val="22"/>
          <w:szCs w:val="22"/>
          <w:highlight w:val="none"/>
          <w:lang w:bidi="ar"/>
        </w:rPr>
      </w:pPr>
    </w:p>
    <w:p>
      <w:pPr>
        <w:pStyle w:val="26"/>
        <w:wordWrap w:val="0"/>
        <w:spacing w:before="0" w:beforeAutospacing="0" w:after="0" w:afterAutospacing="0" w:line="400" w:lineRule="exact"/>
        <w:jc w:val="both"/>
        <w:rPr>
          <w:color w:val="auto"/>
          <w:sz w:val="22"/>
          <w:szCs w:val="22"/>
          <w:highlight w:val="none"/>
        </w:rPr>
      </w:pPr>
      <w:r>
        <w:rPr>
          <w:rFonts w:hint="eastAsia"/>
          <w:color w:val="auto"/>
          <w:sz w:val="22"/>
          <w:szCs w:val="22"/>
          <w:highlight w:val="none"/>
          <w:lang w:bidi="ar"/>
        </w:rPr>
        <w:t>注：1.</w:t>
      </w:r>
      <w:r>
        <w:rPr>
          <w:rFonts w:hint="eastAsia"/>
          <w:color w:val="auto"/>
          <w:sz w:val="22"/>
          <w:szCs w:val="22"/>
          <w:highlight w:val="none"/>
        </w:rPr>
        <w:t>参与政府采购活动的供应商可按第1点的内容：“</w:t>
      </w:r>
      <w:r>
        <w:rPr>
          <w:rFonts w:hint="eastAsia"/>
          <w:color w:val="auto"/>
          <w:sz w:val="22"/>
          <w:szCs w:val="22"/>
          <w:highlight w:val="none"/>
          <w:lang w:bidi="ar"/>
        </w:rPr>
        <w:t>我方</w:t>
      </w:r>
      <w:r>
        <w:rPr>
          <w:rFonts w:hint="eastAsia"/>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olor w:val="auto"/>
          <w:sz w:val="22"/>
          <w:szCs w:val="22"/>
          <w:highlight w:val="none"/>
          <w:lang w:bidi="ar"/>
        </w:rPr>
        <w:t>我方</w:t>
      </w:r>
      <w:r>
        <w:rPr>
          <w:rFonts w:hint="eastAsia"/>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pStyle w:val="2"/>
        <w:rPr>
          <w:rFonts w:ascii="宋体" w:hAnsi="宋体" w:cs="宋体"/>
          <w:color w:val="auto"/>
          <w:sz w:val="16"/>
          <w:szCs w:val="16"/>
          <w:highlight w:val="none"/>
          <w:lang w:val="zh-CN"/>
        </w:rPr>
      </w:pPr>
    </w:p>
    <w:p>
      <w:pPr>
        <w:spacing w:line="360" w:lineRule="auto"/>
        <w:ind w:firstLine="480" w:firstLineChars="200"/>
        <w:contextualSpacing/>
        <w:jc w:val="left"/>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br w:type="page"/>
      </w:r>
    </w:p>
    <w:p>
      <w:pPr>
        <w:snapToGrid w:val="0"/>
        <w:spacing w:line="360" w:lineRule="auto"/>
        <w:ind w:right="480"/>
        <w:jc w:val="center"/>
        <w:rPr>
          <w:rFonts w:ascii="宋体" w:hAnsi="宋体"/>
          <w:b/>
          <w:color w:val="auto"/>
          <w:sz w:val="28"/>
          <w:szCs w:val="28"/>
        </w:rPr>
      </w:pPr>
    </w:p>
    <w:p>
      <w:pPr>
        <w:pStyle w:val="12"/>
        <w:rPr>
          <w:color w:val="auto"/>
        </w:rPr>
      </w:pPr>
      <w:r>
        <w:rPr>
          <w:rFonts w:hint="eastAsia" w:ascii="宋体" w:hAnsi="宋体" w:cs="宋体"/>
          <w:b/>
          <w:color w:val="auto"/>
          <w:kern w:val="0"/>
          <w:sz w:val="32"/>
          <w:szCs w:val="32"/>
          <w:lang w:val="en-US" w:eastAsia="zh-CN"/>
        </w:rPr>
        <w:t>4</w:t>
      </w:r>
      <w:r>
        <w:rPr>
          <w:rFonts w:hint="eastAsia" w:ascii="宋体" w:hAnsi="宋体" w:cs="宋体"/>
          <w:b/>
          <w:color w:val="auto"/>
          <w:kern w:val="0"/>
          <w:sz w:val="32"/>
          <w:szCs w:val="32"/>
        </w:rPr>
        <w:t>.</w:t>
      </w:r>
      <w:r>
        <w:rPr>
          <w:rFonts w:hint="eastAsia" w:ascii="宋体" w:hAnsi="宋体" w:cs="宋体"/>
          <w:b/>
          <w:color w:val="auto"/>
          <w:sz w:val="28"/>
          <w:szCs w:val="28"/>
        </w:rPr>
        <w:t>声明函的格式</w:t>
      </w:r>
      <w:r>
        <w:rPr>
          <w:rFonts w:hint="eastAsia"/>
          <w:color w:val="auto"/>
          <w:sz w:val="28"/>
          <w:szCs w:val="28"/>
        </w:rPr>
        <w:t>：</w:t>
      </w:r>
    </w:p>
    <w:p>
      <w:pPr>
        <w:snapToGrid w:val="0"/>
        <w:spacing w:before="50" w:after="120" w:afterLines="50"/>
        <w:jc w:val="center"/>
        <w:rPr>
          <w:rFonts w:ascii="宋体" w:hAnsi="宋体"/>
          <w:b/>
          <w:color w:val="auto"/>
          <w:sz w:val="32"/>
          <w:szCs w:val="32"/>
        </w:rPr>
      </w:pPr>
      <w:r>
        <w:rPr>
          <w:rFonts w:hint="eastAsia" w:ascii="宋体" w:hAnsi="宋体"/>
          <w:b/>
          <w:color w:val="auto"/>
          <w:sz w:val="32"/>
          <w:szCs w:val="32"/>
        </w:rPr>
        <w:t>声明函</w:t>
      </w:r>
    </w:p>
    <w:p>
      <w:pPr>
        <w:tabs>
          <w:tab w:val="left" w:pos="7200"/>
        </w:tabs>
        <w:spacing w:line="36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lang w:eastAsia="zh-CN"/>
        </w:rPr>
        <w:t>广西华晟招标代理有限公司</w:t>
      </w:r>
      <w:r>
        <w:rPr>
          <w:rFonts w:hint="eastAsia" w:ascii="宋体" w:hAnsi="宋体"/>
          <w:color w:val="auto"/>
          <w:szCs w:val="21"/>
          <w:u w:val="single"/>
        </w:rPr>
        <w:t xml:space="preserve"> </w:t>
      </w:r>
    </w:p>
    <w:p>
      <w:pPr>
        <w:pStyle w:val="2"/>
        <w:ind w:firstLine="420" w:firstLineChars="200"/>
        <w:rPr>
          <w:color w:val="auto"/>
          <w:sz w:val="21"/>
          <w:szCs w:val="21"/>
        </w:rPr>
      </w:pPr>
      <w:r>
        <w:rPr>
          <w:rFonts w:hint="eastAsia" w:ascii="宋体" w:hAnsi="宋体" w:cs="宋体"/>
          <w:i/>
          <w:iCs/>
          <w:color w:val="auto"/>
          <w:sz w:val="21"/>
          <w:szCs w:val="21"/>
          <w:u w:val="single"/>
        </w:rPr>
        <w:t>（投标人名称）</w:t>
      </w:r>
      <w:r>
        <w:rPr>
          <w:rFonts w:hint="eastAsia" w:ascii="宋体" w:hAnsi="宋体" w:cs="宋体"/>
          <w:color w:val="auto"/>
          <w:sz w:val="21"/>
          <w:szCs w:val="21"/>
        </w:rPr>
        <w:t>系中华人民共和国合法供应商，经营地址</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我方愿意参加贵方组织的</w:t>
      </w:r>
      <w:r>
        <w:rPr>
          <w:rFonts w:hint="eastAsia" w:ascii="宋体" w:hAnsi="宋体"/>
          <w:i/>
          <w:iCs/>
          <w:color w:val="auto"/>
          <w:szCs w:val="21"/>
          <w:u w:val="single"/>
        </w:rPr>
        <w:t xml:space="preserve">（项目名称） </w:t>
      </w:r>
      <w:r>
        <w:rPr>
          <w:rFonts w:hint="eastAsia" w:ascii="宋体" w:hAnsi="宋体"/>
          <w:color w:val="auto"/>
          <w:szCs w:val="21"/>
        </w:rPr>
        <w:t>（项目编号：            ）项目的投标，为便于贵方公正、择优地确定中标人，我方就本次投标有关事项郑重声明如下：</w:t>
      </w:r>
    </w:p>
    <w:p>
      <w:pPr>
        <w:pStyle w:val="2"/>
        <w:ind w:firstLine="420" w:firstLineChars="200"/>
        <w:rPr>
          <w:color w:val="auto"/>
          <w:sz w:val="21"/>
          <w:szCs w:val="21"/>
        </w:rPr>
      </w:pPr>
      <w:r>
        <w:rPr>
          <w:rFonts w:hint="eastAsia" w:ascii="宋体" w:hAnsi="宋体" w:cs="宋体"/>
          <w:color w:val="auto"/>
          <w:sz w:val="21"/>
          <w:szCs w:val="21"/>
        </w:rPr>
        <w:t>1、我方向贵方提交的所有投标文件、资料都是准确的和真实的。</w:t>
      </w: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3、在此，我方宣布同意如下：</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（1）将按招标文件的约定履行合同责任和义务；</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（2）已详细审查招标文件的全部</w:t>
      </w:r>
      <w:r>
        <w:rPr>
          <w:rFonts w:hint="eastAsia" w:ascii="宋体" w:hAnsi="宋体" w:cs="宋体"/>
          <w:color w:val="auto"/>
          <w:kern w:val="0"/>
          <w:szCs w:val="21"/>
        </w:rPr>
        <w:t>内容</w:t>
      </w:r>
      <w:r>
        <w:rPr>
          <w:rFonts w:hint="eastAsia" w:ascii="宋体" w:hAnsi="宋体" w:cs="宋体"/>
          <w:color w:val="auto"/>
          <w:szCs w:val="21"/>
        </w:rPr>
        <w:t>，包括澄清或者更正公告（如有）；</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（3）同意提供按照贵方可能要求的与投标有关的一切数据或者资料。</w:t>
      </w:r>
    </w:p>
    <w:p>
      <w:pPr>
        <w:pStyle w:val="2"/>
        <w:rPr>
          <w:color w:val="auto"/>
        </w:rPr>
      </w:pPr>
    </w:p>
    <w:p>
      <w:pPr>
        <w:spacing w:line="360" w:lineRule="auto"/>
        <w:ind w:firstLine="420" w:firstLineChars="200"/>
        <w:rPr>
          <w:rFonts w:ascii="宋体" w:hAnsi="宋体"/>
          <w:color w:val="auto"/>
          <w:szCs w:val="21"/>
          <w:highlight w:val="none"/>
        </w:rPr>
      </w:pPr>
      <w:r>
        <w:rPr>
          <w:rFonts w:hint="eastAsia" w:ascii="宋体" w:hAnsi="宋体"/>
          <w:color w:val="auto"/>
          <w:szCs w:val="21"/>
        </w:rPr>
        <w:t>4、我方在此声明，我方在参加本项目的政府采购活动前三年内，在经营活动中没有重大违法记录（重大违法记录是指供应商因违法经营受到</w:t>
      </w:r>
      <w:r>
        <w:rPr>
          <w:rFonts w:hint="eastAsia" w:ascii="宋体" w:hAnsi="宋体"/>
          <w:color w:val="auto"/>
          <w:szCs w:val="21"/>
          <w:highlight w:val="none"/>
        </w:rPr>
        <w:t>刑事处罚或者责令停产停业、吊销许可证或者执照、较大数额罚款等行政处罚），未被列入失信被执行人、重大税收违法失信主体、政府采购严重违法失信行为记录名单。</w:t>
      </w:r>
    </w:p>
    <w:p>
      <w:pPr>
        <w:spacing w:line="360" w:lineRule="exact"/>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2"/>
        <w:rPr>
          <w:color w:val="auto"/>
          <w:highlight w:val="none"/>
        </w:rPr>
      </w:pP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 xml:space="preserve">6、以上事项如有虚假或者隐瞒，我方愿意承担一切后果，并不再寻求任何旨在减轻或者免除法律责任的辩解。 </w:t>
      </w:r>
    </w:p>
    <w:p>
      <w:pPr>
        <w:tabs>
          <w:tab w:val="left" w:pos="939"/>
        </w:tabs>
        <w:spacing w:line="360" w:lineRule="exact"/>
        <w:ind w:left="141" w:leftChars="67" w:firstLine="315" w:firstLineChars="150"/>
        <w:contextualSpacing/>
        <w:rPr>
          <w:rFonts w:ascii="宋体" w:hAnsi="宋体" w:cs="宋体"/>
          <w:color w:val="auto"/>
          <w:szCs w:val="21"/>
        </w:rPr>
      </w:pPr>
      <w:r>
        <w:rPr>
          <w:rFonts w:hint="eastAsia" w:ascii="宋体" w:hAnsi="宋体" w:cs="宋体"/>
          <w:color w:val="auto"/>
          <w:szCs w:val="21"/>
        </w:rPr>
        <w:t>特此承诺。</w:t>
      </w:r>
    </w:p>
    <w:p>
      <w:pPr>
        <w:snapToGrid w:val="0"/>
        <w:spacing w:before="50" w:after="120" w:afterLines="50"/>
        <w:jc w:val="left"/>
        <w:rPr>
          <w:rFonts w:ascii="宋体" w:hAnsi="宋体"/>
          <w:color w:val="auto"/>
          <w:sz w:val="18"/>
          <w:szCs w:val="18"/>
        </w:rPr>
      </w:pPr>
      <w:r>
        <w:rPr>
          <w:rFonts w:hint="eastAsia" w:ascii="宋体" w:hAnsi="宋体"/>
          <w:b/>
          <w:color w:val="auto"/>
          <w:sz w:val="18"/>
          <w:szCs w:val="18"/>
        </w:rPr>
        <w:t>.   注： 如为联合体投标，盖章处须加盖联合体各方公章，否则</w:t>
      </w:r>
      <w:r>
        <w:rPr>
          <w:rFonts w:hint="eastAsia" w:ascii="宋体" w:hAnsi="宋体" w:cs="宋体"/>
          <w:b/>
          <w:bCs/>
          <w:color w:val="auto"/>
          <w:sz w:val="18"/>
          <w:szCs w:val="18"/>
        </w:rPr>
        <w:t>其投标文件作无效响应处理</w:t>
      </w:r>
      <w:r>
        <w:rPr>
          <w:rFonts w:hint="eastAsia" w:ascii="宋体" w:hAnsi="宋体"/>
          <w:b/>
          <w:color w:val="auto"/>
          <w:sz w:val="18"/>
          <w:szCs w:val="18"/>
        </w:rPr>
        <w:t>。</w:t>
      </w:r>
    </w:p>
    <w:p>
      <w:pPr>
        <w:snapToGrid w:val="0"/>
        <w:spacing w:before="50" w:after="240" w:afterLines="100" w:line="360" w:lineRule="auto"/>
        <w:jc w:val="left"/>
        <w:rPr>
          <w:rFonts w:ascii="宋体" w:hAnsi="宋体" w:cs="宋体"/>
          <w:color w:val="auto"/>
          <w:sz w:val="24"/>
        </w:rPr>
      </w:pPr>
      <w:r>
        <w:rPr>
          <w:rFonts w:hint="eastAsia" w:ascii="宋体" w:hAnsi="宋体"/>
          <w:color w:val="auto"/>
          <w:sz w:val="24"/>
        </w:rPr>
        <w:t xml:space="preserve">                                     </w:t>
      </w:r>
    </w:p>
    <w:p>
      <w:pPr>
        <w:snapToGrid w:val="0"/>
        <w:spacing w:before="50" w:after="240" w:afterLines="100" w:line="360" w:lineRule="auto"/>
        <w:ind w:left="7428" w:leftChars="2223" w:hanging="2760" w:hangingChars="1150"/>
        <w:jc w:val="left"/>
        <w:rPr>
          <w:rFonts w:ascii="仿宋_GB2312" w:hAnsi="仿宋" w:eastAsia="仿宋_GB2312" w:cs="仿宋_GB2312"/>
          <w:color w:val="auto"/>
          <w:kern w:val="0"/>
          <w:sz w:val="24"/>
          <w:lang w:val="zh-CN"/>
        </w:rPr>
      </w:pPr>
      <w:r>
        <w:rPr>
          <w:rFonts w:hint="eastAsia" w:ascii="宋体" w:hAnsi="宋体" w:cs="宋体"/>
          <w:color w:val="auto"/>
          <w:sz w:val="24"/>
        </w:rPr>
        <w:t xml:space="preserve">  </w:t>
      </w:r>
      <w:r>
        <w:rPr>
          <w:rFonts w:hint="eastAsia" w:ascii="宋体" w:hAnsi="宋体" w:cs="宋体"/>
          <w:color w:val="auto"/>
          <w:kern w:val="0"/>
          <w:sz w:val="24"/>
          <w:lang w:val="zh-CN"/>
        </w:rPr>
        <w:t>投标人名称(盖公章)：</w:t>
      </w:r>
      <w:r>
        <w:rPr>
          <w:rFonts w:hint="eastAsia" w:ascii="宋体" w:hAnsi="宋体"/>
          <w:color w:val="auto"/>
          <w:szCs w:val="21"/>
        </w:rPr>
        <w:t xml:space="preserve">                                     年    月    日</w:t>
      </w:r>
    </w:p>
    <w:p>
      <w:pPr>
        <w:rPr>
          <w:b/>
          <w:bCs/>
          <w:color w:val="auto"/>
          <w:sz w:val="30"/>
          <w:szCs w:val="30"/>
        </w:rPr>
      </w:pPr>
      <w:r>
        <w:rPr>
          <w:rFonts w:hint="eastAsia"/>
          <w:b/>
          <w:bCs/>
          <w:color w:val="auto"/>
          <w:sz w:val="30"/>
          <w:szCs w:val="30"/>
        </w:rPr>
        <w:br w:type="page"/>
      </w:r>
    </w:p>
    <w:p>
      <w:pPr>
        <w:pStyle w:val="9"/>
        <w:ind w:left="0"/>
        <w:jc w:val="left"/>
        <w:rPr>
          <w:color w:val="auto"/>
        </w:rPr>
      </w:pPr>
      <w:r>
        <w:rPr>
          <w:rFonts w:hint="eastAsia" w:hAnsi="宋体" w:cs="宋体"/>
          <w:b/>
          <w:bCs/>
          <w:color w:val="auto"/>
          <w:sz w:val="28"/>
          <w:szCs w:val="28"/>
          <w:lang w:val="en-US" w:eastAsia="zh-CN"/>
        </w:rPr>
        <w:t>5</w:t>
      </w:r>
      <w:r>
        <w:rPr>
          <w:rFonts w:hint="eastAsia" w:hAnsi="宋体" w:cs="宋体"/>
          <w:b/>
          <w:bCs/>
          <w:color w:val="auto"/>
          <w:sz w:val="28"/>
          <w:szCs w:val="28"/>
        </w:rPr>
        <w:t>.联合体投标协议书的格式：</w:t>
      </w:r>
    </w:p>
    <w:p>
      <w:pPr>
        <w:pStyle w:val="18"/>
        <w:spacing w:line="600" w:lineRule="exact"/>
        <w:jc w:val="center"/>
        <w:rPr>
          <w:rFonts w:hAnsi="宋体" w:cs="宋体"/>
          <w:b/>
          <w:bCs/>
          <w:color w:val="auto"/>
          <w:sz w:val="28"/>
          <w:szCs w:val="28"/>
        </w:rPr>
      </w:pPr>
    </w:p>
    <w:p>
      <w:pPr>
        <w:pStyle w:val="18"/>
        <w:spacing w:line="600" w:lineRule="exact"/>
        <w:jc w:val="center"/>
        <w:rPr>
          <w:rFonts w:hAnsi="宋体" w:cs="宋体"/>
          <w:color w:val="auto"/>
          <w:sz w:val="28"/>
          <w:szCs w:val="28"/>
        </w:rPr>
      </w:pPr>
      <w:r>
        <w:rPr>
          <w:rFonts w:hint="eastAsia" w:hAnsi="宋体" w:cs="宋体"/>
          <w:b/>
          <w:bCs/>
          <w:color w:val="auto"/>
          <w:sz w:val="28"/>
          <w:szCs w:val="28"/>
        </w:rPr>
        <w:t>联合体投标协议书</w:t>
      </w:r>
    </w:p>
    <w:p>
      <w:pPr>
        <w:autoSpaceDE w:val="0"/>
        <w:autoSpaceDN w:val="0"/>
        <w:adjustRightInd w:val="0"/>
        <w:spacing w:line="360" w:lineRule="auto"/>
        <w:jc w:val="left"/>
        <w:rPr>
          <w:rFonts w:ascii="宋体" w:hAnsi="宋体" w:cs="宋体"/>
          <w:color w:val="auto"/>
          <w:kern w:val="0"/>
          <w:szCs w:val="21"/>
          <w:u w:val="single"/>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（所有成员单位名称）自愿组成联合体，共同参加</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广西华晟招标代理有限公司</w:t>
      </w:r>
      <w:r>
        <w:rPr>
          <w:rFonts w:hint="eastAsia" w:ascii="宋体" w:hAnsi="宋体" w:cs="宋体"/>
          <w:color w:val="auto"/>
          <w:kern w:val="0"/>
          <w:szCs w:val="21"/>
          <w:u w:val="single"/>
        </w:rPr>
        <w:t xml:space="preserve">   </w:t>
      </w:r>
      <w:r>
        <w:rPr>
          <w:rFonts w:hint="eastAsia" w:ascii="宋体" w:hAnsi="宋体" w:cs="宋体"/>
          <w:color w:val="auto"/>
          <w:kern w:val="0"/>
          <w:szCs w:val="21"/>
        </w:rPr>
        <w:t>组织的</w:t>
      </w:r>
      <w:r>
        <w:rPr>
          <w:rFonts w:hint="eastAsia" w:ascii="宋体" w:hAnsi="宋体" w:cs="宋体"/>
          <w:color w:val="auto"/>
          <w:kern w:val="0"/>
          <w:szCs w:val="21"/>
          <w:u w:val="single"/>
        </w:rPr>
        <w:t xml:space="preserve">   </w:t>
      </w:r>
      <w:r>
        <w:rPr>
          <w:rFonts w:hint="eastAsia" w:ascii="宋体" w:hAnsi="宋体" w:cs="宋体"/>
          <w:i/>
          <w:iCs/>
          <w:color w:val="auto"/>
          <w:kern w:val="0"/>
          <w:szCs w:val="21"/>
          <w:u w:val="single"/>
        </w:rPr>
        <w:t>（项目名称）</w:t>
      </w:r>
      <w:r>
        <w:rPr>
          <w:rFonts w:hint="eastAsia" w:ascii="宋体" w:hAnsi="宋体" w:cs="宋体"/>
          <w:color w:val="auto"/>
          <w:kern w:val="0"/>
          <w:szCs w:val="21"/>
          <w:u w:val="single"/>
        </w:rPr>
        <w:t xml:space="preserve">  </w:t>
      </w:r>
      <w:r>
        <w:rPr>
          <w:rFonts w:hint="eastAsia" w:ascii="宋体" w:hAnsi="宋体" w:cs="宋体"/>
          <w:color w:val="auto"/>
          <w:kern w:val="0"/>
          <w:szCs w:val="21"/>
        </w:rPr>
        <w:t>（项目编号：</w:t>
      </w:r>
      <w:r>
        <w:rPr>
          <w:rFonts w:hint="eastAsia" w:ascii="宋体" w:hAnsi="宋体" w:cs="宋体"/>
          <w:color w:val="auto"/>
          <w:kern w:val="0"/>
          <w:szCs w:val="21"/>
          <w:u w:val="single"/>
        </w:rPr>
        <w:t xml:space="preserve">           </w:t>
      </w:r>
      <w:r>
        <w:rPr>
          <w:rFonts w:hint="eastAsia" w:ascii="宋体" w:hAnsi="宋体" w:cs="宋体"/>
          <w:color w:val="auto"/>
          <w:kern w:val="0"/>
          <w:szCs w:val="21"/>
        </w:rPr>
        <w:t>）投标。现就联合体投标事宜订立如下协议：</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u w:val="single"/>
        </w:rPr>
        <w:t xml:space="preserve">                            </w:t>
      </w:r>
      <w:r>
        <w:rPr>
          <w:rFonts w:hint="eastAsia" w:ascii="宋体" w:hAnsi="宋体" w:cs="宋体"/>
          <w:color w:val="auto"/>
          <w:kern w:val="0"/>
          <w:szCs w:val="21"/>
        </w:rPr>
        <w:t>（某成员单位名称）为联合体名称牵头人。</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360" w:lineRule="auto"/>
        <w:ind w:firstLine="420"/>
        <w:jc w:val="left"/>
        <w:rPr>
          <w:rFonts w:ascii="宋体" w:hAnsi="宋体" w:cs="宋体"/>
          <w:color w:val="auto"/>
          <w:kern w:val="0"/>
          <w:szCs w:val="21"/>
          <w:u w:val="single"/>
        </w:rPr>
      </w:pPr>
      <w:r>
        <w:rPr>
          <w:rFonts w:hint="eastAsia" w:ascii="宋体" w:hAnsi="宋体" w:cs="宋体"/>
          <w:color w:val="auto"/>
          <w:kern w:val="0"/>
          <w:szCs w:val="21"/>
        </w:rPr>
        <w:t>4、联合体各成员单位内部的职责分工如下</w:t>
      </w:r>
      <w:r>
        <w:rPr>
          <w:rFonts w:hint="eastAsia" w:ascii="宋体" w:hAnsi="宋体" w:cs="宋体"/>
          <w:color w:val="auto"/>
          <w:kern w:val="0"/>
          <w:szCs w:val="21"/>
          <w:u w:val="single"/>
        </w:rPr>
        <w:t>：                             。</w:t>
      </w:r>
    </w:p>
    <w:p>
      <w:pPr>
        <w:pStyle w:val="18"/>
        <w:spacing w:line="360" w:lineRule="auto"/>
        <w:ind w:firstLine="420" w:firstLineChars="200"/>
        <w:rPr>
          <w:rFonts w:hAnsi="宋体" w:cs="宋体"/>
          <w:color w:val="auto"/>
          <w:szCs w:val="21"/>
        </w:rPr>
      </w:pPr>
      <w:r>
        <w:rPr>
          <w:rFonts w:hint="eastAsia" w:hAnsi="宋体" w:cs="宋体"/>
          <w:color w:val="auto"/>
          <w:kern w:val="0"/>
        </w:rPr>
        <w:t>5、本联合体中</w:t>
      </w:r>
      <w:r>
        <w:rPr>
          <w:rFonts w:hint="eastAsia" w:hAnsi="宋体" w:cs="宋体"/>
          <w:color w:val="auto"/>
          <w:kern w:val="0"/>
          <w:u w:val="single"/>
        </w:rPr>
        <w:t>，</w:t>
      </w:r>
      <w:r>
        <w:rPr>
          <w:rFonts w:hint="eastAsia" w:hAnsi="宋体" w:cs="宋体"/>
          <w:color w:val="auto"/>
          <w:kern w:val="0"/>
          <w:szCs w:val="21"/>
          <w:u w:val="single"/>
        </w:rPr>
        <w:t xml:space="preserve">                          </w:t>
      </w:r>
      <w:r>
        <w:rPr>
          <w:rFonts w:hint="eastAsia" w:hAnsi="宋体" w:cs="宋体"/>
          <w:color w:val="auto"/>
          <w:kern w:val="0"/>
          <w:u w:val="single"/>
        </w:rPr>
        <w:t>（某成员单位名称）为</w:t>
      </w:r>
      <w:r>
        <w:rPr>
          <w:rFonts w:hint="eastAsia" w:hAnsi="宋体" w:cs="宋体"/>
          <w:color w:val="auto"/>
          <w:kern w:val="0"/>
          <w:szCs w:val="21"/>
          <w:u w:val="single"/>
        </w:rPr>
        <w:t xml:space="preserve">      </w:t>
      </w:r>
      <w:r>
        <w:rPr>
          <w:rFonts w:hint="eastAsia" w:hAnsi="宋体" w:cs="宋体"/>
          <w:color w:val="auto"/>
        </w:rPr>
        <w:t>（请填写：中型、小型、微型）企业，其协议合同金额占联合体协议合同总金额的</w:t>
      </w:r>
      <w:r>
        <w:rPr>
          <w:rFonts w:hint="eastAsia" w:hAnsi="宋体" w:cs="宋体"/>
          <w:color w:val="auto"/>
          <w:kern w:val="0"/>
          <w:szCs w:val="21"/>
          <w:u w:val="single"/>
        </w:rPr>
        <w:t xml:space="preserve">      </w:t>
      </w:r>
      <w:r>
        <w:rPr>
          <w:rFonts w:hint="eastAsia" w:hAnsi="宋体" w:cs="宋体"/>
          <w:color w:val="auto"/>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6、本协议书自签署之日起生效，合同履行完毕后自动失效。</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7、本协议书一式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份，联合体成员和采购代理机构各执一份。</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牵头人名称：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pPr>
        <w:autoSpaceDE w:val="0"/>
        <w:autoSpaceDN w:val="0"/>
        <w:adjustRightInd w:val="0"/>
        <w:spacing w:line="360" w:lineRule="auto"/>
        <w:jc w:val="left"/>
        <w:rPr>
          <w:rFonts w:ascii="宋体" w:hAnsi="宋体" w:cs="宋体"/>
          <w:color w:val="auto"/>
          <w:kern w:val="0"/>
          <w:szCs w:val="21"/>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成员一名称：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pPr>
        <w:autoSpaceDE w:val="0"/>
        <w:autoSpaceDN w:val="0"/>
        <w:adjustRightInd w:val="0"/>
        <w:spacing w:line="360" w:lineRule="auto"/>
        <w:jc w:val="left"/>
        <w:rPr>
          <w:rFonts w:ascii="宋体" w:hAnsi="宋体" w:cs="宋体"/>
          <w:color w:val="auto"/>
          <w:kern w:val="0"/>
          <w:szCs w:val="21"/>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成员二名称：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pStyle w:val="18"/>
        <w:spacing w:line="360" w:lineRule="auto"/>
        <w:rPr>
          <w:rFonts w:hAnsi="宋体" w:cs="宋体"/>
          <w:color w:val="auto"/>
          <w:kern w:val="0"/>
          <w:szCs w:val="21"/>
        </w:rPr>
      </w:pPr>
      <w:r>
        <w:rPr>
          <w:rFonts w:hint="eastAsia" w:hAnsi="宋体" w:cs="宋体"/>
          <w:color w:val="auto"/>
          <w:kern w:val="0"/>
          <w:szCs w:val="21"/>
        </w:rPr>
        <w:t>法定代表人或其委托代理人：</w:t>
      </w:r>
      <w:r>
        <w:rPr>
          <w:rFonts w:hint="eastAsia" w:hAnsi="宋体" w:cs="宋体"/>
          <w:color w:val="auto"/>
          <w:kern w:val="0"/>
          <w:szCs w:val="21"/>
          <w:u w:val="single"/>
        </w:rPr>
        <w:t xml:space="preserve">                         </w:t>
      </w:r>
      <w:r>
        <w:rPr>
          <w:rFonts w:hint="eastAsia" w:hAnsi="宋体" w:cs="宋体"/>
          <w:color w:val="auto"/>
          <w:kern w:val="0"/>
          <w:szCs w:val="21"/>
        </w:rPr>
        <w:t>（签字）</w:t>
      </w:r>
    </w:p>
    <w:p>
      <w:pPr>
        <w:pStyle w:val="8"/>
        <w:overflowPunct w:val="0"/>
        <w:spacing w:line="360" w:lineRule="auto"/>
        <w:ind w:firstLineChars="175"/>
        <w:rPr>
          <w:rFonts w:ascii="宋体" w:hAnsi="宋体" w:cs="宋体"/>
          <w:color w:val="auto"/>
          <w:sz w:val="24"/>
        </w:rPr>
      </w:pPr>
      <w:r>
        <w:rPr>
          <w:rFonts w:hint="eastAsia" w:ascii="宋体" w:hAnsi="宋体" w:cs="宋体"/>
          <w:color w:val="auto"/>
          <w:sz w:val="24"/>
        </w:rPr>
        <w:t>……</w:t>
      </w:r>
    </w:p>
    <w:p>
      <w:pPr>
        <w:pStyle w:val="8"/>
        <w:overflowPunct w:val="0"/>
        <w:spacing w:line="360" w:lineRule="auto"/>
        <w:ind w:firstLineChars="175"/>
        <w:rPr>
          <w:rFonts w:ascii="宋体" w:hAnsi="宋体" w:cs="宋体"/>
          <w:color w:val="auto"/>
          <w:sz w:val="24"/>
        </w:rPr>
      </w:pPr>
    </w:p>
    <w:p>
      <w:pPr>
        <w:pStyle w:val="8"/>
        <w:overflowPunct w:val="0"/>
        <w:spacing w:line="360" w:lineRule="auto"/>
        <w:ind w:firstLine="7140" w:firstLineChars="2975"/>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rPr>
        <w:tab/>
      </w:r>
      <w:r>
        <w:rPr>
          <w:rFonts w:hint="eastAsia" w:ascii="宋体" w:hAnsi="宋体" w:cs="宋体"/>
          <w:color w:val="auto"/>
          <w:sz w:val="24"/>
        </w:rPr>
        <w:t xml:space="preserve">年  </w:t>
      </w:r>
      <w:r>
        <w:rPr>
          <w:rFonts w:hint="eastAsia" w:ascii="宋体" w:hAnsi="宋体" w:cs="宋体"/>
          <w:color w:val="auto"/>
          <w:sz w:val="24"/>
        </w:rPr>
        <w:tab/>
      </w:r>
      <w:r>
        <w:rPr>
          <w:rFonts w:hint="eastAsia" w:ascii="宋体" w:hAnsi="宋体" w:cs="宋体"/>
          <w:color w:val="auto"/>
          <w:sz w:val="24"/>
        </w:rPr>
        <w:t xml:space="preserve">月  </w:t>
      </w:r>
      <w:r>
        <w:rPr>
          <w:rFonts w:hint="eastAsia" w:ascii="宋体" w:hAnsi="宋体" w:cs="宋体"/>
          <w:color w:val="auto"/>
          <w:sz w:val="24"/>
        </w:rPr>
        <w:tab/>
      </w:r>
      <w:r>
        <w:rPr>
          <w:rFonts w:hint="eastAsia" w:ascii="宋体" w:hAnsi="宋体" w:cs="宋体"/>
          <w:color w:val="auto"/>
          <w:sz w:val="24"/>
        </w:rPr>
        <w:t>日</w:t>
      </w:r>
    </w:p>
    <w:p>
      <w:pPr>
        <w:pStyle w:val="18"/>
        <w:spacing w:line="600" w:lineRule="exact"/>
        <w:jc w:val="center"/>
        <w:rPr>
          <w:rFonts w:hAnsi="宋体" w:cs="宋体"/>
          <w:color w:val="auto"/>
          <w:kern w:val="0"/>
          <w:szCs w:val="21"/>
        </w:rPr>
      </w:pPr>
    </w:p>
    <w:p>
      <w:pPr>
        <w:pStyle w:val="18"/>
        <w:rPr>
          <w:rFonts w:hAnsi="宋体"/>
          <w:color w:val="auto"/>
          <w:szCs w:val="21"/>
        </w:rPr>
      </w:pPr>
    </w:p>
    <w:p>
      <w:pPr>
        <w:pStyle w:val="18"/>
        <w:jc w:val="center"/>
        <w:outlineLvl w:val="1"/>
        <w:rPr>
          <w:rFonts w:hAnsi="宋体"/>
          <w:b/>
          <w:bCs/>
          <w:color w:val="auto"/>
          <w:sz w:val="28"/>
          <w:szCs w:val="28"/>
        </w:rPr>
      </w:pPr>
      <w:bookmarkStart w:id="388" w:name="_Toc19686838"/>
      <w:bookmarkStart w:id="389" w:name="_Toc20777"/>
      <w:bookmarkStart w:id="390" w:name="_Toc3944"/>
      <w:bookmarkStart w:id="391" w:name="_Toc16062"/>
      <w:bookmarkStart w:id="392" w:name="_Toc8189"/>
      <w:bookmarkStart w:id="393" w:name="_Toc24133"/>
      <w:bookmarkStart w:id="394" w:name="_Toc6839"/>
      <w:bookmarkStart w:id="395" w:name="_Toc31528"/>
      <w:bookmarkStart w:id="396" w:name="_Toc12624"/>
      <w:bookmarkStart w:id="397" w:name="_Toc13159"/>
      <w:bookmarkStart w:id="398" w:name="_Toc2566"/>
    </w:p>
    <w:p>
      <w:pPr>
        <w:pStyle w:val="18"/>
        <w:jc w:val="center"/>
        <w:outlineLvl w:val="1"/>
        <w:rPr>
          <w:rFonts w:hAnsi="宋体"/>
          <w:b/>
          <w:bCs/>
          <w:color w:val="auto"/>
          <w:sz w:val="28"/>
          <w:szCs w:val="28"/>
        </w:rPr>
      </w:pPr>
      <w:r>
        <w:rPr>
          <w:rFonts w:hint="eastAsia" w:hAnsi="宋体"/>
          <w:b/>
          <w:bCs/>
          <w:color w:val="auto"/>
          <w:sz w:val="28"/>
          <w:szCs w:val="28"/>
        </w:rPr>
        <w:t>第二节 商务文件格式</w:t>
      </w:r>
      <w:bookmarkEnd w:id="388"/>
      <w:bookmarkEnd w:id="389"/>
      <w:bookmarkEnd w:id="390"/>
      <w:bookmarkEnd w:id="391"/>
      <w:bookmarkEnd w:id="392"/>
      <w:bookmarkEnd w:id="393"/>
      <w:bookmarkEnd w:id="394"/>
      <w:bookmarkEnd w:id="395"/>
      <w:bookmarkEnd w:id="396"/>
      <w:bookmarkEnd w:id="397"/>
      <w:bookmarkEnd w:id="398"/>
    </w:p>
    <w:p>
      <w:pPr>
        <w:snapToGrid w:val="0"/>
        <w:spacing w:before="120" w:beforeLines="50" w:after="50"/>
        <w:rPr>
          <w:rFonts w:ascii="宋体" w:hAnsi="宋体"/>
          <w:color w:val="auto"/>
          <w:sz w:val="30"/>
          <w:szCs w:val="20"/>
        </w:rPr>
      </w:pPr>
    </w:p>
    <w:p>
      <w:pPr>
        <w:pStyle w:val="2"/>
        <w:rPr>
          <w:color w:val="auto"/>
        </w:rPr>
      </w:pPr>
      <w:r>
        <w:rPr>
          <w:rFonts w:hint="eastAsia" w:ascii="宋体" w:hAnsi="宋体" w:cs="宋体"/>
          <w:b/>
          <w:color w:val="auto"/>
          <w:sz w:val="28"/>
          <w:szCs w:val="28"/>
        </w:rPr>
        <w:t>1.商务文件封面的格式</w:t>
      </w:r>
      <w:r>
        <w:rPr>
          <w:rFonts w:hint="eastAsia" w:hAnsi="宋体" w:cs="宋体"/>
          <w:b/>
          <w:bCs/>
          <w:color w:val="auto"/>
          <w:sz w:val="28"/>
          <w:szCs w:val="28"/>
        </w:rPr>
        <w:t>（参照此格式自拟）</w:t>
      </w:r>
      <w:r>
        <w:rPr>
          <w:rFonts w:hint="eastAsia" w:ascii="宋体" w:hAnsi="宋体" w:cs="宋体"/>
          <w:b/>
          <w:color w:val="auto"/>
          <w:sz w:val="28"/>
          <w:szCs w:val="28"/>
        </w:rPr>
        <w:t>：</w:t>
      </w:r>
    </w:p>
    <w:p>
      <w:pPr>
        <w:snapToGrid w:val="0"/>
        <w:spacing w:before="120"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 xml:space="preserve">             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商务文件</w:t>
      </w:r>
    </w:p>
    <w:p>
      <w:pPr>
        <w:snapToGrid w:val="0"/>
        <w:spacing w:before="120" w:beforeLines="50" w:after="50"/>
        <w:rPr>
          <w:rFonts w:ascii="宋体" w:hAnsi="宋体"/>
          <w:bCs/>
          <w:color w:val="auto"/>
          <w:sz w:val="24"/>
          <w:szCs w:val="20"/>
        </w:rPr>
      </w:pPr>
    </w:p>
    <w:p>
      <w:pPr>
        <w:snapToGrid w:val="0"/>
        <w:spacing w:before="120" w:beforeLines="50" w:after="50"/>
        <w:ind w:firstLine="540" w:firstLineChars="225"/>
        <w:rPr>
          <w:rFonts w:ascii="宋体" w:hAnsi="宋体"/>
          <w:bCs/>
          <w:color w:val="auto"/>
          <w:sz w:val="24"/>
        </w:rPr>
      </w:pP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项目名称：</w:t>
      </w: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项目编号： </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ind w:firstLine="540" w:firstLineChars="225"/>
        <w:rPr>
          <w:rFonts w:ascii="宋体" w:hAnsi="宋体"/>
          <w:bCs/>
          <w:color w:val="auto"/>
          <w:sz w:val="24"/>
          <w:szCs w:val="20"/>
        </w:rPr>
      </w:pPr>
    </w:p>
    <w:p>
      <w:pPr>
        <w:pStyle w:val="8"/>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960" w:firstLineChars="400"/>
        <w:rPr>
          <w:rFonts w:ascii="宋体" w:hAnsi="宋体"/>
          <w:bCs/>
          <w:color w:val="auto"/>
          <w:sz w:val="24"/>
          <w:szCs w:val="24"/>
        </w:rPr>
      </w:pPr>
    </w:p>
    <w:p>
      <w:pPr>
        <w:snapToGrid w:val="0"/>
        <w:spacing w:before="120" w:beforeLines="50" w:after="50"/>
        <w:ind w:firstLine="645"/>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4329" w:firstLineChars="1804"/>
        <w:rPr>
          <w:rFonts w:ascii="宋体" w:hAnsi="宋体"/>
          <w:color w:val="auto"/>
          <w:sz w:val="24"/>
        </w:rPr>
      </w:pPr>
      <w:r>
        <w:rPr>
          <w:rFonts w:hint="eastAsia" w:ascii="宋体" w:hAnsi="宋体"/>
          <w:color w:val="auto"/>
          <w:sz w:val="24"/>
        </w:rPr>
        <w:t xml:space="preserve"> 年  月  日</w:t>
      </w:r>
    </w:p>
    <w:p>
      <w:pPr>
        <w:spacing w:line="360" w:lineRule="auto"/>
        <w:ind w:right="420"/>
        <w:rPr>
          <w:rFonts w:ascii="仿宋_GB2312" w:hAnsi="仿宋" w:eastAsia="仿宋_GB2312" w:cs="仿宋_GB2312"/>
          <w:b/>
          <w:color w:val="auto"/>
          <w:kern w:val="0"/>
          <w:sz w:val="36"/>
          <w:szCs w:val="36"/>
        </w:rPr>
      </w:pPr>
      <w:r>
        <w:rPr>
          <w:rFonts w:hint="eastAsia" w:ascii="宋体" w:hAnsi="宋体"/>
          <w:color w:val="auto"/>
          <w:sz w:val="24"/>
          <w:szCs w:val="20"/>
        </w:rPr>
        <w:t xml:space="preserve"> </w:t>
      </w:r>
    </w:p>
    <w:p>
      <w:pPr>
        <w:rPr>
          <w:rFonts w:ascii="仿宋_GB2312" w:hAnsi="仿宋" w:eastAsia="仿宋_GB2312" w:cs="仿宋_GB2312"/>
          <w:b/>
          <w:color w:val="auto"/>
          <w:kern w:val="0"/>
          <w:sz w:val="24"/>
        </w:rPr>
      </w:pPr>
      <w:r>
        <w:rPr>
          <w:rFonts w:hint="eastAsia" w:ascii="仿宋_GB2312" w:hAnsi="仿宋" w:eastAsia="仿宋_GB2312" w:cs="仿宋_GB2312"/>
          <w:b/>
          <w:color w:val="auto"/>
          <w:kern w:val="0"/>
          <w:sz w:val="24"/>
        </w:rPr>
        <w:br w:type="page"/>
      </w:r>
    </w:p>
    <w:p>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2.商务文件目录</w:t>
      </w:r>
    </w:p>
    <w:p>
      <w:pPr>
        <w:jc w:val="left"/>
        <w:rPr>
          <w:b/>
          <w:bCs/>
          <w:color w:val="auto"/>
          <w:sz w:val="30"/>
          <w:szCs w:val="30"/>
        </w:rPr>
      </w:pPr>
      <w:r>
        <w:rPr>
          <w:rFonts w:hint="eastAsia" w:ascii="宋体" w:hAnsi="宋体" w:cs="宋体"/>
          <w:color w:val="auto"/>
          <w:kern w:val="0"/>
          <w:sz w:val="24"/>
        </w:rPr>
        <w:t>根据招标文件规定及投标人提供的材料自行编写目录（部分格式后附）。</w:t>
      </w:r>
      <w:r>
        <w:rPr>
          <w:rFonts w:hint="eastAsia"/>
          <w:b/>
          <w:bCs/>
          <w:color w:val="auto"/>
          <w:sz w:val="30"/>
          <w:szCs w:val="30"/>
        </w:rPr>
        <w:br w:type="page"/>
      </w:r>
    </w:p>
    <w:p>
      <w:pPr>
        <w:snapToGrid w:val="0"/>
        <w:spacing w:before="120" w:beforeLines="50" w:after="50"/>
        <w:rPr>
          <w:b/>
          <w:bCs/>
          <w:color w:val="auto"/>
          <w:sz w:val="30"/>
          <w:szCs w:val="30"/>
        </w:rPr>
      </w:pPr>
      <w:r>
        <w:rPr>
          <w:rFonts w:hint="eastAsia" w:ascii="宋体" w:hAnsi="宋体" w:cs="宋体"/>
          <w:b/>
          <w:bCs/>
          <w:color w:val="auto"/>
          <w:sz w:val="28"/>
          <w:szCs w:val="28"/>
        </w:rPr>
        <w:t>3.无串通投标行为的承诺函的格式：</w:t>
      </w:r>
    </w:p>
    <w:p>
      <w:pPr>
        <w:snapToGrid w:val="0"/>
        <w:spacing w:before="120" w:beforeLines="50" w:after="50"/>
        <w:ind w:left="420"/>
        <w:jc w:val="center"/>
        <w:rPr>
          <w:rFonts w:ascii="宋体" w:hAnsi="宋体"/>
          <w:b/>
          <w:color w:val="auto"/>
          <w:sz w:val="32"/>
          <w:szCs w:val="32"/>
        </w:rPr>
      </w:pPr>
    </w:p>
    <w:p>
      <w:pPr>
        <w:snapToGrid w:val="0"/>
        <w:spacing w:before="120" w:beforeLines="50" w:after="50"/>
        <w:ind w:left="420"/>
        <w:jc w:val="center"/>
        <w:rPr>
          <w:rFonts w:ascii="宋体" w:hAnsi="宋体"/>
          <w:b/>
          <w:color w:val="auto"/>
          <w:sz w:val="32"/>
          <w:szCs w:val="32"/>
        </w:rPr>
      </w:pPr>
      <w:r>
        <w:rPr>
          <w:rFonts w:hint="eastAsia" w:ascii="宋体" w:hAnsi="宋体"/>
          <w:b/>
          <w:color w:val="auto"/>
          <w:sz w:val="32"/>
          <w:szCs w:val="32"/>
        </w:rPr>
        <w:t>参加本项目无</w:t>
      </w:r>
      <w:r>
        <w:rPr>
          <w:rFonts w:hint="eastAsia"/>
          <w:b/>
          <w:bCs/>
          <w:color w:val="auto"/>
          <w:sz w:val="32"/>
          <w:szCs w:val="32"/>
        </w:rPr>
        <w:t>串通投</w:t>
      </w:r>
      <w:r>
        <w:rPr>
          <w:rFonts w:hint="eastAsia" w:ascii="宋体" w:hAnsi="宋体"/>
          <w:b/>
          <w:color w:val="auto"/>
          <w:sz w:val="32"/>
          <w:szCs w:val="32"/>
        </w:rPr>
        <w:t>标行为的承诺函</w:t>
      </w:r>
    </w:p>
    <w:p>
      <w:pPr>
        <w:snapToGrid w:val="0"/>
        <w:spacing w:before="120" w:beforeLines="50" w:after="50"/>
        <w:rPr>
          <w:rFonts w:ascii="宋体" w:hAnsi="宋体"/>
          <w:b/>
          <w:color w:val="auto"/>
          <w:szCs w:val="21"/>
        </w:rPr>
      </w:pPr>
    </w:p>
    <w:p>
      <w:pPr>
        <w:snapToGrid w:val="0"/>
        <w:spacing w:before="120"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pPr>
        <w:snapToGrid w:val="0"/>
        <w:spacing w:before="120" w:beforeLines="50" w:after="50" w:line="360" w:lineRule="auto"/>
        <w:ind w:firstLine="411" w:firstLineChars="196"/>
        <w:jc w:val="left"/>
        <w:rPr>
          <w:rFonts w:ascii="宋体" w:hAnsi="宋体"/>
          <w:color w:val="auto"/>
          <w:szCs w:val="21"/>
        </w:rPr>
      </w:pPr>
      <w:r>
        <w:rPr>
          <w:rFonts w:ascii="宋体" w:hAnsi="宋体"/>
          <w:color w:val="auto"/>
          <w:szCs w:val="21"/>
        </w:rPr>
        <w:t>6</w:t>
      </w:r>
      <w:r>
        <w:rPr>
          <w:rFonts w:hint="eastAsia" w:ascii="宋体" w:hAnsi="宋体"/>
          <w:color w:val="auto"/>
          <w:szCs w:val="21"/>
        </w:rPr>
        <w:t>.不同投标人的投标保证金从同一单位或者个人账户转出。</w:t>
      </w:r>
    </w:p>
    <w:p>
      <w:pPr>
        <w:snapToGrid w:val="0"/>
        <w:spacing w:before="120"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3.投标人之间协商报价、技术方案等投标文件的实质性内容；</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hAnsi="宋体"/>
          <w:b/>
          <w:color w:val="auto"/>
          <w:szCs w:val="21"/>
        </w:rPr>
      </w:pPr>
      <w:r>
        <w:rPr>
          <w:rFonts w:hint="eastAsia" w:ascii="宋体" w:hAnsi="宋体"/>
          <w:b/>
          <w:color w:val="auto"/>
          <w:szCs w:val="21"/>
        </w:rPr>
        <w:t>以上情形一经核查属实，接受政府采购监管部门对我方认定存在围标串标行为，我方愿意承担一切后果，并不再寻求任何旨在减轻或者免除法律责任的辩解。</w:t>
      </w:r>
    </w:p>
    <w:p>
      <w:pPr>
        <w:pStyle w:val="12"/>
        <w:rPr>
          <w:color w:val="auto"/>
        </w:rPr>
      </w:pPr>
    </w:p>
    <w:p>
      <w:pPr>
        <w:snapToGrid w:val="0"/>
        <w:spacing w:line="360" w:lineRule="auto"/>
        <w:ind w:firstLine="4935" w:firstLineChars="2350"/>
        <w:rPr>
          <w:rFonts w:ascii="宋体" w:hAnsi="宋体" w:cs="宋体"/>
          <w:color w:val="auto"/>
          <w:kern w:val="0"/>
          <w:sz w:val="24"/>
        </w:rPr>
      </w:pPr>
      <w:r>
        <w:rPr>
          <w:rFonts w:hAnsi="宋体"/>
          <w:color w:val="auto"/>
          <w:szCs w:val="21"/>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pStyle w:val="18"/>
        <w:snapToGrid w:val="0"/>
        <w:spacing w:before="295" w:after="295" w:line="360" w:lineRule="auto"/>
        <w:rPr>
          <w:rFonts w:hAnsi="宋体"/>
          <w:b/>
          <w:color w:val="auto"/>
          <w:sz w:val="24"/>
        </w:rPr>
      </w:pPr>
      <w:r>
        <w:rPr>
          <w:rFonts w:hint="eastAsia" w:hAnsi="宋体"/>
          <w:b/>
          <w:color w:val="auto"/>
          <w:sz w:val="24"/>
        </w:rPr>
        <w:br w:type="page"/>
      </w:r>
      <w:r>
        <w:rPr>
          <w:rFonts w:hint="eastAsia" w:hAnsi="宋体" w:cs="宋体"/>
          <w:b/>
          <w:bCs/>
          <w:color w:val="auto"/>
          <w:sz w:val="28"/>
          <w:szCs w:val="28"/>
        </w:rPr>
        <w:t>4.法定代表人身份证明的格式：</w:t>
      </w:r>
    </w:p>
    <w:p>
      <w:pPr>
        <w:spacing w:before="240" w:beforeLines="100" w:after="120" w:afterLines="50"/>
        <w:ind w:left="540"/>
        <w:jc w:val="center"/>
        <w:rPr>
          <w:rFonts w:ascii="宋体" w:hAnsi="Courier New"/>
          <w:b/>
          <w:color w:val="auto"/>
          <w:sz w:val="32"/>
          <w:szCs w:val="32"/>
        </w:rPr>
      </w:pPr>
    </w:p>
    <w:p>
      <w:pPr>
        <w:spacing w:before="240" w:beforeLines="100" w:after="120" w:afterLines="50"/>
        <w:ind w:left="540"/>
        <w:jc w:val="center"/>
        <w:rPr>
          <w:rFonts w:ascii="黑体" w:hAnsi="宋体" w:eastAsia="黑体"/>
          <w:color w:val="auto"/>
          <w:sz w:val="32"/>
          <w:szCs w:val="32"/>
        </w:rPr>
      </w:pPr>
      <w:r>
        <w:rPr>
          <w:rFonts w:hint="eastAsia" w:ascii="宋体" w:hAnsi="Courier New"/>
          <w:b/>
          <w:color w:val="auto"/>
          <w:sz w:val="32"/>
          <w:szCs w:val="32"/>
        </w:rPr>
        <w:t>法定代表人身份证明</w:t>
      </w:r>
    </w:p>
    <w:p>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i/>
          <w:iCs/>
          <w:color w:val="auto"/>
          <w:sz w:val="24"/>
          <w:u w:val="single"/>
        </w:rPr>
        <w:t>（投标人名称</w:t>
      </w:r>
      <w:r>
        <w:rPr>
          <w:rFonts w:hint="eastAsia" w:ascii="宋体" w:hAnsi="宋体"/>
          <w:color w:val="auto"/>
          <w:sz w:val="24"/>
          <w:u w:val="single"/>
        </w:rPr>
        <w:t xml:space="preserve">）              </w:t>
      </w:r>
      <w:r>
        <w:rPr>
          <w:rFonts w:hint="eastAsia" w:ascii="宋体" w:hAnsi="宋体"/>
          <w:color w:val="auto"/>
          <w:sz w:val="24"/>
        </w:rPr>
        <w:t>的法定代表人。</w:t>
      </w:r>
    </w:p>
    <w:p>
      <w:pPr>
        <w:spacing w:line="500" w:lineRule="exact"/>
        <w:ind w:left="540"/>
        <w:rPr>
          <w:rFonts w:ascii="宋体" w:hAnsi="宋体"/>
          <w:color w:val="auto"/>
          <w:sz w:val="24"/>
        </w:rPr>
      </w:pPr>
      <w:r>
        <w:rPr>
          <w:rFonts w:hint="eastAsia" w:ascii="宋体" w:hAnsi="宋体"/>
          <w:color w:val="auto"/>
          <w:sz w:val="24"/>
        </w:rPr>
        <w:t>特此证明。</w:t>
      </w:r>
    </w:p>
    <w:p>
      <w:pPr>
        <w:spacing w:line="500" w:lineRule="exact"/>
        <w:ind w:left="540"/>
        <w:rPr>
          <w:rFonts w:ascii="宋体" w:hAnsi="宋体"/>
          <w:color w:val="auto"/>
          <w:sz w:val="24"/>
        </w:rPr>
      </w:pPr>
    </w:p>
    <w:p>
      <w:pPr>
        <w:spacing w:line="500" w:lineRule="exact"/>
        <w:ind w:left="540"/>
        <w:rPr>
          <w:rFonts w:ascii="宋体" w:hAnsi="宋体"/>
          <w:color w:val="auto"/>
          <w:sz w:val="24"/>
        </w:rPr>
      </w:pPr>
    </w:p>
    <w:p>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pPr>
        <w:spacing w:line="500" w:lineRule="exact"/>
        <w:ind w:left="540"/>
        <w:rPr>
          <w:rFonts w:ascii="宋体" w:hAnsi="宋体"/>
          <w:color w:val="auto"/>
          <w:sz w:val="24"/>
        </w:rPr>
      </w:pPr>
    </w:p>
    <w:p>
      <w:pPr>
        <w:snapToGrid w:val="0"/>
        <w:spacing w:line="360" w:lineRule="auto"/>
        <w:ind w:firstLine="4935" w:firstLineChars="2350"/>
        <w:rPr>
          <w:rFonts w:ascii="宋体" w:hAnsi="宋体" w:cs="宋体"/>
          <w:color w:val="auto"/>
          <w:kern w:val="0"/>
          <w:sz w:val="24"/>
        </w:rPr>
      </w:pPr>
      <w:r>
        <w:rPr>
          <w:rFonts w:hAnsi="宋体"/>
          <w:color w:val="auto"/>
          <w:szCs w:val="21"/>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before="120" w:beforeLines="50" w:after="50"/>
        <w:jc w:val="center"/>
        <w:rPr>
          <w:rFonts w:ascii="宋体" w:hAnsi="宋体"/>
          <w:b/>
          <w:color w:val="auto"/>
          <w:sz w:val="24"/>
        </w:rPr>
      </w:pPr>
    </w:p>
    <w:p>
      <w:pPr>
        <w:snapToGrid w:val="0"/>
        <w:spacing w:before="120" w:beforeLines="50" w:after="50"/>
        <w:ind w:firstLine="600" w:firstLineChars="250"/>
        <w:jc w:val="left"/>
        <w:rPr>
          <w:rFonts w:ascii="宋体" w:hAnsi="宋体"/>
          <w:color w:val="auto"/>
          <w:sz w:val="24"/>
        </w:rPr>
      </w:pPr>
      <w:r>
        <w:rPr>
          <w:rFonts w:hint="eastAsia" w:ascii="宋体" w:hAnsi="宋体"/>
          <w:color w:val="auto"/>
          <w:sz w:val="24"/>
        </w:rPr>
        <w:t>注：自然人投标的无需提供</w:t>
      </w:r>
    </w:p>
    <w:p>
      <w:pPr>
        <w:snapToGrid w:val="0"/>
        <w:spacing w:before="120" w:beforeLines="50" w:after="50"/>
        <w:ind w:firstLine="600" w:firstLineChars="250"/>
        <w:jc w:val="left"/>
        <w:rPr>
          <w:rFonts w:ascii="宋体" w:hAnsi="宋体"/>
          <w:color w:val="auto"/>
          <w:sz w:val="24"/>
        </w:rPr>
      </w:pPr>
    </w:p>
    <w:p>
      <w:pPr>
        <w:snapToGrid w:val="0"/>
        <w:spacing w:before="120" w:beforeLines="50" w:after="50"/>
        <w:ind w:firstLine="602" w:firstLineChars="250"/>
        <w:jc w:val="left"/>
        <w:rPr>
          <w:rFonts w:ascii="宋体" w:hAnsi="宋体"/>
          <w:b/>
          <w:color w:val="auto"/>
          <w:sz w:val="24"/>
          <w:szCs w:val="20"/>
        </w:rPr>
      </w:pPr>
    </w:p>
    <w:tbl>
      <w:tblPr>
        <w:tblStyle w:val="28"/>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4"/>
              </w:rPr>
            </w:pPr>
          </w:p>
          <w:p>
            <w:pPr>
              <w:spacing w:line="360" w:lineRule="auto"/>
              <w:rPr>
                <w:rFonts w:ascii="宋体"/>
                <w:b/>
                <w:color w:val="auto"/>
                <w:sz w:val="24"/>
              </w:rPr>
            </w:pPr>
            <w:r>
              <w:rPr>
                <w:rFonts w:hint="eastAsia" w:ascii="宋体"/>
                <w:b/>
                <w:color w:val="auto"/>
                <w:sz w:val="24"/>
              </w:rPr>
              <w:t>法定代表人有效身份证复印件粘帖处（正、反面）</w:t>
            </w:r>
          </w:p>
        </w:tc>
      </w:tr>
    </w:tbl>
    <w:p>
      <w:pPr>
        <w:pStyle w:val="18"/>
        <w:snapToGrid w:val="0"/>
        <w:spacing w:before="295" w:after="295" w:line="360" w:lineRule="auto"/>
        <w:jc w:val="left"/>
        <w:rPr>
          <w:rFonts w:hAnsi="宋体"/>
          <w:b/>
          <w:color w:val="auto"/>
          <w:sz w:val="24"/>
        </w:rPr>
      </w:pPr>
      <w:r>
        <w:rPr>
          <w:rFonts w:hint="eastAsia" w:hAnsi="宋体"/>
          <w:b/>
          <w:color w:val="auto"/>
          <w:sz w:val="24"/>
        </w:rPr>
        <w:t>附件：</w:t>
      </w:r>
      <w:r>
        <w:rPr>
          <w:rFonts w:hint="eastAsia" w:hAnsi="宋体"/>
          <w:b/>
          <w:color w:val="auto"/>
          <w:sz w:val="24"/>
        </w:rPr>
        <w:br w:type="page"/>
      </w:r>
      <w:r>
        <w:rPr>
          <w:rFonts w:hint="eastAsia" w:hAnsi="宋体" w:cs="宋体"/>
          <w:b/>
          <w:bCs/>
          <w:color w:val="auto"/>
          <w:sz w:val="30"/>
          <w:szCs w:val="30"/>
        </w:rPr>
        <w:t>5.法定代表人授权委托书的格式：</w:t>
      </w:r>
    </w:p>
    <w:p>
      <w:pPr>
        <w:snapToGrid w:val="0"/>
        <w:spacing w:before="120" w:beforeLines="50" w:after="50"/>
        <w:jc w:val="center"/>
        <w:rPr>
          <w:rFonts w:ascii="宋体" w:hAnsi="宋体"/>
          <w:b/>
          <w:color w:val="auto"/>
          <w:sz w:val="32"/>
          <w:szCs w:val="32"/>
        </w:rPr>
      </w:pPr>
    </w:p>
    <w:p>
      <w:pPr>
        <w:snapToGrid w:val="0"/>
        <w:spacing w:before="120" w:beforeLines="50" w:after="50"/>
        <w:jc w:val="center"/>
        <w:rPr>
          <w:rFonts w:ascii="宋体" w:hAnsi="宋体"/>
          <w:b/>
          <w:color w:val="auto"/>
          <w:sz w:val="32"/>
          <w:szCs w:val="32"/>
        </w:rPr>
      </w:pPr>
      <w:r>
        <w:rPr>
          <w:rFonts w:hint="eastAsia" w:ascii="宋体" w:hAnsi="宋体"/>
          <w:b/>
          <w:color w:val="auto"/>
          <w:sz w:val="32"/>
          <w:szCs w:val="32"/>
        </w:rPr>
        <w:t>法定代表人授权委托书（如有委托时）</w:t>
      </w:r>
    </w:p>
    <w:p>
      <w:pPr>
        <w:snapToGrid w:val="0"/>
        <w:spacing w:before="120" w:beforeLines="50" w:after="50"/>
        <w:jc w:val="center"/>
        <w:rPr>
          <w:rFonts w:ascii="宋体" w:hAnsi="宋体"/>
          <w:b/>
          <w:color w:val="auto"/>
          <w:sz w:val="24"/>
        </w:rPr>
      </w:pPr>
    </w:p>
    <w:p>
      <w:pPr>
        <w:pStyle w:val="18"/>
        <w:spacing w:line="360" w:lineRule="exact"/>
        <w:ind w:firstLine="420" w:firstLineChars="200"/>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u w:val="single"/>
          <w:lang w:eastAsia="zh-CN"/>
        </w:rPr>
        <w:t>广西华晟招标代理有限公司</w:t>
      </w:r>
      <w:r>
        <w:rPr>
          <w:rFonts w:ascii="Times New Roman" w:hAnsi="Times New Roman"/>
          <w:color w:val="auto"/>
          <w:u w:val="single"/>
        </w:rPr>
        <w:t xml:space="preserve"> </w:t>
      </w:r>
    </w:p>
    <w:p>
      <w:pPr>
        <w:pStyle w:val="18"/>
        <w:spacing w:line="360" w:lineRule="exact"/>
        <w:ind w:firstLine="420" w:firstLineChars="200"/>
        <w:rPr>
          <w:rFonts w:ascii="Times New Roman" w:hAnsi="Times New Roman"/>
          <w:color w:val="auto"/>
        </w:rPr>
      </w:pPr>
      <w:r>
        <w:rPr>
          <w:rFonts w:hint="eastAsia" w:ascii="Times New Roman" w:hAnsi="Times New Roman"/>
          <w:color w:val="auto"/>
        </w:rPr>
        <w:t>本人</w:t>
      </w:r>
      <w:r>
        <w:rPr>
          <w:rFonts w:ascii="Times New Roman" w:hAnsi="Times New Roman"/>
          <w:color w:val="auto"/>
          <w:u w:val="single"/>
        </w:rPr>
        <w:t xml:space="preserve">        </w:t>
      </w:r>
      <w:r>
        <w:rPr>
          <w:rFonts w:hint="eastAsia" w:ascii="Times New Roman" w:hAnsi="Times New Roman"/>
          <w:color w:val="auto"/>
        </w:rPr>
        <w:t>（姓名）系</w:t>
      </w:r>
      <w:r>
        <w:rPr>
          <w:rFonts w:ascii="Times New Roman" w:hAnsi="Times New Roman"/>
          <w:color w:val="auto"/>
          <w:u w:val="single"/>
        </w:rPr>
        <w:t xml:space="preserve">                 </w:t>
      </w:r>
      <w:r>
        <w:rPr>
          <w:rFonts w:hint="eastAsia" w:ascii="Times New Roman" w:hAnsi="Times New Roman"/>
          <w:color w:val="auto"/>
        </w:rPr>
        <w:t>（投标人名称）的法定代表人，现授权我单位在职正式员工</w:t>
      </w:r>
      <w:r>
        <w:rPr>
          <w:rFonts w:ascii="Times New Roman" w:hAnsi="Times New Roman"/>
          <w:color w:val="auto"/>
          <w:u w:val="single"/>
        </w:rPr>
        <w:t xml:space="preserve">        </w:t>
      </w:r>
      <w:r>
        <w:rPr>
          <w:rFonts w:hint="eastAsia" w:ascii="Times New Roman" w:hAnsi="Times New Roman"/>
          <w:color w:val="auto"/>
        </w:rPr>
        <w:t>（姓名和职务）为我方代理人。代理人根据授权，以我方名义签署、澄清、说明、补正、递交、撤回、修改贵方组织的</w:t>
      </w:r>
      <w:r>
        <w:rPr>
          <w:rFonts w:hint="eastAsia"/>
          <w:color w:val="auto"/>
          <w:u w:val="single"/>
        </w:rPr>
        <w:t xml:space="preserve"> </w:t>
      </w:r>
      <w:r>
        <w:rPr>
          <w:rFonts w:hint="eastAsia"/>
          <w:i/>
          <w:iCs/>
          <w:color w:val="auto"/>
          <w:u w:val="single"/>
        </w:rPr>
        <w:t>（项目名称）</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w:t>
      </w:r>
      <w:r>
        <w:rPr>
          <w:rFonts w:hint="eastAsia" w:ascii="Times New Roman" w:hAnsi="Times New Roman"/>
          <w:color w:val="auto"/>
        </w:rPr>
        <w:t>的投标文件、签订合同和处理一切有关事宜，其法律后果由我方承担。</w:t>
      </w:r>
    </w:p>
    <w:p>
      <w:pPr>
        <w:pStyle w:val="18"/>
        <w:spacing w:line="360" w:lineRule="exact"/>
        <w:ind w:firstLine="420" w:firstLineChars="200"/>
        <w:rPr>
          <w:rFonts w:ascii="Times New Roman" w:hAnsi="Times New Roman"/>
          <w:color w:val="auto"/>
        </w:rPr>
      </w:pPr>
      <w:r>
        <w:rPr>
          <w:rFonts w:hint="eastAsia" w:ascii="Times New Roman" w:hAnsi="Times New Roman"/>
          <w:color w:val="auto"/>
        </w:rPr>
        <w:t>本授权书于</w:t>
      </w:r>
      <w:r>
        <w:rPr>
          <w:rFonts w:hint="eastAsia"/>
          <w:color w:val="auto"/>
          <w:spacing w:val="10"/>
          <w:sz w:val="24"/>
          <w:u w:val="single"/>
        </w:rPr>
        <w:t xml:space="preserve">    </w:t>
      </w:r>
      <w:r>
        <w:rPr>
          <w:rFonts w:hint="eastAsia" w:ascii="Times New Roman" w:hAnsi="Times New Roman"/>
          <w:color w:val="auto"/>
        </w:rPr>
        <w:t>年</w:t>
      </w:r>
      <w:r>
        <w:rPr>
          <w:rFonts w:hint="eastAsia"/>
          <w:color w:val="auto"/>
          <w:spacing w:val="10"/>
          <w:sz w:val="24"/>
          <w:u w:val="single"/>
        </w:rPr>
        <w:t xml:space="preserve">    </w:t>
      </w:r>
      <w:r>
        <w:rPr>
          <w:rFonts w:hint="eastAsia" w:ascii="Times New Roman" w:hAnsi="Times New Roman"/>
          <w:color w:val="auto"/>
        </w:rPr>
        <w:t>月</w:t>
      </w:r>
      <w:r>
        <w:rPr>
          <w:rFonts w:hint="eastAsia"/>
          <w:color w:val="auto"/>
          <w:spacing w:val="10"/>
          <w:sz w:val="24"/>
          <w:u w:val="single"/>
        </w:rPr>
        <w:t xml:space="preserve">    </w:t>
      </w:r>
      <w:r>
        <w:rPr>
          <w:rFonts w:hint="eastAsia" w:ascii="Times New Roman" w:hAnsi="Times New Roman"/>
          <w:color w:val="auto"/>
        </w:rPr>
        <w:t>日签字生效，委托期限：</w:t>
      </w:r>
      <w:r>
        <w:rPr>
          <w:rFonts w:hint="eastAsia"/>
          <w:color w:val="auto"/>
          <w:spacing w:val="10"/>
          <w:sz w:val="24"/>
          <w:u w:val="single"/>
        </w:rPr>
        <w:t xml:space="preserve">    </w:t>
      </w:r>
      <w:r>
        <w:rPr>
          <w:rFonts w:hint="eastAsia" w:ascii="Times New Roman" w:hAnsi="Times New Roman"/>
          <w:color w:val="auto"/>
        </w:rPr>
        <w:t>。</w:t>
      </w:r>
    </w:p>
    <w:p>
      <w:pPr>
        <w:pStyle w:val="18"/>
        <w:spacing w:line="360" w:lineRule="exact"/>
        <w:ind w:firstLine="420"/>
        <w:rPr>
          <w:rFonts w:ascii="Times New Roman" w:hAnsi="Times New Roman"/>
          <w:color w:val="auto"/>
        </w:rPr>
      </w:pPr>
      <w:r>
        <w:rPr>
          <w:rFonts w:hint="eastAsia" w:ascii="Times New Roman" w:hAnsi="Times New Roman"/>
          <w:color w:val="auto"/>
        </w:rPr>
        <w:t>代理人无转委托权。</w:t>
      </w:r>
    </w:p>
    <w:p>
      <w:pPr>
        <w:pStyle w:val="18"/>
        <w:spacing w:line="360" w:lineRule="exact"/>
        <w:ind w:firstLine="420"/>
        <w:rPr>
          <w:rFonts w:ascii="Times New Roman" w:hAnsi="Times New Roman"/>
          <w:color w:val="auto"/>
        </w:rPr>
      </w:pPr>
    </w:p>
    <w:p>
      <w:pPr>
        <w:pStyle w:val="18"/>
        <w:spacing w:line="360" w:lineRule="exact"/>
        <w:ind w:firstLine="420"/>
        <w:rPr>
          <w:rFonts w:ascii="Times New Roman" w:hAnsi="Times New Roman"/>
          <w:color w:val="auto"/>
          <w:u w:val="single"/>
        </w:rPr>
      </w:pPr>
      <w:r>
        <w:rPr>
          <w:rFonts w:hint="eastAsia" w:ascii="Times New Roman" w:hAnsi="Times New Roman"/>
          <w:color w:val="auto"/>
        </w:rPr>
        <w:t>投标人名称（或联合体投标</w:t>
      </w:r>
      <w:r>
        <w:rPr>
          <w:rFonts w:hint="eastAsia" w:cs="宋体"/>
          <w:color w:val="auto"/>
          <w:kern w:val="0"/>
          <w:szCs w:val="21"/>
        </w:rPr>
        <w:t>牵头人名称</w:t>
      </w:r>
      <w:r>
        <w:rPr>
          <w:rFonts w:hint="eastAsia" w:ascii="Times New Roman" w:hAnsi="Times New Roman"/>
          <w:color w:val="auto"/>
        </w:rPr>
        <w:t>）（盖公章）：</w:t>
      </w:r>
      <w:r>
        <w:rPr>
          <w:rFonts w:ascii="Times New Roman" w:hAnsi="Times New Roman"/>
          <w:color w:val="auto"/>
          <w:u w:val="single"/>
        </w:rPr>
        <w:t xml:space="preserve">                                    </w:t>
      </w:r>
    </w:p>
    <w:p>
      <w:pPr>
        <w:pStyle w:val="18"/>
        <w:spacing w:line="360" w:lineRule="exact"/>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p>
    <w:p>
      <w:pPr>
        <w:pStyle w:val="18"/>
        <w:spacing w:line="360" w:lineRule="exact"/>
        <w:ind w:firstLine="420"/>
        <w:rPr>
          <w:rFonts w:ascii="Times New Roman" w:hAnsi="Times New Roman"/>
          <w:color w:val="auto"/>
          <w:u w:val="single"/>
        </w:rPr>
      </w:pPr>
      <w:r>
        <w:rPr>
          <w:rFonts w:hint="eastAsia" w:ascii="Times New Roman" w:hAnsi="Times New Roman"/>
          <w:color w:val="auto"/>
        </w:rPr>
        <w:t>法定代表人身份证号码：</w:t>
      </w:r>
      <w:r>
        <w:rPr>
          <w:rFonts w:ascii="Times New Roman" w:hAnsi="Times New Roman"/>
          <w:color w:val="auto"/>
          <w:u w:val="single"/>
        </w:rPr>
        <w:t xml:space="preserve">                                   </w:t>
      </w:r>
    </w:p>
    <w:p>
      <w:pPr>
        <w:pStyle w:val="18"/>
        <w:spacing w:line="360" w:lineRule="exact"/>
        <w:ind w:firstLine="420" w:firstLineChars="200"/>
        <w:rPr>
          <w:rFonts w:ascii="Times New Roman" w:hAnsi="Times New Roman"/>
          <w:color w:val="auto"/>
        </w:rPr>
      </w:pPr>
      <w:r>
        <w:rPr>
          <w:rFonts w:hint="eastAsia" w:ascii="Times New Roman" w:hAnsi="Times New Roman"/>
          <w:color w:val="auto"/>
        </w:rPr>
        <w:t>委托代理人（签字）：</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p>
    <w:p>
      <w:pPr>
        <w:pStyle w:val="18"/>
        <w:spacing w:line="360" w:lineRule="exact"/>
        <w:ind w:firstLine="420"/>
        <w:rPr>
          <w:rFonts w:ascii="Times New Roman" w:hAnsi="Times New Roman"/>
          <w:color w:val="auto"/>
          <w:u w:val="single"/>
        </w:rPr>
      </w:pPr>
      <w:r>
        <w:rPr>
          <w:rFonts w:hint="eastAsia" w:ascii="Times New Roman" w:hAnsi="Times New Roman"/>
          <w:color w:val="auto"/>
        </w:rPr>
        <w:t>委托代理人身份证号码：</w:t>
      </w:r>
      <w:r>
        <w:rPr>
          <w:rFonts w:ascii="Times New Roman" w:hAnsi="Times New Roman"/>
          <w:color w:val="auto"/>
          <w:u w:val="single"/>
        </w:rPr>
        <w:t xml:space="preserve">                                   </w:t>
      </w:r>
    </w:p>
    <w:p>
      <w:pPr>
        <w:pStyle w:val="18"/>
        <w:spacing w:line="360" w:lineRule="exact"/>
        <w:ind w:firstLine="420"/>
        <w:rPr>
          <w:rFonts w:ascii="Times New Roman" w:hAnsi="Times New Roman"/>
          <w:color w:val="auto"/>
          <w:u w:val="single"/>
        </w:rPr>
      </w:pPr>
    </w:p>
    <w:p>
      <w:pPr>
        <w:pStyle w:val="18"/>
        <w:spacing w:line="360" w:lineRule="exact"/>
        <w:ind w:firstLine="420"/>
        <w:rPr>
          <w:rFonts w:hAnsi="宋体" w:cs="宋体"/>
          <w:color w:val="auto"/>
          <w:u w:val="single"/>
        </w:rPr>
      </w:pPr>
      <w:r>
        <w:rPr>
          <w:rFonts w:hint="eastAsia" w:hAnsi="宋体" w:cs="宋体"/>
          <w:color w:val="auto"/>
          <w:kern w:val="0"/>
          <w:szCs w:val="21"/>
        </w:rPr>
        <w:t>成员一名称</w:t>
      </w:r>
      <w:r>
        <w:rPr>
          <w:rFonts w:hint="eastAsia" w:hAnsi="宋体" w:cs="宋体"/>
          <w:color w:val="auto"/>
        </w:rPr>
        <w:t>（盖公章）：</w:t>
      </w:r>
      <w:r>
        <w:rPr>
          <w:rFonts w:hint="eastAsia" w:hAnsi="宋体" w:cs="宋体"/>
          <w:color w:val="auto"/>
          <w:u w:val="single"/>
        </w:rPr>
        <w:t xml:space="preserve">                                    </w:t>
      </w:r>
    </w:p>
    <w:p>
      <w:pPr>
        <w:pStyle w:val="18"/>
        <w:spacing w:line="360" w:lineRule="exact"/>
        <w:ind w:firstLine="420"/>
        <w:rPr>
          <w:rFonts w:hAnsi="宋体" w:cs="宋体"/>
          <w:color w:val="auto"/>
          <w:u w:val="single"/>
        </w:rPr>
      </w:pPr>
      <w:r>
        <w:rPr>
          <w:rFonts w:hint="eastAsia" w:hAnsi="宋体" w:cs="宋体"/>
          <w:color w:val="auto"/>
        </w:rPr>
        <w:t>法定代表人（签字）：</w:t>
      </w:r>
      <w:r>
        <w:rPr>
          <w:rFonts w:hint="eastAsia" w:hAnsi="宋体" w:cs="宋体"/>
          <w:color w:val="auto"/>
          <w:u w:val="single"/>
        </w:rPr>
        <w:t xml:space="preserve">                                      </w:t>
      </w:r>
    </w:p>
    <w:p>
      <w:pPr>
        <w:pStyle w:val="9"/>
        <w:spacing w:line="360" w:lineRule="exact"/>
        <w:ind w:left="0" w:firstLine="420" w:firstLineChars="200"/>
        <w:rPr>
          <w:rFonts w:ascii="宋体" w:hAnsi="宋体" w:cs="宋体"/>
          <w:color w:val="auto"/>
          <w:u w:val="single"/>
        </w:rPr>
      </w:pPr>
      <w:r>
        <w:rPr>
          <w:rFonts w:hint="eastAsia" w:ascii="宋体" w:hAnsi="宋体" w:cs="宋体"/>
          <w:color w:val="auto"/>
        </w:rPr>
        <w:t>委托代理人（签字）：</w:t>
      </w:r>
      <w:r>
        <w:rPr>
          <w:rFonts w:hint="eastAsia" w:ascii="宋体" w:hAnsi="宋体" w:cs="宋体"/>
          <w:color w:val="auto"/>
          <w:u w:val="single"/>
        </w:rPr>
        <w:t xml:space="preserve">                                      </w:t>
      </w:r>
    </w:p>
    <w:p>
      <w:pPr>
        <w:spacing w:line="360" w:lineRule="exact"/>
        <w:ind w:firstLine="420" w:firstLineChars="200"/>
        <w:rPr>
          <w:color w:val="auto"/>
        </w:rPr>
      </w:pPr>
      <w:r>
        <w:rPr>
          <w:rFonts w:hint="eastAsia" w:ascii="宋体" w:hAnsi="宋体" w:cs="宋体"/>
          <w:color w:val="auto"/>
        </w:rPr>
        <w:t>委托代理人身份证号码：</w:t>
      </w:r>
      <w:r>
        <w:rPr>
          <w:rFonts w:hint="eastAsia" w:ascii="宋体" w:hAnsi="宋体" w:cs="宋体"/>
          <w:color w:val="auto"/>
          <w:u w:val="single"/>
        </w:rPr>
        <w:t xml:space="preserve">                                    </w:t>
      </w:r>
    </w:p>
    <w:p>
      <w:pPr>
        <w:pStyle w:val="18"/>
        <w:spacing w:line="360" w:lineRule="exact"/>
        <w:ind w:firstLine="420"/>
        <w:rPr>
          <w:rFonts w:hAnsi="宋体" w:cs="宋体"/>
          <w:color w:val="auto"/>
          <w:u w:val="single"/>
        </w:rPr>
      </w:pPr>
    </w:p>
    <w:p>
      <w:pPr>
        <w:autoSpaceDE w:val="0"/>
        <w:autoSpaceDN w:val="0"/>
        <w:adjustRightInd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成员二名称（盖公章）：</w:t>
      </w:r>
      <w:r>
        <w:rPr>
          <w:rFonts w:hint="eastAsia" w:ascii="宋体" w:hAnsi="宋体" w:cs="宋体"/>
          <w:color w:val="auto"/>
          <w:kern w:val="0"/>
          <w:szCs w:val="21"/>
          <w:u w:val="single"/>
        </w:rPr>
        <w:t xml:space="preserve">                                    </w:t>
      </w:r>
    </w:p>
    <w:p>
      <w:pPr>
        <w:autoSpaceDE w:val="0"/>
        <w:autoSpaceDN w:val="0"/>
        <w:adjustRightInd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法定代表人（签字）：</w:t>
      </w:r>
      <w:r>
        <w:rPr>
          <w:rFonts w:hint="eastAsia" w:ascii="宋体" w:hAnsi="宋体" w:cs="宋体"/>
          <w:color w:val="auto"/>
          <w:kern w:val="0"/>
          <w:szCs w:val="21"/>
          <w:u w:val="single"/>
        </w:rPr>
        <w:t xml:space="preserve">                                      </w:t>
      </w:r>
    </w:p>
    <w:p>
      <w:pPr>
        <w:pStyle w:val="9"/>
        <w:spacing w:line="360" w:lineRule="exact"/>
        <w:ind w:left="0" w:firstLine="420" w:firstLineChars="200"/>
        <w:rPr>
          <w:rFonts w:ascii="宋体" w:hAnsi="宋体" w:cs="宋体"/>
          <w:color w:val="auto"/>
          <w:u w:val="single"/>
        </w:rPr>
      </w:pPr>
      <w:r>
        <w:rPr>
          <w:rFonts w:hint="eastAsia" w:ascii="宋体" w:hAnsi="宋体" w:cs="宋体"/>
          <w:color w:val="auto"/>
        </w:rPr>
        <w:t>委托代理人（签字）：</w:t>
      </w:r>
      <w:r>
        <w:rPr>
          <w:rFonts w:hint="eastAsia" w:ascii="宋体" w:hAnsi="宋体" w:cs="宋体"/>
          <w:color w:val="auto"/>
          <w:u w:val="single"/>
        </w:rPr>
        <w:t xml:space="preserve">                                       </w:t>
      </w:r>
    </w:p>
    <w:p>
      <w:pPr>
        <w:spacing w:line="360" w:lineRule="exact"/>
        <w:ind w:firstLine="420" w:firstLineChars="200"/>
        <w:rPr>
          <w:color w:val="auto"/>
        </w:rPr>
      </w:pPr>
      <w:r>
        <w:rPr>
          <w:rFonts w:hint="eastAsia" w:ascii="宋体" w:hAnsi="宋体" w:cs="宋体"/>
          <w:color w:val="auto"/>
        </w:rPr>
        <w:t>委托代理人身份证号码：</w:t>
      </w:r>
      <w:r>
        <w:rPr>
          <w:rFonts w:hint="eastAsia" w:ascii="宋体" w:hAnsi="宋体" w:cs="宋体"/>
          <w:color w:val="auto"/>
          <w:u w:val="single"/>
        </w:rPr>
        <w:t xml:space="preserve">                                    </w:t>
      </w:r>
    </w:p>
    <w:p>
      <w:pPr>
        <w:pStyle w:val="18"/>
        <w:spacing w:line="360" w:lineRule="exact"/>
        <w:ind w:firstLine="420" w:firstLineChars="200"/>
        <w:rPr>
          <w:color w:val="auto"/>
        </w:rPr>
      </w:pPr>
      <w:r>
        <w:rPr>
          <w:rFonts w:hint="eastAsia"/>
          <w:color w:val="auto"/>
        </w:rPr>
        <w:t>......</w:t>
      </w:r>
    </w:p>
    <w:p>
      <w:pPr>
        <w:spacing w:line="360" w:lineRule="exact"/>
        <w:ind w:firstLine="420" w:firstLineChars="200"/>
        <w:rPr>
          <w:rFonts w:ascii="宋体" w:hAnsi="宋体" w:cs="宋体"/>
          <w:color w:val="auto"/>
          <w:szCs w:val="21"/>
        </w:rPr>
      </w:pPr>
      <w:r>
        <w:rPr>
          <w:rFonts w:hint="eastAsia" w:ascii="宋体" w:hAnsi="宋体" w:cs="宋体"/>
          <w:color w:val="auto"/>
          <w:szCs w:val="21"/>
        </w:rPr>
        <w:t>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1.法定代表人和委托代理人必须在授权委托书上签字，</w:t>
      </w:r>
      <w:r>
        <w:rPr>
          <w:rFonts w:hint="eastAsia" w:ascii="宋体" w:hAnsi="宋体" w:cs="宋体"/>
          <w:b/>
          <w:bCs/>
          <w:color w:val="auto"/>
          <w:szCs w:val="21"/>
        </w:rPr>
        <w:t>否则作无效投标处理；</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2.以联合体形式投标的，本授权委托书应由联合体牵头人的法定代表人按上述规定签署。</w:t>
      </w:r>
    </w:p>
    <w:p>
      <w:pPr>
        <w:snapToGrid w:val="0"/>
        <w:spacing w:before="50" w:after="120" w:afterLines="50" w:line="360" w:lineRule="exact"/>
        <w:ind w:firstLine="420" w:firstLineChars="200"/>
        <w:jc w:val="left"/>
        <w:rPr>
          <w:rFonts w:ascii="宋体" w:hAnsi="宋体" w:cs="宋体"/>
          <w:color w:val="auto"/>
          <w:szCs w:val="21"/>
        </w:rPr>
      </w:pPr>
      <w:r>
        <w:rPr>
          <w:rFonts w:hint="eastAsia" w:ascii="宋体" w:hAnsi="宋体" w:cs="宋体"/>
          <w:color w:val="auto"/>
          <w:szCs w:val="21"/>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exact"/>
        <w:ind w:firstLine="420" w:firstLineChars="200"/>
        <w:jc w:val="left"/>
        <w:rPr>
          <w:rFonts w:ascii="宋体" w:hAnsi="宋体" w:cs="宋体"/>
          <w:color w:val="auto"/>
          <w:szCs w:val="21"/>
        </w:rPr>
      </w:pPr>
      <w:r>
        <w:rPr>
          <w:rFonts w:hint="eastAsia" w:ascii="宋体" w:hAnsi="宋体" w:cs="宋体"/>
          <w:color w:val="auto"/>
          <w:szCs w:val="21"/>
        </w:rPr>
        <w:t>4. 若为联合体投标须各方签字或盖章。</w:t>
      </w:r>
    </w:p>
    <w:p>
      <w:pPr>
        <w:spacing w:line="360" w:lineRule="auto"/>
        <w:rPr>
          <w:rFonts w:ascii="宋体"/>
          <w:b/>
          <w:color w:val="auto"/>
          <w:sz w:val="24"/>
        </w:rPr>
      </w:pPr>
    </w:p>
    <w:p>
      <w:pPr>
        <w:rPr>
          <w:rFonts w:ascii="宋体"/>
          <w:b/>
          <w:color w:val="auto"/>
          <w:sz w:val="24"/>
        </w:rPr>
      </w:pPr>
      <w:r>
        <w:rPr>
          <w:rFonts w:hint="eastAsia" w:ascii="宋体"/>
          <w:b/>
          <w:color w:val="auto"/>
          <w:sz w:val="24"/>
        </w:rPr>
        <w:br w:type="page"/>
      </w:r>
    </w:p>
    <w:p>
      <w:pPr>
        <w:spacing w:line="360" w:lineRule="auto"/>
        <w:rPr>
          <w:b/>
          <w:color w:val="auto"/>
          <w:sz w:val="24"/>
        </w:rPr>
      </w:pPr>
      <w:r>
        <w:rPr>
          <w:rFonts w:hint="eastAsia" w:ascii="宋体"/>
          <w:b/>
          <w:color w:val="auto"/>
          <w:sz w:val="24"/>
        </w:rPr>
        <w:t>附件：</w:t>
      </w:r>
    </w:p>
    <w:tbl>
      <w:tblPr>
        <w:tblStyle w:val="28"/>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4"/>
              </w:rPr>
            </w:pPr>
          </w:p>
          <w:p>
            <w:pPr>
              <w:spacing w:line="360" w:lineRule="auto"/>
              <w:rPr>
                <w:rFonts w:ascii="宋体"/>
                <w:b/>
                <w:color w:val="auto"/>
                <w:sz w:val="24"/>
              </w:rPr>
            </w:pPr>
            <w:r>
              <w:rPr>
                <w:rFonts w:hint="eastAsia"/>
                <w:b/>
                <w:bCs/>
                <w:color w:val="auto"/>
                <w:sz w:val="24"/>
              </w:rPr>
              <w:t>委托代理人有效</w:t>
            </w:r>
            <w:r>
              <w:rPr>
                <w:rFonts w:hint="eastAsia" w:ascii="宋体"/>
                <w:b/>
                <w:color w:val="auto"/>
                <w:sz w:val="24"/>
              </w:rPr>
              <w:t>身份证复印件粘帖处（正、反面）</w:t>
            </w:r>
          </w:p>
        </w:tc>
      </w:tr>
    </w:tbl>
    <w:p>
      <w:pPr>
        <w:snapToGrid w:val="0"/>
        <w:spacing w:before="50" w:after="120" w:afterLines="50" w:line="360" w:lineRule="auto"/>
        <w:jc w:val="left"/>
        <w:rPr>
          <w:rFonts w:ascii="仿宋_GB2312" w:hAnsi="仿宋_GB2312" w:eastAsia="仿宋_GB2312" w:cs="仿宋_GB2312"/>
          <w:color w:val="auto"/>
          <w:szCs w:val="21"/>
        </w:rPr>
      </w:pPr>
    </w:p>
    <w:p>
      <w:pPr>
        <w:snapToGrid w:val="0"/>
        <w:spacing w:before="120" w:beforeLines="50" w:after="50"/>
        <w:ind w:firstLine="566" w:firstLineChars="236"/>
        <w:jc w:val="center"/>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566" w:firstLineChars="236"/>
        <w:rPr>
          <w:rFonts w:ascii="宋体" w:hAnsi="宋体"/>
          <w:color w:val="auto"/>
        </w:rPr>
      </w:pPr>
      <w:r>
        <w:rPr>
          <w:rFonts w:hint="eastAsia" w:ascii="宋体" w:hAnsi="宋体"/>
          <w:color w:val="auto"/>
          <w:sz w:val="24"/>
        </w:rPr>
        <w:br w:type="page"/>
      </w:r>
    </w:p>
    <w:p>
      <w:pPr>
        <w:jc w:val="left"/>
        <w:rPr>
          <w:b/>
          <w:bCs/>
          <w:color w:val="auto"/>
          <w:sz w:val="30"/>
          <w:szCs w:val="30"/>
        </w:rPr>
      </w:pPr>
      <w:r>
        <w:rPr>
          <w:rFonts w:hint="eastAsia" w:ascii="宋体" w:hAnsi="宋体" w:cs="宋体"/>
          <w:b/>
          <w:color w:val="auto"/>
          <w:sz w:val="28"/>
          <w:szCs w:val="28"/>
        </w:rPr>
        <w:t>6.商务条款偏离表的格式：</w:t>
      </w:r>
    </w:p>
    <w:p>
      <w:pPr>
        <w:jc w:val="center"/>
        <w:rPr>
          <w:b/>
          <w:bCs/>
          <w:color w:val="auto"/>
          <w:sz w:val="30"/>
          <w:szCs w:val="30"/>
        </w:rPr>
      </w:pPr>
    </w:p>
    <w:p>
      <w:pPr>
        <w:jc w:val="center"/>
        <w:rPr>
          <w:b/>
          <w:bCs/>
          <w:color w:val="auto"/>
          <w:sz w:val="30"/>
          <w:szCs w:val="30"/>
        </w:rPr>
      </w:pPr>
      <w:r>
        <w:rPr>
          <w:rFonts w:hint="eastAsia"/>
          <w:b/>
          <w:bCs/>
          <w:color w:val="auto"/>
          <w:sz w:val="30"/>
          <w:szCs w:val="30"/>
        </w:rPr>
        <w:t>商务条款偏离表</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contextualSpacing/>
        <w:jc w:val="left"/>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 xml:space="preserve">                 </w:t>
      </w:r>
    </w:p>
    <w:p>
      <w:pPr>
        <w:pStyle w:val="18"/>
        <w:spacing w:line="480" w:lineRule="auto"/>
        <w:ind w:left="-422" w:leftChars="-201" w:firstLine="424"/>
        <w:rPr>
          <w:color w:val="auto"/>
        </w:rPr>
      </w:pPr>
      <w:r>
        <w:rPr>
          <w:rFonts w:hint="eastAsia" w:hAnsi="宋体" w:cs="宋体"/>
          <w:color w:val="auto"/>
          <w:sz w:val="24"/>
          <w:szCs w:val="24"/>
        </w:rPr>
        <w:t>所投分标</w:t>
      </w:r>
      <w:r>
        <w:rPr>
          <w:rFonts w:hint="eastAsia" w:hAnsi="宋体" w:cs="宋体"/>
          <w:color w:val="auto"/>
          <w:szCs w:val="21"/>
        </w:rPr>
        <w:t>（此处有分标时填写具体分标号，无分标时填写“无”）</w:t>
      </w:r>
      <w:r>
        <w:rPr>
          <w:rFonts w:hint="eastAsia" w:hAnsi="宋体" w:cs="宋体"/>
          <w:color w:val="auto"/>
          <w:sz w:val="24"/>
          <w:szCs w:val="24"/>
        </w:rPr>
        <w:t>：</w:t>
      </w:r>
      <w:r>
        <w:rPr>
          <w:rFonts w:hint="eastAsia" w:hAnsi="宋体" w:cs="宋体"/>
          <w:color w:val="auto"/>
          <w:sz w:val="24"/>
          <w:u w:val="single"/>
        </w:rPr>
        <w:t xml:space="preserve">           </w:t>
      </w:r>
    </w:p>
    <w:tbl>
      <w:tblPr>
        <w:tblStyle w:val="2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37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一</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二</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bl>
    <w:p>
      <w:pPr>
        <w:pStyle w:val="18"/>
        <w:spacing w:line="360" w:lineRule="auto"/>
        <w:ind w:left="-708" w:leftChars="-337"/>
        <w:rPr>
          <w:rFonts w:ascii="Times New Roman" w:hAnsi="Times New Roman"/>
          <w:color w:val="auto"/>
        </w:rPr>
      </w:pPr>
    </w:p>
    <w:p>
      <w:pPr>
        <w:pStyle w:val="18"/>
        <w:spacing w:line="360" w:lineRule="auto"/>
        <w:ind w:firstLine="420" w:firstLineChars="200"/>
        <w:rPr>
          <w:rFonts w:ascii="Times New Roman" w:hAnsi="Times New Roman"/>
          <w:color w:val="auto"/>
        </w:rPr>
      </w:pPr>
      <w:r>
        <w:rPr>
          <w:rFonts w:hint="eastAsia" w:ascii="Times New Roman" w:hAnsi="Times New Roman"/>
          <w:color w:val="auto"/>
        </w:rPr>
        <w:t>注：</w:t>
      </w:r>
    </w:p>
    <w:p>
      <w:pPr>
        <w:pStyle w:val="18"/>
        <w:spacing w:line="360" w:lineRule="auto"/>
        <w:ind w:firstLine="420" w:firstLineChars="200"/>
        <w:rPr>
          <w:rFonts w:hAnsi="宋体" w:cs="宋体"/>
          <w:color w:val="auto"/>
        </w:rPr>
      </w:pPr>
      <w:r>
        <w:rPr>
          <w:rFonts w:hint="eastAsia" w:hAnsi="宋体" w:cs="宋体"/>
          <w:color w:val="auto"/>
        </w:rPr>
        <w:t>1.表格内容均需按要求填写并加盖投标人公章。</w:t>
      </w:r>
    </w:p>
    <w:p>
      <w:pPr>
        <w:pStyle w:val="18"/>
        <w:spacing w:line="360" w:lineRule="auto"/>
        <w:ind w:left="-424" w:leftChars="-202" w:firstLine="846"/>
        <w:rPr>
          <w:rFonts w:hAnsi="宋体" w:cs="宋体"/>
          <w:color w:val="auto"/>
        </w:rPr>
      </w:pPr>
      <w:r>
        <w:rPr>
          <w:rFonts w:hint="eastAsia" w:hAnsi="宋体" w:cs="宋体"/>
          <w:color w:val="auto"/>
        </w:rPr>
        <w:t xml:space="preserve">2.请逐条对应本项目招标文件“第二章  </w:t>
      </w:r>
      <w:r>
        <w:rPr>
          <w:rFonts w:hint="eastAsia" w:hAnsi="宋体" w:cs="宋体"/>
          <w:b/>
          <w:color w:val="auto"/>
          <w:szCs w:val="21"/>
        </w:rPr>
        <w:t>采购需求</w:t>
      </w:r>
      <w:r>
        <w:rPr>
          <w:rFonts w:hint="eastAsia" w:hAnsi="宋体" w:cs="宋体"/>
          <w:color w:val="auto"/>
        </w:rPr>
        <w:t>”中“</w:t>
      </w:r>
      <w:r>
        <w:rPr>
          <w:rFonts w:hint="eastAsia" w:hAnsi="宋体" w:cs="宋体"/>
          <w:color w:val="auto"/>
          <w:lang w:val="en-US" w:eastAsia="zh-CN"/>
        </w:rPr>
        <w:t>商务要求</w:t>
      </w:r>
      <w:r>
        <w:rPr>
          <w:rFonts w:hint="eastAsia" w:hAnsi="宋体" w:cs="宋体"/>
          <w:color w:val="auto"/>
        </w:rPr>
        <w:t>”的要求，详细填写相应的具体内容。“偏离说明”一栏应当选择“正偏离”或“负偏离”或“无偏离”进行填写。</w:t>
      </w:r>
    </w:p>
    <w:p>
      <w:pPr>
        <w:pStyle w:val="18"/>
        <w:spacing w:line="360" w:lineRule="auto"/>
        <w:ind w:left="-603" w:leftChars="-287" w:firstLine="945" w:firstLineChars="450"/>
        <w:rPr>
          <w:rFonts w:hAnsi="宋体" w:cs="宋体"/>
          <w:color w:val="auto"/>
        </w:rPr>
      </w:pPr>
      <w:r>
        <w:rPr>
          <w:rFonts w:hint="eastAsia" w:hAnsi="宋体" w:cs="宋体"/>
          <w:color w:val="auto"/>
        </w:rPr>
        <w:t>3.当投标文件的商务内容低于招标文件要求时，投标人应当如实写明“负偏离”。</w:t>
      </w:r>
    </w:p>
    <w:p>
      <w:pPr>
        <w:pStyle w:val="18"/>
        <w:spacing w:line="360" w:lineRule="auto"/>
        <w:ind w:left="-708" w:leftChars="-337" w:firstLine="1050" w:firstLineChars="500"/>
        <w:rPr>
          <w:rFonts w:hAnsi="宋体" w:cs="宋体"/>
          <w:color w:val="auto"/>
          <w:szCs w:val="21"/>
        </w:rPr>
      </w:pPr>
    </w:p>
    <w:p>
      <w:pPr>
        <w:snapToGrid w:val="0"/>
        <w:spacing w:before="50" w:after="50"/>
        <w:rPr>
          <w:rFonts w:ascii="宋体" w:hAnsi="宋体"/>
          <w:color w:val="auto"/>
          <w:sz w:val="24"/>
        </w:rPr>
      </w:pPr>
    </w:p>
    <w:p>
      <w:pPr>
        <w:snapToGrid w:val="0"/>
        <w:spacing w:line="360" w:lineRule="auto"/>
        <w:ind w:firstLine="4935" w:firstLineChars="2350"/>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rPr>
          <w:color w:val="auto"/>
        </w:rPr>
      </w:pPr>
    </w:p>
    <w:p>
      <w:pPr>
        <w:widowControl/>
        <w:jc w:val="left"/>
        <w:rPr>
          <w:b/>
          <w:bCs/>
          <w:color w:val="auto"/>
          <w:sz w:val="30"/>
          <w:szCs w:val="30"/>
        </w:rPr>
        <w:sectPr>
          <w:pgSz w:w="11905" w:h="16838"/>
          <w:pgMar w:top="1134" w:right="1134" w:bottom="1134" w:left="1134" w:header="850" w:footer="850" w:gutter="0"/>
          <w:pgNumType w:fmt="decimal"/>
          <w:cols w:space="0" w:num="1"/>
          <w:titlePg/>
          <w:docGrid w:linePitch="331" w:charSpace="0"/>
        </w:sectPr>
      </w:pPr>
    </w:p>
    <w:p>
      <w:pPr>
        <w:pStyle w:val="18"/>
        <w:jc w:val="center"/>
        <w:outlineLvl w:val="1"/>
        <w:rPr>
          <w:rFonts w:hAnsi="宋体"/>
          <w:b/>
          <w:bCs/>
          <w:color w:val="auto"/>
          <w:sz w:val="28"/>
          <w:szCs w:val="28"/>
        </w:rPr>
      </w:pPr>
      <w:bookmarkStart w:id="399" w:name="_Toc8889"/>
      <w:bookmarkStart w:id="400" w:name="_Toc24407"/>
      <w:bookmarkStart w:id="401" w:name="_Toc27757"/>
      <w:bookmarkStart w:id="402" w:name="_Toc1161"/>
      <w:bookmarkStart w:id="403" w:name="_Toc585"/>
      <w:bookmarkStart w:id="404" w:name="_Toc24098"/>
      <w:bookmarkStart w:id="405" w:name="_Toc10435"/>
      <w:bookmarkStart w:id="406" w:name="_Toc10197"/>
      <w:bookmarkStart w:id="407" w:name="_Toc19686839"/>
      <w:bookmarkStart w:id="408" w:name="_Toc23685"/>
      <w:bookmarkStart w:id="409" w:name="_Toc17437"/>
      <w:r>
        <w:rPr>
          <w:rFonts w:hint="eastAsia" w:hAnsi="宋体"/>
          <w:b/>
          <w:bCs/>
          <w:color w:val="auto"/>
          <w:sz w:val="28"/>
          <w:szCs w:val="28"/>
        </w:rPr>
        <w:t>第三节 技术文件格式</w:t>
      </w:r>
      <w:bookmarkEnd w:id="399"/>
      <w:bookmarkEnd w:id="400"/>
      <w:bookmarkEnd w:id="401"/>
      <w:bookmarkEnd w:id="402"/>
      <w:bookmarkEnd w:id="403"/>
      <w:bookmarkEnd w:id="404"/>
      <w:bookmarkEnd w:id="405"/>
      <w:bookmarkEnd w:id="406"/>
      <w:bookmarkEnd w:id="407"/>
      <w:bookmarkEnd w:id="408"/>
      <w:bookmarkEnd w:id="409"/>
    </w:p>
    <w:p>
      <w:pPr>
        <w:snapToGrid w:val="0"/>
        <w:spacing w:before="120" w:beforeLines="50" w:after="50"/>
        <w:rPr>
          <w:rFonts w:ascii="宋体" w:hAnsi="宋体"/>
          <w:color w:val="auto"/>
          <w:sz w:val="24"/>
        </w:rPr>
      </w:pPr>
      <w:r>
        <w:rPr>
          <w:rFonts w:hint="eastAsia" w:ascii="宋体" w:hAnsi="宋体"/>
          <w:color w:val="auto"/>
          <w:sz w:val="24"/>
        </w:rPr>
        <w:t xml:space="preserve">   </w:t>
      </w:r>
    </w:p>
    <w:p>
      <w:pPr>
        <w:snapToGrid w:val="0"/>
        <w:spacing w:before="120" w:beforeLines="50" w:after="50"/>
        <w:rPr>
          <w:rFonts w:ascii="宋体" w:hAnsi="宋体"/>
          <w:color w:val="auto"/>
          <w:sz w:val="24"/>
        </w:rPr>
      </w:pPr>
      <w:r>
        <w:rPr>
          <w:rFonts w:hint="eastAsia" w:ascii="宋体" w:hAnsi="宋体" w:cs="宋体"/>
          <w:b/>
          <w:color w:val="auto"/>
          <w:sz w:val="28"/>
          <w:szCs w:val="28"/>
        </w:rPr>
        <w:t>1. 技术文件封面的格式（参照此格式自拟）：</w:t>
      </w:r>
    </w:p>
    <w:p>
      <w:pPr>
        <w:snapToGrid w:val="0"/>
        <w:spacing w:before="120" w:beforeLines="50" w:after="50"/>
        <w:ind w:firstLine="1200" w:firstLineChars="50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bCs/>
          <w:color w:val="auto"/>
          <w:sz w:val="32"/>
          <w:szCs w:val="32"/>
        </w:rPr>
      </w:pPr>
    </w:p>
    <w:p>
      <w:pPr>
        <w:snapToGrid w:val="0"/>
        <w:spacing w:before="120" w:beforeLines="50" w:after="50"/>
        <w:jc w:val="center"/>
        <w:rPr>
          <w:rFonts w:ascii="宋体" w:hAnsi="宋体"/>
          <w:b/>
          <w:bCs/>
          <w:color w:val="auto"/>
          <w:sz w:val="32"/>
          <w:szCs w:val="32"/>
        </w:rPr>
      </w:pPr>
      <w:r>
        <w:rPr>
          <w:rFonts w:hint="eastAsia" w:ascii="宋体" w:hAnsi="宋体"/>
          <w:b/>
          <w:bCs/>
          <w:color w:val="auto"/>
          <w:sz w:val="32"/>
          <w:szCs w:val="32"/>
        </w:rPr>
        <w:t>技术文件</w:t>
      </w:r>
    </w:p>
    <w:p>
      <w:pPr>
        <w:snapToGrid w:val="0"/>
        <w:spacing w:before="120" w:beforeLines="50" w:after="50"/>
        <w:rPr>
          <w:rFonts w:ascii="宋体" w:hAnsi="宋体"/>
          <w:bCs/>
          <w:color w:val="auto"/>
          <w:sz w:val="24"/>
          <w:szCs w:val="20"/>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pPr>
        <w:snapToGrid w:val="0"/>
        <w:spacing w:before="120" w:beforeLines="50" w:after="50"/>
        <w:ind w:firstLine="645"/>
        <w:jc w:val="center"/>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r>
        <w:rPr>
          <w:rFonts w:hint="eastAsia" w:ascii="宋体" w:hAnsi="宋体"/>
          <w:color w:val="auto"/>
          <w:sz w:val="24"/>
        </w:rPr>
        <w:t xml:space="preserve"> 年    月    日</w:t>
      </w:r>
    </w:p>
    <w:p>
      <w:pPr>
        <w:snapToGrid w:val="0"/>
        <w:spacing w:before="120" w:beforeLines="50" w:after="50"/>
        <w:ind w:firstLine="645"/>
        <w:jc w:val="center"/>
        <w:rPr>
          <w:rFonts w:ascii="宋体" w:hAnsi="宋体"/>
          <w:color w:val="auto"/>
          <w:sz w:val="24"/>
          <w:szCs w:val="20"/>
        </w:rPr>
      </w:pPr>
    </w:p>
    <w:p>
      <w:pPr>
        <w:jc w:val="center"/>
        <w:rPr>
          <w:rFonts w:ascii="宋体" w:hAnsi="宋体"/>
          <w:b/>
          <w:bCs/>
          <w:color w:val="auto"/>
          <w:sz w:val="24"/>
        </w:rPr>
      </w:pPr>
      <w:r>
        <w:rPr>
          <w:rFonts w:hint="eastAsia" w:ascii="宋体" w:hAnsi="宋体"/>
          <w:b/>
          <w:bCs/>
          <w:color w:val="auto"/>
          <w:sz w:val="24"/>
        </w:rPr>
        <w:br w:type="page"/>
      </w:r>
    </w:p>
    <w:p>
      <w:pPr>
        <w:numPr>
          <w:ilvl w:val="0"/>
          <w:numId w:val="9"/>
        </w:numPr>
        <w:snapToGrid w:val="0"/>
        <w:spacing w:before="120" w:beforeLines="50" w:after="50"/>
        <w:ind w:left="142"/>
        <w:jc w:val="left"/>
        <w:rPr>
          <w:rFonts w:ascii="宋体" w:hAnsi="宋体" w:cs="宋体"/>
          <w:b/>
          <w:bCs/>
          <w:color w:val="auto"/>
          <w:sz w:val="28"/>
          <w:szCs w:val="28"/>
        </w:rPr>
      </w:pPr>
      <w:r>
        <w:rPr>
          <w:rFonts w:hint="eastAsia" w:ascii="宋体" w:hAnsi="宋体" w:cs="宋体"/>
          <w:b/>
          <w:bCs/>
          <w:color w:val="auto"/>
          <w:sz w:val="28"/>
          <w:szCs w:val="28"/>
        </w:rPr>
        <w:t>技术文件目录</w:t>
      </w:r>
    </w:p>
    <w:p>
      <w:pPr>
        <w:snapToGrid w:val="0"/>
        <w:spacing w:before="120" w:beforeLines="50" w:after="50"/>
        <w:ind w:left="142"/>
        <w:jc w:val="left"/>
        <w:rPr>
          <w:rFonts w:ascii="宋体" w:hAnsi="宋体"/>
          <w:b/>
          <w:color w:val="auto"/>
          <w:sz w:val="24"/>
        </w:rPr>
      </w:pPr>
      <w:r>
        <w:rPr>
          <w:rFonts w:hint="eastAsia" w:ascii="宋体" w:hAnsi="宋体" w:cs="宋体"/>
          <w:color w:val="auto"/>
          <w:kern w:val="0"/>
          <w:sz w:val="24"/>
        </w:rPr>
        <w:t>根据招标文件规定及投标人提供的材料自行编写目录（部分格式后附）。</w:t>
      </w:r>
    </w:p>
    <w:p>
      <w:pPr>
        <w:snapToGrid w:val="0"/>
        <w:spacing w:before="120" w:beforeLines="50" w:after="50"/>
        <w:jc w:val="left"/>
        <w:rPr>
          <w:rFonts w:ascii="宋体" w:hAnsi="宋体"/>
          <w:b/>
          <w:color w:val="auto"/>
          <w:sz w:val="24"/>
        </w:rPr>
      </w:pPr>
      <w:r>
        <w:rPr>
          <w:rFonts w:hint="eastAsia" w:ascii="宋体" w:hAnsi="宋体"/>
          <w:b/>
          <w:color w:val="auto"/>
          <w:sz w:val="24"/>
        </w:rPr>
        <w:br w:type="page"/>
      </w:r>
      <w:r>
        <w:rPr>
          <w:rFonts w:hint="eastAsia" w:ascii="宋体" w:hAnsi="宋体"/>
          <w:b/>
          <w:color w:val="auto"/>
          <w:sz w:val="24"/>
        </w:rPr>
        <w:t xml:space="preserve"> </w:t>
      </w:r>
      <w:r>
        <w:rPr>
          <w:rFonts w:hint="eastAsia" w:ascii="宋体" w:hAnsi="宋体" w:cs="宋体"/>
          <w:b/>
          <w:color w:val="auto"/>
          <w:sz w:val="28"/>
          <w:szCs w:val="28"/>
        </w:rPr>
        <w:t>3. 服务要求偏离表</w:t>
      </w:r>
      <w:r>
        <w:rPr>
          <w:rFonts w:hint="eastAsia" w:hAnsi="宋体" w:cs="宋体"/>
          <w:b/>
          <w:color w:val="auto"/>
          <w:sz w:val="28"/>
          <w:szCs w:val="28"/>
        </w:rPr>
        <w:t>的</w:t>
      </w:r>
      <w:r>
        <w:rPr>
          <w:rFonts w:hint="eastAsia" w:ascii="宋体" w:hAnsi="宋体" w:cs="宋体"/>
          <w:b/>
          <w:color w:val="auto"/>
          <w:sz w:val="28"/>
          <w:szCs w:val="28"/>
        </w:rPr>
        <w:t>格式</w:t>
      </w:r>
      <w:r>
        <w:rPr>
          <w:rFonts w:hint="eastAsia" w:hAnsi="宋体" w:cs="宋体"/>
          <w:b/>
          <w:color w:val="auto"/>
          <w:sz w:val="28"/>
          <w:szCs w:val="28"/>
        </w:rPr>
        <w:t>：</w:t>
      </w:r>
    </w:p>
    <w:p>
      <w:pPr>
        <w:pStyle w:val="18"/>
        <w:spacing w:line="500" w:lineRule="exact"/>
        <w:jc w:val="center"/>
        <w:rPr>
          <w:rFonts w:ascii="Times New Roman" w:hAnsi="Times New Roman"/>
          <w:b/>
          <w:bCs/>
          <w:color w:val="auto"/>
          <w:sz w:val="30"/>
          <w:szCs w:val="30"/>
        </w:rPr>
      </w:pPr>
      <w:bookmarkStart w:id="410" w:name="OLE_LINK1"/>
      <w:r>
        <w:rPr>
          <w:rFonts w:hint="eastAsia" w:ascii="Times New Roman" w:hAnsi="Times New Roman"/>
          <w:b/>
          <w:bCs/>
          <w:color w:val="auto"/>
          <w:sz w:val="30"/>
          <w:szCs w:val="30"/>
        </w:rPr>
        <w:t>服务要求</w:t>
      </w:r>
      <w:bookmarkEnd w:id="410"/>
      <w:r>
        <w:rPr>
          <w:rFonts w:hint="eastAsia" w:ascii="Times New Roman" w:hAnsi="Times New Roman"/>
          <w:b/>
          <w:bCs/>
          <w:color w:val="auto"/>
          <w:sz w:val="30"/>
          <w:szCs w:val="30"/>
        </w:rPr>
        <w:t>偏离表</w:t>
      </w:r>
    </w:p>
    <w:p>
      <w:pPr>
        <w:pStyle w:val="18"/>
        <w:spacing w:line="440" w:lineRule="exact"/>
        <w:ind w:firstLine="420" w:firstLineChars="200"/>
        <w:rPr>
          <w:color w:val="auto"/>
        </w:rPr>
      </w:pPr>
    </w:p>
    <w:p>
      <w:pPr>
        <w:spacing w:line="360" w:lineRule="auto"/>
        <w:contextualSpacing/>
        <w:rPr>
          <w:rFonts w:ascii="宋体" w:hAnsi="宋体" w:cs="宋体"/>
          <w:color w:val="auto"/>
          <w:sz w:val="24"/>
          <w:u w:val="single"/>
        </w:rPr>
      </w:pPr>
      <w:r>
        <w:rPr>
          <w:rFonts w:hint="eastAsia" w:ascii="宋体" w:hAnsi="宋体" w:cs="宋体"/>
          <w:color w:val="auto"/>
          <w:sz w:val="24"/>
        </w:rPr>
        <w:t>项目</w:t>
      </w:r>
      <w:r>
        <w:rPr>
          <w:rFonts w:hint="eastAsia" w:hAnsi="宋体" w:cs="宋体"/>
          <w:color w:val="auto"/>
          <w:sz w:val="24"/>
        </w:rPr>
        <w:t>名称</w:t>
      </w:r>
      <w:r>
        <w:rPr>
          <w:rFonts w:hint="eastAsia" w:ascii="宋体" w:hAnsi="宋体" w:cs="宋体"/>
          <w:color w:val="auto"/>
          <w:sz w:val="24"/>
        </w:rPr>
        <w:t>：</w:t>
      </w:r>
      <w:r>
        <w:rPr>
          <w:rFonts w:hint="eastAsia" w:ascii="宋体" w:hAnsi="宋体" w:cs="宋体"/>
          <w:color w:val="auto"/>
          <w:sz w:val="24"/>
          <w:u w:val="single"/>
        </w:rPr>
        <w:t xml:space="preserve">                 </w:t>
      </w:r>
    </w:p>
    <w:p>
      <w:pPr>
        <w:pStyle w:val="18"/>
        <w:spacing w:line="600" w:lineRule="exact"/>
        <w:rPr>
          <w:rFonts w:hAnsi="宋体" w:cs="宋体"/>
          <w:color w:val="auto"/>
          <w:sz w:val="24"/>
          <w:u w:val="single"/>
        </w:rPr>
      </w:pPr>
      <w:r>
        <w:rPr>
          <w:rFonts w:hint="eastAsia" w:hAnsi="宋体" w:cs="宋体"/>
          <w:color w:val="auto"/>
          <w:sz w:val="24"/>
        </w:rPr>
        <w:t>项目编号：</w:t>
      </w:r>
      <w:r>
        <w:rPr>
          <w:rFonts w:hint="eastAsia" w:hAnsi="宋体" w:cs="宋体"/>
          <w:color w:val="auto"/>
          <w:sz w:val="24"/>
          <w:u w:val="single"/>
        </w:rPr>
        <w:t xml:space="preserve">                 </w:t>
      </w:r>
    </w:p>
    <w:p>
      <w:pPr>
        <w:pStyle w:val="9"/>
        <w:rPr>
          <w:color w:val="auto"/>
        </w:rPr>
      </w:pPr>
    </w:p>
    <w:p>
      <w:pPr>
        <w:pStyle w:val="9"/>
        <w:ind w:left="0"/>
        <w:rPr>
          <w:rFonts w:ascii="宋体" w:hAnsi="宋体" w:cs="宋体"/>
          <w:color w:val="auto"/>
          <w:sz w:val="24"/>
          <w:u w:val="single"/>
        </w:rPr>
      </w:pPr>
      <w:r>
        <w:rPr>
          <w:rFonts w:hint="eastAsia" w:hAnsi="宋体" w:cs="宋体"/>
          <w:color w:val="auto"/>
          <w:sz w:val="24"/>
          <w:szCs w:val="20"/>
        </w:rPr>
        <w:t>所投</w:t>
      </w:r>
      <w:r>
        <w:rPr>
          <w:rFonts w:hint="eastAsia" w:ascii="宋体" w:hAnsi="宋体" w:cs="宋体"/>
          <w:color w:val="auto"/>
          <w:sz w:val="24"/>
          <w:szCs w:val="20"/>
        </w:rPr>
        <w:t>分标</w:t>
      </w:r>
      <w:r>
        <w:rPr>
          <w:rFonts w:hint="eastAsia" w:ascii="宋体" w:hAnsi="宋体" w:cs="宋体"/>
          <w:color w:val="auto"/>
          <w:szCs w:val="21"/>
        </w:rPr>
        <w:t>（此处有分标时填写具体分标号，无分标时填写“无”）</w:t>
      </w:r>
      <w:r>
        <w:rPr>
          <w:rFonts w:hint="eastAsia" w:ascii="宋体" w:hAnsi="宋体" w:cs="宋体"/>
          <w:color w:val="auto"/>
          <w:sz w:val="24"/>
        </w:rPr>
        <w:t>：</w:t>
      </w:r>
      <w:r>
        <w:rPr>
          <w:rFonts w:hint="eastAsia" w:ascii="宋体" w:hAnsi="宋体" w:cs="宋体"/>
          <w:color w:val="auto"/>
          <w:sz w:val="24"/>
          <w:u w:val="single"/>
        </w:rPr>
        <w:t xml:space="preserve">           </w:t>
      </w:r>
    </w:p>
    <w:p>
      <w:pPr>
        <w:rPr>
          <w:color w:val="auto"/>
        </w:rPr>
      </w:pPr>
    </w:p>
    <w:tbl>
      <w:tblPr>
        <w:tblStyle w:val="2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项号</w:t>
            </w:r>
          </w:p>
        </w:tc>
        <w:tc>
          <w:tcPr>
            <w:tcW w:w="1262" w:type="dxa"/>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标的名称</w:t>
            </w:r>
          </w:p>
        </w:tc>
        <w:tc>
          <w:tcPr>
            <w:tcW w:w="3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招标文件采购需求中的服务内容</w:t>
            </w:r>
          </w:p>
        </w:tc>
        <w:tc>
          <w:tcPr>
            <w:tcW w:w="3477" w:type="dxa"/>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投标文件响应的服务内容</w:t>
            </w: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bl>
    <w:p>
      <w:pPr>
        <w:pStyle w:val="18"/>
        <w:spacing w:line="360" w:lineRule="auto"/>
        <w:rPr>
          <w:rFonts w:hAnsi="宋体" w:cs="宋体"/>
          <w:color w:val="auto"/>
          <w:szCs w:val="21"/>
        </w:rPr>
      </w:pPr>
    </w:p>
    <w:p>
      <w:pPr>
        <w:pStyle w:val="18"/>
        <w:spacing w:line="360" w:lineRule="auto"/>
        <w:ind w:firstLine="420" w:firstLineChars="200"/>
        <w:rPr>
          <w:rFonts w:hAnsi="宋体" w:cs="宋体"/>
          <w:color w:val="auto"/>
          <w:szCs w:val="21"/>
        </w:rPr>
      </w:pPr>
      <w:r>
        <w:rPr>
          <w:rFonts w:hint="eastAsia" w:hAnsi="宋体" w:cs="宋体"/>
          <w:color w:val="auto"/>
          <w:szCs w:val="21"/>
        </w:rPr>
        <w:t>注：</w:t>
      </w:r>
    </w:p>
    <w:p>
      <w:pPr>
        <w:pStyle w:val="18"/>
        <w:spacing w:line="360" w:lineRule="auto"/>
        <w:ind w:firstLine="420" w:firstLineChars="200"/>
        <w:rPr>
          <w:rFonts w:hAnsi="宋体" w:cs="宋体"/>
          <w:color w:val="auto"/>
          <w:szCs w:val="21"/>
        </w:rPr>
      </w:pPr>
      <w:r>
        <w:rPr>
          <w:rFonts w:hint="eastAsia" w:hAnsi="宋体" w:cs="宋体"/>
          <w:color w:val="auto"/>
          <w:szCs w:val="21"/>
        </w:rPr>
        <w:t>1.表格内容均需按要求填写并加盖投标人公章。</w:t>
      </w:r>
    </w:p>
    <w:p>
      <w:pPr>
        <w:pStyle w:val="18"/>
        <w:spacing w:line="360" w:lineRule="auto"/>
        <w:ind w:firstLine="420" w:firstLineChars="200"/>
        <w:rPr>
          <w:rFonts w:hAnsi="宋体" w:cs="宋体"/>
          <w:color w:val="auto"/>
          <w:szCs w:val="21"/>
        </w:rPr>
      </w:pPr>
      <w:r>
        <w:rPr>
          <w:rFonts w:hint="eastAsia" w:hAnsi="宋体" w:cs="宋体"/>
          <w:bCs/>
          <w:color w:val="auto"/>
          <w:szCs w:val="21"/>
        </w:rPr>
        <w:t>2.</w:t>
      </w:r>
      <w:r>
        <w:rPr>
          <w:rFonts w:hint="eastAsia" w:hAnsi="宋体" w:cs="宋体"/>
          <w:color w:val="auto"/>
          <w:szCs w:val="21"/>
        </w:rPr>
        <w:t>请根据所投服务内容，逐条对应本项目招标文件“第二章 采购需求”中“服务要求”的服务内容作出明确响应，并作出偏离说明。“偏离说明”一栏应当选择“正偏离”或“负偏离”或“无偏离”进行填写。</w:t>
      </w:r>
    </w:p>
    <w:p>
      <w:pPr>
        <w:pStyle w:val="18"/>
        <w:spacing w:line="360" w:lineRule="auto"/>
        <w:ind w:firstLine="420" w:firstLineChars="200"/>
        <w:rPr>
          <w:rFonts w:hAnsi="宋体" w:cs="宋体"/>
          <w:color w:val="auto"/>
          <w:szCs w:val="21"/>
        </w:rPr>
      </w:pPr>
      <w:r>
        <w:rPr>
          <w:rFonts w:hint="eastAsia" w:hAnsi="宋体" w:cs="宋体"/>
          <w:bCs/>
          <w:color w:val="auto"/>
          <w:szCs w:val="21"/>
        </w:rPr>
        <w:t>3.当投标文件的服务内容低于招标文件要求时，投标人应当如实写明“负偏离”。</w:t>
      </w:r>
    </w:p>
    <w:p>
      <w:pPr>
        <w:pStyle w:val="9"/>
        <w:rPr>
          <w:rFonts w:hAnsi="宋体" w:cs="宋体"/>
          <w:color w:val="auto"/>
          <w:szCs w:val="21"/>
        </w:rPr>
      </w:pPr>
    </w:p>
    <w:p>
      <w:pPr>
        <w:rPr>
          <w:rFonts w:hAnsi="宋体" w:cs="宋体"/>
          <w:color w:val="auto"/>
          <w:szCs w:val="21"/>
        </w:rPr>
      </w:pPr>
    </w:p>
    <w:p>
      <w:pPr>
        <w:snapToGrid w:val="0"/>
        <w:spacing w:line="360" w:lineRule="auto"/>
        <w:ind w:firstLine="5640" w:firstLineChars="2350"/>
        <w:rPr>
          <w:rFonts w:ascii="仿宋_GB2312" w:hAnsi="仿宋" w:eastAsia="仿宋_GB2312" w:cs="仿宋_GB2312"/>
          <w:color w:val="auto"/>
          <w:kern w:val="0"/>
          <w:sz w:val="24"/>
          <w:lang w:val="zh-CN"/>
        </w:rPr>
      </w:pPr>
    </w:p>
    <w:p>
      <w:pPr>
        <w:snapToGrid w:val="0"/>
        <w:spacing w:line="360" w:lineRule="auto"/>
        <w:ind w:firstLine="5640" w:firstLineChars="2350"/>
        <w:rPr>
          <w:rFonts w:ascii="宋体" w:hAnsi="宋体" w:cs="宋体"/>
          <w:color w:val="auto"/>
          <w:kern w:val="0"/>
          <w:sz w:val="24"/>
        </w:rPr>
      </w:pPr>
      <w:r>
        <w:rPr>
          <w:rFonts w:hint="eastAsia" w:ascii="宋体" w:hAnsi="宋体" w:cs="宋体"/>
          <w:color w:val="auto"/>
          <w:kern w:val="0"/>
          <w:sz w:val="24"/>
          <w:lang w:val="zh-CN"/>
        </w:rPr>
        <w:t>投标人名称(盖公章)：</w:t>
      </w:r>
    </w:p>
    <w:p>
      <w:pPr>
        <w:snapToGrid w:val="0"/>
        <w:spacing w:line="360" w:lineRule="auto"/>
        <w:ind w:firstLine="5640" w:firstLineChars="23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widowControl/>
        <w:jc w:val="left"/>
        <w:rPr>
          <w:rFonts w:ascii="宋体" w:hAnsi="宋体"/>
          <w:color w:val="auto"/>
          <w:sz w:val="30"/>
          <w:szCs w:val="20"/>
        </w:rPr>
        <w:sectPr>
          <w:pgSz w:w="11905" w:h="16838"/>
          <w:pgMar w:top="1134" w:right="1134" w:bottom="1134" w:left="1134" w:header="850" w:footer="850" w:gutter="0"/>
          <w:pgNumType w:fmt="decimal"/>
          <w:cols w:space="0" w:num="1"/>
          <w:titlePg/>
          <w:docGrid w:linePitch="331" w:charSpace="0"/>
        </w:sectPr>
      </w:pPr>
    </w:p>
    <w:p>
      <w:pPr>
        <w:pStyle w:val="24"/>
        <w:snapToGrid w:val="0"/>
        <w:ind w:left="562" w:hanging="562"/>
        <w:rPr>
          <w:rFonts w:ascii="宋体" w:hAnsi="宋体" w:cs="宋体"/>
          <w:i/>
          <w:iCs/>
          <w:color w:val="auto"/>
          <w:sz w:val="24"/>
          <w:highlight w:val="yellow"/>
        </w:rPr>
      </w:pPr>
      <w:r>
        <w:rPr>
          <w:rFonts w:hint="eastAsia" w:ascii="宋体" w:hAnsi="宋体" w:cs="宋体"/>
          <w:b/>
          <w:color w:val="auto"/>
          <w:szCs w:val="28"/>
          <w:lang w:val="en-US" w:eastAsia="zh-CN"/>
        </w:rPr>
        <w:t>4</w:t>
      </w:r>
      <w:r>
        <w:rPr>
          <w:rFonts w:hint="eastAsia" w:ascii="宋体" w:hAnsi="宋体" w:cs="宋体"/>
          <w:b/>
          <w:color w:val="auto"/>
          <w:szCs w:val="28"/>
        </w:rPr>
        <w:t>. 项目实施人员一览表的格式</w:t>
      </w:r>
      <w:r>
        <w:rPr>
          <w:rFonts w:hint="eastAsia" w:ascii="宋体" w:hAnsi="宋体" w:cs="宋体"/>
          <w:b/>
          <w:bCs/>
          <w:color w:val="auto"/>
          <w:sz w:val="30"/>
          <w:szCs w:val="30"/>
        </w:rPr>
        <w:t>：</w:t>
      </w:r>
    </w:p>
    <w:p>
      <w:pPr>
        <w:snapToGrid w:val="0"/>
        <w:spacing w:before="120" w:beforeLines="50" w:after="50"/>
        <w:ind w:left="142"/>
        <w:jc w:val="left"/>
        <w:rPr>
          <w:rFonts w:ascii="宋体" w:hAnsi="宋体"/>
          <w:b/>
          <w:color w:val="auto"/>
          <w:sz w:val="32"/>
          <w:szCs w:val="32"/>
        </w:rPr>
      </w:pPr>
    </w:p>
    <w:p>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r>
        <w:rPr>
          <w:rFonts w:hint="eastAsia" w:ascii="宋体" w:hAnsi="宋体"/>
          <w:b/>
          <w:i/>
          <w:iCs/>
          <w:color w:val="auto"/>
          <w:sz w:val="32"/>
          <w:szCs w:val="32"/>
        </w:rPr>
        <w:t>（如有要求）</w:t>
      </w:r>
    </w:p>
    <w:p>
      <w:pPr>
        <w:spacing w:line="360" w:lineRule="auto"/>
        <w:jc w:val="center"/>
        <w:rPr>
          <w:rFonts w:ascii="仿宋_GB2312" w:hAnsi="仿宋" w:eastAsia="仿宋_GB2312" w:cs="仿宋_GB2312"/>
          <w:b/>
          <w:bCs/>
          <w:color w:val="auto"/>
          <w:sz w:val="24"/>
        </w:rPr>
      </w:pPr>
      <w:r>
        <w:rPr>
          <w:rFonts w:hint="eastAsia" w:ascii="仿宋_GB2312" w:hAnsi="仿宋" w:eastAsia="仿宋_GB2312" w:cs="仿宋_GB2312"/>
          <w:color w:val="auto"/>
          <w:sz w:val="24"/>
        </w:rPr>
        <w:t>（由投标人根据采购需求及招标文件要求编制）</w:t>
      </w:r>
    </w:p>
    <w:p>
      <w:pPr>
        <w:pStyle w:val="18"/>
        <w:rPr>
          <w:color w:val="auto"/>
          <w:sz w:val="24"/>
          <w:szCs w:val="24"/>
        </w:rPr>
      </w:pPr>
    </w:p>
    <w:p>
      <w:pPr>
        <w:pStyle w:val="18"/>
        <w:rPr>
          <w:color w:val="auto"/>
          <w:sz w:val="24"/>
          <w:szCs w:val="24"/>
        </w:rPr>
      </w:pPr>
      <w:r>
        <w:rPr>
          <w:rFonts w:hint="eastAsia"/>
          <w:color w:val="auto"/>
          <w:sz w:val="24"/>
          <w:szCs w:val="24"/>
        </w:rPr>
        <w:t>所投分标（此处有分标时填写具体分标号，无分标时填写“无”）：</w:t>
      </w:r>
      <w:r>
        <w:rPr>
          <w:rFonts w:hint="eastAsia"/>
          <w:color w:val="auto"/>
          <w:sz w:val="24"/>
          <w:szCs w:val="24"/>
          <w:u w:val="single"/>
        </w:rPr>
        <w:t xml:space="preserve">        </w:t>
      </w:r>
    </w:p>
    <w:p>
      <w:pPr>
        <w:spacing w:line="360" w:lineRule="auto"/>
        <w:rPr>
          <w:rFonts w:ascii="仿宋_GB2312" w:hAnsi="仿宋" w:eastAsia="仿宋_GB2312" w:cs="仿宋_GB2312"/>
          <w:b/>
          <w:bCs/>
          <w:color w:val="auto"/>
          <w:sz w:val="24"/>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姓名</w:t>
            </w:r>
          </w:p>
        </w:tc>
        <w:tc>
          <w:tcPr>
            <w:tcW w:w="709"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职务</w:t>
            </w:r>
          </w:p>
        </w:tc>
        <w:tc>
          <w:tcPr>
            <w:tcW w:w="1701"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证书编号</w:t>
            </w:r>
          </w:p>
        </w:tc>
        <w:tc>
          <w:tcPr>
            <w:tcW w:w="1698"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参加本单位</w:t>
            </w:r>
          </w:p>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工作时间</w:t>
            </w:r>
          </w:p>
        </w:tc>
        <w:tc>
          <w:tcPr>
            <w:tcW w:w="1843" w:type="dxa"/>
            <w:noWrap w:val="0"/>
            <w:vAlign w:val="center"/>
          </w:tcPr>
          <w:p>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before="50" w:after="120" w:afterLines="50"/>
              <w:jc w:val="center"/>
              <w:rPr>
                <w:rFonts w:hint="eastAsia" w:ascii="宋体" w:hAnsi="宋体"/>
                <w:color w:val="auto"/>
                <w:sz w:val="24"/>
                <w:szCs w:val="20"/>
              </w:rPr>
            </w:pPr>
          </w:p>
        </w:tc>
        <w:tc>
          <w:tcPr>
            <w:tcW w:w="709" w:type="dxa"/>
            <w:noWrap w:val="0"/>
            <w:vAlign w:val="center"/>
          </w:tcPr>
          <w:p>
            <w:pPr>
              <w:snapToGrid w:val="0"/>
              <w:spacing w:before="50" w:after="120" w:afterLines="50"/>
              <w:jc w:val="center"/>
              <w:rPr>
                <w:rFonts w:hint="eastAsia" w:ascii="宋体" w:hAnsi="宋体"/>
                <w:color w:val="auto"/>
                <w:sz w:val="24"/>
                <w:szCs w:val="20"/>
              </w:rPr>
            </w:pPr>
          </w:p>
        </w:tc>
        <w:tc>
          <w:tcPr>
            <w:tcW w:w="1701" w:type="dxa"/>
            <w:noWrap w:val="0"/>
            <w:vAlign w:val="center"/>
          </w:tcPr>
          <w:p>
            <w:pPr>
              <w:snapToGrid w:val="0"/>
              <w:spacing w:before="50" w:after="120" w:afterLines="50"/>
              <w:jc w:val="center"/>
              <w:rPr>
                <w:rFonts w:hint="eastAsia" w:ascii="宋体" w:hAnsi="宋体"/>
                <w:color w:val="auto"/>
                <w:sz w:val="24"/>
                <w:szCs w:val="20"/>
              </w:rPr>
            </w:pPr>
          </w:p>
        </w:tc>
        <w:tc>
          <w:tcPr>
            <w:tcW w:w="1420" w:type="dxa"/>
            <w:noWrap w:val="0"/>
            <w:vAlign w:val="center"/>
          </w:tcPr>
          <w:p>
            <w:pPr>
              <w:snapToGrid w:val="0"/>
              <w:spacing w:before="50" w:after="120" w:afterLines="50"/>
              <w:jc w:val="center"/>
              <w:rPr>
                <w:rFonts w:hint="eastAsia" w:ascii="宋体" w:hAnsi="宋体"/>
                <w:color w:val="auto"/>
                <w:sz w:val="24"/>
                <w:szCs w:val="20"/>
              </w:rPr>
            </w:pPr>
          </w:p>
        </w:tc>
        <w:tc>
          <w:tcPr>
            <w:tcW w:w="1698" w:type="dxa"/>
            <w:noWrap w:val="0"/>
            <w:vAlign w:val="center"/>
          </w:tcPr>
          <w:p>
            <w:pPr>
              <w:snapToGrid w:val="0"/>
              <w:spacing w:before="50" w:after="120" w:afterLines="50"/>
              <w:jc w:val="center"/>
              <w:rPr>
                <w:rFonts w:hint="eastAsia" w:ascii="宋体" w:hAnsi="宋体"/>
                <w:color w:val="auto"/>
                <w:sz w:val="24"/>
                <w:szCs w:val="20"/>
              </w:rPr>
            </w:pPr>
          </w:p>
        </w:tc>
        <w:tc>
          <w:tcPr>
            <w:tcW w:w="1843" w:type="dxa"/>
            <w:noWrap w:val="0"/>
            <w:vAlign w:val="center"/>
          </w:tcPr>
          <w:p>
            <w:pPr>
              <w:snapToGrid w:val="0"/>
              <w:spacing w:before="50" w:after="120" w:afterLines="50"/>
              <w:jc w:val="center"/>
              <w:rPr>
                <w:rFonts w:hint="eastAsia"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before="50" w:after="120" w:afterLines="50"/>
              <w:jc w:val="center"/>
              <w:rPr>
                <w:rFonts w:hint="eastAsia" w:ascii="宋体" w:hAnsi="宋体"/>
                <w:color w:val="auto"/>
                <w:sz w:val="24"/>
                <w:szCs w:val="20"/>
              </w:rPr>
            </w:pPr>
          </w:p>
        </w:tc>
        <w:tc>
          <w:tcPr>
            <w:tcW w:w="709" w:type="dxa"/>
            <w:noWrap w:val="0"/>
            <w:vAlign w:val="center"/>
          </w:tcPr>
          <w:p>
            <w:pPr>
              <w:snapToGrid w:val="0"/>
              <w:spacing w:before="50" w:after="120" w:afterLines="50"/>
              <w:jc w:val="center"/>
              <w:rPr>
                <w:rFonts w:hint="eastAsia" w:ascii="宋体" w:hAnsi="宋体"/>
                <w:color w:val="auto"/>
                <w:sz w:val="24"/>
                <w:szCs w:val="20"/>
              </w:rPr>
            </w:pPr>
          </w:p>
        </w:tc>
        <w:tc>
          <w:tcPr>
            <w:tcW w:w="1701" w:type="dxa"/>
            <w:noWrap w:val="0"/>
            <w:vAlign w:val="center"/>
          </w:tcPr>
          <w:p>
            <w:pPr>
              <w:snapToGrid w:val="0"/>
              <w:spacing w:before="50" w:after="120" w:afterLines="50"/>
              <w:jc w:val="center"/>
              <w:rPr>
                <w:rFonts w:hint="eastAsia" w:ascii="宋体" w:hAnsi="宋体"/>
                <w:color w:val="auto"/>
                <w:sz w:val="24"/>
                <w:szCs w:val="20"/>
              </w:rPr>
            </w:pPr>
          </w:p>
        </w:tc>
        <w:tc>
          <w:tcPr>
            <w:tcW w:w="1420" w:type="dxa"/>
            <w:noWrap w:val="0"/>
            <w:vAlign w:val="center"/>
          </w:tcPr>
          <w:p>
            <w:pPr>
              <w:snapToGrid w:val="0"/>
              <w:spacing w:before="50" w:after="120" w:afterLines="50"/>
              <w:jc w:val="center"/>
              <w:rPr>
                <w:rFonts w:hint="eastAsia" w:ascii="宋体" w:hAnsi="宋体"/>
                <w:color w:val="auto"/>
                <w:sz w:val="24"/>
                <w:szCs w:val="20"/>
              </w:rPr>
            </w:pPr>
          </w:p>
        </w:tc>
        <w:tc>
          <w:tcPr>
            <w:tcW w:w="1698" w:type="dxa"/>
            <w:noWrap w:val="0"/>
            <w:vAlign w:val="center"/>
          </w:tcPr>
          <w:p>
            <w:pPr>
              <w:snapToGrid w:val="0"/>
              <w:spacing w:before="50" w:after="120" w:afterLines="50"/>
              <w:jc w:val="center"/>
              <w:rPr>
                <w:rFonts w:hint="eastAsia" w:ascii="宋体" w:hAnsi="宋体"/>
                <w:color w:val="auto"/>
                <w:sz w:val="24"/>
                <w:szCs w:val="20"/>
              </w:rPr>
            </w:pPr>
          </w:p>
        </w:tc>
        <w:tc>
          <w:tcPr>
            <w:tcW w:w="1843" w:type="dxa"/>
            <w:noWrap w:val="0"/>
            <w:vAlign w:val="center"/>
          </w:tcPr>
          <w:p>
            <w:pPr>
              <w:snapToGrid w:val="0"/>
              <w:spacing w:before="50" w:after="120" w:afterLines="50"/>
              <w:jc w:val="center"/>
              <w:rPr>
                <w:rFonts w:hint="eastAsia"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before="50" w:after="120" w:afterLines="50"/>
              <w:jc w:val="center"/>
              <w:rPr>
                <w:rFonts w:hint="eastAsia" w:ascii="宋体" w:hAnsi="宋体"/>
                <w:color w:val="auto"/>
                <w:sz w:val="24"/>
                <w:szCs w:val="20"/>
              </w:rPr>
            </w:pPr>
          </w:p>
        </w:tc>
        <w:tc>
          <w:tcPr>
            <w:tcW w:w="709" w:type="dxa"/>
            <w:noWrap w:val="0"/>
            <w:vAlign w:val="center"/>
          </w:tcPr>
          <w:p>
            <w:pPr>
              <w:snapToGrid w:val="0"/>
              <w:spacing w:before="50" w:after="120" w:afterLines="50"/>
              <w:jc w:val="center"/>
              <w:rPr>
                <w:rFonts w:hint="eastAsia" w:ascii="宋体" w:hAnsi="宋体"/>
                <w:color w:val="auto"/>
                <w:sz w:val="24"/>
                <w:szCs w:val="20"/>
              </w:rPr>
            </w:pPr>
          </w:p>
        </w:tc>
        <w:tc>
          <w:tcPr>
            <w:tcW w:w="1701" w:type="dxa"/>
            <w:noWrap w:val="0"/>
            <w:vAlign w:val="center"/>
          </w:tcPr>
          <w:p>
            <w:pPr>
              <w:snapToGrid w:val="0"/>
              <w:spacing w:before="50" w:after="120" w:afterLines="50"/>
              <w:jc w:val="center"/>
              <w:rPr>
                <w:rFonts w:hint="eastAsia" w:ascii="宋体" w:hAnsi="宋体"/>
                <w:color w:val="auto"/>
                <w:sz w:val="24"/>
                <w:szCs w:val="20"/>
              </w:rPr>
            </w:pPr>
          </w:p>
        </w:tc>
        <w:tc>
          <w:tcPr>
            <w:tcW w:w="1420" w:type="dxa"/>
            <w:noWrap w:val="0"/>
            <w:vAlign w:val="center"/>
          </w:tcPr>
          <w:p>
            <w:pPr>
              <w:snapToGrid w:val="0"/>
              <w:spacing w:before="50" w:after="120" w:afterLines="50"/>
              <w:jc w:val="center"/>
              <w:rPr>
                <w:rFonts w:hint="eastAsia" w:ascii="宋体" w:hAnsi="宋体"/>
                <w:color w:val="auto"/>
                <w:sz w:val="24"/>
                <w:szCs w:val="20"/>
              </w:rPr>
            </w:pPr>
          </w:p>
        </w:tc>
        <w:tc>
          <w:tcPr>
            <w:tcW w:w="1698" w:type="dxa"/>
            <w:noWrap w:val="0"/>
            <w:vAlign w:val="center"/>
          </w:tcPr>
          <w:p>
            <w:pPr>
              <w:snapToGrid w:val="0"/>
              <w:spacing w:before="50" w:after="120" w:afterLines="50"/>
              <w:jc w:val="center"/>
              <w:rPr>
                <w:rFonts w:hint="eastAsia" w:ascii="宋体" w:hAnsi="宋体"/>
                <w:color w:val="auto"/>
                <w:sz w:val="24"/>
                <w:szCs w:val="20"/>
              </w:rPr>
            </w:pPr>
          </w:p>
        </w:tc>
        <w:tc>
          <w:tcPr>
            <w:tcW w:w="1843" w:type="dxa"/>
            <w:noWrap w:val="0"/>
            <w:vAlign w:val="center"/>
          </w:tcPr>
          <w:p>
            <w:pPr>
              <w:snapToGrid w:val="0"/>
              <w:spacing w:before="50" w:after="120" w:afterLines="50"/>
              <w:jc w:val="center"/>
              <w:rPr>
                <w:rFonts w:hint="eastAsia" w:ascii="宋体" w:hAnsi="宋体"/>
                <w:color w:val="auto"/>
                <w:sz w:val="24"/>
                <w:szCs w:val="20"/>
              </w:rPr>
            </w:pPr>
          </w:p>
        </w:tc>
      </w:tr>
    </w:tbl>
    <w:p>
      <w:pPr>
        <w:snapToGrid w:val="0"/>
        <w:spacing w:before="50" w:after="120" w:afterLines="50"/>
        <w:jc w:val="left"/>
        <w:rPr>
          <w:rFonts w:hint="eastAsia" w:ascii="宋体" w:hAnsi="宋体"/>
          <w:color w:val="auto"/>
          <w:sz w:val="24"/>
          <w:szCs w:val="20"/>
        </w:rPr>
      </w:pPr>
      <w:r>
        <w:rPr>
          <w:rFonts w:hint="eastAsia" w:ascii="宋体" w:hAnsi="宋体"/>
          <w:color w:val="auto"/>
          <w:sz w:val="24"/>
          <w:szCs w:val="20"/>
        </w:rPr>
        <w:t>注：在填写时，如本表格不适合投标单位的实际情况，可根据本表格式自行制表填写。</w:t>
      </w:r>
    </w:p>
    <w:p>
      <w:pPr>
        <w:snapToGrid w:val="0"/>
        <w:spacing w:line="360" w:lineRule="auto"/>
        <w:ind w:firstLine="4320" w:firstLineChars="1800"/>
        <w:rPr>
          <w:rFonts w:ascii="仿宋_GB2312" w:hAnsi="仿宋" w:eastAsia="仿宋_GB2312" w:cs="仿宋_GB2312"/>
          <w:color w:val="auto"/>
          <w:kern w:val="0"/>
          <w:sz w:val="24"/>
          <w:lang w:val="zh-CN"/>
        </w:rPr>
      </w:pPr>
    </w:p>
    <w:p>
      <w:pPr>
        <w:snapToGrid w:val="0"/>
        <w:spacing w:line="360" w:lineRule="auto"/>
        <w:ind w:firstLine="4320" w:firstLineChars="1800"/>
        <w:rPr>
          <w:rFonts w:ascii="仿宋_GB2312" w:hAnsi="仿宋" w:eastAsia="仿宋_GB2312" w:cs="仿宋_GB2312"/>
          <w:color w:val="auto"/>
          <w:kern w:val="0"/>
          <w:sz w:val="24"/>
          <w:lang w:val="zh-CN"/>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投标人名称(盖公章)：</w:t>
      </w:r>
    </w:p>
    <w:p>
      <w:pPr>
        <w:autoSpaceDE w:val="0"/>
        <w:autoSpaceDN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日期：  年  月   日</w:t>
      </w:r>
    </w:p>
    <w:p>
      <w:pPr>
        <w:snapToGrid w:val="0"/>
        <w:spacing w:before="50" w:after="50"/>
        <w:rPr>
          <w:rFonts w:ascii="宋体" w:hAnsi="宋体"/>
          <w:color w:val="auto"/>
          <w:sz w:val="24"/>
        </w:rPr>
      </w:pPr>
    </w:p>
    <w:p>
      <w:pPr>
        <w:pStyle w:val="18"/>
        <w:jc w:val="center"/>
        <w:outlineLvl w:val="1"/>
        <w:rPr>
          <w:rFonts w:hint="eastAsia" w:hAnsi="宋体"/>
          <w:b/>
          <w:bCs/>
          <w:color w:val="auto"/>
          <w:sz w:val="28"/>
          <w:szCs w:val="28"/>
        </w:rPr>
      </w:pPr>
      <w:bookmarkStart w:id="411" w:name="_Toc3481"/>
      <w:bookmarkStart w:id="412" w:name="_Toc12675"/>
      <w:bookmarkStart w:id="413" w:name="_Toc1343"/>
      <w:bookmarkStart w:id="414" w:name="_Toc9015"/>
      <w:bookmarkStart w:id="415" w:name="_Toc30951"/>
      <w:bookmarkStart w:id="416" w:name="_Toc28617"/>
      <w:bookmarkStart w:id="417" w:name="_Toc22926"/>
      <w:bookmarkStart w:id="418" w:name="_Toc12868"/>
      <w:bookmarkStart w:id="419" w:name="_Toc31920"/>
      <w:bookmarkStart w:id="420" w:name="_Toc17719"/>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rPr>
          <w:rFonts w:hint="eastAsia" w:hAnsi="宋体"/>
          <w:b/>
          <w:bCs/>
          <w:color w:val="auto"/>
          <w:sz w:val="28"/>
          <w:szCs w:val="28"/>
        </w:rPr>
      </w:pPr>
    </w:p>
    <w:p>
      <w:pPr>
        <w:pStyle w:val="12"/>
        <w:rPr>
          <w:rFonts w:hint="eastAsia" w:hAnsi="宋体"/>
          <w:b/>
          <w:bCs/>
          <w:color w:val="auto"/>
          <w:sz w:val="28"/>
          <w:szCs w:val="28"/>
        </w:rPr>
      </w:pPr>
    </w:p>
    <w:p>
      <w:pPr>
        <w:pStyle w:val="18"/>
        <w:jc w:val="center"/>
        <w:outlineLvl w:val="1"/>
        <w:rPr>
          <w:rFonts w:hint="eastAsia" w:hAnsi="宋体"/>
          <w:b/>
          <w:bCs/>
          <w:color w:val="auto"/>
          <w:sz w:val="28"/>
          <w:szCs w:val="28"/>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jc w:val="left"/>
        <w:rPr>
          <w:rFonts w:hint="eastAsia" w:ascii="宋体" w:hAnsi="宋体" w:cs="宋体"/>
          <w:b/>
          <w:color w:val="auto"/>
          <w:sz w:val="24"/>
          <w:highlight w:val="none"/>
        </w:rPr>
      </w:pPr>
    </w:p>
    <w:p>
      <w:pPr>
        <w:snapToGrid w:val="0"/>
        <w:spacing w:before="120" w:beforeLines="50" w:after="50"/>
        <w:ind w:firstLine="241" w:firstLineChars="100"/>
        <w:jc w:val="left"/>
        <w:rPr>
          <w:rFonts w:hint="eastAsia" w:ascii="宋体" w:hAnsi="宋体" w:cs="宋体"/>
          <w:b/>
          <w:color w:val="auto"/>
          <w:sz w:val="24"/>
          <w:highlight w:val="none"/>
          <w:lang w:val="en-US" w:eastAsia="zh-CN"/>
        </w:rPr>
      </w:pPr>
    </w:p>
    <w:p>
      <w:pPr>
        <w:snapToGrid w:val="0"/>
        <w:spacing w:before="120" w:beforeLines="50" w:after="50"/>
        <w:ind w:firstLine="241" w:firstLineChars="100"/>
        <w:jc w:val="left"/>
        <w:rPr>
          <w:rFonts w:hint="eastAsia" w:ascii="宋体" w:hAnsi="宋体" w:cs="宋体"/>
          <w:b/>
          <w:color w:val="auto"/>
          <w:sz w:val="24"/>
          <w:highlight w:val="none"/>
          <w:lang w:val="en-US" w:eastAsia="zh-CN"/>
        </w:rPr>
      </w:pPr>
    </w:p>
    <w:p>
      <w:pPr>
        <w:snapToGrid w:val="0"/>
        <w:spacing w:before="120" w:beforeLines="50" w:after="50"/>
        <w:ind w:firstLine="241" w:firstLineChars="100"/>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.投标人类似的业绩证明文件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如有</w:t>
      </w:r>
      <w:r>
        <w:rPr>
          <w:rFonts w:hint="eastAsia" w:ascii="宋体" w:hAnsi="宋体" w:cs="宋体"/>
          <w:b/>
          <w:color w:val="auto"/>
          <w:sz w:val="24"/>
          <w:highlight w:val="none"/>
          <w:lang w:eastAsia="zh-CN"/>
        </w:rPr>
        <w:t>）</w:t>
      </w:r>
    </w:p>
    <w:p>
      <w:pPr>
        <w:pStyle w:val="24"/>
        <w:snapToGrid w:val="0"/>
        <w:ind w:left="480" w:hanging="480"/>
        <w:rPr>
          <w:rFonts w:hint="eastAsia" w:ascii="宋体" w:hAnsi="宋体" w:cs="宋体"/>
          <w:color w:val="auto"/>
          <w:sz w:val="24"/>
          <w:highlight w:val="none"/>
        </w:rPr>
      </w:pPr>
    </w:p>
    <w:p>
      <w:pPr>
        <w:pStyle w:val="24"/>
        <w:snapToGrid w:val="0"/>
        <w:ind w:left="480" w:hanging="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投标人同类项目情况一览表格式：</w:t>
      </w:r>
    </w:p>
    <w:tbl>
      <w:tblPr>
        <w:tblStyle w:val="28"/>
        <w:tblW w:w="10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0"/>
        <w:gridCol w:w="2394"/>
        <w:gridCol w:w="1200"/>
        <w:gridCol w:w="2137"/>
        <w:gridCol w:w="2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8" w:hRule="atLeast"/>
        </w:trPr>
        <w:tc>
          <w:tcPr>
            <w:tcW w:w="18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合同</w:t>
            </w:r>
          </w:p>
          <w:p>
            <w:pPr>
              <w:snapToGrid w:val="0"/>
              <w:jc w:val="center"/>
              <w:rPr>
                <w:rFonts w:hint="eastAsia" w:ascii="宋体" w:hAnsi="宋体" w:cs="宋体"/>
                <w:color w:val="auto"/>
                <w:sz w:val="24"/>
                <w:highlight w:val="none"/>
              </w:rPr>
            </w:pPr>
            <w:r>
              <w:rPr>
                <w:rFonts w:hint="eastAsia" w:ascii="宋体" w:hAnsi="宋体" w:cs="宋体"/>
                <w:color w:val="auto"/>
                <w:sz w:val="24"/>
                <w:highlight w:val="none"/>
              </w:rPr>
              <w:t>金额</w:t>
            </w:r>
          </w:p>
          <w:p>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2137" w:type="dxa"/>
            <w:tcBorders>
              <w:top w:val="single" w:color="auto" w:sz="4" w:space="0"/>
              <w:left w:val="single" w:color="auto" w:sz="4" w:space="0"/>
              <w:right w:val="single" w:color="auto" w:sz="4" w:space="0"/>
            </w:tcBorders>
            <w:noWrap w:val="0"/>
            <w:vAlign w:val="center"/>
          </w:tcPr>
          <w:p>
            <w:pPr>
              <w:snapToGrid w:val="0"/>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合同或中标通知书在投标文件中的页码</w:t>
            </w:r>
            <w:r>
              <w:rPr>
                <w:rFonts w:ascii="宋体" w:hAnsi="宋体" w:cs="宋体"/>
                <w:color w:val="auto"/>
                <w:sz w:val="24"/>
                <w:highlight w:val="none"/>
              </w:rPr>
              <w:cr/>
            </w:r>
          </w:p>
        </w:tc>
        <w:tc>
          <w:tcPr>
            <w:tcW w:w="262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8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color w:val="auto"/>
                <w:sz w:val="24"/>
                <w:highlight w:val="none"/>
              </w:rPr>
            </w:pP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color w:val="auto"/>
                <w:sz w:val="24"/>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8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8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8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s="宋体"/>
                <w:color w:val="auto"/>
                <w:sz w:val="24"/>
                <w:highlight w:val="none"/>
              </w:rPr>
            </w:pPr>
          </w:p>
        </w:tc>
      </w:tr>
    </w:tbl>
    <w:p>
      <w:pPr>
        <w:snapToGrid w:val="0"/>
        <w:spacing w:line="360" w:lineRule="auto"/>
        <w:rPr>
          <w:rFonts w:hint="eastAsia" w:ascii="宋体" w:hAnsi="宋体" w:cs="宋体"/>
          <w:color w:val="auto"/>
          <w:szCs w:val="21"/>
        </w:rPr>
      </w:pPr>
      <w:r>
        <w:rPr>
          <w:rFonts w:hint="eastAsia" w:ascii="宋体" w:hAnsi="宋体" w:cs="宋体"/>
          <w:color w:val="auto"/>
          <w:sz w:val="24"/>
          <w:szCs w:val="20"/>
        </w:rPr>
        <w:t>注：在填写时，如本表格不适合</w:t>
      </w:r>
      <w:r>
        <w:rPr>
          <w:rFonts w:hint="eastAsia" w:ascii="宋体" w:hAnsi="宋体" w:cs="宋体"/>
          <w:color w:val="auto"/>
          <w:sz w:val="24"/>
          <w:szCs w:val="20"/>
          <w:lang w:val="en-US" w:eastAsia="zh-CN"/>
        </w:rPr>
        <w:t>投标</w:t>
      </w:r>
      <w:r>
        <w:rPr>
          <w:rFonts w:hint="eastAsia" w:ascii="宋体" w:hAnsi="宋体" w:cs="宋体"/>
          <w:color w:val="auto"/>
          <w:sz w:val="24"/>
          <w:szCs w:val="20"/>
        </w:rPr>
        <w:t>的实际情况，可参照本表格式自行制表填写，并附上相关证明材料</w:t>
      </w:r>
      <w:r>
        <w:rPr>
          <w:rFonts w:hint="eastAsia"/>
          <w:color w:val="auto"/>
        </w:rPr>
        <w:t>。</w:t>
      </w:r>
    </w:p>
    <w:p>
      <w:pPr>
        <w:pStyle w:val="10"/>
        <w:snapToGrid w:val="0"/>
        <w:rPr>
          <w:rFonts w:hint="eastAsia" w:ascii="宋体" w:hAnsi="宋体" w:eastAsia="宋体" w:cs="宋体"/>
          <w:color w:val="auto"/>
          <w:sz w:val="24"/>
          <w:szCs w:val="24"/>
          <w:highlight w:val="none"/>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投标人名称(盖公章)：</w:t>
      </w:r>
    </w:p>
    <w:p>
      <w:pPr>
        <w:autoSpaceDE w:val="0"/>
        <w:autoSpaceDN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日期：  年  月   日</w:t>
      </w:r>
    </w:p>
    <w:p>
      <w:pPr>
        <w:snapToGrid w:val="0"/>
        <w:spacing w:before="120" w:beforeLines="50" w:after="120" w:afterLines="50"/>
        <w:ind w:firstLine="6000" w:firstLineChars="2500"/>
        <w:rPr>
          <w:rFonts w:hint="eastAsia" w:ascii="宋体" w:hAnsi="宋体" w:cs="宋体"/>
          <w:color w:val="auto"/>
          <w:sz w:val="24"/>
          <w:szCs w:val="20"/>
          <w:highlight w:val="none"/>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int="eastAsia" w:hAnsi="宋体"/>
          <w:b/>
          <w:bCs/>
          <w:color w:val="auto"/>
          <w:sz w:val="28"/>
          <w:szCs w:val="28"/>
        </w:rPr>
      </w:pPr>
    </w:p>
    <w:p>
      <w:pPr>
        <w:pStyle w:val="18"/>
        <w:jc w:val="center"/>
        <w:outlineLvl w:val="1"/>
        <w:rPr>
          <w:rFonts w:hAnsi="宋体"/>
          <w:b/>
          <w:bCs/>
          <w:color w:val="auto"/>
          <w:sz w:val="28"/>
          <w:szCs w:val="28"/>
        </w:rPr>
      </w:pPr>
      <w:r>
        <w:rPr>
          <w:rFonts w:hint="eastAsia" w:hAnsi="宋体"/>
          <w:b/>
          <w:bCs/>
          <w:color w:val="auto"/>
          <w:sz w:val="28"/>
          <w:szCs w:val="28"/>
        </w:rPr>
        <w:t>第四节 报价文件格式</w:t>
      </w:r>
      <w:bookmarkEnd w:id="411"/>
      <w:bookmarkEnd w:id="412"/>
      <w:bookmarkEnd w:id="413"/>
      <w:bookmarkEnd w:id="414"/>
      <w:bookmarkEnd w:id="415"/>
      <w:bookmarkEnd w:id="416"/>
      <w:bookmarkEnd w:id="417"/>
      <w:bookmarkEnd w:id="418"/>
      <w:bookmarkEnd w:id="419"/>
      <w:bookmarkEnd w:id="420"/>
    </w:p>
    <w:p>
      <w:pPr>
        <w:snapToGrid w:val="0"/>
        <w:spacing w:before="120" w:beforeLines="50" w:after="50" w:line="400" w:lineRule="exact"/>
        <w:jc w:val="left"/>
        <w:rPr>
          <w:rFonts w:ascii="宋体" w:hAnsi="宋体"/>
          <w:color w:val="auto"/>
          <w:sz w:val="24"/>
        </w:rPr>
      </w:pPr>
      <w:r>
        <w:rPr>
          <w:rFonts w:hint="eastAsia" w:ascii="宋体" w:hAnsi="宋体"/>
          <w:color w:val="auto"/>
          <w:sz w:val="24"/>
        </w:rPr>
        <w:t xml:space="preserve">  </w:t>
      </w:r>
      <w:r>
        <w:rPr>
          <w:rFonts w:hint="eastAsia" w:ascii="宋体" w:hAnsi="宋体" w:cs="宋体"/>
          <w:b/>
          <w:bCs/>
          <w:color w:val="auto"/>
          <w:sz w:val="28"/>
          <w:szCs w:val="28"/>
        </w:rPr>
        <w:t>1.报价文件封面的格式（参照此格式自拟）：</w:t>
      </w:r>
      <w:r>
        <w:rPr>
          <w:rFonts w:hint="eastAsia" w:ascii="宋体" w:hAnsi="宋体"/>
          <w:color w:val="auto"/>
          <w:sz w:val="24"/>
        </w:rPr>
        <w:t xml:space="preserve">                                </w:t>
      </w:r>
    </w:p>
    <w:p>
      <w:pPr>
        <w:snapToGrid w:val="0"/>
        <w:spacing w:before="120" w:beforeLines="50" w:after="50" w:line="400" w:lineRule="exact"/>
        <w:rPr>
          <w:rFonts w:ascii="宋体" w:hAnsi="宋体"/>
          <w:color w:val="auto"/>
          <w:sz w:val="24"/>
        </w:rPr>
      </w:pPr>
    </w:p>
    <w:p>
      <w:pPr>
        <w:snapToGrid w:val="0"/>
        <w:spacing w:before="120" w:beforeLines="50" w:after="50" w:line="400" w:lineRule="exact"/>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line="400" w:lineRule="exact"/>
        <w:jc w:val="center"/>
        <w:rPr>
          <w:rFonts w:ascii="宋体" w:hAnsi="宋体"/>
          <w:bCs/>
          <w:color w:val="auto"/>
          <w:sz w:val="24"/>
          <w:szCs w:val="20"/>
        </w:rPr>
      </w:pPr>
    </w:p>
    <w:p>
      <w:pPr>
        <w:snapToGrid w:val="0"/>
        <w:spacing w:before="120"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pPr>
        <w:snapToGrid w:val="0"/>
        <w:spacing w:before="120" w:beforeLines="50" w:after="50" w:line="400" w:lineRule="exact"/>
        <w:ind w:firstLine="360" w:firstLineChars="150"/>
        <w:rPr>
          <w:rFonts w:ascii="宋体" w:hAnsi="宋体"/>
          <w:bCs/>
          <w:color w:val="auto"/>
          <w:sz w:val="24"/>
        </w:rPr>
      </w:pPr>
    </w:p>
    <w:p>
      <w:pPr>
        <w:pStyle w:val="8"/>
        <w:snapToGrid w:val="0"/>
        <w:spacing w:before="50" w:after="50" w:line="400" w:lineRule="exact"/>
        <w:ind w:firstLine="960" w:firstLineChars="400"/>
        <w:rPr>
          <w:rFonts w:ascii="宋体" w:hAnsi="宋体"/>
          <w:bCs/>
          <w:color w:val="auto"/>
          <w:sz w:val="24"/>
          <w:szCs w:val="24"/>
        </w:rPr>
      </w:pPr>
    </w:p>
    <w:p>
      <w:pPr>
        <w:snapToGrid w:val="0"/>
        <w:spacing w:before="120" w:beforeLines="50" w:after="50" w:line="400" w:lineRule="exact"/>
        <w:rPr>
          <w:rFonts w:ascii="宋体" w:hAnsi="宋体"/>
          <w:color w:val="auto"/>
          <w:sz w:val="24"/>
        </w:rPr>
      </w:pPr>
      <w:r>
        <w:rPr>
          <w:rFonts w:hint="eastAsia" w:ascii="宋体" w:hAnsi="宋体"/>
          <w:color w:val="auto"/>
          <w:sz w:val="24"/>
        </w:rPr>
        <w:t xml:space="preserve">                                                     </w:t>
      </w:r>
    </w:p>
    <w:p>
      <w:pPr>
        <w:snapToGrid w:val="0"/>
        <w:spacing w:before="120" w:beforeLines="50" w:after="50" w:line="400" w:lineRule="exact"/>
        <w:ind w:firstLine="3120" w:firstLineChars="1300"/>
        <w:rPr>
          <w:rFonts w:ascii="宋体" w:hAnsi="宋体"/>
          <w:color w:val="auto"/>
          <w:sz w:val="24"/>
        </w:rPr>
      </w:pPr>
    </w:p>
    <w:p>
      <w:pPr>
        <w:snapToGrid w:val="0"/>
        <w:spacing w:before="120" w:beforeLines="50" w:after="50" w:line="400" w:lineRule="exact"/>
        <w:ind w:firstLine="4320" w:firstLineChars="1800"/>
        <w:rPr>
          <w:rFonts w:ascii="宋体" w:hAnsi="宋体"/>
          <w:color w:val="auto"/>
          <w:sz w:val="24"/>
        </w:rPr>
      </w:pPr>
      <w:r>
        <w:rPr>
          <w:rFonts w:hint="eastAsia" w:ascii="宋体" w:hAnsi="宋体"/>
          <w:color w:val="auto"/>
          <w:sz w:val="24"/>
        </w:rPr>
        <w:t xml:space="preserve">  年  月  日</w:t>
      </w:r>
    </w:p>
    <w:p>
      <w:pPr>
        <w:widowControl/>
        <w:jc w:val="left"/>
        <w:rPr>
          <w:rFonts w:ascii="宋体" w:hAnsi="宋体"/>
          <w:color w:val="auto"/>
          <w:sz w:val="24"/>
        </w:rPr>
        <w:sectPr>
          <w:pgSz w:w="11905" w:h="16838"/>
          <w:pgMar w:top="1134" w:right="1134" w:bottom="1134" w:left="1134" w:header="850" w:footer="850" w:gutter="0"/>
          <w:pgNumType w:fmt="decimal"/>
          <w:cols w:space="0" w:num="1"/>
          <w:titlePg/>
          <w:docGrid w:linePitch="331" w:charSpace="0"/>
        </w:sectPr>
      </w:pPr>
    </w:p>
    <w:p>
      <w:pPr>
        <w:snapToGrid w:val="0"/>
        <w:spacing w:before="120" w:beforeLines="50" w:after="50" w:line="360" w:lineRule="auto"/>
        <w:jc w:val="left"/>
        <w:rPr>
          <w:rFonts w:ascii="宋体" w:hAnsi="宋体" w:cs="宋体"/>
          <w:color w:val="auto"/>
          <w:sz w:val="28"/>
          <w:szCs w:val="28"/>
        </w:rPr>
      </w:pPr>
      <w:r>
        <w:rPr>
          <w:rFonts w:hint="eastAsia" w:ascii="宋体" w:hAnsi="宋体" w:cs="宋体"/>
          <w:b/>
          <w:color w:val="auto"/>
          <w:sz w:val="28"/>
          <w:szCs w:val="28"/>
        </w:rPr>
        <w:t>2.</w:t>
      </w:r>
      <w:r>
        <w:rPr>
          <w:rFonts w:hint="eastAsia" w:ascii="宋体" w:hAnsi="宋体" w:cs="宋体"/>
          <w:b/>
          <w:bCs/>
          <w:color w:val="auto"/>
          <w:sz w:val="28"/>
          <w:szCs w:val="28"/>
        </w:rPr>
        <w:t>报价文件目录</w:t>
      </w:r>
    </w:p>
    <w:p>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根据招标文件规定及投标人提供的材料自行编写目录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pPr>
        <w:spacing w:line="500" w:lineRule="exact"/>
        <w:jc w:val="center"/>
        <w:rPr>
          <w:b/>
          <w:bCs/>
          <w:color w:val="auto"/>
          <w:sz w:val="30"/>
          <w:szCs w:val="30"/>
        </w:rPr>
      </w:pPr>
      <w:r>
        <w:rPr>
          <w:rFonts w:hint="eastAsia"/>
          <w:b/>
          <w:bCs/>
          <w:color w:val="auto"/>
          <w:sz w:val="30"/>
          <w:szCs w:val="30"/>
        </w:rPr>
        <w:br w:type="page"/>
      </w:r>
    </w:p>
    <w:p>
      <w:pPr>
        <w:pStyle w:val="18"/>
        <w:spacing w:line="500" w:lineRule="exact"/>
        <w:jc w:val="left"/>
        <w:rPr>
          <w:rFonts w:ascii="Times New Roman" w:hAnsi="Times New Roman"/>
          <w:b/>
          <w:bCs/>
          <w:color w:val="auto"/>
          <w:sz w:val="30"/>
          <w:szCs w:val="30"/>
        </w:rPr>
      </w:pPr>
      <w:r>
        <w:rPr>
          <w:rFonts w:hint="eastAsia" w:hAnsi="宋体" w:cs="宋体"/>
          <w:b/>
          <w:bCs/>
          <w:color w:val="auto"/>
          <w:sz w:val="28"/>
          <w:szCs w:val="28"/>
        </w:rPr>
        <w:t>3.投标函的格式：</w:t>
      </w:r>
    </w:p>
    <w:p>
      <w:pPr>
        <w:pStyle w:val="18"/>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投标函</w:t>
      </w:r>
    </w:p>
    <w:p>
      <w:pPr>
        <w:pStyle w:val="18"/>
        <w:spacing w:line="440" w:lineRule="exact"/>
        <w:ind w:firstLine="420" w:firstLineChars="200"/>
        <w:rPr>
          <w:rFonts w:ascii="Times New Roman" w:hAnsi="Times New Roman"/>
          <w:color w:val="auto"/>
        </w:rPr>
      </w:pPr>
    </w:p>
    <w:p>
      <w:pPr>
        <w:pStyle w:val="18"/>
        <w:spacing w:line="44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rPr>
        <w:t>致：</w:t>
      </w:r>
      <w:r>
        <w:rPr>
          <w:rFonts w:hint="eastAsia" w:ascii="Times New Roman" w:hAnsi="Times New Roman"/>
          <w:color w:val="auto"/>
          <w:highlight w:val="none"/>
          <w:u w:val="single"/>
          <w:lang w:eastAsia="zh-CN"/>
        </w:rPr>
        <w:t>广西华晟招标代理有限公司</w:t>
      </w:r>
    </w:p>
    <w:p>
      <w:pPr>
        <w:pStyle w:val="18"/>
        <w:spacing w:line="440" w:lineRule="exact"/>
        <w:ind w:firstLine="420" w:firstLineChars="200"/>
        <w:rPr>
          <w:color w:val="auto"/>
          <w:highlight w:val="none"/>
        </w:rPr>
      </w:pPr>
      <w:r>
        <w:rPr>
          <w:rFonts w:hint="eastAsia"/>
          <w:color w:val="auto"/>
          <w:highlight w:val="none"/>
        </w:rPr>
        <w:t>我方已仔细阅读了贵方组织的</w:t>
      </w:r>
      <w:r>
        <w:rPr>
          <w:rFonts w:hint="eastAsia" w:hAnsi="宋体" w:cs="宋体"/>
          <w:i/>
          <w:iCs/>
          <w:color w:val="auto"/>
          <w:highlight w:val="none"/>
          <w:u w:val="single"/>
        </w:rPr>
        <w:t>（项目名称）</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u w:val="single"/>
        </w:rPr>
        <w:t xml:space="preserve">        </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pPr>
        <w:pStyle w:val="18"/>
        <w:spacing w:line="440" w:lineRule="exact"/>
        <w:ind w:firstLine="482"/>
        <w:rPr>
          <w:rFonts w:hint="eastAsia" w:ascii="宋体" w:eastAsia="宋体" w:cs="Times New Roman"/>
          <w:color w:val="auto"/>
          <w:highlight w:val="none"/>
        </w:rPr>
      </w:pPr>
      <w:r>
        <w:rPr>
          <w:rFonts w:hint="eastAsia" w:ascii="宋体" w:eastAsia="宋体" w:cs="Times New Roman"/>
          <w:color w:val="auto"/>
          <w:highlight w:val="none"/>
          <w:lang w:val="en-US" w:eastAsia="zh-CN"/>
        </w:rPr>
        <w:t>一</w:t>
      </w:r>
      <w:r>
        <w:rPr>
          <w:rFonts w:hint="eastAsia" w:ascii="宋体" w:eastAsia="宋体" w:cs="Times New Roman"/>
          <w:color w:val="auto"/>
          <w:highlight w:val="none"/>
        </w:rPr>
        <w:t>、资格文件电子版（包含按投标人须知前附表要求提交的全部文件）；</w:t>
      </w:r>
    </w:p>
    <w:p>
      <w:pPr>
        <w:pStyle w:val="18"/>
        <w:spacing w:line="440" w:lineRule="exact"/>
        <w:ind w:firstLine="482"/>
        <w:rPr>
          <w:rFonts w:hint="eastAsia" w:ascii="宋体" w:eastAsia="宋体" w:cs="Times New Roman"/>
          <w:color w:val="auto"/>
          <w:highlight w:val="none"/>
        </w:rPr>
      </w:pPr>
      <w:r>
        <w:rPr>
          <w:rFonts w:hint="eastAsia" w:ascii="宋体" w:eastAsia="宋体" w:cs="Times New Roman"/>
          <w:color w:val="auto"/>
          <w:highlight w:val="none"/>
          <w:lang w:val="en-US" w:eastAsia="zh-CN"/>
        </w:rPr>
        <w:t>二</w:t>
      </w:r>
      <w:r>
        <w:rPr>
          <w:rFonts w:hint="eastAsia" w:ascii="宋体" w:eastAsia="宋体" w:cs="Times New Roman"/>
          <w:color w:val="auto"/>
          <w:highlight w:val="none"/>
        </w:rPr>
        <w:t>、商务文件电子版（包含按投标人须知前附表要求提交的全部文件）；</w:t>
      </w:r>
    </w:p>
    <w:p>
      <w:pPr>
        <w:pStyle w:val="18"/>
        <w:spacing w:line="440" w:lineRule="exact"/>
        <w:ind w:firstLine="482"/>
        <w:rPr>
          <w:rFonts w:hint="eastAsia" w:ascii="宋体" w:eastAsia="宋体" w:cs="Times New Roman"/>
          <w:color w:val="auto"/>
          <w:highlight w:val="none"/>
        </w:rPr>
      </w:pPr>
      <w:r>
        <w:rPr>
          <w:rFonts w:hint="eastAsia" w:ascii="宋体" w:eastAsia="宋体" w:cs="Times New Roman"/>
          <w:color w:val="auto"/>
          <w:highlight w:val="none"/>
        </w:rPr>
        <w:t>三、技术文件电子版（包含按投标人须知前附表要求提交的全部文件）；</w:t>
      </w:r>
    </w:p>
    <w:p>
      <w:pPr>
        <w:pStyle w:val="18"/>
        <w:spacing w:line="440" w:lineRule="exact"/>
        <w:ind w:firstLine="482"/>
        <w:rPr>
          <w:rFonts w:hint="eastAsia" w:ascii="宋体" w:eastAsia="宋体" w:cs="Times New Roman"/>
          <w:color w:val="auto"/>
          <w:highlight w:val="none"/>
        </w:rPr>
      </w:pPr>
      <w:r>
        <w:rPr>
          <w:rFonts w:hint="eastAsia" w:ascii="宋体" w:eastAsia="宋体" w:cs="Times New Roman"/>
          <w:color w:val="auto"/>
          <w:highlight w:val="none"/>
          <w:lang w:val="en-US" w:eastAsia="zh-CN"/>
        </w:rPr>
        <w:t>四</w:t>
      </w:r>
      <w:r>
        <w:rPr>
          <w:rFonts w:hint="eastAsia" w:ascii="宋体" w:eastAsia="宋体" w:cs="Times New Roman"/>
          <w:color w:val="auto"/>
          <w:highlight w:val="none"/>
        </w:rPr>
        <w:t>、报价文件电子版（包含按投标人须知前附表要求提交的全部文件）；</w:t>
      </w:r>
    </w:p>
    <w:p>
      <w:pPr>
        <w:pStyle w:val="18"/>
        <w:spacing w:line="440" w:lineRule="exact"/>
        <w:ind w:firstLine="482"/>
        <w:rPr>
          <w:rFonts w:ascii="Times New Roman" w:hAnsi="Times New Roman"/>
          <w:color w:val="auto"/>
          <w:highlight w:val="none"/>
        </w:rPr>
      </w:pPr>
      <w:r>
        <w:rPr>
          <w:rFonts w:hint="eastAsia"/>
          <w:color w:val="auto"/>
          <w:highlight w:val="none"/>
        </w:rPr>
        <w:t>据此函，我方</w:t>
      </w:r>
      <w:r>
        <w:rPr>
          <w:color w:val="auto"/>
          <w:highlight w:val="none"/>
        </w:rPr>
        <w:t>兹</w:t>
      </w:r>
      <w:r>
        <w:rPr>
          <w:rFonts w:hint="eastAsia"/>
          <w:color w:val="auto"/>
          <w:highlight w:val="none"/>
        </w:rPr>
        <w:t>宣布：</w:t>
      </w:r>
    </w:p>
    <w:p>
      <w:pPr>
        <w:pStyle w:val="18"/>
        <w:spacing w:line="440" w:lineRule="exact"/>
        <w:ind w:firstLine="420" w:firstLineChars="200"/>
        <w:rPr>
          <w:rFonts w:ascii="Times New Roman" w:hAnsi="Times New Roman"/>
          <w:color w:val="auto"/>
          <w:highlight w:val="none"/>
        </w:rPr>
      </w:pPr>
      <w:r>
        <w:rPr>
          <w:rFonts w:hint="eastAsia"/>
          <w:color w:val="auto"/>
          <w:highlight w:val="none"/>
        </w:rPr>
        <w:t>1、我方愿意以投标时提供</w:t>
      </w:r>
      <w:r>
        <w:rPr>
          <w:rFonts w:hint="eastAsia" w:hAnsi="宋体" w:cs="宋体"/>
          <w:color w:val="auto"/>
          <w:highlight w:val="none"/>
        </w:rPr>
        <w:t>的开标一览表中的投标总</w:t>
      </w:r>
      <w:r>
        <w:rPr>
          <w:rFonts w:hint="eastAsia" w:hAnsi="宋体" w:cs="宋体"/>
          <w:color w:val="auto"/>
          <w:szCs w:val="22"/>
          <w:highlight w:val="none"/>
        </w:rPr>
        <w:t>报价，在承诺的提交服务成果时间内</w:t>
      </w:r>
      <w:r>
        <w:rPr>
          <w:rFonts w:hint="eastAsia"/>
          <w:color w:val="auto"/>
          <w:highlight w:val="none"/>
        </w:rPr>
        <w:t>提供本项目</w:t>
      </w:r>
      <w:r>
        <w:rPr>
          <w:rFonts w:hint="eastAsia" w:hAnsi="Times New Roman"/>
          <w:color w:val="auto"/>
          <w:highlight w:val="none"/>
        </w:rPr>
        <w:t>招标文件“第二章  采购需求”的“服务要求”中</w:t>
      </w:r>
      <w:r>
        <w:rPr>
          <w:rFonts w:hint="eastAsia"/>
          <w:color w:val="auto"/>
          <w:highlight w:val="none"/>
        </w:rPr>
        <w:t>的相应的采购内容</w:t>
      </w:r>
      <w:r>
        <w:rPr>
          <w:rFonts w:hint="eastAsia" w:hAnsi="宋体" w:cs="宋体"/>
          <w:color w:val="auto"/>
          <w:highlight w:val="none"/>
        </w:rPr>
        <w:t>，具体详见开标一览表</w:t>
      </w:r>
      <w:r>
        <w:rPr>
          <w:rFonts w:hint="eastAsia"/>
          <w:color w:val="auto"/>
          <w:highlight w:val="none"/>
        </w:rPr>
        <w:t>。</w:t>
      </w:r>
    </w:p>
    <w:p>
      <w:pPr>
        <w:pStyle w:val="18"/>
        <w:spacing w:line="360" w:lineRule="exact"/>
        <w:ind w:firstLine="420" w:firstLineChars="200"/>
        <w:rPr>
          <w:color w:val="auto"/>
          <w:highlight w:val="none"/>
          <w:u w:val="single"/>
        </w:rPr>
      </w:pPr>
      <w:r>
        <w:rPr>
          <w:rFonts w:hint="eastAsia"/>
          <w:color w:val="auto"/>
          <w:highlight w:val="none"/>
        </w:rPr>
        <w:t>2、我方同意自本项目招标文件“第三章 投标人须知”第一节 投标人须知前附表 第21.1项规定的投标截止时间（开标时间）起遵循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pPr>
        <w:pStyle w:val="18"/>
        <w:spacing w:line="360" w:lineRule="exact"/>
        <w:ind w:firstLine="420" w:firstLineChars="200"/>
        <w:rPr>
          <w:color w:val="auto"/>
          <w:highlight w:val="none"/>
          <w:u w:val="single"/>
        </w:rPr>
      </w:pPr>
      <w:r>
        <w:rPr>
          <w:rFonts w:hint="eastAsia"/>
          <w:color w:val="auto"/>
          <w:highlight w:val="none"/>
        </w:rPr>
        <w:t>3、我方</w:t>
      </w:r>
      <w:r>
        <w:rPr>
          <w:rFonts w:hint="eastAsia" w:hAnsi="宋体" w:cs="宋体"/>
          <w:color w:val="auto"/>
          <w:kern w:val="0"/>
          <w:sz w:val="20"/>
          <w:szCs w:val="21"/>
          <w:highlight w:val="none"/>
          <w:lang w:val="zh-CN"/>
        </w:rPr>
        <w:t>在此声明</w:t>
      </w:r>
      <w:r>
        <w:rPr>
          <w:rFonts w:hint="eastAsia"/>
          <w:color w:val="auto"/>
          <w:highlight w:val="none"/>
        </w:rPr>
        <w:t>所递交的投标文件及有关资料都是内容完整、真实和准确的。</w:t>
      </w:r>
    </w:p>
    <w:p>
      <w:pPr>
        <w:pStyle w:val="18"/>
        <w:spacing w:line="440" w:lineRule="exact"/>
        <w:ind w:firstLine="420" w:firstLineChars="200"/>
        <w:rPr>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pPr>
        <w:pStyle w:val="18"/>
        <w:spacing w:line="440" w:lineRule="exact"/>
        <w:ind w:firstLine="420" w:firstLineChars="200"/>
        <w:rPr>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pPr>
        <w:pStyle w:val="18"/>
        <w:spacing w:line="440" w:lineRule="exact"/>
        <w:ind w:firstLine="420" w:firstLineChars="200"/>
        <w:rPr>
          <w:color w:val="auto"/>
          <w:highlight w:val="none"/>
        </w:rPr>
      </w:pPr>
      <w:r>
        <w:rPr>
          <w:rFonts w:hint="eastAsia"/>
          <w:color w:val="auto"/>
          <w:highlight w:val="none"/>
        </w:rPr>
        <w:t>6、我方已详细审核招标文件，我方知道必须放弃提出含糊不清或误解问题的权利。</w:t>
      </w:r>
    </w:p>
    <w:p>
      <w:pPr>
        <w:pStyle w:val="18"/>
        <w:spacing w:line="440" w:lineRule="exact"/>
        <w:ind w:firstLine="420" w:firstLineChars="200"/>
        <w:rPr>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pPr>
        <w:pStyle w:val="18"/>
        <w:spacing w:line="440" w:lineRule="exact"/>
        <w:ind w:firstLine="420" w:firstLineChars="200"/>
        <w:rPr>
          <w:color w:val="auto"/>
          <w:highlight w:val="none"/>
        </w:rPr>
      </w:pPr>
      <w:r>
        <w:rPr>
          <w:rFonts w:hint="eastAsia"/>
          <w:color w:val="auto"/>
          <w:highlight w:val="none"/>
        </w:rPr>
        <w:t>8、我方完全理解贵方不一定接受投标报价最低的投标人为中标人的行为。</w:t>
      </w:r>
    </w:p>
    <w:p>
      <w:pPr>
        <w:pStyle w:val="18"/>
        <w:spacing w:line="440" w:lineRule="exact"/>
        <w:ind w:firstLine="420" w:firstLineChars="200"/>
        <w:rPr>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pStyle w:val="18"/>
        <w:numPr>
          <w:ilvl w:val="0"/>
          <w:numId w:val="10"/>
        </w:numPr>
        <w:spacing w:line="440" w:lineRule="exact"/>
        <w:rPr>
          <w:rFonts w:hAnsi="宋体"/>
          <w:color w:val="auto"/>
          <w:highlight w:val="none"/>
        </w:rPr>
      </w:pPr>
      <w:r>
        <w:rPr>
          <w:rFonts w:hint="eastAsia" w:hAnsi="宋体"/>
          <w:color w:val="auto"/>
          <w:highlight w:val="none"/>
        </w:rPr>
        <w:t>提供虚假材料谋取中标、成交的；</w:t>
      </w:r>
    </w:p>
    <w:p>
      <w:pPr>
        <w:pStyle w:val="18"/>
        <w:numPr>
          <w:ilvl w:val="0"/>
          <w:numId w:val="10"/>
        </w:numPr>
        <w:spacing w:line="440" w:lineRule="exact"/>
        <w:rPr>
          <w:rFonts w:hAnsi="宋体"/>
          <w:color w:val="auto"/>
          <w:highlight w:val="none"/>
        </w:rPr>
      </w:pPr>
      <w:r>
        <w:rPr>
          <w:rFonts w:hint="eastAsia" w:hAnsi="宋体"/>
          <w:color w:val="auto"/>
          <w:highlight w:val="none"/>
        </w:rPr>
        <w:t>采取不正当手段诋毁、排挤其他供应商的；</w:t>
      </w:r>
    </w:p>
    <w:p>
      <w:pPr>
        <w:pStyle w:val="18"/>
        <w:numPr>
          <w:ilvl w:val="0"/>
          <w:numId w:val="10"/>
        </w:numPr>
        <w:spacing w:line="440" w:lineRule="exact"/>
        <w:rPr>
          <w:color w:val="auto"/>
          <w:highlight w:val="none"/>
        </w:rPr>
      </w:pPr>
      <w:r>
        <w:rPr>
          <w:rFonts w:hint="eastAsia" w:hAnsi="宋体"/>
          <w:color w:val="auto"/>
          <w:highlight w:val="none"/>
        </w:rPr>
        <w:t>与采购人、其他供应商或者采购代理机构恶意串通的；</w:t>
      </w:r>
    </w:p>
    <w:p>
      <w:pPr>
        <w:pStyle w:val="18"/>
        <w:numPr>
          <w:ilvl w:val="0"/>
          <w:numId w:val="10"/>
        </w:numPr>
        <w:spacing w:line="440" w:lineRule="exact"/>
        <w:rPr>
          <w:color w:val="auto"/>
          <w:highlight w:val="none"/>
        </w:rPr>
      </w:pPr>
      <w:r>
        <w:rPr>
          <w:rFonts w:hint="eastAsia" w:hAnsi="宋体"/>
          <w:color w:val="auto"/>
          <w:highlight w:val="none"/>
        </w:rPr>
        <w:t>向采购人、采购代理机构行贿或者提供其他不正当利益的；</w:t>
      </w:r>
    </w:p>
    <w:p>
      <w:pPr>
        <w:pStyle w:val="18"/>
        <w:numPr>
          <w:ilvl w:val="0"/>
          <w:numId w:val="10"/>
        </w:numPr>
        <w:spacing w:line="440" w:lineRule="exact"/>
        <w:rPr>
          <w:color w:val="auto"/>
          <w:highlight w:val="none"/>
        </w:rPr>
      </w:pPr>
      <w:r>
        <w:rPr>
          <w:rFonts w:hint="eastAsia" w:hAnsi="宋体"/>
          <w:color w:val="auto"/>
          <w:highlight w:val="none"/>
        </w:rPr>
        <w:t>在招标采购过程中与采购人进行协商谈判的；</w:t>
      </w:r>
    </w:p>
    <w:p>
      <w:pPr>
        <w:pStyle w:val="18"/>
        <w:numPr>
          <w:ilvl w:val="0"/>
          <w:numId w:val="10"/>
        </w:numPr>
        <w:spacing w:line="440" w:lineRule="exact"/>
        <w:rPr>
          <w:color w:val="auto"/>
          <w:highlight w:val="none"/>
        </w:rPr>
      </w:pPr>
      <w:r>
        <w:rPr>
          <w:rFonts w:hint="eastAsia" w:hAnsi="宋体"/>
          <w:color w:val="auto"/>
          <w:highlight w:val="none"/>
        </w:rPr>
        <w:t>拒绝有关部门监督检查或提供虚假情况的。</w:t>
      </w:r>
    </w:p>
    <w:p>
      <w:pPr>
        <w:pStyle w:val="18"/>
        <w:spacing w:line="360" w:lineRule="auto"/>
        <w:ind w:firstLine="420"/>
        <w:rPr>
          <w:color w:val="auto"/>
          <w:highlight w:val="none"/>
        </w:rPr>
      </w:pPr>
      <w:r>
        <w:rPr>
          <w:rFonts w:hint="eastAsia"/>
          <w:color w:val="auto"/>
          <w:highlight w:val="none"/>
        </w:rPr>
        <w:t>10、以上事项如有虚假或者隐瞒，我方愿意承担一切后果，并不再寻求任何旨在减轻或者免除法律责任的辩解。</w:t>
      </w:r>
    </w:p>
    <w:p>
      <w:pPr>
        <w:pStyle w:val="18"/>
        <w:spacing w:line="360" w:lineRule="auto"/>
        <w:ind w:firstLine="420"/>
        <w:rPr>
          <w:color w:val="auto"/>
          <w:highlight w:val="none"/>
        </w:rPr>
      </w:pPr>
      <w:r>
        <w:rPr>
          <w:rFonts w:hint="eastAsia"/>
          <w:color w:val="auto"/>
          <w:highlight w:val="none"/>
        </w:rPr>
        <w:t>11、与本投标有关的一切正式往来信函请寄：</w:t>
      </w:r>
    </w:p>
    <w:p>
      <w:pPr>
        <w:pStyle w:val="18"/>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pStyle w:val="18"/>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pPr>
        <w:pStyle w:val="18"/>
        <w:spacing w:line="360" w:lineRule="auto"/>
        <w:ind w:firstLine="420"/>
        <w:rPr>
          <w:color w:val="auto"/>
          <w:highlight w:val="none"/>
          <w:u w:val="single"/>
        </w:rPr>
      </w:pPr>
      <w:r>
        <w:rPr>
          <w:rFonts w:hint="eastAsia"/>
          <w:color w:val="auto"/>
          <w:highlight w:val="none"/>
        </w:rPr>
        <w:t>传真：</w:t>
      </w:r>
      <w:r>
        <w:rPr>
          <w:rFonts w:hint="eastAsia"/>
          <w:color w:val="auto"/>
          <w:highlight w:val="none"/>
          <w:u w:val="single"/>
        </w:rPr>
        <w:t>　　　　　　　　　　　　　　　　　　　　　　　　　　　　</w:t>
      </w:r>
    </w:p>
    <w:p>
      <w:pPr>
        <w:pStyle w:val="9"/>
        <w:spacing w:line="360" w:lineRule="auto"/>
        <w:ind w:left="0" w:firstLine="420" w:firstLineChars="200"/>
        <w:rPr>
          <w:color w:val="auto"/>
          <w:highlight w:val="none"/>
        </w:rPr>
      </w:pPr>
      <w:r>
        <w:rPr>
          <w:rFonts w:hint="eastAsia"/>
          <w:color w:val="auto"/>
          <w:highlight w:val="none"/>
        </w:rPr>
        <w:t>电子邮箱：</w:t>
      </w:r>
      <w:r>
        <w:rPr>
          <w:rFonts w:hint="eastAsia"/>
          <w:color w:val="auto"/>
          <w:highlight w:val="none"/>
          <w:u w:val="single"/>
        </w:rPr>
        <w:t>　　　　　　　　　　　　　　　　　　　　　　　　　　</w:t>
      </w:r>
    </w:p>
    <w:p>
      <w:pPr>
        <w:pStyle w:val="18"/>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pPr>
        <w:pStyle w:val="18"/>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pPr>
        <w:pStyle w:val="18"/>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pPr>
        <w:pStyle w:val="18"/>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pPr>
        <w:snapToGrid w:val="0"/>
        <w:spacing w:line="360" w:lineRule="auto"/>
        <w:ind w:firstLine="5040" w:firstLineChars="2100"/>
        <w:rPr>
          <w:rFonts w:ascii="仿宋_GB2312" w:hAnsi="仿宋" w:eastAsia="仿宋_GB2312" w:cs="仿宋_GB2312"/>
          <w:color w:val="auto"/>
          <w:kern w:val="0"/>
          <w:sz w:val="24"/>
          <w:highlight w:val="none"/>
          <w:lang w:val="zh-CN"/>
        </w:rPr>
      </w:pPr>
    </w:p>
    <w:p>
      <w:pPr>
        <w:snapToGrid w:val="0"/>
        <w:spacing w:line="360" w:lineRule="auto"/>
        <w:ind w:firstLine="5040" w:firstLineChars="2100"/>
        <w:rPr>
          <w:rFonts w:ascii="仿宋_GB2312" w:hAnsi="仿宋" w:eastAsia="仿宋_GB2312" w:cs="仿宋_GB2312"/>
          <w:color w:val="auto"/>
          <w:kern w:val="0"/>
          <w:sz w:val="24"/>
          <w:highlight w:val="none"/>
          <w:lang w:val="zh-CN"/>
        </w:rPr>
      </w:pPr>
    </w:p>
    <w:p>
      <w:pPr>
        <w:snapToGrid w:val="0"/>
        <w:spacing w:line="360" w:lineRule="auto"/>
        <w:ind w:firstLine="5280" w:firstLineChars="22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docGrid w:linePitch="331" w:charSpace="0"/>
        </w:sectPr>
      </w:pPr>
    </w:p>
    <w:p>
      <w:pPr>
        <w:pStyle w:val="18"/>
        <w:spacing w:line="360" w:lineRule="auto"/>
        <w:jc w:val="left"/>
        <w:rPr>
          <w:rFonts w:hAnsi="宋体" w:cs="宋体"/>
          <w:b/>
          <w:color w:val="auto"/>
          <w:sz w:val="28"/>
          <w:szCs w:val="28"/>
        </w:rPr>
      </w:pPr>
      <w:r>
        <w:rPr>
          <w:rFonts w:hint="eastAsia" w:hAnsi="宋体" w:cs="宋体"/>
          <w:b/>
          <w:color w:val="auto"/>
          <w:sz w:val="28"/>
          <w:szCs w:val="28"/>
        </w:rPr>
        <w:t>4. 开标一览表的格式：</w:t>
      </w:r>
    </w:p>
    <w:p>
      <w:pPr>
        <w:pStyle w:val="18"/>
        <w:spacing w:line="360" w:lineRule="auto"/>
        <w:jc w:val="center"/>
        <w:rPr>
          <w:b/>
          <w:color w:val="auto"/>
          <w:sz w:val="30"/>
          <w:szCs w:val="30"/>
        </w:rPr>
      </w:pPr>
      <w:r>
        <w:rPr>
          <w:rFonts w:hint="eastAsia"/>
          <w:b/>
          <w:color w:val="auto"/>
          <w:sz w:val="30"/>
          <w:szCs w:val="30"/>
        </w:rPr>
        <w:t>开标一览表</w:t>
      </w:r>
      <w:r>
        <w:rPr>
          <w:rFonts w:hint="eastAsia" w:ascii="仿宋_GB2312" w:hAnsi="仿宋" w:eastAsia="仿宋_GB2312" w:cs="仿宋_GB2312"/>
          <w:b/>
          <w:color w:val="auto"/>
          <w:kern w:val="0"/>
          <w:sz w:val="24"/>
          <w:lang w:val="zh-CN"/>
        </w:rPr>
        <w:t>(单位均为人民币元)</w:t>
      </w:r>
    </w:p>
    <w:p>
      <w:pPr>
        <w:snapToGrid w:val="0"/>
        <w:spacing w:before="50" w:after="50" w:line="360" w:lineRule="auto"/>
        <w:rPr>
          <w:rFonts w:ascii="宋体" w:hAnsi="宋体"/>
          <w:color w:val="auto"/>
          <w:sz w:val="24"/>
        </w:rPr>
      </w:pPr>
      <w:r>
        <w:rPr>
          <w:rFonts w:hint="eastAsia" w:ascii="宋体" w:hAnsi="宋体"/>
          <w:color w:val="auto"/>
          <w:sz w:val="24"/>
        </w:rPr>
        <w:t xml:space="preserve">项目名称：                       </w:t>
      </w:r>
    </w:p>
    <w:p>
      <w:pPr>
        <w:snapToGrid w:val="0"/>
        <w:spacing w:before="50" w:after="50" w:line="360" w:lineRule="auto"/>
        <w:rPr>
          <w:rFonts w:hint="eastAsia" w:ascii="宋体" w:hAnsi="宋体"/>
          <w:color w:val="auto"/>
          <w:sz w:val="24"/>
        </w:rPr>
      </w:pPr>
      <w:r>
        <w:rPr>
          <w:rFonts w:hint="eastAsia" w:ascii="宋体" w:hAnsi="宋体"/>
          <w:color w:val="auto"/>
          <w:sz w:val="24"/>
        </w:rPr>
        <w:t xml:space="preserve">项目编号： </w:t>
      </w:r>
    </w:p>
    <w:p>
      <w:pPr>
        <w:snapToGrid w:val="0"/>
        <w:spacing w:before="50" w:after="50" w:line="360" w:lineRule="auto"/>
        <w:rPr>
          <w:rFonts w:ascii="宋体" w:hAnsi="宋体"/>
          <w:color w:val="auto"/>
          <w:sz w:val="24"/>
        </w:rPr>
      </w:pPr>
      <w:r>
        <w:rPr>
          <w:rFonts w:hint="eastAsia" w:ascii="宋体" w:hAnsi="宋体" w:cs="宋体"/>
          <w:bCs/>
          <w:color w:val="auto"/>
          <w:sz w:val="24"/>
        </w:rPr>
        <w:t>所投分标（如有则填写，无分标时填写“无”或者留空）：</w:t>
      </w:r>
      <w:r>
        <w:rPr>
          <w:rFonts w:hint="eastAsia" w:ascii="宋体" w:hAnsi="宋体" w:cs="宋体"/>
          <w:color w:val="auto"/>
          <w:sz w:val="24"/>
          <w:u w:val="single"/>
        </w:rPr>
        <w:t xml:space="preserve">           </w:t>
      </w:r>
      <w:r>
        <w:rPr>
          <w:rFonts w:hint="eastAsia" w:ascii="宋体" w:hAnsi="宋体"/>
          <w:color w:val="auto"/>
          <w:sz w:val="24"/>
        </w:rPr>
        <w:t xml:space="preserve">  </w:t>
      </w:r>
    </w:p>
    <w:tbl>
      <w:tblPr>
        <w:tblStyle w:val="28"/>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059"/>
        <w:gridCol w:w="1465"/>
        <w:gridCol w:w="1582"/>
        <w:gridCol w:w="2427"/>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标的的名称</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数量及单位①</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单价(元)②</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bidi="ar"/>
              </w:rPr>
              <w:t>单项合价（元）</w:t>
            </w:r>
          </w:p>
          <w:p>
            <w:pPr>
              <w:spacing w:line="360" w:lineRule="auto"/>
              <w:jc w:val="center"/>
              <w:rPr>
                <w:rFonts w:hint="eastAsia" w:ascii="宋体" w:hAnsi="宋体" w:cs="宋体"/>
                <w:color w:val="auto"/>
                <w:sz w:val="24"/>
                <w:szCs w:val="24"/>
              </w:rPr>
            </w:pPr>
            <w:r>
              <w:rPr>
                <w:rFonts w:hint="eastAsia" w:ascii="宋体" w:hAnsi="宋体" w:eastAsia="宋体" w:cs="宋体"/>
                <w:color w:val="auto"/>
                <w:sz w:val="24"/>
                <w:szCs w:val="24"/>
                <w:lang w:bidi="ar"/>
              </w:rPr>
              <w:t>③＝①×②</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auto"/>
                <w:sz w:val="24"/>
                <w:szCs w:val="24"/>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c>
          <w:tcPr>
            <w:tcW w:w="24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color w:val="auto"/>
                <w:sz w:val="24"/>
                <w:szCs w:val="24"/>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c>
          <w:tcPr>
            <w:tcW w:w="24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422"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总报价</w:t>
            </w:r>
            <w:r>
              <w:rPr>
                <w:rFonts w:hint="eastAsia" w:ascii="宋体" w:hAnsi="宋体" w:cs="宋体"/>
                <w:color w:val="auto"/>
                <w:sz w:val="24"/>
                <w:szCs w:val="24"/>
              </w:rPr>
              <w:t>（包含税费等所有费用）</w:t>
            </w:r>
            <w:r>
              <w:rPr>
                <w:rFonts w:hint="eastAsia" w:ascii="宋体" w:hAnsi="宋体" w:cs="宋体"/>
                <w:color w:val="auto"/>
                <w:sz w:val="24"/>
                <w:szCs w:val="24"/>
                <w:lang w:eastAsia="zh-CN"/>
              </w:rPr>
              <w:t>：</w:t>
            </w:r>
            <w:r>
              <w:rPr>
                <w:rFonts w:hint="eastAsia" w:ascii="宋体" w:hAnsi="宋体" w:cs="宋体"/>
                <w:color w:val="auto"/>
                <w:sz w:val="24"/>
                <w:szCs w:val="24"/>
                <w:u w:val="none"/>
              </w:rPr>
              <w:t>（</w:t>
            </w:r>
            <w:r>
              <w:rPr>
                <w:rFonts w:hint="eastAsia" w:ascii="宋体" w:hAnsi="宋体" w:cs="宋体"/>
                <w:color w:val="auto"/>
                <w:sz w:val="24"/>
                <w:szCs w:val="24"/>
                <w:u w:val="single"/>
              </w:rPr>
              <w:t xml:space="preserve">大写）人民币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（小写）¥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9422"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bookmarkStart w:id="421" w:name="OLE_LINK19"/>
            <w:r>
              <w:rPr>
                <w:rFonts w:hint="eastAsia" w:ascii="宋体" w:hAnsi="宋体" w:eastAsia="宋体" w:cs="宋体"/>
                <w:b w:val="0"/>
                <w:bCs w:val="0"/>
                <w:color w:val="auto"/>
                <w:sz w:val="21"/>
                <w:szCs w:val="21"/>
                <w:highlight w:val="none"/>
                <w:lang w:val="en-US" w:eastAsia="zh-CN"/>
              </w:rPr>
              <w:t>合同履行</w:t>
            </w:r>
            <w:r>
              <w:rPr>
                <w:rFonts w:hint="eastAsia" w:ascii="宋体" w:hAnsi="宋体" w:eastAsia="宋体" w:cs="宋体"/>
                <w:b w:val="0"/>
                <w:bCs w:val="0"/>
                <w:color w:val="auto"/>
                <w:sz w:val="21"/>
                <w:szCs w:val="21"/>
                <w:highlight w:val="none"/>
              </w:rPr>
              <w:t>期限</w:t>
            </w:r>
            <w:bookmarkEnd w:id="421"/>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9422"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bookmarkStart w:id="422" w:name="OLE_LINK20"/>
            <w:r>
              <w:rPr>
                <w:rFonts w:hint="eastAsia" w:ascii="宋体" w:hAnsi="宋体" w:cs="宋体"/>
                <w:color w:val="auto"/>
                <w:sz w:val="24"/>
                <w:szCs w:val="24"/>
              </w:rPr>
              <w:t>服务地点</w:t>
            </w:r>
            <w:bookmarkEnd w:id="422"/>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9422"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优惠及其它：（如没有填写无）</w:t>
            </w:r>
          </w:p>
        </w:tc>
      </w:tr>
    </w:tbl>
    <w:p>
      <w:pPr>
        <w:snapToGrid w:val="0"/>
        <w:spacing w:before="50" w:after="50" w:line="360" w:lineRule="auto"/>
        <w:rPr>
          <w:rFonts w:ascii="宋体" w:hAnsi="宋体"/>
          <w:color w:val="auto"/>
          <w:sz w:val="24"/>
          <w:u w:val="single"/>
        </w:rPr>
      </w:pPr>
      <w:r>
        <w:rPr>
          <w:rFonts w:hint="eastAsia" w:ascii="宋体" w:hAnsi="宋体"/>
          <w:color w:val="auto"/>
          <w:sz w:val="24"/>
        </w:rPr>
        <w:t xml:space="preserve">         </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pPr>
        <w:snapToGrid w:val="0"/>
        <w:spacing w:before="50" w:after="50" w:line="360" w:lineRule="auto"/>
        <w:ind w:firstLine="480" w:firstLineChars="200"/>
        <w:jc w:val="left"/>
        <w:rPr>
          <w:rFonts w:ascii="宋体" w:hAnsi="宋体" w:cs="宋体"/>
          <w:b/>
          <w:bCs/>
          <w:color w:val="auto"/>
          <w:kern w:val="0"/>
          <w:sz w:val="24"/>
          <w:lang w:val="zh-CN"/>
        </w:rPr>
      </w:pPr>
      <w:r>
        <w:rPr>
          <w:rFonts w:hint="eastAsia" w:ascii="宋体" w:hAnsi="宋体" w:cs="宋体"/>
          <w:color w:val="auto"/>
          <w:kern w:val="0"/>
          <w:sz w:val="24"/>
          <w:lang w:val="zh-CN"/>
        </w:rPr>
        <w:t>1、 投标人的开标一览表必须加盖投标人公章并由法定代表人或者委托代理人签字，</w:t>
      </w:r>
      <w:r>
        <w:rPr>
          <w:rFonts w:hint="eastAsia" w:ascii="宋体" w:hAnsi="宋体" w:cs="宋体"/>
          <w:b/>
          <w:bCs/>
          <w:color w:val="auto"/>
          <w:kern w:val="0"/>
          <w:sz w:val="24"/>
          <w:lang w:val="zh-CN"/>
        </w:rPr>
        <w:t>否则其投标作无效标处理。</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2、报价一经涂改，应在涂改处加盖投标人公章或者由法定代表人或者委托代理人签字或者盖章，否则其投标作无效标处理，</w:t>
      </w:r>
      <w:r>
        <w:rPr>
          <w:rFonts w:hint="eastAsia" w:ascii="宋体" w:hAnsi="宋体" w:cs="宋体"/>
          <w:b/>
          <w:color w:val="auto"/>
          <w:kern w:val="0"/>
          <w:sz w:val="24"/>
          <w:lang w:val="zh-CN"/>
        </w:rPr>
        <w:t>否则其投标作无效标处理。</w:t>
      </w:r>
    </w:p>
    <w:p>
      <w:pPr>
        <w:snapToGrid w:val="0"/>
        <w:spacing w:before="50" w:after="50" w:line="360" w:lineRule="auto"/>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lang w:val="zh-CN"/>
        </w:rPr>
        <w:t>否则其投标作无效标处理。</w:t>
      </w:r>
    </w:p>
    <w:p>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lang w:val="zh-CN"/>
        </w:rPr>
        <w:t>如有多分标，按分标分别提供开标一览表，</w:t>
      </w:r>
      <w:r>
        <w:rPr>
          <w:rFonts w:hint="eastAsia" w:ascii="宋体" w:hAnsi="宋体" w:eastAsia="宋体" w:cs="宋体"/>
          <w:b/>
          <w:bCs/>
          <w:color w:val="auto"/>
          <w:kern w:val="0"/>
          <w:sz w:val="24"/>
          <w:lang w:val="zh-CN"/>
        </w:rPr>
        <w:t>否则投标无效</w:t>
      </w:r>
      <w:r>
        <w:rPr>
          <w:rFonts w:hint="eastAsia" w:ascii="宋体" w:hAnsi="宋体" w:eastAsia="宋体" w:cs="宋体"/>
          <w:color w:val="auto"/>
          <w:kern w:val="0"/>
          <w:sz w:val="24"/>
          <w:lang w:val="zh-CN"/>
        </w:rPr>
        <w:t>。</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、特别提示：采购代理机构将对项目名称和项目编号，中标</w:t>
      </w:r>
      <w:r>
        <w:rPr>
          <w:rFonts w:hint="eastAsia" w:ascii="宋体" w:hAnsi="宋体" w:cs="宋体"/>
          <w:color w:val="auto"/>
          <w:kern w:val="0"/>
          <w:sz w:val="24"/>
        </w:rPr>
        <w:t>人</w:t>
      </w:r>
      <w:r>
        <w:rPr>
          <w:rFonts w:hint="eastAsia" w:ascii="宋体" w:hAnsi="宋体" w:cs="宋体"/>
          <w:color w:val="auto"/>
          <w:kern w:val="0"/>
          <w:sz w:val="24"/>
          <w:lang w:val="zh-CN"/>
        </w:rPr>
        <w:t>名称、地址和中标金额，主要中标标的的名称、服务范围、服务要求、服务时间、服务标准等予以公示。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12"/>
        <w:rPr>
          <w:rFonts w:ascii="宋体" w:hAnsi="宋体" w:cs="宋体"/>
          <w:color w:val="auto"/>
          <w:lang w:val="zh-CN"/>
        </w:rPr>
      </w:pPr>
    </w:p>
    <w:p>
      <w:pPr>
        <w:snapToGrid w:val="0"/>
        <w:spacing w:before="50" w:after="50" w:line="360" w:lineRule="auto"/>
        <w:ind w:left="-2" w:leftChars="-1" w:right="-817" w:rightChars="-389" w:firstLine="2310" w:firstLineChars="1100"/>
        <w:rPr>
          <w:rFonts w:hint="eastAsia" w:ascii="宋体" w:hAnsi="宋体"/>
          <w:color w:val="auto"/>
          <w:sz w:val="21"/>
          <w:szCs w:val="21"/>
        </w:rPr>
      </w:pPr>
      <w:r>
        <w:rPr>
          <w:rFonts w:hint="eastAsia" w:ascii="宋体" w:hAnsi="宋体"/>
          <w:color w:val="auto"/>
          <w:sz w:val="21"/>
          <w:szCs w:val="21"/>
        </w:rPr>
        <w:t>法定代表人或者委托代理人（签字）：</w:t>
      </w:r>
      <w:r>
        <w:rPr>
          <w:rFonts w:hint="eastAsia" w:ascii="宋体" w:hAnsi="宋体"/>
          <w:color w:val="auto"/>
          <w:sz w:val="21"/>
          <w:szCs w:val="21"/>
          <w:lang w:val="en-US" w:eastAsia="zh-CN"/>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snapToGrid w:val="0"/>
        <w:spacing w:before="50" w:after="50" w:line="360" w:lineRule="auto"/>
        <w:ind w:left="178" w:leftChars="85" w:right="-817" w:rightChars="-389" w:firstLine="1856" w:firstLineChars="884"/>
        <w:rPr>
          <w:rFonts w:hint="eastAsia" w:ascii="宋体" w:hAnsi="宋体"/>
          <w:color w:val="auto"/>
          <w:sz w:val="21"/>
          <w:szCs w:val="21"/>
        </w:rPr>
      </w:pPr>
      <w:r>
        <w:rPr>
          <w:rFonts w:hint="eastAsia" w:ascii="宋体" w:hAnsi="宋体"/>
          <w:color w:val="auto"/>
          <w:sz w:val="21"/>
          <w:szCs w:val="21"/>
        </w:rPr>
        <w:t xml:space="preserve">投标人（盖公章）：                                </w:t>
      </w:r>
    </w:p>
    <w:p>
      <w:pPr>
        <w:snapToGrid w:val="0"/>
        <w:spacing w:before="50" w:after="50" w:line="360" w:lineRule="auto"/>
        <w:ind w:left="178" w:leftChars="85" w:right="-817" w:rightChars="-389" w:firstLine="2066" w:firstLineChars="984"/>
        <w:rPr>
          <w:rFonts w:hint="eastAsia" w:ascii="宋体" w:hAnsi="宋体"/>
          <w:color w:val="auto"/>
          <w:sz w:val="21"/>
          <w:szCs w:val="21"/>
        </w:rPr>
      </w:pPr>
      <w:r>
        <w:rPr>
          <w:rFonts w:hint="eastAsia" w:ascii="宋体" w:hAnsi="宋体"/>
          <w:color w:val="auto"/>
          <w:sz w:val="21"/>
          <w:szCs w:val="21"/>
        </w:rPr>
        <w:t xml:space="preserve"> 日期：    年   月   日</w:t>
      </w:r>
    </w:p>
    <w:p>
      <w:pPr>
        <w:widowControl/>
        <w:jc w:val="left"/>
        <w:rPr>
          <w:rFonts w:ascii="宋体" w:hAnsi="宋体" w:cs="宋体"/>
          <w:color w:val="auto"/>
          <w:sz w:val="30"/>
          <w:szCs w:val="20"/>
        </w:rPr>
        <w:sectPr>
          <w:pgSz w:w="11905" w:h="16838"/>
          <w:pgMar w:top="1134" w:right="1134" w:bottom="1134" w:left="1134" w:header="850" w:footer="850" w:gutter="0"/>
          <w:pgNumType w:fmt="decimal"/>
          <w:cols w:space="0" w:num="1"/>
          <w:titlePg/>
          <w:docGrid w:linePitch="331" w:charSpace="0"/>
        </w:sectPr>
      </w:pPr>
    </w:p>
    <w:p>
      <w:pPr>
        <w:snapToGrid w:val="0"/>
        <w:spacing w:before="120" w:beforeLines="50" w:after="50"/>
        <w:jc w:val="center"/>
        <w:outlineLvl w:val="1"/>
        <w:rPr>
          <w:rFonts w:ascii="宋体" w:hAnsi="宋体"/>
          <w:b/>
          <w:bCs/>
          <w:color w:val="auto"/>
          <w:sz w:val="28"/>
          <w:szCs w:val="28"/>
        </w:rPr>
      </w:pPr>
      <w:bookmarkStart w:id="423" w:name="_Toc2783"/>
      <w:r>
        <w:rPr>
          <w:rFonts w:hint="eastAsia" w:ascii="宋体" w:hAnsi="宋体"/>
          <w:b/>
          <w:bCs/>
          <w:color w:val="auto"/>
          <w:sz w:val="28"/>
          <w:szCs w:val="28"/>
        </w:rPr>
        <w:t>第五节 其他文书、文件格式</w:t>
      </w:r>
      <w:bookmarkEnd w:id="423"/>
    </w:p>
    <w:p>
      <w:pPr>
        <w:pStyle w:val="18"/>
        <w:jc w:val="center"/>
        <w:rPr>
          <w:rFonts w:ascii="Times New Roman" w:hAnsi="Times New Roman"/>
          <w:b/>
          <w:color w:val="auto"/>
          <w:sz w:val="30"/>
          <w:szCs w:val="30"/>
        </w:rPr>
      </w:pPr>
    </w:p>
    <w:p>
      <w:pPr>
        <w:pStyle w:val="18"/>
        <w:jc w:val="left"/>
        <w:rPr>
          <w:rFonts w:ascii="Times New Roman" w:hAnsi="Times New Roman"/>
          <w:b/>
          <w:color w:val="auto"/>
          <w:sz w:val="30"/>
          <w:szCs w:val="30"/>
        </w:rPr>
      </w:pPr>
      <w:r>
        <w:rPr>
          <w:rFonts w:hint="eastAsia" w:hAnsi="宋体" w:cs="宋体"/>
          <w:b/>
          <w:color w:val="auto"/>
          <w:sz w:val="28"/>
          <w:szCs w:val="28"/>
        </w:rPr>
        <w:t>1.中小企业声明函的格式：</w:t>
      </w:r>
    </w:p>
    <w:p>
      <w:pPr>
        <w:pStyle w:val="18"/>
        <w:jc w:val="center"/>
        <w:rPr>
          <w:rFonts w:ascii="Times New Roman" w:hAnsi="Times New Roman"/>
          <w:b/>
          <w:color w:val="auto"/>
          <w:sz w:val="30"/>
          <w:szCs w:val="30"/>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中小企业声明函（服务）</w:t>
      </w:r>
    </w:p>
    <w:p>
      <w:pPr>
        <w:spacing w:before="2" w:line="500" w:lineRule="exact"/>
        <w:rPr>
          <w:rFonts w:ascii="宋体" w:hAnsi="宋体" w:cs="宋体"/>
          <w:b/>
          <w:bCs/>
          <w:color w:val="auto"/>
          <w:sz w:val="27"/>
          <w:szCs w:val="27"/>
        </w:rPr>
      </w:pPr>
    </w:p>
    <w:p>
      <w:pPr>
        <w:pStyle w:val="12"/>
        <w:spacing w:line="360" w:lineRule="auto"/>
        <w:ind w:left="-426" w:leftChars="-203" w:right="142" w:firstLine="420" w:firstLineChars="200"/>
        <w:contextualSpacing/>
        <w:rPr>
          <w:rFonts w:hint="eastAsia" w:ascii="宋体" w:hAnsi="宋体"/>
          <w:color w:val="auto"/>
          <w:kern w:val="24"/>
          <w:sz w:val="21"/>
          <w:szCs w:val="21"/>
        </w:rPr>
      </w:pPr>
      <w:r>
        <w:rPr>
          <w:rFonts w:ascii="宋体" w:hAnsi="宋体"/>
          <w:color w:val="auto"/>
          <w:sz w:val="21"/>
          <w:szCs w:val="21"/>
        </w:rPr>
        <w:t>本公司（联合体）郑重声明，根据《政府采购促进中小企业发展管理办法》（财库﹝2020﹞46号）的规定，本公司（联合体）参加</w:t>
      </w:r>
      <w:r>
        <w:rPr>
          <w:rFonts w:ascii="宋体" w:hAnsi="宋体"/>
          <w:color w:val="auto"/>
          <w:sz w:val="21"/>
          <w:szCs w:val="21"/>
          <w:u w:val="single"/>
        </w:rPr>
        <w:t>（单位名称）</w:t>
      </w:r>
      <w:r>
        <w:rPr>
          <w:rFonts w:ascii="宋体" w:hAnsi="宋体"/>
          <w:color w:val="auto"/>
          <w:sz w:val="21"/>
          <w:szCs w:val="21"/>
        </w:rPr>
        <w:t>的</w:t>
      </w:r>
      <w:r>
        <w:rPr>
          <w:rFonts w:ascii="宋体" w:hAnsi="宋体"/>
          <w:color w:val="auto"/>
          <w:sz w:val="21"/>
          <w:szCs w:val="21"/>
          <w:u w:val="single"/>
        </w:rPr>
        <w:t>（项目名称）</w:t>
      </w:r>
      <w:r>
        <w:rPr>
          <w:rFonts w:ascii="宋体" w:hAnsi="宋体"/>
          <w:color w:val="auto"/>
          <w:sz w:val="21"/>
          <w:szCs w:val="21"/>
        </w:rPr>
        <w:t>采购活动，</w:t>
      </w:r>
      <w:r>
        <w:rPr>
          <w:rFonts w:hint="eastAsia" w:ascii="宋体" w:hAnsi="宋体"/>
          <w:color w:val="auto"/>
          <w:sz w:val="21"/>
          <w:szCs w:val="21"/>
        </w:rPr>
        <w:t>服务全部由符合政策要求的中小企业承接。相关企业（含联合体中的中小企业、签订分包意向协议的中小企业）的具体情况如下：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auto"/>
          <w:kern w:val="24"/>
          <w:sz w:val="21"/>
          <w:szCs w:val="21"/>
        </w:rPr>
      </w:pPr>
      <w:r>
        <w:rPr>
          <w:rFonts w:ascii="宋体" w:hAnsi="宋体"/>
          <w:color w:val="auto"/>
          <w:kern w:val="24"/>
          <w:sz w:val="21"/>
          <w:szCs w:val="21"/>
        </w:rPr>
        <w:t>1.</w:t>
      </w:r>
      <w:r>
        <w:rPr>
          <w:rFonts w:ascii="宋体" w:hAnsi="宋体"/>
          <w:color w:val="auto"/>
          <w:kern w:val="24"/>
          <w:sz w:val="21"/>
          <w:szCs w:val="21"/>
          <w:u w:val="single"/>
        </w:rPr>
        <w:t>（标的名称）</w:t>
      </w:r>
      <w:r>
        <w:rPr>
          <w:rFonts w:ascii="宋体" w:hAnsi="宋体"/>
          <w:color w:val="auto"/>
          <w:kern w:val="24"/>
          <w:sz w:val="21"/>
          <w:szCs w:val="21"/>
        </w:rPr>
        <w:t>，属于</w:t>
      </w:r>
      <w:r>
        <w:rPr>
          <w:rFonts w:ascii="宋体" w:hAnsi="宋体"/>
          <w:color w:val="auto"/>
          <w:kern w:val="24"/>
          <w:sz w:val="21"/>
          <w:szCs w:val="21"/>
          <w:u w:val="single"/>
        </w:rPr>
        <w:t>（采购文件中明确的所属行业）</w:t>
      </w:r>
      <w:r>
        <w:rPr>
          <w:rFonts w:ascii="宋体" w:hAnsi="宋体"/>
          <w:color w:val="auto"/>
          <w:kern w:val="24"/>
          <w:sz w:val="21"/>
          <w:szCs w:val="21"/>
        </w:rPr>
        <w:t>行业；</w:t>
      </w:r>
      <w:r>
        <w:rPr>
          <w:rFonts w:hint="eastAsia" w:ascii="宋体" w:hAnsi="宋体"/>
          <w:color w:val="auto"/>
          <w:kern w:val="24"/>
          <w:sz w:val="21"/>
          <w:szCs w:val="21"/>
        </w:rPr>
        <w:t>承接企业</w:t>
      </w:r>
      <w:r>
        <w:rPr>
          <w:rFonts w:ascii="宋体" w:hAnsi="宋体"/>
          <w:color w:val="auto"/>
          <w:kern w:val="24"/>
          <w:sz w:val="21"/>
          <w:szCs w:val="21"/>
        </w:rPr>
        <w:t>为</w:t>
      </w:r>
      <w:r>
        <w:rPr>
          <w:rFonts w:ascii="宋体" w:hAnsi="宋体"/>
          <w:color w:val="auto"/>
          <w:kern w:val="24"/>
          <w:sz w:val="21"/>
          <w:szCs w:val="21"/>
          <w:u w:val="single"/>
        </w:rPr>
        <w:t>（企业名称）</w:t>
      </w:r>
      <w:r>
        <w:rPr>
          <w:rFonts w:ascii="宋体" w:hAnsi="宋体"/>
          <w:color w:val="auto"/>
          <w:kern w:val="24"/>
          <w:sz w:val="21"/>
          <w:szCs w:val="21"/>
        </w:rPr>
        <w:t>，从业人员</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人，营业收入为</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万元，资产总额为</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万元，属于</w:t>
      </w:r>
      <w:r>
        <w:rPr>
          <w:rFonts w:ascii="宋体" w:hAnsi="宋体"/>
          <w:color w:val="auto"/>
          <w:kern w:val="24"/>
          <w:sz w:val="21"/>
          <w:szCs w:val="21"/>
          <w:u w:val="single"/>
        </w:rPr>
        <w:t>（中型企业、小型企业、微型企业）</w:t>
      </w:r>
      <w:r>
        <w:rPr>
          <w:rFonts w:ascii="宋体" w:hAnsi="宋体"/>
          <w:color w:val="auto"/>
          <w:kern w:val="24"/>
          <w:sz w:val="21"/>
          <w:szCs w:val="21"/>
        </w:rPr>
        <w:t>；</w:t>
      </w:r>
    </w:p>
    <w:p>
      <w:pPr>
        <w:tabs>
          <w:tab w:val="left" w:pos="1065"/>
          <w:tab w:val="left" w:pos="6477"/>
        </w:tabs>
        <w:spacing w:line="360" w:lineRule="auto"/>
        <w:ind w:left="-426" w:right="-58" w:firstLine="655"/>
        <w:contextualSpacing/>
        <w:rPr>
          <w:rFonts w:ascii="宋体" w:hAnsi="宋体"/>
          <w:color w:val="auto"/>
          <w:kern w:val="24"/>
          <w:sz w:val="21"/>
          <w:szCs w:val="21"/>
        </w:rPr>
      </w:pPr>
      <w:r>
        <w:rPr>
          <w:rFonts w:ascii="宋体" w:hAnsi="宋体"/>
          <w:color w:val="auto"/>
          <w:kern w:val="24"/>
          <w:sz w:val="21"/>
          <w:szCs w:val="21"/>
        </w:rPr>
        <w:t>2.</w:t>
      </w:r>
      <w:r>
        <w:rPr>
          <w:rFonts w:ascii="宋体" w:hAnsi="宋体"/>
          <w:color w:val="auto"/>
          <w:kern w:val="24"/>
          <w:sz w:val="21"/>
          <w:szCs w:val="21"/>
          <w:u w:val="single"/>
        </w:rPr>
        <w:t>（标的名称）</w:t>
      </w:r>
      <w:r>
        <w:rPr>
          <w:rFonts w:ascii="宋体" w:hAnsi="宋体"/>
          <w:color w:val="auto"/>
          <w:kern w:val="24"/>
          <w:sz w:val="21"/>
          <w:szCs w:val="21"/>
        </w:rPr>
        <w:t>，属于</w:t>
      </w:r>
      <w:r>
        <w:rPr>
          <w:rFonts w:ascii="宋体" w:hAnsi="宋体"/>
          <w:color w:val="auto"/>
          <w:kern w:val="24"/>
          <w:sz w:val="21"/>
          <w:szCs w:val="21"/>
          <w:u w:val="single"/>
        </w:rPr>
        <w:t>（采购文件中明确的所属行业）</w:t>
      </w:r>
      <w:r>
        <w:rPr>
          <w:rFonts w:ascii="宋体" w:hAnsi="宋体"/>
          <w:color w:val="auto"/>
          <w:kern w:val="24"/>
          <w:sz w:val="21"/>
          <w:szCs w:val="21"/>
        </w:rPr>
        <w:t>行业；</w:t>
      </w:r>
      <w:r>
        <w:rPr>
          <w:rFonts w:hint="eastAsia" w:ascii="宋体" w:hAnsi="宋体"/>
          <w:color w:val="auto"/>
          <w:kern w:val="24"/>
          <w:sz w:val="21"/>
          <w:szCs w:val="21"/>
        </w:rPr>
        <w:t>承接企业</w:t>
      </w:r>
      <w:r>
        <w:rPr>
          <w:rFonts w:ascii="宋体" w:hAnsi="宋体"/>
          <w:color w:val="auto"/>
          <w:kern w:val="24"/>
          <w:sz w:val="21"/>
          <w:szCs w:val="21"/>
        </w:rPr>
        <w:t>为</w:t>
      </w:r>
      <w:r>
        <w:rPr>
          <w:rFonts w:ascii="宋体" w:hAnsi="宋体"/>
          <w:color w:val="auto"/>
          <w:kern w:val="24"/>
          <w:sz w:val="21"/>
          <w:szCs w:val="21"/>
          <w:u w:val="single"/>
        </w:rPr>
        <w:t>（企业名称）</w:t>
      </w:r>
      <w:r>
        <w:rPr>
          <w:rFonts w:ascii="宋体" w:hAnsi="宋体"/>
          <w:color w:val="auto"/>
          <w:kern w:val="24"/>
          <w:sz w:val="21"/>
          <w:szCs w:val="21"/>
        </w:rPr>
        <w:t>，从业人员</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人，营业收入为</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万元，资产总额为</w:t>
      </w:r>
      <w:r>
        <w:rPr>
          <w:rFonts w:hint="eastAsia" w:ascii="宋体" w:hAnsi="宋体"/>
          <w:color w:val="auto"/>
          <w:kern w:val="24"/>
          <w:sz w:val="21"/>
          <w:szCs w:val="21"/>
          <w:u w:val="single"/>
        </w:rPr>
        <w:t xml:space="preserve"> </w:t>
      </w:r>
      <w:r>
        <w:rPr>
          <w:rFonts w:ascii="宋体" w:hAnsi="宋体"/>
          <w:color w:val="auto"/>
          <w:kern w:val="24"/>
          <w:sz w:val="21"/>
          <w:szCs w:val="21"/>
          <w:u w:val="single"/>
        </w:rPr>
        <w:t xml:space="preserve">     </w:t>
      </w:r>
      <w:r>
        <w:rPr>
          <w:rFonts w:ascii="宋体" w:hAnsi="宋体"/>
          <w:color w:val="auto"/>
          <w:kern w:val="24"/>
          <w:sz w:val="21"/>
          <w:szCs w:val="21"/>
        </w:rPr>
        <w:t>万元，属于</w:t>
      </w:r>
      <w:r>
        <w:rPr>
          <w:rFonts w:ascii="宋体" w:hAnsi="宋体"/>
          <w:color w:val="auto"/>
          <w:kern w:val="24"/>
          <w:sz w:val="21"/>
          <w:szCs w:val="21"/>
          <w:u w:val="single"/>
        </w:rPr>
        <w:t>（中型企业、小型企业、微型企业）</w:t>
      </w:r>
      <w:r>
        <w:rPr>
          <w:rFonts w:ascii="宋体" w:hAnsi="宋体"/>
          <w:color w:val="auto"/>
          <w:kern w:val="24"/>
          <w:sz w:val="21"/>
          <w:szCs w:val="21"/>
        </w:rPr>
        <w:t>；</w:t>
      </w:r>
    </w:p>
    <w:p>
      <w:pPr>
        <w:pStyle w:val="12"/>
        <w:spacing w:line="360" w:lineRule="auto"/>
        <w:ind w:left="142" w:right="142"/>
        <w:contextualSpacing/>
        <w:rPr>
          <w:rFonts w:ascii="宋体" w:hAnsi="宋体"/>
          <w:color w:val="auto"/>
          <w:kern w:val="24"/>
          <w:sz w:val="21"/>
          <w:szCs w:val="21"/>
        </w:rPr>
      </w:pPr>
      <w:r>
        <w:rPr>
          <w:rFonts w:ascii="宋体" w:hAnsi="宋体"/>
          <w:color w:val="auto"/>
          <w:kern w:val="24"/>
          <w:sz w:val="21"/>
          <w:szCs w:val="21"/>
        </w:rPr>
        <w:t xml:space="preserve">…… </w:t>
      </w:r>
    </w:p>
    <w:p>
      <w:pPr>
        <w:pStyle w:val="12"/>
        <w:spacing w:line="360" w:lineRule="auto"/>
        <w:ind w:left="-405" w:leftChars="-193" w:right="142" w:firstLine="396" w:firstLineChars="189"/>
        <w:contextualSpacing/>
        <w:rPr>
          <w:rFonts w:ascii="宋体" w:hAnsi="宋体"/>
          <w:color w:val="auto"/>
          <w:kern w:val="24"/>
          <w:sz w:val="21"/>
          <w:szCs w:val="21"/>
        </w:rPr>
      </w:pPr>
      <w:r>
        <w:rPr>
          <w:rFonts w:ascii="宋体" w:hAnsi="宋体"/>
          <w:color w:val="auto"/>
          <w:kern w:val="24"/>
          <w:sz w:val="21"/>
          <w:szCs w:val="21"/>
        </w:rPr>
        <w:t>以上企业，不属于大企业的分支机构，不存在控股股东为大企业的情形，也不存在与大企业的负责人为同一人的情形。</w:t>
      </w:r>
    </w:p>
    <w:p>
      <w:pPr>
        <w:pStyle w:val="12"/>
        <w:spacing w:line="360" w:lineRule="auto"/>
        <w:ind w:left="-426" w:right="142" w:firstLine="567"/>
        <w:contextualSpacing/>
        <w:rPr>
          <w:rFonts w:ascii="宋体" w:hAnsi="宋体"/>
          <w:color w:val="auto"/>
          <w:kern w:val="24"/>
          <w:sz w:val="21"/>
          <w:szCs w:val="21"/>
        </w:rPr>
      </w:pPr>
      <w:r>
        <w:rPr>
          <w:rFonts w:ascii="宋体" w:hAnsi="宋体"/>
          <w:color w:val="auto"/>
          <w:kern w:val="24"/>
          <w:sz w:val="21"/>
          <w:szCs w:val="21"/>
        </w:rPr>
        <w:t>本企业对上述声明内容的真实性负责。如有虚假，将依法承担相应责任。</w:t>
      </w:r>
    </w:p>
    <w:p>
      <w:pPr>
        <w:pStyle w:val="12"/>
        <w:spacing w:line="360" w:lineRule="auto"/>
        <w:ind w:left="3960" w:right="1808"/>
        <w:contextualSpacing/>
        <w:rPr>
          <w:rFonts w:hint="eastAsia" w:ascii="宋体" w:hAnsi="宋体"/>
          <w:color w:val="auto"/>
          <w:kern w:val="24"/>
          <w:sz w:val="21"/>
          <w:szCs w:val="21"/>
        </w:rPr>
      </w:pPr>
    </w:p>
    <w:p>
      <w:pPr>
        <w:pStyle w:val="12"/>
        <w:spacing w:line="360" w:lineRule="auto"/>
        <w:ind w:left="3960" w:right="1808"/>
        <w:contextualSpacing/>
        <w:rPr>
          <w:rFonts w:ascii="宋体" w:hAnsi="宋体"/>
          <w:color w:val="auto"/>
          <w:kern w:val="24"/>
          <w:sz w:val="21"/>
          <w:szCs w:val="21"/>
        </w:rPr>
      </w:pPr>
      <w:r>
        <w:rPr>
          <w:rFonts w:ascii="宋体" w:hAnsi="宋体"/>
          <w:color w:val="auto"/>
          <w:kern w:val="24"/>
          <w:sz w:val="21"/>
          <w:szCs w:val="21"/>
        </w:rPr>
        <w:t xml:space="preserve">企业名称（章）： </w:t>
      </w:r>
    </w:p>
    <w:p>
      <w:pPr>
        <w:pStyle w:val="12"/>
        <w:spacing w:line="360" w:lineRule="auto"/>
        <w:ind w:left="3960" w:right="1808"/>
        <w:contextualSpacing/>
        <w:rPr>
          <w:rFonts w:ascii="宋体" w:hAnsi="宋体"/>
          <w:color w:val="auto"/>
          <w:kern w:val="24"/>
          <w:sz w:val="21"/>
          <w:szCs w:val="21"/>
        </w:rPr>
      </w:pPr>
      <w:r>
        <w:rPr>
          <w:rFonts w:ascii="宋体" w:hAnsi="宋体"/>
          <w:color w:val="auto"/>
          <w:kern w:val="24"/>
          <w:sz w:val="21"/>
          <w:szCs w:val="21"/>
        </w:rPr>
        <w:t>日</w:t>
      </w:r>
      <w:r>
        <w:rPr>
          <w:rFonts w:hint="eastAsia" w:ascii="宋体" w:hAnsi="宋体"/>
          <w:color w:val="auto"/>
          <w:kern w:val="24"/>
          <w:sz w:val="21"/>
          <w:szCs w:val="21"/>
        </w:rPr>
        <w:t xml:space="preserve"> </w:t>
      </w:r>
      <w:r>
        <w:rPr>
          <w:rFonts w:ascii="宋体" w:hAnsi="宋体"/>
          <w:color w:val="auto"/>
          <w:kern w:val="24"/>
          <w:sz w:val="21"/>
          <w:szCs w:val="21"/>
        </w:rPr>
        <w:t>期：</w:t>
      </w:r>
    </w:p>
    <w:p>
      <w:pPr>
        <w:pStyle w:val="12"/>
        <w:spacing w:line="360" w:lineRule="auto"/>
        <w:ind w:left="3960" w:right="1808"/>
        <w:contextualSpacing/>
        <w:rPr>
          <w:rFonts w:ascii="宋体" w:hAnsi="宋体"/>
          <w:color w:val="auto"/>
          <w:kern w:val="24"/>
          <w:sz w:val="21"/>
          <w:szCs w:val="21"/>
        </w:rPr>
      </w:pPr>
    </w:p>
    <w:p>
      <w:pPr>
        <w:pStyle w:val="12"/>
        <w:spacing w:line="360" w:lineRule="auto"/>
        <w:ind w:left="3960" w:right="1808"/>
        <w:contextualSpacing/>
        <w:rPr>
          <w:rFonts w:ascii="宋体" w:hAnsi="宋体"/>
          <w:color w:val="auto"/>
          <w:kern w:val="24"/>
          <w:sz w:val="21"/>
          <w:szCs w:val="21"/>
        </w:rPr>
      </w:pPr>
    </w:p>
    <w:p>
      <w:pPr>
        <w:pStyle w:val="12"/>
        <w:spacing w:line="360" w:lineRule="auto"/>
        <w:ind w:left="-426" w:right="142" w:firstLine="567"/>
        <w:contextualSpacing/>
        <w:rPr>
          <w:rFonts w:hint="eastAsia" w:ascii="宋体" w:hAnsi="宋体"/>
          <w:color w:val="auto"/>
          <w:kern w:val="24"/>
          <w:sz w:val="21"/>
          <w:szCs w:val="21"/>
        </w:rPr>
      </w:pPr>
      <w:r>
        <w:rPr>
          <w:rFonts w:hint="eastAsia" w:ascii="宋体" w:hAnsi="宋体"/>
          <w:color w:val="auto"/>
          <w:kern w:val="24"/>
          <w:sz w:val="21"/>
          <w:szCs w:val="21"/>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pStyle w:val="18"/>
        <w:spacing w:line="360" w:lineRule="auto"/>
        <w:ind w:firstLine="420" w:firstLineChars="200"/>
        <w:rPr>
          <w:rFonts w:hAnsi="宋体"/>
          <w:color w:val="auto"/>
          <w:szCs w:val="21"/>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hint="eastAsia" w:ascii="宋体" w:hAnsi="宋体" w:cs="宋体"/>
          <w:b/>
          <w:color w:val="auto"/>
          <w:sz w:val="28"/>
          <w:szCs w:val="28"/>
        </w:rPr>
      </w:pPr>
    </w:p>
    <w:p>
      <w:pPr>
        <w:jc w:val="left"/>
        <w:rPr>
          <w:rFonts w:ascii="宋体" w:hAnsi="宋体" w:cs="宋体"/>
          <w:b/>
          <w:color w:val="auto"/>
          <w:sz w:val="28"/>
          <w:szCs w:val="28"/>
        </w:rPr>
      </w:pPr>
      <w:r>
        <w:rPr>
          <w:rFonts w:hint="eastAsia" w:ascii="宋体" w:hAnsi="宋体" w:cs="宋体"/>
          <w:b/>
          <w:color w:val="auto"/>
          <w:sz w:val="28"/>
          <w:szCs w:val="28"/>
        </w:rPr>
        <w:t>2.残疾人福利性单位声明函的格式：</w:t>
      </w:r>
    </w:p>
    <w:p>
      <w:pPr>
        <w:jc w:val="left"/>
        <w:rPr>
          <w:rFonts w:hAnsi="宋体" w:cs="宋体"/>
          <w:b/>
          <w:color w:val="auto"/>
          <w:sz w:val="28"/>
          <w:szCs w:val="28"/>
        </w:rPr>
      </w:pPr>
    </w:p>
    <w:p>
      <w:pPr>
        <w:jc w:val="left"/>
        <w:rPr>
          <w:rFonts w:hAnsi="宋体" w:cs="宋体"/>
          <w:b/>
          <w:color w:val="auto"/>
          <w:sz w:val="28"/>
          <w:szCs w:val="28"/>
          <w:lang w:val="en"/>
        </w:rPr>
      </w:pPr>
    </w:p>
    <w:p>
      <w:pPr>
        <w:pStyle w:val="18"/>
        <w:spacing w:line="360" w:lineRule="auto"/>
        <w:jc w:val="center"/>
        <w:rPr>
          <w:b/>
          <w:color w:val="auto"/>
          <w:sz w:val="30"/>
          <w:szCs w:val="30"/>
        </w:rPr>
      </w:pPr>
      <w:r>
        <w:rPr>
          <w:rFonts w:hint="eastAsia"/>
          <w:b/>
          <w:color w:val="auto"/>
          <w:sz w:val="30"/>
          <w:szCs w:val="30"/>
        </w:rPr>
        <w:t>残疾人福利性单位声明函</w:t>
      </w:r>
    </w:p>
    <w:p>
      <w:pPr>
        <w:pStyle w:val="18"/>
        <w:spacing w:line="360" w:lineRule="auto"/>
        <w:jc w:val="center"/>
        <w:rPr>
          <w:b/>
          <w:color w:val="auto"/>
          <w:sz w:val="30"/>
          <w:szCs w:val="30"/>
        </w:rPr>
      </w:pPr>
    </w:p>
    <w:p>
      <w:pPr>
        <w:pStyle w:val="18"/>
        <w:spacing w:line="360" w:lineRule="auto"/>
        <w:jc w:val="left"/>
        <w:rPr>
          <w:rFonts w:hAnsi="宋体" w:cs="宋体"/>
          <w:color w:val="auto"/>
          <w:sz w:val="24"/>
          <w:szCs w:val="24"/>
        </w:rPr>
      </w:pPr>
      <w:r>
        <w:rPr>
          <w:rFonts w:hint="eastAsia"/>
          <w:color w:val="auto"/>
          <w:sz w:val="30"/>
          <w:szCs w:val="30"/>
        </w:rPr>
        <w:t xml:space="preserve"> </w:t>
      </w:r>
      <w:r>
        <w:rPr>
          <w:rFonts w:hint="eastAsia" w:hAnsi="宋体" w:cs="宋体"/>
          <w:color w:val="auto"/>
          <w:sz w:val="30"/>
          <w:szCs w:val="30"/>
        </w:rPr>
        <w:t xml:space="preserve">  </w:t>
      </w:r>
      <w:r>
        <w:rPr>
          <w:rFonts w:hint="eastAsia"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u w:val="single"/>
        </w:rPr>
        <w:t xml:space="preserve">       </w:t>
      </w:r>
      <w:r>
        <w:rPr>
          <w:rFonts w:hint="eastAsia" w:hAnsi="宋体" w:cs="宋体"/>
          <w:color w:val="auto"/>
          <w:sz w:val="24"/>
          <w:szCs w:val="24"/>
        </w:rPr>
        <w:t>单位的</w:t>
      </w:r>
      <w:r>
        <w:rPr>
          <w:rFonts w:hint="eastAsia" w:hAnsi="宋体" w:cs="宋体"/>
          <w:color w:val="auto"/>
          <w:sz w:val="24"/>
          <w:szCs w:val="24"/>
          <w:u w:val="single"/>
        </w:rPr>
        <w:t xml:space="preserve">              </w:t>
      </w:r>
      <w:r>
        <w:rPr>
          <w:rFonts w:hint="eastAsia" w:hAnsi="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pPr>
        <w:pStyle w:val="18"/>
        <w:spacing w:line="360" w:lineRule="auto"/>
        <w:ind w:firstLine="480" w:firstLineChars="200"/>
        <w:jc w:val="left"/>
        <w:rPr>
          <w:rFonts w:hAnsi="宋体" w:cs="宋体"/>
          <w:color w:val="auto"/>
          <w:sz w:val="24"/>
          <w:szCs w:val="24"/>
        </w:rPr>
      </w:pPr>
      <w:r>
        <w:rPr>
          <w:rFonts w:hint="eastAsia" w:hAnsi="宋体" w:cs="宋体"/>
          <w:color w:val="auto"/>
          <w:sz w:val="24"/>
          <w:szCs w:val="24"/>
        </w:rPr>
        <w:t>本单位对上述声明的真实性负责。如有虚假，将依法承担相应责任。</w:t>
      </w:r>
    </w:p>
    <w:p>
      <w:pPr>
        <w:pStyle w:val="18"/>
        <w:spacing w:line="360" w:lineRule="auto"/>
        <w:jc w:val="left"/>
        <w:rPr>
          <w:rFonts w:hAnsi="宋体" w:cs="宋体"/>
          <w:b/>
          <w:color w:val="auto"/>
          <w:szCs w:val="21"/>
        </w:rPr>
      </w:pPr>
    </w:p>
    <w:p>
      <w:pPr>
        <w:pStyle w:val="18"/>
        <w:spacing w:line="360" w:lineRule="auto"/>
        <w:jc w:val="left"/>
        <w:rPr>
          <w:rFonts w:hAnsi="宋体" w:cs="宋体"/>
          <w:b/>
          <w:color w:val="auto"/>
          <w:szCs w:val="21"/>
        </w:rPr>
      </w:pPr>
    </w:p>
    <w:p>
      <w:pPr>
        <w:snapToGrid w:val="0"/>
        <w:spacing w:line="360" w:lineRule="auto"/>
        <w:ind w:left="5137" w:leftChars="1736" w:hanging="1491" w:hangingChars="825"/>
        <w:rPr>
          <w:rFonts w:ascii="宋体" w:hAnsi="宋体" w:cs="宋体"/>
          <w:color w:val="auto"/>
          <w:kern w:val="0"/>
          <w:sz w:val="24"/>
        </w:rPr>
      </w:pPr>
      <w:r>
        <w:rPr>
          <w:rFonts w:hint="eastAsia" w:ascii="宋体" w:hAnsi="宋体" w:cs="宋体"/>
          <w:b/>
          <w:color w:val="auto"/>
          <w:sz w:val="18"/>
          <w:szCs w:val="18"/>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pStyle w:val="18"/>
        <w:spacing w:line="360" w:lineRule="auto"/>
        <w:ind w:left="5132" w:leftChars="1979" w:hanging="976" w:hangingChars="488"/>
        <w:rPr>
          <w:rFonts w:hAnsi="宋体" w:cs="宋体"/>
          <w:color w:val="auto"/>
          <w:sz w:val="20"/>
        </w:rPr>
      </w:pPr>
    </w:p>
    <w:p>
      <w:pPr>
        <w:spacing w:line="360" w:lineRule="auto"/>
        <w:ind w:right="420" w:firstLine="480" w:firstLineChars="200"/>
        <w:rPr>
          <w:rFonts w:ascii="宋体" w:hAnsi="宋体" w:cs="宋体"/>
          <w:color w:val="auto"/>
          <w:sz w:val="24"/>
        </w:rPr>
      </w:pPr>
    </w:p>
    <w:p>
      <w:pPr>
        <w:spacing w:line="360" w:lineRule="auto"/>
        <w:ind w:right="420" w:firstLine="480" w:firstLineChars="200"/>
        <w:rPr>
          <w:rFonts w:ascii="宋体" w:hAnsi="宋体" w:cs="宋体"/>
          <w:color w:val="auto"/>
          <w:sz w:val="24"/>
        </w:rPr>
      </w:pPr>
    </w:p>
    <w:p>
      <w:pPr>
        <w:spacing w:line="360" w:lineRule="auto"/>
        <w:ind w:right="420" w:firstLine="420" w:firstLineChars="200"/>
        <w:rPr>
          <w:rFonts w:ascii="宋体" w:hAnsi="宋体" w:cs="宋体"/>
          <w:color w:val="auto"/>
          <w:szCs w:val="21"/>
        </w:rPr>
      </w:pPr>
      <w:r>
        <w:rPr>
          <w:rFonts w:hint="eastAsia" w:ascii="宋体" w:hAnsi="宋体" w:cs="宋体"/>
          <w:color w:val="auto"/>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jc w:val="left"/>
        <w:rPr>
          <w:color w:val="auto"/>
          <w:sz w:val="20"/>
        </w:rPr>
      </w:pPr>
      <w:r>
        <w:rPr>
          <w:color w:val="auto"/>
          <w:sz w:val="20"/>
        </w:rPr>
        <w:br w:type="page"/>
      </w:r>
    </w:p>
    <w:p>
      <w:pPr>
        <w:pStyle w:val="2"/>
        <w:numPr>
          <w:ilvl w:val="0"/>
          <w:numId w:val="9"/>
        </w:numPr>
        <w:ind w:left="142"/>
        <w:rPr>
          <w:rFonts w:ascii="宋体" w:hAnsi="宋体" w:cs="宋体"/>
          <w:color w:val="auto"/>
          <w:kern w:val="0"/>
          <w:sz w:val="28"/>
          <w:szCs w:val="28"/>
        </w:rPr>
      </w:pPr>
      <w:r>
        <w:rPr>
          <w:rFonts w:hint="eastAsia" w:ascii="宋体" w:hAnsi="宋体" w:cs="宋体"/>
          <w:color w:val="auto"/>
          <w:kern w:val="0"/>
          <w:sz w:val="28"/>
          <w:szCs w:val="28"/>
        </w:rPr>
        <w:t>广西壮族自治区政府采购项目合同验收书的格式：</w:t>
      </w:r>
    </w:p>
    <w:p>
      <w:pPr>
        <w:pStyle w:val="2"/>
        <w:rPr>
          <w:rFonts w:ascii="宋体" w:hAnsi="宋体" w:cs="宋体"/>
          <w:color w:val="auto"/>
          <w:kern w:val="0"/>
          <w:sz w:val="28"/>
          <w:szCs w:val="28"/>
        </w:rPr>
      </w:pPr>
    </w:p>
    <w:p>
      <w:pPr>
        <w:shd w:val="clear" w:color="auto" w:fill="FFFFFF"/>
        <w:spacing w:line="480" w:lineRule="atLeast"/>
        <w:jc w:val="center"/>
        <w:rPr>
          <w:rFonts w:ascii="宋体" w:hAnsi="宋体" w:cs="宋体"/>
          <w:color w:val="auto"/>
          <w:kern w:val="0"/>
          <w:sz w:val="32"/>
          <w:szCs w:val="32"/>
        </w:rPr>
      </w:pPr>
      <w:r>
        <w:rPr>
          <w:rFonts w:hint="eastAsia" w:ascii="宋体" w:hAnsi="宋体" w:cs="宋体"/>
          <w:color w:val="auto"/>
          <w:kern w:val="0"/>
          <w:sz w:val="32"/>
          <w:szCs w:val="32"/>
        </w:rPr>
        <w:t>广西壮族自治区政府采购项目合同验收书</w:t>
      </w:r>
    </w:p>
    <w:p>
      <w:pPr>
        <w:shd w:val="clear" w:color="auto" w:fill="FFFFFF"/>
        <w:spacing w:line="480" w:lineRule="atLeast"/>
        <w:jc w:val="center"/>
        <w:rPr>
          <w:rFonts w:ascii="宋体" w:hAnsi="宋体" w:cs="宋体"/>
          <w:color w:val="auto"/>
          <w:kern w:val="0"/>
          <w:sz w:val="32"/>
          <w:szCs w:val="32"/>
        </w:rPr>
      </w:pPr>
    </w:p>
    <w:p>
      <w:pPr>
        <w:shd w:val="clear" w:color="auto" w:fill="FFFFFF"/>
        <w:snapToGrid w:val="0"/>
        <w:spacing w:line="320" w:lineRule="atLeast"/>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政府采购项目中标（或者成交）投标人（</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ascii="宋体" w:hAnsi="宋体" w:cs="宋体"/>
                <w:color w:val="auto"/>
                <w:kern w:val="0"/>
                <w:szCs w:val="21"/>
              </w:rPr>
            </w:pPr>
            <w:r>
              <w:rPr>
                <w:rFonts w:hint="eastAsia" w:ascii="宋体" w:hAnsi="宋体" w:cs="宋体"/>
                <w:color w:val="auto"/>
                <w:kern w:val="0"/>
                <w:szCs w:val="21"/>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ascii="宋体" w:hAnsi="宋体" w:cs="宋体"/>
                <w:color w:val="auto"/>
                <w:kern w:val="0"/>
                <w:szCs w:val="21"/>
              </w:rPr>
            </w:pPr>
            <w:r>
              <w:rPr>
                <w:rFonts w:hint="eastAsia" w:ascii="宋体" w:hAnsi="宋体" w:cs="宋体"/>
                <w:color w:val="auto"/>
                <w:kern w:val="0"/>
                <w:szCs w:val="21"/>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jc w:val="left"/>
              <w:rPr>
                <w:rFonts w:ascii="宋体" w:hAnsi="宋体" w:cs="宋体"/>
                <w:color w:val="auto"/>
                <w:kern w:val="0"/>
                <w:szCs w:val="21"/>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ascii="宋体" w:hAnsi="宋体" w:cs="宋体"/>
                <w:color w:val="auto"/>
                <w:kern w:val="0"/>
                <w:szCs w:val="21"/>
              </w:rPr>
            </w:pPr>
            <w:r>
              <w:rPr>
                <w:rFonts w:hint="eastAsia" w:ascii="宋体" w:hAnsi="宋体" w:cs="宋体"/>
                <w:color w:val="auto"/>
                <w:kern w:val="0"/>
                <w:szCs w:val="21"/>
              </w:rPr>
              <w:t>有异议的意见和说明理由：</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监督人员或者其他相关人员签字：</w:t>
            </w:r>
          </w:p>
          <w:p>
            <w:pPr>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中标或者成交人负责人签字或者盖章：</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 xml:space="preserve">联系电话： </w:t>
            </w:r>
          </w:p>
          <w:p>
            <w:pPr>
              <w:spacing w:before="100" w:beforeAutospacing="1" w:after="100" w:afterAutospacing="1" w:line="320" w:lineRule="atLeast"/>
              <w:ind w:firstLine="2730" w:firstLineChars="1300"/>
              <w:jc w:val="left"/>
              <w:rPr>
                <w:rFonts w:ascii="宋体" w:hAnsi="宋体" w:cs="宋体"/>
                <w:color w:val="auto"/>
                <w:kern w:val="0"/>
                <w:szCs w:val="21"/>
              </w:rPr>
            </w:pPr>
            <w:r>
              <w:rPr>
                <w:rFonts w:hint="eastAsia" w:ascii="宋体" w:hAnsi="宋体" w:cs="宋体"/>
                <w:color w:val="auto"/>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 xml:space="preserve">联系电话： </w:t>
            </w:r>
          </w:p>
          <w:p>
            <w:pPr>
              <w:spacing w:before="100" w:beforeAutospacing="1" w:after="100" w:afterAutospacing="1" w:line="320" w:lineRule="atLeast"/>
              <w:ind w:firstLine="2520" w:firstLineChars="1200"/>
              <w:jc w:val="left"/>
              <w:rPr>
                <w:rFonts w:ascii="宋体" w:hAnsi="宋体" w:cs="宋体"/>
                <w:color w:val="auto"/>
                <w:kern w:val="0"/>
                <w:szCs w:val="21"/>
              </w:rPr>
            </w:pPr>
            <w:r>
              <w:rPr>
                <w:rFonts w:hint="eastAsia" w:ascii="宋体" w:hAnsi="宋体" w:cs="宋体"/>
                <w:color w:val="auto"/>
                <w:kern w:val="0"/>
                <w:szCs w:val="21"/>
              </w:rPr>
              <w:t>年 月 日</w:t>
            </w:r>
          </w:p>
        </w:tc>
      </w:tr>
    </w:tbl>
    <w:p>
      <w:pPr>
        <w:pStyle w:val="2"/>
        <w:rPr>
          <w:rFonts w:ascii="宋体" w:hAnsi="宋体" w:cs="宋体"/>
          <w:color w:val="auto"/>
          <w:kern w:val="0"/>
          <w:sz w:val="28"/>
          <w:szCs w:val="28"/>
        </w:rPr>
        <w:sectPr>
          <w:pgSz w:w="11905" w:h="16838"/>
          <w:pgMar w:top="1134" w:right="1134" w:bottom="1134" w:left="1134" w:header="850" w:footer="850" w:gutter="0"/>
          <w:pgNumType w:fmt="decimal"/>
          <w:cols w:space="0" w:num="1"/>
          <w:titlePg/>
          <w:docGrid w:linePitch="331" w:charSpace="0"/>
        </w:sectPr>
      </w:pPr>
      <w:r>
        <w:rPr>
          <w:rFonts w:hint="eastAsia" w:ascii="宋体" w:hAnsi="宋体" w:cs="宋体"/>
          <w:color w:val="auto"/>
        </w:rPr>
        <w:br w:type="page"/>
      </w:r>
    </w:p>
    <w:p>
      <w:pPr>
        <w:jc w:val="left"/>
        <w:rPr>
          <w:rFonts w:ascii="宋体" w:hAnsi="宋体" w:cs="宋体"/>
          <w:color w:val="auto"/>
        </w:rPr>
      </w:pPr>
      <w:r>
        <w:rPr>
          <w:rFonts w:hint="eastAsia" w:ascii="宋体" w:hAnsi="宋体" w:cs="宋体"/>
          <w:color w:val="auto"/>
          <w:sz w:val="28"/>
          <w:szCs w:val="28"/>
        </w:rPr>
        <w:t>4.政府采购项目履约保证金退付意见书的格式：</w:t>
      </w:r>
    </w:p>
    <w:p>
      <w:pPr>
        <w:jc w:val="center"/>
        <w:rPr>
          <w:rFonts w:ascii="宋体" w:hAnsi="宋体" w:cs="宋体"/>
          <w:color w:val="auto"/>
          <w:sz w:val="32"/>
          <w:szCs w:val="32"/>
        </w:rPr>
      </w:pPr>
    </w:p>
    <w:p>
      <w:pPr>
        <w:jc w:val="center"/>
        <w:rPr>
          <w:rFonts w:ascii="宋体" w:hAnsi="宋体" w:cs="宋体"/>
          <w:color w:val="auto"/>
          <w:sz w:val="32"/>
          <w:szCs w:val="32"/>
        </w:rPr>
      </w:pPr>
      <w:r>
        <w:rPr>
          <w:rFonts w:hint="eastAsia" w:ascii="宋体" w:hAnsi="宋体" w:cs="宋体"/>
          <w:color w:val="auto"/>
          <w:sz w:val="32"/>
          <w:szCs w:val="32"/>
        </w:rPr>
        <w:t>政府采购项目履约保证金退付意见书（参考）</w:t>
      </w:r>
    </w:p>
    <w:p>
      <w:pPr>
        <w:jc w:val="center"/>
        <w:rPr>
          <w:rFonts w:ascii="宋体" w:hAnsi="宋体" w:cs="宋体"/>
          <w:color w:val="auto"/>
          <w:sz w:val="36"/>
          <w:szCs w:val="36"/>
        </w:rPr>
      </w:pPr>
    </w:p>
    <w:tbl>
      <w:tblPr>
        <w:tblStyle w:val="2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ascii="宋体" w:hAnsi="宋体" w:cs="宋体"/>
                <w:color w:val="auto"/>
                <w:sz w:val="24"/>
              </w:rPr>
            </w:pPr>
            <w:r>
              <w:rPr>
                <w:rFonts w:hint="eastAsia" w:ascii="宋体" w:hAnsi="宋体" w:cs="宋体"/>
                <w:color w:val="auto"/>
                <w:sz w:val="24"/>
              </w:rPr>
              <w:t>供</w:t>
            </w:r>
          </w:p>
          <w:p>
            <w:pPr>
              <w:jc w:val="center"/>
              <w:rPr>
                <w:rFonts w:ascii="宋体" w:hAnsi="宋体" w:cs="宋体"/>
                <w:color w:val="auto"/>
                <w:sz w:val="24"/>
              </w:rPr>
            </w:pPr>
            <w:r>
              <w:rPr>
                <w:rFonts w:hint="eastAsia" w:ascii="宋体" w:hAnsi="宋体" w:cs="宋体"/>
                <w:color w:val="auto"/>
                <w:sz w:val="24"/>
              </w:rPr>
              <w:t>应</w:t>
            </w:r>
          </w:p>
          <w:p>
            <w:pPr>
              <w:jc w:val="center"/>
              <w:rPr>
                <w:rFonts w:ascii="宋体" w:hAnsi="宋体" w:cs="宋体"/>
                <w:color w:val="auto"/>
                <w:sz w:val="24"/>
              </w:rPr>
            </w:pPr>
            <w:r>
              <w:rPr>
                <w:rFonts w:hint="eastAsia" w:ascii="宋体" w:hAnsi="宋体" w:cs="宋体"/>
                <w:color w:val="auto"/>
                <w:sz w:val="24"/>
              </w:rPr>
              <w:t>商</w:t>
            </w:r>
          </w:p>
          <w:p>
            <w:pPr>
              <w:jc w:val="center"/>
              <w:rPr>
                <w:rFonts w:ascii="宋体" w:hAnsi="宋体" w:cs="宋体"/>
                <w:color w:val="auto"/>
                <w:sz w:val="24"/>
              </w:rPr>
            </w:pPr>
            <w:r>
              <w:rPr>
                <w:rFonts w:hint="eastAsia" w:ascii="宋体" w:hAnsi="宋体" w:cs="宋体"/>
                <w:color w:val="auto"/>
                <w:sz w:val="24"/>
              </w:rPr>
              <w:t>申</w:t>
            </w:r>
          </w:p>
          <w:p>
            <w:pPr>
              <w:jc w:val="center"/>
              <w:rPr>
                <w:rFonts w:ascii="宋体" w:hAnsi="宋体" w:cs="宋体"/>
                <w:color w:val="auto"/>
                <w:sz w:val="24"/>
              </w:rPr>
            </w:pPr>
            <w:r>
              <w:rPr>
                <w:rFonts w:hint="eastAsia" w:ascii="宋体" w:hAnsi="宋体" w:cs="宋体"/>
                <w:color w:val="auto"/>
                <w:sz w:val="24"/>
              </w:rPr>
              <w:t>请</w:t>
            </w:r>
          </w:p>
        </w:tc>
        <w:tc>
          <w:tcPr>
            <w:tcW w:w="8456" w:type="dxa"/>
            <w:vAlign w:val="center"/>
          </w:tcPr>
          <w:p>
            <w:pPr>
              <w:rPr>
                <w:rFonts w:ascii="宋体" w:hAnsi="宋体" w:cs="宋体"/>
                <w:color w:val="auto"/>
                <w:sz w:val="24"/>
              </w:rPr>
            </w:pPr>
            <w:r>
              <w:rPr>
                <w:rFonts w:hint="eastAsia" w:ascii="宋体" w:hAnsi="宋体" w:cs="宋体"/>
                <w:color w:val="auto"/>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rFonts w:ascii="宋体" w:hAnsi="宋体" w:cs="宋体"/>
                <w:color w:val="auto"/>
                <w:sz w:val="24"/>
              </w:rPr>
            </w:pPr>
          </w:p>
        </w:tc>
        <w:tc>
          <w:tcPr>
            <w:tcW w:w="8456" w:type="dxa"/>
            <w:vAlign w:val="center"/>
          </w:tcPr>
          <w:p>
            <w:pPr>
              <w:rPr>
                <w:rFonts w:ascii="宋体" w:hAnsi="宋体" w:cs="宋体"/>
                <w:color w:val="auto"/>
                <w:sz w:val="24"/>
              </w:rPr>
            </w:pPr>
            <w:r>
              <w:rPr>
                <w:rFonts w:hint="eastAsia" w:ascii="宋体" w:hAnsi="宋体" w:cs="宋体"/>
                <w:color w:val="auto"/>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8" w:type="dxa"/>
            <w:vMerge w:val="continue"/>
          </w:tcPr>
          <w:p>
            <w:pPr>
              <w:rPr>
                <w:rFonts w:ascii="宋体" w:hAnsi="宋体" w:cs="宋体"/>
                <w:color w:val="auto"/>
                <w:sz w:val="24"/>
              </w:rPr>
            </w:pPr>
          </w:p>
        </w:tc>
        <w:tc>
          <w:tcPr>
            <w:tcW w:w="8456" w:type="dxa"/>
          </w:tcPr>
          <w:p>
            <w:pPr>
              <w:rPr>
                <w:rFonts w:ascii="宋体" w:hAnsi="宋体" w:cs="宋体"/>
                <w:color w:val="auto"/>
                <w:sz w:val="24"/>
              </w:rPr>
            </w:pPr>
            <w:r>
              <w:rPr>
                <w:rFonts w:hint="eastAsia" w:ascii="宋体" w:hAnsi="宋体" w:cs="宋体"/>
                <w:color w:val="auto"/>
                <w:sz w:val="24"/>
              </w:rPr>
              <w:t xml:space="preserve">  </w:t>
            </w:r>
          </w:p>
          <w:p>
            <w:pPr>
              <w:spacing w:line="400" w:lineRule="exact"/>
              <w:ind w:firstLine="480" w:firstLineChars="200"/>
              <w:rPr>
                <w:rFonts w:ascii="宋体" w:hAnsi="宋体" w:cs="宋体"/>
                <w:color w:val="auto"/>
                <w:sz w:val="24"/>
              </w:rPr>
            </w:pPr>
            <w:r>
              <w:rPr>
                <w:rFonts w:hint="eastAsia" w:ascii="宋体" w:hAnsi="宋体" w:cs="宋体"/>
                <w:color w:val="auto"/>
                <w:sz w:val="24"/>
              </w:rPr>
              <w:t>该项目已于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日验收并交付使用。根据合同规定，该项目的履约保证金期限于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日已满，请将履约保证金（大写）</w:t>
            </w:r>
            <w:r>
              <w:rPr>
                <w:rFonts w:hint="eastAsia" w:ascii="宋体" w:hAnsi="宋体" w:cs="宋体"/>
                <w:color w:val="auto"/>
                <w:sz w:val="24"/>
                <w:u w:val="single"/>
              </w:rPr>
              <w:t xml:space="preserve">人民币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退付到达以下账户。</w:t>
            </w:r>
          </w:p>
          <w:p>
            <w:pPr>
              <w:spacing w:line="400" w:lineRule="exact"/>
              <w:ind w:firstLine="705"/>
              <w:rPr>
                <w:rFonts w:ascii="宋体" w:hAnsi="宋体" w:cs="宋体"/>
                <w:color w:val="auto"/>
                <w:sz w:val="24"/>
              </w:rPr>
            </w:pPr>
            <w:r>
              <w:rPr>
                <w:rFonts w:hint="eastAsia" w:ascii="宋体" w:hAnsi="宋体" w:cs="宋体"/>
                <w:color w:val="auto"/>
                <w:sz w:val="24"/>
              </w:rPr>
              <w:t>单位名称：</w:t>
            </w:r>
          </w:p>
          <w:p>
            <w:pPr>
              <w:spacing w:line="400" w:lineRule="exact"/>
              <w:ind w:firstLine="705"/>
              <w:rPr>
                <w:rFonts w:ascii="宋体" w:hAnsi="宋体" w:cs="宋体"/>
                <w:color w:val="auto"/>
                <w:sz w:val="24"/>
              </w:rPr>
            </w:pPr>
            <w:r>
              <w:rPr>
                <w:rFonts w:hint="eastAsia" w:ascii="宋体" w:hAnsi="宋体" w:cs="宋体"/>
                <w:color w:val="auto"/>
                <w:sz w:val="24"/>
              </w:rPr>
              <w:t>开户银行：</w:t>
            </w:r>
          </w:p>
          <w:p>
            <w:pPr>
              <w:spacing w:line="400" w:lineRule="exact"/>
              <w:ind w:firstLine="705"/>
              <w:rPr>
                <w:rFonts w:ascii="宋体" w:hAnsi="宋体" w:cs="宋体"/>
                <w:color w:val="auto"/>
                <w:sz w:val="24"/>
              </w:rPr>
            </w:pPr>
            <w:r>
              <w:rPr>
                <w:rFonts w:hint="eastAsia" w:ascii="宋体" w:hAnsi="宋体" w:cs="宋体"/>
                <w:color w:val="auto"/>
                <w:sz w:val="24"/>
              </w:rPr>
              <w:t>账   号：</w:t>
            </w:r>
          </w:p>
          <w:p>
            <w:pPr>
              <w:spacing w:line="400" w:lineRule="exact"/>
              <w:rPr>
                <w:rFonts w:ascii="宋体" w:hAnsi="宋体" w:cs="宋体"/>
                <w:color w:val="auto"/>
                <w:sz w:val="24"/>
              </w:rPr>
            </w:pPr>
            <w:r>
              <w:rPr>
                <w:rFonts w:hint="eastAsia" w:ascii="宋体" w:hAnsi="宋体" w:cs="宋体"/>
                <w:color w:val="auto"/>
                <w:sz w:val="24"/>
              </w:rPr>
              <w:t>联系人及电话：</w:t>
            </w:r>
          </w:p>
          <w:p>
            <w:pPr>
              <w:spacing w:line="400" w:lineRule="exact"/>
              <w:rPr>
                <w:rFonts w:ascii="宋体" w:hAnsi="宋体" w:cs="宋体"/>
                <w:color w:val="auto"/>
                <w:sz w:val="24"/>
              </w:rPr>
            </w:pPr>
          </w:p>
          <w:p>
            <w:pPr>
              <w:spacing w:line="520" w:lineRule="exact"/>
              <w:jc w:val="center"/>
              <w:rPr>
                <w:rFonts w:ascii="宋体" w:hAnsi="宋体" w:cs="宋体"/>
                <w:color w:val="auto"/>
                <w:sz w:val="24"/>
              </w:rPr>
            </w:pPr>
            <w:r>
              <w:rPr>
                <w:rFonts w:hint="eastAsia" w:ascii="宋体" w:hAnsi="宋体" w:cs="宋体"/>
                <w:color w:val="auto"/>
                <w:sz w:val="24"/>
              </w:rPr>
              <w:t xml:space="preserve">         投标人签章：</w:t>
            </w:r>
          </w:p>
          <w:p>
            <w:pPr>
              <w:spacing w:line="520" w:lineRule="exact"/>
              <w:jc w:val="center"/>
              <w:rPr>
                <w:rFonts w:ascii="宋体" w:hAnsi="宋体" w:cs="宋体"/>
                <w:color w:val="auto"/>
                <w:sz w:val="24"/>
              </w:rPr>
            </w:pPr>
            <w:r>
              <w:rPr>
                <w:rFonts w:hint="eastAsia" w:ascii="宋体" w:hAnsi="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rFonts w:ascii="宋体" w:hAnsi="宋体" w:cs="宋体"/>
                <w:color w:val="auto"/>
                <w:sz w:val="24"/>
              </w:rPr>
            </w:pPr>
            <w:r>
              <w:rPr>
                <w:rFonts w:hint="eastAsia" w:ascii="宋体" w:hAnsi="宋体" w:cs="宋体"/>
                <w:color w:val="auto"/>
                <w:sz w:val="24"/>
              </w:rPr>
              <w:t>采</w:t>
            </w:r>
          </w:p>
          <w:p>
            <w:pPr>
              <w:jc w:val="center"/>
              <w:rPr>
                <w:rFonts w:ascii="宋体" w:hAnsi="宋体" w:cs="宋体"/>
                <w:color w:val="auto"/>
                <w:sz w:val="24"/>
              </w:rPr>
            </w:pPr>
            <w:r>
              <w:rPr>
                <w:rFonts w:hint="eastAsia" w:ascii="宋体" w:hAnsi="宋体" w:cs="宋体"/>
                <w:color w:val="auto"/>
                <w:sz w:val="24"/>
              </w:rPr>
              <w:t>购</w:t>
            </w:r>
          </w:p>
          <w:p>
            <w:pPr>
              <w:jc w:val="center"/>
              <w:rPr>
                <w:rFonts w:ascii="宋体" w:hAnsi="宋体" w:cs="宋体"/>
                <w:color w:val="auto"/>
                <w:sz w:val="24"/>
              </w:rPr>
            </w:pPr>
            <w:r>
              <w:rPr>
                <w:rFonts w:hint="eastAsia" w:ascii="宋体" w:hAnsi="宋体" w:cs="宋体"/>
                <w:color w:val="auto"/>
                <w:sz w:val="24"/>
              </w:rPr>
              <w:t>人</w:t>
            </w:r>
          </w:p>
          <w:p>
            <w:pPr>
              <w:jc w:val="center"/>
              <w:rPr>
                <w:rFonts w:ascii="宋体" w:hAnsi="宋体" w:cs="宋体"/>
                <w:color w:val="auto"/>
                <w:sz w:val="24"/>
              </w:rPr>
            </w:pPr>
            <w:r>
              <w:rPr>
                <w:rFonts w:hint="eastAsia" w:ascii="宋体" w:hAnsi="宋体" w:cs="宋体"/>
                <w:color w:val="auto"/>
                <w:sz w:val="24"/>
              </w:rPr>
              <w:t>意</w:t>
            </w:r>
          </w:p>
          <w:p>
            <w:pPr>
              <w:jc w:val="center"/>
              <w:rPr>
                <w:rFonts w:ascii="宋体" w:hAnsi="宋体" w:cs="宋体"/>
                <w:color w:val="auto"/>
                <w:sz w:val="24"/>
              </w:rPr>
            </w:pPr>
            <w:r>
              <w:rPr>
                <w:rFonts w:hint="eastAsia" w:ascii="宋体" w:hAnsi="宋体" w:cs="宋体"/>
                <w:color w:val="auto"/>
                <w:sz w:val="24"/>
              </w:rPr>
              <w:t>见</w:t>
            </w:r>
          </w:p>
        </w:tc>
        <w:tc>
          <w:tcPr>
            <w:tcW w:w="8456" w:type="dxa"/>
          </w:tcPr>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退付意见：（是否同意退付履约保证金及退付金额）</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spacing w:line="520" w:lineRule="exact"/>
              <w:rPr>
                <w:rFonts w:ascii="宋体" w:hAnsi="宋体" w:cs="宋体"/>
                <w:color w:val="auto"/>
                <w:sz w:val="24"/>
              </w:rPr>
            </w:pPr>
            <w:r>
              <w:rPr>
                <w:rFonts w:hint="eastAsia" w:ascii="宋体" w:hAnsi="宋体" w:cs="宋体"/>
                <w:color w:val="auto"/>
                <w:sz w:val="24"/>
              </w:rPr>
              <w:t>联系人及电话：                         采购人签章</w:t>
            </w:r>
          </w:p>
          <w:p>
            <w:pPr>
              <w:spacing w:line="520" w:lineRule="exact"/>
              <w:jc w:val="center"/>
              <w:rPr>
                <w:rFonts w:ascii="宋体" w:hAnsi="宋体" w:cs="宋体"/>
                <w:color w:val="auto"/>
                <w:sz w:val="24"/>
              </w:rPr>
            </w:pPr>
            <w:r>
              <w:rPr>
                <w:rFonts w:hint="eastAsia" w:ascii="宋体" w:hAnsi="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8456" w:type="dxa"/>
          </w:tcPr>
          <w:p>
            <w:pPr>
              <w:rPr>
                <w:rFonts w:ascii="宋体" w:hAnsi="宋体" w:cs="宋体"/>
                <w:color w:val="auto"/>
                <w:sz w:val="24"/>
              </w:rPr>
            </w:pPr>
          </w:p>
        </w:tc>
      </w:tr>
    </w:tbl>
    <w:p>
      <w:pPr>
        <w:pStyle w:val="12"/>
        <w:ind w:left="420" w:leftChars="114" w:hanging="181" w:hangingChars="100"/>
        <w:rPr>
          <w:rFonts w:ascii="宋体" w:hAnsi="宋体" w:cs="宋体"/>
          <w:b/>
          <w:bCs/>
          <w:color w:val="auto"/>
          <w:sz w:val="18"/>
        </w:rPr>
      </w:pPr>
      <w:r>
        <w:rPr>
          <w:rFonts w:hint="eastAsia" w:ascii="宋体" w:hAnsi="宋体" w:cs="宋体"/>
          <w:b/>
          <w:bCs/>
          <w:color w:val="auto"/>
          <w:sz w:val="18"/>
        </w:rPr>
        <w:t>注：投标人凭经采购人审批的退付意见书到</w:t>
      </w:r>
      <w:r>
        <w:rPr>
          <w:rFonts w:hint="eastAsia"/>
          <w:b/>
          <w:bCs/>
          <w:color w:val="auto"/>
          <w:sz w:val="18"/>
          <w:szCs w:val="18"/>
        </w:rPr>
        <w:t>履约</w:t>
      </w:r>
      <w:r>
        <w:rPr>
          <w:rFonts w:hint="eastAsia" w:ascii="宋体" w:hAnsi="宋体" w:cs="宋体"/>
          <w:b/>
          <w:bCs/>
          <w:color w:val="auto"/>
          <w:sz w:val="18"/>
        </w:rPr>
        <w:t>保证金收取单位办理履约保证金退付事宜。</w:t>
      </w:r>
    </w:p>
    <w:p>
      <w:pPr>
        <w:pStyle w:val="18"/>
        <w:snapToGrid w:val="0"/>
        <w:spacing w:before="120" w:after="120"/>
        <w:rPr>
          <w:rFonts w:hAnsi="宋体" w:cs="宋体"/>
          <w:color w:val="auto"/>
        </w:rPr>
      </w:pPr>
    </w:p>
    <w:p>
      <w:pPr>
        <w:snapToGrid w:val="0"/>
        <w:spacing w:before="50" w:after="120" w:afterLines="50" w:line="360" w:lineRule="auto"/>
        <w:jc w:val="left"/>
        <w:rPr>
          <w:color w:val="auto"/>
          <w:sz w:val="20"/>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rPr>
          <w:rFonts w:ascii="Times New Roman" w:hAnsi="Times New Roman"/>
          <w:b/>
          <w:color w:val="auto"/>
          <w:sz w:val="36"/>
        </w:rPr>
      </w:pPr>
    </w:p>
    <w:p>
      <w:pPr>
        <w:pStyle w:val="18"/>
        <w:tabs>
          <w:tab w:val="left" w:pos="2472"/>
        </w:tabs>
        <w:spacing w:line="460" w:lineRule="exact"/>
        <w:jc w:val="center"/>
        <w:outlineLvl w:val="0"/>
        <w:rPr>
          <w:rFonts w:ascii="Times New Roman" w:hAnsi="Times New Roman"/>
          <w:b/>
          <w:color w:val="auto"/>
          <w:sz w:val="36"/>
        </w:rPr>
      </w:pPr>
      <w:bookmarkStart w:id="424" w:name="_Toc18173"/>
      <w:bookmarkStart w:id="425" w:name="_Toc25113"/>
      <w:bookmarkStart w:id="426" w:name="_Toc11260"/>
      <w:bookmarkStart w:id="427" w:name="_Toc6635"/>
      <w:bookmarkStart w:id="428" w:name="_Toc21753"/>
      <w:bookmarkStart w:id="429" w:name="_Toc7244"/>
      <w:bookmarkStart w:id="430" w:name="_Toc31310"/>
      <w:bookmarkStart w:id="431" w:name="_Toc31429"/>
      <w:bookmarkStart w:id="432" w:name="_Toc491"/>
      <w:bookmarkStart w:id="433" w:name="_Toc2211"/>
      <w:bookmarkStart w:id="434" w:name="_Toc32028"/>
      <w:bookmarkStart w:id="435" w:name="_Toc7254"/>
      <w:bookmarkStart w:id="436" w:name="_Toc17736"/>
      <w:r>
        <w:rPr>
          <w:rFonts w:hint="eastAsia" w:ascii="Times New Roman" w:hAnsi="Times New Roman"/>
          <w:b/>
          <w:color w:val="auto"/>
          <w:sz w:val="36"/>
        </w:rPr>
        <w:t>第七章</w:t>
      </w:r>
      <w:r>
        <w:rPr>
          <w:rFonts w:ascii="Times New Roman" w:hAnsi="Times New Roman"/>
          <w:b/>
          <w:color w:val="auto"/>
          <w:sz w:val="36"/>
        </w:rPr>
        <w:t xml:space="preserve"> </w:t>
      </w:r>
      <w:r>
        <w:rPr>
          <w:rFonts w:hint="eastAsia" w:ascii="Times New Roman" w:hAnsi="Times New Roman"/>
          <w:b/>
          <w:color w:val="auto"/>
          <w:sz w:val="36"/>
        </w:rPr>
        <w:t>质疑、投诉材料格式</w:t>
      </w:r>
      <w:bookmarkEnd w:id="424"/>
      <w:bookmarkEnd w:id="425"/>
      <w:bookmarkEnd w:id="426"/>
      <w:bookmarkEnd w:id="427"/>
      <w:bookmarkEnd w:id="428"/>
      <w:bookmarkEnd w:id="429"/>
      <w:bookmarkEnd w:id="430"/>
      <w:bookmarkEnd w:id="431"/>
      <w:bookmarkEnd w:id="432"/>
      <w:bookmarkEnd w:id="433"/>
      <w:bookmarkEnd w:id="434"/>
      <w:bookmarkEnd w:id="435"/>
      <w:bookmarkEnd w:id="436"/>
    </w:p>
    <w:p>
      <w:pPr>
        <w:widowControl/>
        <w:spacing w:line="360" w:lineRule="auto"/>
        <w:jc w:val="left"/>
        <w:rPr>
          <w:color w:val="auto"/>
          <w:sz w:val="20"/>
        </w:rPr>
        <w:sectPr>
          <w:pgSz w:w="11905" w:h="16838"/>
          <w:pgMar w:top="1134" w:right="1134" w:bottom="1134" w:left="1134" w:header="850" w:footer="850" w:gutter="0"/>
          <w:pgNumType w:fmt="decimal"/>
          <w:cols w:space="0" w:num="1"/>
          <w:titlePg/>
          <w:docGrid w:linePitch="331" w:charSpace="0"/>
        </w:sectPr>
      </w:pPr>
    </w:p>
    <w:p>
      <w:pPr>
        <w:pStyle w:val="4"/>
        <w:jc w:val="center"/>
        <w:rPr>
          <w:rFonts w:ascii="宋体" w:hAnsi="宋体"/>
          <w:b w:val="0"/>
          <w:bCs w:val="0"/>
          <w:color w:val="auto"/>
        </w:rPr>
      </w:pPr>
      <w:bookmarkStart w:id="437" w:name="_Toc12016"/>
      <w:bookmarkStart w:id="438" w:name="_Toc3458"/>
      <w:bookmarkStart w:id="439" w:name="_Toc25538"/>
      <w:bookmarkStart w:id="440" w:name="_Toc22595"/>
      <w:bookmarkStart w:id="441" w:name="_Toc10944"/>
      <w:bookmarkStart w:id="442" w:name="_Toc31800"/>
      <w:bookmarkStart w:id="443" w:name="_Toc17610"/>
      <w:bookmarkStart w:id="444" w:name="_Toc990"/>
      <w:bookmarkStart w:id="445" w:name="_Toc15096"/>
      <w:bookmarkStart w:id="446" w:name="_Toc22540"/>
      <w:r>
        <w:rPr>
          <w:rFonts w:hint="eastAsia" w:ascii="宋体" w:hAnsi="宋体"/>
          <w:b w:val="0"/>
          <w:bCs w:val="0"/>
          <w:color w:val="auto"/>
        </w:rPr>
        <w:t>第一节 质疑函（格式）</w:t>
      </w:r>
      <w:bookmarkEnd w:id="437"/>
      <w:bookmarkEnd w:id="438"/>
      <w:bookmarkEnd w:id="439"/>
      <w:bookmarkEnd w:id="440"/>
      <w:bookmarkEnd w:id="441"/>
      <w:bookmarkEnd w:id="442"/>
      <w:bookmarkEnd w:id="443"/>
      <w:bookmarkEnd w:id="444"/>
      <w:bookmarkEnd w:id="445"/>
      <w:bookmarkEnd w:id="446"/>
    </w:p>
    <w:p>
      <w:pPr>
        <w:jc w:val="center"/>
        <w:rPr>
          <w:rFonts w:ascii="黑体" w:hAnsi="黑体" w:eastAsia="黑体" w:cs="仿宋"/>
          <w:bCs/>
          <w:color w:val="auto"/>
          <w:sz w:val="32"/>
          <w:szCs w:val="32"/>
        </w:rPr>
      </w:pPr>
      <w:r>
        <w:rPr>
          <w:rFonts w:hint="eastAsia" w:ascii="仿宋" w:hAnsi="仿宋" w:eastAsia="仿宋" w:cs="仿宋"/>
          <w:b/>
          <w:bCs/>
          <w:color w:val="auto"/>
          <w:sz w:val="32"/>
          <w:szCs w:val="32"/>
        </w:rPr>
        <w:t>质疑函</w:t>
      </w:r>
    </w:p>
    <w:p>
      <w:pPr>
        <w:adjustRightInd w:val="0"/>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adjustRightInd w:val="0"/>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bookmarkStart w:id="447" w:name="PO_3000001867_PM026_5"/>
      <w:r>
        <w:rPr>
          <w:rFonts w:hint="eastAsia" w:ascii="宋体" w:hAnsi="宋体" w:cs="宋体"/>
          <w:color w:val="auto"/>
          <w:sz w:val="24"/>
          <w:u w:val="dotted"/>
        </w:rPr>
        <w:t xml:space="preserve">                        </w:t>
      </w:r>
      <w:bookmarkEnd w:id="447"/>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质疑事项：</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□采购文件   采购文件获取日期：</w:t>
      </w:r>
      <w:r>
        <w:rPr>
          <w:rFonts w:hint="eastAsia" w:ascii="宋体" w:hAnsi="宋体" w:cs="宋体"/>
          <w:color w:val="auto"/>
          <w:sz w:val="24"/>
          <w:u w:val="dotted"/>
        </w:rPr>
        <w:t xml:space="preserve">                         </w:t>
      </w:r>
      <w:r>
        <w:rPr>
          <w:rFonts w:hint="eastAsia" w:ascii="宋体" w:hAnsi="宋体" w:cs="宋体"/>
          <w:color w:val="auto"/>
          <w:sz w:val="24"/>
          <w:lang w:val="zh-CN"/>
        </w:rPr>
        <w:t xml:space="preserve">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 xml:space="preserve">□采购过程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 xml:space="preserve">□中标结果   </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adjustRightInd w:val="0"/>
        <w:snapToGrid w:val="0"/>
        <w:spacing w:line="360" w:lineRule="auto"/>
        <w:rPr>
          <w:rFonts w:ascii="宋体" w:hAnsi="宋体" w:cs="宋体"/>
          <w:color w:val="auto"/>
          <w:sz w:val="24"/>
        </w:rPr>
      </w:pPr>
      <w:r>
        <w:rPr>
          <w:rFonts w:hint="eastAsia" w:ascii="宋体" w:hAnsi="宋体" w:cs="宋体"/>
          <w:color w:val="auto"/>
          <w:sz w:val="24"/>
        </w:rPr>
        <w:t>……</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r>
        <w:rPr>
          <w:rFonts w:hint="eastAsia" w:ascii="宋体" w:hAnsi="宋体" w:cs="宋体"/>
          <w:b/>
          <w:color w:val="auto"/>
          <w:sz w:val="24"/>
        </w:rPr>
        <w:t xml:space="preserve">    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ascii="宋体" w:hAnsi="宋体" w:cs="宋体"/>
          <w:color w:val="auto"/>
          <w:sz w:val="24"/>
        </w:rPr>
      </w:pPr>
    </w:p>
    <w:p>
      <w:pPr>
        <w:widowControl/>
        <w:spacing w:line="360" w:lineRule="auto"/>
        <w:jc w:val="left"/>
        <w:rPr>
          <w:rFonts w:ascii="宋体" w:hAnsi="宋体" w:cs="宋体"/>
          <w:color w:val="auto"/>
          <w:kern w:val="0"/>
          <w:sz w:val="24"/>
        </w:rPr>
        <w:sectPr>
          <w:pgSz w:w="11905" w:h="16838"/>
          <w:pgMar w:top="1134" w:right="1134" w:bottom="1134" w:left="1134" w:header="850" w:footer="850" w:gutter="0"/>
          <w:pgNumType w:fmt="decimal"/>
          <w:cols w:space="0" w:num="1"/>
          <w:titlePg/>
          <w:docGrid w:linePitch="331" w:charSpace="0"/>
        </w:sectPr>
      </w:pPr>
    </w:p>
    <w:p>
      <w:pPr>
        <w:pStyle w:val="4"/>
        <w:jc w:val="center"/>
        <w:rPr>
          <w:rFonts w:ascii="宋体" w:hAnsi="宋体"/>
          <w:b w:val="0"/>
          <w:bCs w:val="0"/>
          <w:color w:val="auto"/>
        </w:rPr>
      </w:pPr>
      <w:bookmarkStart w:id="448" w:name="_Toc24568"/>
      <w:bookmarkStart w:id="449" w:name="_Toc7549"/>
      <w:bookmarkStart w:id="450" w:name="_Toc11984"/>
      <w:bookmarkStart w:id="451" w:name="_Toc24894"/>
      <w:bookmarkStart w:id="452" w:name="_Toc32540"/>
      <w:bookmarkStart w:id="453" w:name="_Toc31203"/>
      <w:bookmarkStart w:id="454" w:name="_Toc6551"/>
      <w:bookmarkStart w:id="455" w:name="_Toc11428"/>
      <w:bookmarkStart w:id="456" w:name="_Toc1896"/>
      <w:bookmarkStart w:id="457" w:name="_Toc8862"/>
      <w:r>
        <w:rPr>
          <w:rFonts w:hint="eastAsia" w:ascii="宋体" w:hAnsi="宋体"/>
          <w:b w:val="0"/>
          <w:bCs w:val="0"/>
          <w:color w:val="auto"/>
        </w:rPr>
        <w:t>第二节 投诉书（格式）</w:t>
      </w:r>
      <w:bookmarkEnd w:id="448"/>
      <w:bookmarkEnd w:id="449"/>
      <w:bookmarkEnd w:id="450"/>
      <w:bookmarkEnd w:id="451"/>
      <w:bookmarkEnd w:id="452"/>
      <w:bookmarkEnd w:id="453"/>
      <w:bookmarkEnd w:id="454"/>
      <w:bookmarkEnd w:id="455"/>
      <w:bookmarkEnd w:id="456"/>
      <w:bookmarkEnd w:id="457"/>
    </w:p>
    <w:p>
      <w:pPr>
        <w:jc w:val="center"/>
        <w:rPr>
          <w:rFonts w:ascii="宋体" w:hAnsi="宋体"/>
          <w:b/>
          <w:color w:val="auto"/>
          <w:sz w:val="44"/>
          <w:szCs w:val="44"/>
        </w:rPr>
      </w:pPr>
      <w:r>
        <w:rPr>
          <w:rFonts w:hint="eastAsia" w:ascii="宋体" w:hAnsi="宋体"/>
          <w:b/>
          <w:color w:val="auto"/>
          <w:sz w:val="32"/>
          <w:szCs w:val="32"/>
        </w:rPr>
        <w:t>投诉书</w:t>
      </w:r>
    </w:p>
    <w:p>
      <w:pPr>
        <w:rPr>
          <w:rFonts w:ascii="黑体" w:hAnsi="黑体" w:eastAsia="黑体"/>
          <w:color w:val="auto"/>
          <w:sz w:val="32"/>
          <w:szCs w:val="32"/>
        </w:rPr>
      </w:pPr>
    </w:p>
    <w:p>
      <w:pPr>
        <w:spacing w:line="360" w:lineRule="auto"/>
        <w:rPr>
          <w:rFonts w:ascii="宋体" w:hAnsi="宋体" w:cs="宋体"/>
          <w:color w:val="auto"/>
          <w:sz w:val="24"/>
        </w:rPr>
      </w:pPr>
      <w:r>
        <w:rPr>
          <w:rFonts w:hint="eastAsia" w:ascii="宋体" w:hAnsi="宋体" w:cs="宋体"/>
          <w:color w:val="auto"/>
          <w:sz w:val="24"/>
        </w:rPr>
        <w:t>一、投诉相关主体基本情况</w:t>
      </w:r>
    </w:p>
    <w:p>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p>
    <w:p>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被投诉人2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二、投诉项目基本情况</w:t>
      </w:r>
    </w:p>
    <w:p>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bookmarkStart w:id="458" w:name="PO_3000001867_PM002_12"/>
      <w:r>
        <w:rPr>
          <w:rFonts w:hint="eastAsia" w:ascii="宋体" w:hAnsi="宋体" w:cs="宋体"/>
          <w:color w:val="auto"/>
          <w:sz w:val="24"/>
          <w:u w:val="dotted"/>
        </w:rPr>
        <w:t xml:space="preserve">                    </w:t>
      </w:r>
      <w:bookmarkEnd w:id="458"/>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bookmarkStart w:id="459" w:name="PO_3000001867_PM001_9"/>
      <w:r>
        <w:rPr>
          <w:rFonts w:hint="eastAsia" w:ascii="宋体" w:hAnsi="宋体" w:cs="宋体"/>
          <w:color w:val="auto"/>
          <w:sz w:val="24"/>
          <w:u w:val="dotted"/>
        </w:rPr>
        <w:t xml:space="preserve">                    </w:t>
      </w:r>
      <w:bookmarkEnd w:id="459"/>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bookmarkStart w:id="460" w:name="PO_3000001867_PM026_6"/>
      <w:r>
        <w:rPr>
          <w:rFonts w:hint="eastAsia" w:ascii="宋体" w:hAnsi="宋体" w:cs="宋体"/>
          <w:color w:val="auto"/>
          <w:sz w:val="24"/>
          <w:u w:val="dotted"/>
        </w:rPr>
        <w:t xml:space="preserve">                    </w:t>
      </w:r>
      <w:bookmarkEnd w:id="460"/>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三、质疑基本情况</w:t>
      </w:r>
    </w:p>
    <w:p>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采购人/采购代理机构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pPr>
        <w:spacing w:line="360" w:lineRule="auto"/>
        <w:rPr>
          <w:rFonts w:ascii="宋体" w:hAnsi="宋体" w:cs="宋体"/>
          <w:color w:val="auto"/>
          <w:sz w:val="24"/>
        </w:rPr>
      </w:pPr>
      <w:r>
        <w:rPr>
          <w:rFonts w:hint="eastAsia" w:ascii="宋体" w:hAnsi="宋体" w:cs="宋体"/>
          <w:color w:val="auto"/>
          <w:sz w:val="24"/>
        </w:rPr>
        <w:t>四、投诉事项具体内容</w:t>
      </w:r>
    </w:p>
    <w:p>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投诉事项2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五、与投诉事项相关的投诉请求</w:t>
      </w:r>
    </w:p>
    <w:p>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投诉书制作说明：</w:t>
      </w:r>
    </w:p>
    <w:p>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pPr>
        <w:rPr>
          <w:color w:val="auto"/>
        </w:rPr>
      </w:pPr>
    </w:p>
    <w:sectPr>
      <w:footerReference r:id="rId12" w:type="first"/>
      <w:headerReference r:id="rId9" w:type="default"/>
      <w:footerReference r:id="rId10" w:type="default"/>
      <w:footerReference r:id="rId11" w:type="even"/>
      <w:pgSz w:w="11905" w:h="16838"/>
      <w:pgMar w:top="1134" w:right="1134" w:bottom="1134" w:left="1134" w:header="850" w:footer="850" w:gutter="0"/>
      <w:pgNumType w:fmt="decimal"/>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81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p>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96</w:t>
                    </w:r>
                    <w:r>
                      <w:fldChar w:fldCharType="end"/>
                    </w:r>
                  </w:p>
                </w:txbxContent>
              </v:textbox>
            </v:shape>
          </w:pict>
        </mc:Fallback>
      </mc:AlternateContent>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2"/>
      </w:rPr>
    </w:pPr>
    <w:r>
      <w:fldChar w:fldCharType="begin"/>
    </w:r>
    <w:r>
      <w:rPr>
        <w:rStyle w:val="32"/>
      </w:rPr>
      <w:instrText xml:space="preserve">PAGE  </w:instrText>
    </w:r>
    <w:r>
      <w:fldChar w:fldCharType="end"/>
    </w:r>
  </w:p>
  <w:p>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97C9F"/>
    <w:multiLevelType w:val="singleLevel"/>
    <w:tmpl w:val="9DE97C9F"/>
    <w:lvl w:ilvl="0" w:tentative="0">
      <w:start w:val="1"/>
      <w:numFmt w:val="decimal"/>
      <w:lvlText w:val="(%1)"/>
      <w:lvlJc w:val="left"/>
      <w:pPr>
        <w:ind w:left="425" w:hanging="425"/>
      </w:pPr>
      <w:rPr>
        <w:rFonts w:hint="default"/>
      </w:rPr>
    </w:lvl>
  </w:abstractNum>
  <w:abstractNum w:abstractNumId="1">
    <w:nsid w:val="D86D3A78"/>
    <w:multiLevelType w:val="singleLevel"/>
    <w:tmpl w:val="D86D3A78"/>
    <w:lvl w:ilvl="0" w:tentative="0">
      <w:start w:val="1"/>
      <w:numFmt w:val="decimal"/>
      <w:lvlText w:val="%1)"/>
      <w:lvlJc w:val="left"/>
      <w:pPr>
        <w:tabs>
          <w:tab w:val="left" w:pos="170"/>
        </w:tabs>
        <w:ind w:left="0" w:firstLine="0"/>
      </w:pPr>
      <w:rPr>
        <w:rFonts w:hint="default"/>
      </w:rPr>
    </w:lvl>
  </w:abstractNum>
  <w:abstractNum w:abstractNumId="2">
    <w:nsid w:val="E51C19A0"/>
    <w:multiLevelType w:val="singleLevel"/>
    <w:tmpl w:val="E51C19A0"/>
    <w:lvl w:ilvl="0" w:tentative="0">
      <w:start w:val="1"/>
      <w:numFmt w:val="decimal"/>
      <w:lvlText w:val="(%1)"/>
      <w:lvlJc w:val="left"/>
      <w:pPr>
        <w:ind w:left="425" w:hanging="425"/>
      </w:pPr>
      <w:rPr>
        <w:rFonts w:hint="default"/>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FBFBA1B"/>
    <w:multiLevelType w:val="singleLevel"/>
    <w:tmpl w:val="0FBFBA1B"/>
    <w:lvl w:ilvl="0" w:tentative="0">
      <w:start w:val="1"/>
      <w:numFmt w:val="decimal"/>
      <w:lvlText w:val="%1)"/>
      <w:lvlJc w:val="left"/>
      <w:pPr>
        <w:tabs>
          <w:tab w:val="left" w:pos="397"/>
        </w:tabs>
        <w:ind w:left="113" w:hanging="113"/>
      </w:pPr>
      <w:rPr>
        <w:rFonts w:hint="default"/>
      </w:rPr>
    </w:lvl>
  </w:abstractNum>
  <w:abstractNum w:abstractNumId="5">
    <w:nsid w:val="1B2D05A6"/>
    <w:multiLevelType w:val="singleLevel"/>
    <w:tmpl w:val="1B2D05A6"/>
    <w:lvl w:ilvl="0" w:tentative="0">
      <w:start w:val="1"/>
      <w:numFmt w:val="decimal"/>
      <w:lvlText w:val="(%1)"/>
      <w:lvlJc w:val="left"/>
      <w:pPr>
        <w:tabs>
          <w:tab w:val="left" w:pos="397"/>
        </w:tabs>
        <w:ind w:left="113" w:hanging="113"/>
      </w:pPr>
      <w:rPr>
        <w:rFonts w:hint="default"/>
      </w:rPr>
    </w:lvl>
  </w:abstractNum>
  <w:abstractNum w:abstractNumId="6">
    <w:nsid w:val="348E8DD0"/>
    <w:multiLevelType w:val="singleLevel"/>
    <w:tmpl w:val="348E8DD0"/>
    <w:lvl w:ilvl="0" w:tentative="0">
      <w:start w:val="2"/>
      <w:numFmt w:val="decimal"/>
      <w:suff w:val="space"/>
      <w:lvlText w:val="%1."/>
      <w:lvlJc w:val="left"/>
    </w:lvl>
  </w:abstractNum>
  <w:abstractNum w:abstractNumId="7">
    <w:nsid w:val="51536378"/>
    <w:multiLevelType w:val="singleLevel"/>
    <w:tmpl w:val="51536378"/>
    <w:lvl w:ilvl="0" w:tentative="0">
      <w:start w:val="1"/>
      <w:numFmt w:val="decimal"/>
      <w:suff w:val="nothing"/>
      <w:lvlText w:val="（%1）"/>
      <w:lvlJc w:val="left"/>
      <w:pPr>
        <w:ind w:left="0" w:firstLine="0"/>
      </w:pPr>
    </w:lvl>
  </w:abstractNum>
  <w:abstractNum w:abstractNumId="8">
    <w:nsid w:val="551E5C23"/>
    <w:multiLevelType w:val="singleLevel"/>
    <w:tmpl w:val="551E5C23"/>
    <w:lvl w:ilvl="0" w:tentative="0">
      <w:start w:val="2"/>
      <w:numFmt w:val="decimal"/>
      <w:lvlText w:val="%1."/>
      <w:lvlJc w:val="left"/>
      <w:pPr>
        <w:tabs>
          <w:tab w:val="left" w:pos="312"/>
        </w:tabs>
      </w:pPr>
    </w:lvl>
  </w:abstractNum>
  <w:abstractNum w:abstractNumId="9">
    <w:nsid w:val="70979100"/>
    <w:multiLevelType w:val="singleLevel"/>
    <w:tmpl w:val="70979100"/>
    <w:lvl w:ilvl="0" w:tentative="0">
      <w:start w:val="1"/>
      <w:numFmt w:val="decimal"/>
      <w:suff w:val="nothing"/>
      <w:lvlText w:val="%1、"/>
      <w:lvlJc w:val="left"/>
      <w:rPr>
        <w:rFonts w:hint="default"/>
        <w:b w:val="0"/>
        <w:bCs w:val="0"/>
      </w:rPr>
    </w:lvl>
  </w:abstractNum>
  <w:num w:numId="1">
    <w:abstractNumId w:val="0"/>
  </w:num>
  <w:num w:numId="2">
    <w:abstractNumId w:val="5"/>
  </w:num>
  <w:num w:numId="3">
    <w:abstractNumId w:val="4"/>
  </w:num>
  <w:num w:numId="4">
    <w:abstractNumId w:val="1"/>
  </w:num>
  <w:num w:numId="5">
    <w:abstractNumId w:val="2"/>
  </w:num>
  <w:num w:numId="6">
    <w:abstractNumId w:val="8"/>
  </w:num>
  <w:num w:numId="7">
    <w:abstractNumId w:val="9"/>
  </w:num>
  <w:num w:numId="8">
    <w:abstractNumId w:val="7"/>
    <w:lvlOverride w:ilvl="0">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164BA1"/>
    <w:rsid w:val="000369F7"/>
    <w:rsid w:val="000B1D49"/>
    <w:rsid w:val="00164BA1"/>
    <w:rsid w:val="00180237"/>
    <w:rsid w:val="001E677F"/>
    <w:rsid w:val="0020130E"/>
    <w:rsid w:val="00293C88"/>
    <w:rsid w:val="002A2938"/>
    <w:rsid w:val="0035459E"/>
    <w:rsid w:val="004249B5"/>
    <w:rsid w:val="00444063"/>
    <w:rsid w:val="004C6228"/>
    <w:rsid w:val="004F51C1"/>
    <w:rsid w:val="00635696"/>
    <w:rsid w:val="00736B0F"/>
    <w:rsid w:val="00755E31"/>
    <w:rsid w:val="007D403C"/>
    <w:rsid w:val="007F2D87"/>
    <w:rsid w:val="00833B63"/>
    <w:rsid w:val="00857D0E"/>
    <w:rsid w:val="00975AC9"/>
    <w:rsid w:val="00AF5592"/>
    <w:rsid w:val="00C3415B"/>
    <w:rsid w:val="00C621D0"/>
    <w:rsid w:val="00D04132"/>
    <w:rsid w:val="00D2357C"/>
    <w:rsid w:val="00D26508"/>
    <w:rsid w:val="00D4709F"/>
    <w:rsid w:val="00D47C35"/>
    <w:rsid w:val="00D95B39"/>
    <w:rsid w:val="00DA50FE"/>
    <w:rsid w:val="00DB6B5A"/>
    <w:rsid w:val="00E6336D"/>
    <w:rsid w:val="00E75691"/>
    <w:rsid w:val="00E84BD1"/>
    <w:rsid w:val="00EF3CFB"/>
    <w:rsid w:val="00F12756"/>
    <w:rsid w:val="00F218BF"/>
    <w:rsid w:val="00F5270B"/>
    <w:rsid w:val="00FE4C9B"/>
    <w:rsid w:val="01095920"/>
    <w:rsid w:val="011B02F9"/>
    <w:rsid w:val="012A54D2"/>
    <w:rsid w:val="014275A5"/>
    <w:rsid w:val="014E69AF"/>
    <w:rsid w:val="01A72EEF"/>
    <w:rsid w:val="01B035E9"/>
    <w:rsid w:val="01BE6222"/>
    <w:rsid w:val="01C73E98"/>
    <w:rsid w:val="01C92250"/>
    <w:rsid w:val="02055082"/>
    <w:rsid w:val="02453C6A"/>
    <w:rsid w:val="02854E23"/>
    <w:rsid w:val="02911C72"/>
    <w:rsid w:val="02974B2C"/>
    <w:rsid w:val="02CC6E30"/>
    <w:rsid w:val="02D92142"/>
    <w:rsid w:val="030E449C"/>
    <w:rsid w:val="03323B4D"/>
    <w:rsid w:val="034254F4"/>
    <w:rsid w:val="035C3D6F"/>
    <w:rsid w:val="036A4118"/>
    <w:rsid w:val="03743145"/>
    <w:rsid w:val="037B5A38"/>
    <w:rsid w:val="038207AB"/>
    <w:rsid w:val="038F07B3"/>
    <w:rsid w:val="04054EA8"/>
    <w:rsid w:val="041C7FB9"/>
    <w:rsid w:val="047475DC"/>
    <w:rsid w:val="04975296"/>
    <w:rsid w:val="049A7C20"/>
    <w:rsid w:val="04A57753"/>
    <w:rsid w:val="04C31FAE"/>
    <w:rsid w:val="04DE2DEE"/>
    <w:rsid w:val="04E34912"/>
    <w:rsid w:val="05146224"/>
    <w:rsid w:val="054579FD"/>
    <w:rsid w:val="054D6CFB"/>
    <w:rsid w:val="054F5D32"/>
    <w:rsid w:val="05672A3F"/>
    <w:rsid w:val="056D44BF"/>
    <w:rsid w:val="056F36A2"/>
    <w:rsid w:val="05A71B3F"/>
    <w:rsid w:val="05BE24D8"/>
    <w:rsid w:val="05C537BE"/>
    <w:rsid w:val="05EC04F9"/>
    <w:rsid w:val="05F34893"/>
    <w:rsid w:val="060A5367"/>
    <w:rsid w:val="060A69CE"/>
    <w:rsid w:val="061760BE"/>
    <w:rsid w:val="066F5DC3"/>
    <w:rsid w:val="0676474C"/>
    <w:rsid w:val="068C4871"/>
    <w:rsid w:val="069602FF"/>
    <w:rsid w:val="069F41D9"/>
    <w:rsid w:val="06F62551"/>
    <w:rsid w:val="072D0157"/>
    <w:rsid w:val="073261C9"/>
    <w:rsid w:val="074D3623"/>
    <w:rsid w:val="075D020D"/>
    <w:rsid w:val="07621280"/>
    <w:rsid w:val="0790327A"/>
    <w:rsid w:val="079407FE"/>
    <w:rsid w:val="07A428E3"/>
    <w:rsid w:val="07CB185D"/>
    <w:rsid w:val="07DA4E9C"/>
    <w:rsid w:val="08093A71"/>
    <w:rsid w:val="084823CB"/>
    <w:rsid w:val="08A76D34"/>
    <w:rsid w:val="08F00221"/>
    <w:rsid w:val="08FB6F31"/>
    <w:rsid w:val="094E18E8"/>
    <w:rsid w:val="09572877"/>
    <w:rsid w:val="097C1490"/>
    <w:rsid w:val="09AB0983"/>
    <w:rsid w:val="09C573BF"/>
    <w:rsid w:val="09CE1116"/>
    <w:rsid w:val="09E076C7"/>
    <w:rsid w:val="0A1E7575"/>
    <w:rsid w:val="0A2013A9"/>
    <w:rsid w:val="0A435CEB"/>
    <w:rsid w:val="0A564057"/>
    <w:rsid w:val="0A725CDD"/>
    <w:rsid w:val="0A765A8A"/>
    <w:rsid w:val="0A813285"/>
    <w:rsid w:val="0AA809C6"/>
    <w:rsid w:val="0ACE705D"/>
    <w:rsid w:val="0AD3705F"/>
    <w:rsid w:val="0AF837E4"/>
    <w:rsid w:val="0B05035F"/>
    <w:rsid w:val="0B2B22F5"/>
    <w:rsid w:val="0B5140BC"/>
    <w:rsid w:val="0B615CFF"/>
    <w:rsid w:val="0B831A63"/>
    <w:rsid w:val="0B8459EF"/>
    <w:rsid w:val="0B8C6DD9"/>
    <w:rsid w:val="0B8F7AB0"/>
    <w:rsid w:val="0BA95626"/>
    <w:rsid w:val="0BC23C9A"/>
    <w:rsid w:val="0C01007F"/>
    <w:rsid w:val="0C463AE2"/>
    <w:rsid w:val="0C8E6EF7"/>
    <w:rsid w:val="0CBC6B1F"/>
    <w:rsid w:val="0CDC043F"/>
    <w:rsid w:val="0CFD3393"/>
    <w:rsid w:val="0D543F47"/>
    <w:rsid w:val="0D9269B0"/>
    <w:rsid w:val="0D992AED"/>
    <w:rsid w:val="0DD60FC9"/>
    <w:rsid w:val="0E0F21BC"/>
    <w:rsid w:val="0E1770D6"/>
    <w:rsid w:val="0E2431A5"/>
    <w:rsid w:val="0E2B18D5"/>
    <w:rsid w:val="0E2E4EF5"/>
    <w:rsid w:val="0E3218E4"/>
    <w:rsid w:val="0E73260E"/>
    <w:rsid w:val="0EA91BC1"/>
    <w:rsid w:val="0EB75472"/>
    <w:rsid w:val="0EED26D5"/>
    <w:rsid w:val="0EEF6AAD"/>
    <w:rsid w:val="0EFB7D6B"/>
    <w:rsid w:val="0F035F56"/>
    <w:rsid w:val="0F17197D"/>
    <w:rsid w:val="0F3410B2"/>
    <w:rsid w:val="0F524821"/>
    <w:rsid w:val="0F6B1F01"/>
    <w:rsid w:val="0FB74DC9"/>
    <w:rsid w:val="101A621B"/>
    <w:rsid w:val="102F0E28"/>
    <w:rsid w:val="10390118"/>
    <w:rsid w:val="103E06B7"/>
    <w:rsid w:val="10A25EDA"/>
    <w:rsid w:val="10CE5A69"/>
    <w:rsid w:val="10D4339F"/>
    <w:rsid w:val="1101210E"/>
    <w:rsid w:val="1132330B"/>
    <w:rsid w:val="11652FD6"/>
    <w:rsid w:val="118C5F1A"/>
    <w:rsid w:val="11956B08"/>
    <w:rsid w:val="11B91ADF"/>
    <w:rsid w:val="11CB73C7"/>
    <w:rsid w:val="11D843F8"/>
    <w:rsid w:val="11F56084"/>
    <w:rsid w:val="120D6C92"/>
    <w:rsid w:val="123266CD"/>
    <w:rsid w:val="12DE2AB6"/>
    <w:rsid w:val="12E271C4"/>
    <w:rsid w:val="12E63C04"/>
    <w:rsid w:val="13004370"/>
    <w:rsid w:val="136D7F95"/>
    <w:rsid w:val="13C361C8"/>
    <w:rsid w:val="13D773DA"/>
    <w:rsid w:val="144E3925"/>
    <w:rsid w:val="14523C8E"/>
    <w:rsid w:val="146B5CC0"/>
    <w:rsid w:val="14814229"/>
    <w:rsid w:val="1485642A"/>
    <w:rsid w:val="148C55F5"/>
    <w:rsid w:val="1493579A"/>
    <w:rsid w:val="14A02656"/>
    <w:rsid w:val="14EB2070"/>
    <w:rsid w:val="14EF2214"/>
    <w:rsid w:val="1501270F"/>
    <w:rsid w:val="15075DA0"/>
    <w:rsid w:val="15112FB3"/>
    <w:rsid w:val="1517629B"/>
    <w:rsid w:val="15A71FCF"/>
    <w:rsid w:val="15CE73E7"/>
    <w:rsid w:val="15DA6861"/>
    <w:rsid w:val="15E1792B"/>
    <w:rsid w:val="15F7039E"/>
    <w:rsid w:val="16521360"/>
    <w:rsid w:val="166B7587"/>
    <w:rsid w:val="16860912"/>
    <w:rsid w:val="169D6CED"/>
    <w:rsid w:val="16CC463A"/>
    <w:rsid w:val="16E32E61"/>
    <w:rsid w:val="16EF4BA0"/>
    <w:rsid w:val="16F21412"/>
    <w:rsid w:val="17135632"/>
    <w:rsid w:val="172A6452"/>
    <w:rsid w:val="17526FA4"/>
    <w:rsid w:val="178A5D34"/>
    <w:rsid w:val="1795379C"/>
    <w:rsid w:val="17B8732B"/>
    <w:rsid w:val="18063809"/>
    <w:rsid w:val="18817186"/>
    <w:rsid w:val="18A53C2D"/>
    <w:rsid w:val="18AB2176"/>
    <w:rsid w:val="18D314AE"/>
    <w:rsid w:val="18E66AB2"/>
    <w:rsid w:val="19097C61"/>
    <w:rsid w:val="19155678"/>
    <w:rsid w:val="194F7902"/>
    <w:rsid w:val="199E386A"/>
    <w:rsid w:val="19B81747"/>
    <w:rsid w:val="19DC1C4E"/>
    <w:rsid w:val="19F837F1"/>
    <w:rsid w:val="19FF33EE"/>
    <w:rsid w:val="1A224809"/>
    <w:rsid w:val="1A70567B"/>
    <w:rsid w:val="1A774458"/>
    <w:rsid w:val="1A846A93"/>
    <w:rsid w:val="1AA22304"/>
    <w:rsid w:val="1ABD34B5"/>
    <w:rsid w:val="1B1A3D35"/>
    <w:rsid w:val="1B8B4540"/>
    <w:rsid w:val="1B980981"/>
    <w:rsid w:val="1BC83144"/>
    <w:rsid w:val="1C3A68BF"/>
    <w:rsid w:val="1C444485"/>
    <w:rsid w:val="1C9E7D2D"/>
    <w:rsid w:val="1CA43733"/>
    <w:rsid w:val="1CCA5C25"/>
    <w:rsid w:val="1CFA28C1"/>
    <w:rsid w:val="1CFA3EBE"/>
    <w:rsid w:val="1D556DBC"/>
    <w:rsid w:val="1DF1639C"/>
    <w:rsid w:val="1DF22305"/>
    <w:rsid w:val="1E013794"/>
    <w:rsid w:val="1E037DAC"/>
    <w:rsid w:val="1E203520"/>
    <w:rsid w:val="1E55723C"/>
    <w:rsid w:val="1E751111"/>
    <w:rsid w:val="1EA4279A"/>
    <w:rsid w:val="1EA700B7"/>
    <w:rsid w:val="1F152A17"/>
    <w:rsid w:val="1F4E3E9E"/>
    <w:rsid w:val="1F5D0DC6"/>
    <w:rsid w:val="1F6210D9"/>
    <w:rsid w:val="1F640C4B"/>
    <w:rsid w:val="1F6D140A"/>
    <w:rsid w:val="1F7C3BBA"/>
    <w:rsid w:val="1FB61CD6"/>
    <w:rsid w:val="1FC2394D"/>
    <w:rsid w:val="1FCF2A25"/>
    <w:rsid w:val="1FE758DF"/>
    <w:rsid w:val="202A5D19"/>
    <w:rsid w:val="208D2FA3"/>
    <w:rsid w:val="209058E0"/>
    <w:rsid w:val="20910DC7"/>
    <w:rsid w:val="209640CD"/>
    <w:rsid w:val="20967EE2"/>
    <w:rsid w:val="20D3473E"/>
    <w:rsid w:val="20DD79A8"/>
    <w:rsid w:val="20E233A0"/>
    <w:rsid w:val="21170006"/>
    <w:rsid w:val="213D7796"/>
    <w:rsid w:val="215E6B36"/>
    <w:rsid w:val="21660D84"/>
    <w:rsid w:val="217D1569"/>
    <w:rsid w:val="21AB6CB3"/>
    <w:rsid w:val="21DA28C2"/>
    <w:rsid w:val="21E92535"/>
    <w:rsid w:val="21EA67DF"/>
    <w:rsid w:val="22470CC1"/>
    <w:rsid w:val="22494C50"/>
    <w:rsid w:val="22551944"/>
    <w:rsid w:val="225718E5"/>
    <w:rsid w:val="2279283A"/>
    <w:rsid w:val="227A5108"/>
    <w:rsid w:val="22AB5DF9"/>
    <w:rsid w:val="22C87A6E"/>
    <w:rsid w:val="22CE4F93"/>
    <w:rsid w:val="22DA3051"/>
    <w:rsid w:val="22DC4C58"/>
    <w:rsid w:val="23236BC0"/>
    <w:rsid w:val="233B1173"/>
    <w:rsid w:val="237F36A3"/>
    <w:rsid w:val="23AD68F9"/>
    <w:rsid w:val="23C31EAF"/>
    <w:rsid w:val="23C46C9C"/>
    <w:rsid w:val="23CD5BEA"/>
    <w:rsid w:val="23D46646"/>
    <w:rsid w:val="23E16DB3"/>
    <w:rsid w:val="23EF07BD"/>
    <w:rsid w:val="240B21ED"/>
    <w:rsid w:val="242D3833"/>
    <w:rsid w:val="24401855"/>
    <w:rsid w:val="24816B05"/>
    <w:rsid w:val="24941690"/>
    <w:rsid w:val="24AC1DCD"/>
    <w:rsid w:val="24CF590E"/>
    <w:rsid w:val="24FD473D"/>
    <w:rsid w:val="25581FF1"/>
    <w:rsid w:val="25665875"/>
    <w:rsid w:val="256C491B"/>
    <w:rsid w:val="258F5A73"/>
    <w:rsid w:val="25E2566C"/>
    <w:rsid w:val="26024071"/>
    <w:rsid w:val="262E2D3E"/>
    <w:rsid w:val="267E48E8"/>
    <w:rsid w:val="26A742E8"/>
    <w:rsid w:val="26CF1553"/>
    <w:rsid w:val="26DA0542"/>
    <w:rsid w:val="27272325"/>
    <w:rsid w:val="273259A9"/>
    <w:rsid w:val="27380A7A"/>
    <w:rsid w:val="27503865"/>
    <w:rsid w:val="275A5F00"/>
    <w:rsid w:val="276258F6"/>
    <w:rsid w:val="279A2560"/>
    <w:rsid w:val="27DA7DAA"/>
    <w:rsid w:val="27F23143"/>
    <w:rsid w:val="28063E8E"/>
    <w:rsid w:val="281B03BA"/>
    <w:rsid w:val="28790670"/>
    <w:rsid w:val="288336E7"/>
    <w:rsid w:val="29095C9F"/>
    <w:rsid w:val="291B1976"/>
    <w:rsid w:val="292145DB"/>
    <w:rsid w:val="292D12B6"/>
    <w:rsid w:val="29AB0C3B"/>
    <w:rsid w:val="29BB4910"/>
    <w:rsid w:val="29DB234D"/>
    <w:rsid w:val="29DD3939"/>
    <w:rsid w:val="2A1944B8"/>
    <w:rsid w:val="2A1F36F3"/>
    <w:rsid w:val="2A636FF6"/>
    <w:rsid w:val="2B1F3AA6"/>
    <w:rsid w:val="2B3B1E66"/>
    <w:rsid w:val="2B770163"/>
    <w:rsid w:val="2B960D99"/>
    <w:rsid w:val="2B9E3F4D"/>
    <w:rsid w:val="2B9E7E17"/>
    <w:rsid w:val="2BCB247B"/>
    <w:rsid w:val="2BDE6609"/>
    <w:rsid w:val="2C7D12B4"/>
    <w:rsid w:val="2CC143D0"/>
    <w:rsid w:val="2CCA7EB6"/>
    <w:rsid w:val="2CED73A5"/>
    <w:rsid w:val="2CF72413"/>
    <w:rsid w:val="2D3347E7"/>
    <w:rsid w:val="2D4F38E3"/>
    <w:rsid w:val="2D6045A9"/>
    <w:rsid w:val="2D9617F6"/>
    <w:rsid w:val="2D9B2A40"/>
    <w:rsid w:val="2DBE7E6A"/>
    <w:rsid w:val="2DCB0FE4"/>
    <w:rsid w:val="2DEB6326"/>
    <w:rsid w:val="2DEC5B1F"/>
    <w:rsid w:val="2E21726B"/>
    <w:rsid w:val="2EEE3C08"/>
    <w:rsid w:val="2F423753"/>
    <w:rsid w:val="2F575FD4"/>
    <w:rsid w:val="2F6C5B1C"/>
    <w:rsid w:val="2FB87BD1"/>
    <w:rsid w:val="2FF80F0E"/>
    <w:rsid w:val="304108B1"/>
    <w:rsid w:val="305807BF"/>
    <w:rsid w:val="306B5FE8"/>
    <w:rsid w:val="307E46AF"/>
    <w:rsid w:val="30D81EF7"/>
    <w:rsid w:val="30D93356"/>
    <w:rsid w:val="30DA1DD9"/>
    <w:rsid w:val="3148575B"/>
    <w:rsid w:val="318D2CFD"/>
    <w:rsid w:val="31EF7B28"/>
    <w:rsid w:val="32015993"/>
    <w:rsid w:val="322118FB"/>
    <w:rsid w:val="322476CF"/>
    <w:rsid w:val="322A215C"/>
    <w:rsid w:val="322B55AE"/>
    <w:rsid w:val="32390A38"/>
    <w:rsid w:val="32521B1D"/>
    <w:rsid w:val="325A413C"/>
    <w:rsid w:val="326C65A7"/>
    <w:rsid w:val="326D5167"/>
    <w:rsid w:val="326E6C1E"/>
    <w:rsid w:val="329F5F4A"/>
    <w:rsid w:val="32AD00E0"/>
    <w:rsid w:val="32BB403E"/>
    <w:rsid w:val="32DD681E"/>
    <w:rsid w:val="32E3590E"/>
    <w:rsid w:val="32FC3D25"/>
    <w:rsid w:val="33136037"/>
    <w:rsid w:val="3316675F"/>
    <w:rsid w:val="33800A0F"/>
    <w:rsid w:val="338E424C"/>
    <w:rsid w:val="339B377C"/>
    <w:rsid w:val="33BA74DB"/>
    <w:rsid w:val="33D1368F"/>
    <w:rsid w:val="340A2B6A"/>
    <w:rsid w:val="340B405D"/>
    <w:rsid w:val="345631E3"/>
    <w:rsid w:val="34572A71"/>
    <w:rsid w:val="347100A1"/>
    <w:rsid w:val="34904E1E"/>
    <w:rsid w:val="349D7A9E"/>
    <w:rsid w:val="34BB41E0"/>
    <w:rsid w:val="34BC4B4B"/>
    <w:rsid w:val="34BD1A40"/>
    <w:rsid w:val="3507717E"/>
    <w:rsid w:val="350C2D09"/>
    <w:rsid w:val="3592350F"/>
    <w:rsid w:val="35A67A5F"/>
    <w:rsid w:val="35A70A7E"/>
    <w:rsid w:val="3615435C"/>
    <w:rsid w:val="361C37F0"/>
    <w:rsid w:val="361E362C"/>
    <w:rsid w:val="3635774B"/>
    <w:rsid w:val="3642105E"/>
    <w:rsid w:val="366E1C81"/>
    <w:rsid w:val="366E4460"/>
    <w:rsid w:val="36773E5D"/>
    <w:rsid w:val="36801F8F"/>
    <w:rsid w:val="36AF573D"/>
    <w:rsid w:val="36B2385A"/>
    <w:rsid w:val="36BB169B"/>
    <w:rsid w:val="36CF23CE"/>
    <w:rsid w:val="36D3565B"/>
    <w:rsid w:val="36E0622F"/>
    <w:rsid w:val="36ED3DEE"/>
    <w:rsid w:val="3720584E"/>
    <w:rsid w:val="375D21A8"/>
    <w:rsid w:val="3779039B"/>
    <w:rsid w:val="37D151AC"/>
    <w:rsid w:val="37FB3273"/>
    <w:rsid w:val="383967AA"/>
    <w:rsid w:val="386107CF"/>
    <w:rsid w:val="387F5AF8"/>
    <w:rsid w:val="38912098"/>
    <w:rsid w:val="38E50D89"/>
    <w:rsid w:val="39455184"/>
    <w:rsid w:val="39726B7C"/>
    <w:rsid w:val="39781E59"/>
    <w:rsid w:val="399B6E57"/>
    <w:rsid w:val="39C02F05"/>
    <w:rsid w:val="39EA3076"/>
    <w:rsid w:val="3A2C1123"/>
    <w:rsid w:val="3A395E36"/>
    <w:rsid w:val="3A443C96"/>
    <w:rsid w:val="3A5E70A9"/>
    <w:rsid w:val="3A605AF2"/>
    <w:rsid w:val="3A7127AB"/>
    <w:rsid w:val="3AD1189A"/>
    <w:rsid w:val="3ADE1AAE"/>
    <w:rsid w:val="3B457F98"/>
    <w:rsid w:val="3B6C49BC"/>
    <w:rsid w:val="3B776CDF"/>
    <w:rsid w:val="3BA30382"/>
    <w:rsid w:val="3BA7349C"/>
    <w:rsid w:val="3BAA39EE"/>
    <w:rsid w:val="3BE62C99"/>
    <w:rsid w:val="3C0359A7"/>
    <w:rsid w:val="3C457F4A"/>
    <w:rsid w:val="3C773898"/>
    <w:rsid w:val="3CBB77FE"/>
    <w:rsid w:val="3CEB6000"/>
    <w:rsid w:val="3D786B50"/>
    <w:rsid w:val="3DBD339D"/>
    <w:rsid w:val="3E155F41"/>
    <w:rsid w:val="3E4F3CEB"/>
    <w:rsid w:val="3E8B7A4C"/>
    <w:rsid w:val="3EF54968"/>
    <w:rsid w:val="3EFF7215"/>
    <w:rsid w:val="3F1B0FC1"/>
    <w:rsid w:val="3F246DEE"/>
    <w:rsid w:val="3F320B28"/>
    <w:rsid w:val="3F3300CC"/>
    <w:rsid w:val="3F4A0470"/>
    <w:rsid w:val="3F5512BA"/>
    <w:rsid w:val="3F8656E8"/>
    <w:rsid w:val="3FD602BE"/>
    <w:rsid w:val="400468BA"/>
    <w:rsid w:val="40146B08"/>
    <w:rsid w:val="40D60483"/>
    <w:rsid w:val="40EF446D"/>
    <w:rsid w:val="40FD0A5D"/>
    <w:rsid w:val="41366D43"/>
    <w:rsid w:val="4152018A"/>
    <w:rsid w:val="416C7DBD"/>
    <w:rsid w:val="41865848"/>
    <w:rsid w:val="41AA5DD4"/>
    <w:rsid w:val="41AC26A9"/>
    <w:rsid w:val="41E0216F"/>
    <w:rsid w:val="41F122DB"/>
    <w:rsid w:val="4234381E"/>
    <w:rsid w:val="426B1F99"/>
    <w:rsid w:val="42954201"/>
    <w:rsid w:val="429823CB"/>
    <w:rsid w:val="42A178EE"/>
    <w:rsid w:val="43050FCE"/>
    <w:rsid w:val="433831AE"/>
    <w:rsid w:val="433B256A"/>
    <w:rsid w:val="43460D6B"/>
    <w:rsid w:val="434D1080"/>
    <w:rsid w:val="43CA18BD"/>
    <w:rsid w:val="43DF0C79"/>
    <w:rsid w:val="43E634D4"/>
    <w:rsid w:val="43F31EC1"/>
    <w:rsid w:val="43FB1131"/>
    <w:rsid w:val="440657B8"/>
    <w:rsid w:val="441A2345"/>
    <w:rsid w:val="44385910"/>
    <w:rsid w:val="443F0DB6"/>
    <w:rsid w:val="44536F2C"/>
    <w:rsid w:val="445E4478"/>
    <w:rsid w:val="447E4A26"/>
    <w:rsid w:val="449F1233"/>
    <w:rsid w:val="44E471D7"/>
    <w:rsid w:val="45794657"/>
    <w:rsid w:val="458F40E0"/>
    <w:rsid w:val="45D4622A"/>
    <w:rsid w:val="462E0726"/>
    <w:rsid w:val="467836FB"/>
    <w:rsid w:val="4683709C"/>
    <w:rsid w:val="46AF2877"/>
    <w:rsid w:val="4704208A"/>
    <w:rsid w:val="471760F8"/>
    <w:rsid w:val="47435B56"/>
    <w:rsid w:val="476123B9"/>
    <w:rsid w:val="47720309"/>
    <w:rsid w:val="478009AC"/>
    <w:rsid w:val="47967193"/>
    <w:rsid w:val="47A42B87"/>
    <w:rsid w:val="47B03B4D"/>
    <w:rsid w:val="47FE21A6"/>
    <w:rsid w:val="484A0F00"/>
    <w:rsid w:val="484E4048"/>
    <w:rsid w:val="48787FAC"/>
    <w:rsid w:val="489B2F4B"/>
    <w:rsid w:val="48C0305C"/>
    <w:rsid w:val="48C317FA"/>
    <w:rsid w:val="48CF07C1"/>
    <w:rsid w:val="48D1046F"/>
    <w:rsid w:val="49360D0C"/>
    <w:rsid w:val="493865B5"/>
    <w:rsid w:val="495B54CE"/>
    <w:rsid w:val="496C7C8D"/>
    <w:rsid w:val="498469FF"/>
    <w:rsid w:val="498C617A"/>
    <w:rsid w:val="49DF5A21"/>
    <w:rsid w:val="4A036C3E"/>
    <w:rsid w:val="4A0D0D18"/>
    <w:rsid w:val="4A187D2D"/>
    <w:rsid w:val="4A295537"/>
    <w:rsid w:val="4A8378E3"/>
    <w:rsid w:val="4AC863B5"/>
    <w:rsid w:val="4ADD6C7C"/>
    <w:rsid w:val="4B410C16"/>
    <w:rsid w:val="4B44380D"/>
    <w:rsid w:val="4B7F5BCC"/>
    <w:rsid w:val="4BA94BA1"/>
    <w:rsid w:val="4BB30F42"/>
    <w:rsid w:val="4BC17ABD"/>
    <w:rsid w:val="4BEA48E1"/>
    <w:rsid w:val="4BEE18C0"/>
    <w:rsid w:val="4BF33563"/>
    <w:rsid w:val="4BF50CB2"/>
    <w:rsid w:val="4C6E15BF"/>
    <w:rsid w:val="4C737E6D"/>
    <w:rsid w:val="4CAF6EB5"/>
    <w:rsid w:val="4CB2054A"/>
    <w:rsid w:val="4CC65386"/>
    <w:rsid w:val="4CDF679D"/>
    <w:rsid w:val="4CFE0910"/>
    <w:rsid w:val="4D165162"/>
    <w:rsid w:val="4D170BB5"/>
    <w:rsid w:val="4D4C3C91"/>
    <w:rsid w:val="4D574D34"/>
    <w:rsid w:val="4D640565"/>
    <w:rsid w:val="4D7213D6"/>
    <w:rsid w:val="4D903925"/>
    <w:rsid w:val="4DB67C3F"/>
    <w:rsid w:val="4DB93C1C"/>
    <w:rsid w:val="4DDC3463"/>
    <w:rsid w:val="4E050942"/>
    <w:rsid w:val="4E247E95"/>
    <w:rsid w:val="4E274294"/>
    <w:rsid w:val="4E4207B2"/>
    <w:rsid w:val="4E5649B8"/>
    <w:rsid w:val="4EC84766"/>
    <w:rsid w:val="4ED133E0"/>
    <w:rsid w:val="4EE1639C"/>
    <w:rsid w:val="4EF94B51"/>
    <w:rsid w:val="4F4F2ACB"/>
    <w:rsid w:val="4F793CA7"/>
    <w:rsid w:val="4F7A5C1F"/>
    <w:rsid w:val="4F8E5A10"/>
    <w:rsid w:val="4F8F33DB"/>
    <w:rsid w:val="4F940DFD"/>
    <w:rsid w:val="4F9D2D1D"/>
    <w:rsid w:val="4FD31F2F"/>
    <w:rsid w:val="4FF8744B"/>
    <w:rsid w:val="4FFB507E"/>
    <w:rsid w:val="4FFB5EC3"/>
    <w:rsid w:val="501C5568"/>
    <w:rsid w:val="503F1F7D"/>
    <w:rsid w:val="50815D87"/>
    <w:rsid w:val="50875DDA"/>
    <w:rsid w:val="50A67405"/>
    <w:rsid w:val="50BF7A86"/>
    <w:rsid w:val="50F7462E"/>
    <w:rsid w:val="50FC2C3C"/>
    <w:rsid w:val="5165451C"/>
    <w:rsid w:val="5189206F"/>
    <w:rsid w:val="518F7337"/>
    <w:rsid w:val="51CA2B07"/>
    <w:rsid w:val="51D574B6"/>
    <w:rsid w:val="51D97625"/>
    <w:rsid w:val="51DF3525"/>
    <w:rsid w:val="520D40AC"/>
    <w:rsid w:val="52237D21"/>
    <w:rsid w:val="52415A6C"/>
    <w:rsid w:val="524B5983"/>
    <w:rsid w:val="524C1224"/>
    <w:rsid w:val="527777E7"/>
    <w:rsid w:val="527E112D"/>
    <w:rsid w:val="528E2E9A"/>
    <w:rsid w:val="52A248C9"/>
    <w:rsid w:val="533E54DE"/>
    <w:rsid w:val="53532AF5"/>
    <w:rsid w:val="5363174A"/>
    <w:rsid w:val="53781CD0"/>
    <w:rsid w:val="53BE66B0"/>
    <w:rsid w:val="53D272B4"/>
    <w:rsid w:val="53E429F3"/>
    <w:rsid w:val="53FC7D3D"/>
    <w:rsid w:val="54053808"/>
    <w:rsid w:val="542E592F"/>
    <w:rsid w:val="544F4B17"/>
    <w:rsid w:val="54690E06"/>
    <w:rsid w:val="547D1B69"/>
    <w:rsid w:val="547D3CA1"/>
    <w:rsid w:val="549A78FD"/>
    <w:rsid w:val="54A71544"/>
    <w:rsid w:val="54E03240"/>
    <w:rsid w:val="54E11738"/>
    <w:rsid w:val="54E161E6"/>
    <w:rsid w:val="55717EF0"/>
    <w:rsid w:val="55B83796"/>
    <w:rsid w:val="55BD62FC"/>
    <w:rsid w:val="55CF4789"/>
    <w:rsid w:val="55E24205"/>
    <w:rsid w:val="55FF3119"/>
    <w:rsid w:val="56290606"/>
    <w:rsid w:val="56922C92"/>
    <w:rsid w:val="56960007"/>
    <w:rsid w:val="569C33FD"/>
    <w:rsid w:val="56A57934"/>
    <w:rsid w:val="56A67268"/>
    <w:rsid w:val="56AD53E1"/>
    <w:rsid w:val="56E17E4B"/>
    <w:rsid w:val="571177FA"/>
    <w:rsid w:val="571A4D54"/>
    <w:rsid w:val="57285324"/>
    <w:rsid w:val="572C50A1"/>
    <w:rsid w:val="57414B0E"/>
    <w:rsid w:val="574A79DE"/>
    <w:rsid w:val="574E744D"/>
    <w:rsid w:val="57862A77"/>
    <w:rsid w:val="578A072D"/>
    <w:rsid w:val="57D26EB7"/>
    <w:rsid w:val="57E76623"/>
    <w:rsid w:val="580653FD"/>
    <w:rsid w:val="580F63AE"/>
    <w:rsid w:val="5839188D"/>
    <w:rsid w:val="586B7753"/>
    <w:rsid w:val="58A7303A"/>
    <w:rsid w:val="58AA581E"/>
    <w:rsid w:val="58D5070A"/>
    <w:rsid w:val="59043E01"/>
    <w:rsid w:val="597127AB"/>
    <w:rsid w:val="599E5664"/>
    <w:rsid w:val="59BB60CF"/>
    <w:rsid w:val="59D34D02"/>
    <w:rsid w:val="5A4E4EC1"/>
    <w:rsid w:val="5A4E7262"/>
    <w:rsid w:val="5A791DEA"/>
    <w:rsid w:val="5A7C75A7"/>
    <w:rsid w:val="5A831B3A"/>
    <w:rsid w:val="5AEE72F1"/>
    <w:rsid w:val="5B497BEE"/>
    <w:rsid w:val="5B7C0894"/>
    <w:rsid w:val="5B7C7968"/>
    <w:rsid w:val="5BB72EAA"/>
    <w:rsid w:val="5BC24B08"/>
    <w:rsid w:val="5BE34185"/>
    <w:rsid w:val="5BF6728A"/>
    <w:rsid w:val="5C083ADA"/>
    <w:rsid w:val="5C106201"/>
    <w:rsid w:val="5C766F57"/>
    <w:rsid w:val="5C7865A7"/>
    <w:rsid w:val="5C9E6833"/>
    <w:rsid w:val="5C9F3A65"/>
    <w:rsid w:val="5CB11B30"/>
    <w:rsid w:val="5D10309F"/>
    <w:rsid w:val="5D1A254C"/>
    <w:rsid w:val="5D2B4B79"/>
    <w:rsid w:val="5D2B72B0"/>
    <w:rsid w:val="5D3D543E"/>
    <w:rsid w:val="5D425978"/>
    <w:rsid w:val="5D6F03B3"/>
    <w:rsid w:val="5D8F57D0"/>
    <w:rsid w:val="5DB43D5B"/>
    <w:rsid w:val="5DC90AF1"/>
    <w:rsid w:val="5E086AD1"/>
    <w:rsid w:val="5E1F3CF6"/>
    <w:rsid w:val="5E43202E"/>
    <w:rsid w:val="5E450A49"/>
    <w:rsid w:val="5E565CA2"/>
    <w:rsid w:val="5E7B08D1"/>
    <w:rsid w:val="5E813D0C"/>
    <w:rsid w:val="5E826CA8"/>
    <w:rsid w:val="5E847D30"/>
    <w:rsid w:val="5E985844"/>
    <w:rsid w:val="5EA179B6"/>
    <w:rsid w:val="5EAB0D2C"/>
    <w:rsid w:val="5EF9580C"/>
    <w:rsid w:val="5F2B1805"/>
    <w:rsid w:val="5F476193"/>
    <w:rsid w:val="5F4D6DA2"/>
    <w:rsid w:val="5F73435B"/>
    <w:rsid w:val="5F7533E9"/>
    <w:rsid w:val="5FA17662"/>
    <w:rsid w:val="5FAE1170"/>
    <w:rsid w:val="5FB76261"/>
    <w:rsid w:val="604231D2"/>
    <w:rsid w:val="60426B59"/>
    <w:rsid w:val="60573113"/>
    <w:rsid w:val="60D56C76"/>
    <w:rsid w:val="60E342E4"/>
    <w:rsid w:val="61151723"/>
    <w:rsid w:val="613432FE"/>
    <w:rsid w:val="614528AC"/>
    <w:rsid w:val="617B565A"/>
    <w:rsid w:val="619D6B85"/>
    <w:rsid w:val="61B363CD"/>
    <w:rsid w:val="61FB170E"/>
    <w:rsid w:val="628F3D42"/>
    <w:rsid w:val="62A00E16"/>
    <w:rsid w:val="62D14C9E"/>
    <w:rsid w:val="633F463B"/>
    <w:rsid w:val="639F7DC1"/>
    <w:rsid w:val="63EE313D"/>
    <w:rsid w:val="63F30435"/>
    <w:rsid w:val="64050ABF"/>
    <w:rsid w:val="64292276"/>
    <w:rsid w:val="642D1CFD"/>
    <w:rsid w:val="64363468"/>
    <w:rsid w:val="643E44B7"/>
    <w:rsid w:val="645239A3"/>
    <w:rsid w:val="64686324"/>
    <w:rsid w:val="64725E46"/>
    <w:rsid w:val="64AB08A2"/>
    <w:rsid w:val="64B32E2F"/>
    <w:rsid w:val="64BA4E5D"/>
    <w:rsid w:val="64BC2220"/>
    <w:rsid w:val="64C157D9"/>
    <w:rsid w:val="64CA7FBA"/>
    <w:rsid w:val="64E250F2"/>
    <w:rsid w:val="6500469F"/>
    <w:rsid w:val="65357F23"/>
    <w:rsid w:val="659F6081"/>
    <w:rsid w:val="65A70C8A"/>
    <w:rsid w:val="65A76324"/>
    <w:rsid w:val="65A823F2"/>
    <w:rsid w:val="65B460C5"/>
    <w:rsid w:val="65ED414E"/>
    <w:rsid w:val="65EF4D81"/>
    <w:rsid w:val="65FD598B"/>
    <w:rsid w:val="664D6F9D"/>
    <w:rsid w:val="66620E80"/>
    <w:rsid w:val="668E7122"/>
    <w:rsid w:val="66B5420B"/>
    <w:rsid w:val="670F7889"/>
    <w:rsid w:val="67126567"/>
    <w:rsid w:val="67211260"/>
    <w:rsid w:val="67456C67"/>
    <w:rsid w:val="67460997"/>
    <w:rsid w:val="675137D6"/>
    <w:rsid w:val="676557D9"/>
    <w:rsid w:val="676D705E"/>
    <w:rsid w:val="67785CC5"/>
    <w:rsid w:val="67A05B2A"/>
    <w:rsid w:val="67DE2C50"/>
    <w:rsid w:val="67DE7084"/>
    <w:rsid w:val="67F7300E"/>
    <w:rsid w:val="68061AF4"/>
    <w:rsid w:val="682756CC"/>
    <w:rsid w:val="68342E8F"/>
    <w:rsid w:val="68483D18"/>
    <w:rsid w:val="687D4BDD"/>
    <w:rsid w:val="68952F54"/>
    <w:rsid w:val="68A704E7"/>
    <w:rsid w:val="68DC3EFE"/>
    <w:rsid w:val="68F8398F"/>
    <w:rsid w:val="69125ADB"/>
    <w:rsid w:val="69507B39"/>
    <w:rsid w:val="696B3AD5"/>
    <w:rsid w:val="698E0FEB"/>
    <w:rsid w:val="699002B0"/>
    <w:rsid w:val="6998799E"/>
    <w:rsid w:val="6A3E6267"/>
    <w:rsid w:val="6A5979DE"/>
    <w:rsid w:val="6A8923D3"/>
    <w:rsid w:val="6ADB3525"/>
    <w:rsid w:val="6B262514"/>
    <w:rsid w:val="6B6C29A1"/>
    <w:rsid w:val="6B8723B0"/>
    <w:rsid w:val="6B8B2B72"/>
    <w:rsid w:val="6BEE553F"/>
    <w:rsid w:val="6C2D44B9"/>
    <w:rsid w:val="6C3170F0"/>
    <w:rsid w:val="6CA8352E"/>
    <w:rsid w:val="6CB97733"/>
    <w:rsid w:val="6CD725ED"/>
    <w:rsid w:val="6CE138B6"/>
    <w:rsid w:val="6CEA4165"/>
    <w:rsid w:val="6D19440C"/>
    <w:rsid w:val="6D1E3AD1"/>
    <w:rsid w:val="6D376AFE"/>
    <w:rsid w:val="6D3B35C4"/>
    <w:rsid w:val="6D546223"/>
    <w:rsid w:val="6D8F043F"/>
    <w:rsid w:val="6DA15BB5"/>
    <w:rsid w:val="6E141A2A"/>
    <w:rsid w:val="6E1A59BE"/>
    <w:rsid w:val="6E436489"/>
    <w:rsid w:val="6E5509CC"/>
    <w:rsid w:val="6EA05AE1"/>
    <w:rsid w:val="6EAB20CD"/>
    <w:rsid w:val="6EE06FEB"/>
    <w:rsid w:val="6EF74287"/>
    <w:rsid w:val="6F153218"/>
    <w:rsid w:val="6F1F0ECB"/>
    <w:rsid w:val="6F204413"/>
    <w:rsid w:val="6F210802"/>
    <w:rsid w:val="6F4C77F7"/>
    <w:rsid w:val="6F521CB9"/>
    <w:rsid w:val="6F76486B"/>
    <w:rsid w:val="6F924A6F"/>
    <w:rsid w:val="6FB076D2"/>
    <w:rsid w:val="6FE55BBD"/>
    <w:rsid w:val="6FEC594C"/>
    <w:rsid w:val="707B47C4"/>
    <w:rsid w:val="709B4B83"/>
    <w:rsid w:val="70B64C12"/>
    <w:rsid w:val="70C11755"/>
    <w:rsid w:val="70DD2618"/>
    <w:rsid w:val="70E6544B"/>
    <w:rsid w:val="70ED0986"/>
    <w:rsid w:val="70F76A73"/>
    <w:rsid w:val="7118796E"/>
    <w:rsid w:val="71881060"/>
    <w:rsid w:val="71881FA5"/>
    <w:rsid w:val="71942226"/>
    <w:rsid w:val="71CF0D35"/>
    <w:rsid w:val="71D728C9"/>
    <w:rsid w:val="71E003DD"/>
    <w:rsid w:val="71F41383"/>
    <w:rsid w:val="72021250"/>
    <w:rsid w:val="720F6D7D"/>
    <w:rsid w:val="72472963"/>
    <w:rsid w:val="726532FB"/>
    <w:rsid w:val="72670F93"/>
    <w:rsid w:val="72950198"/>
    <w:rsid w:val="72EA4658"/>
    <w:rsid w:val="7320375D"/>
    <w:rsid w:val="736C23ED"/>
    <w:rsid w:val="73F53DA6"/>
    <w:rsid w:val="742B4973"/>
    <w:rsid w:val="74444F9D"/>
    <w:rsid w:val="748725BD"/>
    <w:rsid w:val="74A01DFE"/>
    <w:rsid w:val="74B00652"/>
    <w:rsid w:val="74C6075E"/>
    <w:rsid w:val="74C76464"/>
    <w:rsid w:val="74EE0034"/>
    <w:rsid w:val="74F109DD"/>
    <w:rsid w:val="7509716F"/>
    <w:rsid w:val="753442AC"/>
    <w:rsid w:val="755319CA"/>
    <w:rsid w:val="755A26D4"/>
    <w:rsid w:val="75667239"/>
    <w:rsid w:val="756D0B1E"/>
    <w:rsid w:val="757E7F13"/>
    <w:rsid w:val="75AA590C"/>
    <w:rsid w:val="75D61279"/>
    <w:rsid w:val="75E57090"/>
    <w:rsid w:val="761B4B26"/>
    <w:rsid w:val="762F10DD"/>
    <w:rsid w:val="76945580"/>
    <w:rsid w:val="769B575F"/>
    <w:rsid w:val="76AA0C09"/>
    <w:rsid w:val="76BE180F"/>
    <w:rsid w:val="76D514F6"/>
    <w:rsid w:val="76E17EFC"/>
    <w:rsid w:val="771C6DDB"/>
    <w:rsid w:val="774C11E5"/>
    <w:rsid w:val="77563BDF"/>
    <w:rsid w:val="77947A53"/>
    <w:rsid w:val="77970501"/>
    <w:rsid w:val="77C66AD5"/>
    <w:rsid w:val="77CE4E49"/>
    <w:rsid w:val="77DD1955"/>
    <w:rsid w:val="77F15B32"/>
    <w:rsid w:val="78284EE9"/>
    <w:rsid w:val="78492BFF"/>
    <w:rsid w:val="784A2834"/>
    <w:rsid w:val="78986C8F"/>
    <w:rsid w:val="78F53EF1"/>
    <w:rsid w:val="78FD7822"/>
    <w:rsid w:val="79064ACA"/>
    <w:rsid w:val="790907D3"/>
    <w:rsid w:val="79200D68"/>
    <w:rsid w:val="79404045"/>
    <w:rsid w:val="794B1CCF"/>
    <w:rsid w:val="794E1F75"/>
    <w:rsid w:val="795064D5"/>
    <w:rsid w:val="798A57BD"/>
    <w:rsid w:val="799737F5"/>
    <w:rsid w:val="799E4EDF"/>
    <w:rsid w:val="79C40791"/>
    <w:rsid w:val="7A4D6843"/>
    <w:rsid w:val="7A576715"/>
    <w:rsid w:val="7A721263"/>
    <w:rsid w:val="7A98300E"/>
    <w:rsid w:val="7AA812CD"/>
    <w:rsid w:val="7B2241A0"/>
    <w:rsid w:val="7B4E5F74"/>
    <w:rsid w:val="7B5B590C"/>
    <w:rsid w:val="7BC21276"/>
    <w:rsid w:val="7BE015FC"/>
    <w:rsid w:val="7BF232D8"/>
    <w:rsid w:val="7C0A10B0"/>
    <w:rsid w:val="7C2521C4"/>
    <w:rsid w:val="7C266A5E"/>
    <w:rsid w:val="7C4D471D"/>
    <w:rsid w:val="7C620CEE"/>
    <w:rsid w:val="7CC43F8D"/>
    <w:rsid w:val="7CC81220"/>
    <w:rsid w:val="7CD3033B"/>
    <w:rsid w:val="7CD4773D"/>
    <w:rsid w:val="7CDD2498"/>
    <w:rsid w:val="7D1428F3"/>
    <w:rsid w:val="7D1C52E3"/>
    <w:rsid w:val="7D2E060E"/>
    <w:rsid w:val="7D3714E0"/>
    <w:rsid w:val="7D3A2618"/>
    <w:rsid w:val="7D405FDE"/>
    <w:rsid w:val="7D53229B"/>
    <w:rsid w:val="7D9C2690"/>
    <w:rsid w:val="7D9F232A"/>
    <w:rsid w:val="7DB84B7D"/>
    <w:rsid w:val="7DBE351B"/>
    <w:rsid w:val="7DC03F63"/>
    <w:rsid w:val="7DC86315"/>
    <w:rsid w:val="7E2719D2"/>
    <w:rsid w:val="7E301C88"/>
    <w:rsid w:val="7E416E30"/>
    <w:rsid w:val="7E4936F8"/>
    <w:rsid w:val="7E5706C0"/>
    <w:rsid w:val="7E730C2B"/>
    <w:rsid w:val="7E797FB0"/>
    <w:rsid w:val="7EA1239A"/>
    <w:rsid w:val="7EAE50DF"/>
    <w:rsid w:val="7EC81A6C"/>
    <w:rsid w:val="7ED9582D"/>
    <w:rsid w:val="7F21731A"/>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semiHidden/>
    <w:unhideWhenUsed/>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link w:val="42"/>
    <w:qFormat/>
    <w:uiPriority w:val="0"/>
    <w:pPr>
      <w:jc w:val="left"/>
    </w:pPr>
  </w:style>
  <w:style w:type="paragraph" w:styleId="12">
    <w:name w:val="Body Text"/>
    <w:basedOn w:val="1"/>
    <w:next w:val="13"/>
    <w:qFormat/>
    <w:uiPriority w:val="0"/>
    <w:pPr>
      <w:spacing w:after="120"/>
    </w:pPr>
  </w:style>
  <w:style w:type="paragraph" w:styleId="13">
    <w:name w:val="Body Text First Indent 2"/>
    <w:basedOn w:val="1"/>
    <w:semiHidden/>
    <w:unhideWhenUsed/>
    <w:qFormat/>
    <w:uiPriority w:val="99"/>
    <w:pPr>
      <w:spacing w:after="120"/>
      <w:ind w:left="420" w:leftChars="200" w:firstLine="420" w:firstLineChars="200"/>
    </w:pPr>
    <w:rPr>
      <w:rFonts w:ascii="Times New Roman" w:eastAsia="宋体"/>
      <w:kern w:val="2"/>
      <w:sz w:val="21"/>
      <w:szCs w:val="24"/>
      <w:lang w:val="en-US" w:eastAsia="zh-CN"/>
    </w:rPr>
  </w:style>
  <w:style w:type="paragraph" w:styleId="14">
    <w:name w:val="Body Text Indent"/>
    <w:basedOn w:val="1"/>
    <w:next w:val="15"/>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customStyle="1" w:styleId="15">
    <w:name w:val="Default"/>
    <w:next w:val="16"/>
    <w:qFormat/>
    <w:uiPriority w:val="0"/>
    <w:pPr>
      <w:widowControl w:val="0"/>
      <w:autoSpaceDE w:val="0"/>
      <w:autoSpaceDN w:val="0"/>
      <w:adjustRightInd w:val="0"/>
    </w:pPr>
    <w:rPr>
      <w:rFonts w:ascii="Courier New" w:hAnsi="Ђˎ̥" w:eastAsia="宋体" w:cs="Courier New"/>
      <w:color w:val="000000"/>
      <w:sz w:val="24"/>
      <w:szCs w:val="24"/>
      <w:lang w:val="en-US" w:eastAsia="zh-CN" w:bidi="ar-SA"/>
    </w:rPr>
  </w:style>
  <w:style w:type="paragraph" w:customStyle="1" w:styleId="16">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paragraph" w:styleId="17">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18">
    <w:name w:val="Plain Text"/>
    <w:basedOn w:val="1"/>
    <w:next w:val="19"/>
    <w:qFormat/>
    <w:uiPriority w:val="0"/>
    <w:rPr>
      <w:rFonts w:ascii="宋体" w:hAnsi="Courier New"/>
      <w:szCs w:val="20"/>
    </w:rPr>
  </w:style>
  <w:style w:type="paragraph" w:styleId="19">
    <w:name w:val="toc 1"/>
    <w:basedOn w:val="1"/>
    <w:next w:val="1"/>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20">
    <w:name w:val="Body Text Indent 2"/>
    <w:basedOn w:val="1"/>
    <w:next w:val="21"/>
    <w:qFormat/>
    <w:uiPriority w:val="99"/>
    <w:pPr>
      <w:spacing w:after="120" w:line="480" w:lineRule="auto"/>
      <w:ind w:left="420" w:leftChars="200"/>
    </w:pPr>
    <w:rPr>
      <w:sz w:val="24"/>
    </w:rPr>
  </w:style>
  <w:style w:type="paragraph" w:customStyle="1" w:styleId="21">
    <w:name w:val="正文缩进1"/>
    <w:next w:val="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styleId="22">
    <w:name w:val="Balloon Text"/>
    <w:basedOn w:val="1"/>
    <w:link w:val="41"/>
    <w:qFormat/>
    <w:uiPriority w:val="0"/>
    <w:rPr>
      <w:sz w:val="18"/>
      <w:szCs w:val="18"/>
    </w:rPr>
  </w:style>
  <w:style w:type="paragraph" w:styleId="23">
    <w:name w:val="header"/>
    <w:basedOn w:val="1"/>
    <w:next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4">
    <w:name w:val="List"/>
    <w:basedOn w:val="1"/>
    <w:qFormat/>
    <w:uiPriority w:val="0"/>
    <w:pPr>
      <w:ind w:left="200" w:hanging="200" w:hangingChars="200"/>
    </w:pPr>
    <w:rPr>
      <w:sz w:val="28"/>
    </w:rPr>
  </w:style>
  <w:style w:type="paragraph" w:styleId="25">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26">
    <w:name w:val="Normal (Web)"/>
    <w:basedOn w:val="1"/>
    <w:unhideWhenUsed/>
    <w:qFormat/>
    <w:uiPriority w:val="99"/>
    <w:rPr>
      <w:rFonts w:ascii="Calibri" w:hAnsi="Calibri" w:eastAsia="宋体" w:cs="Times New Roman"/>
      <w:kern w:val="0"/>
      <w:sz w:val="24"/>
      <w:szCs w:val="24"/>
    </w:rPr>
  </w:style>
  <w:style w:type="paragraph" w:styleId="27">
    <w:name w:val="index 1"/>
    <w:next w:val="1"/>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table" w:styleId="2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1">
    <w:name w:val="Strong"/>
    <w:basedOn w:val="30"/>
    <w:qFormat/>
    <w:uiPriority w:val="0"/>
    <w:rPr>
      <w:b/>
    </w:rPr>
  </w:style>
  <w:style w:type="character" w:styleId="32">
    <w:name w:val="page number"/>
    <w:qFormat/>
    <w:uiPriority w:val="0"/>
  </w:style>
  <w:style w:type="character" w:styleId="33">
    <w:name w:val="FollowedHyperlink"/>
    <w:basedOn w:val="30"/>
    <w:qFormat/>
    <w:uiPriority w:val="0"/>
    <w:rPr>
      <w:rFonts w:hint="eastAsia" w:ascii="微软雅黑" w:hAnsi="微软雅黑" w:eastAsia="微软雅黑" w:cs="微软雅黑"/>
      <w:color w:val="02396F"/>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next w:val="1"/>
    <w:link w:val="43"/>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8">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9">
    <w:name w:val="List Paragraph"/>
    <w:basedOn w:val="1"/>
    <w:qFormat/>
    <w:uiPriority w:val="34"/>
    <w:pPr>
      <w:ind w:firstLine="420" w:firstLineChars="200"/>
    </w:pPr>
  </w:style>
  <w:style w:type="paragraph" w:customStyle="1" w:styleId="40">
    <w:name w:val="表格文字"/>
    <w:basedOn w:val="14"/>
    <w:next w:val="12"/>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41">
    <w:name w:val="批注框文本 Char"/>
    <w:basedOn w:val="30"/>
    <w:link w:val="22"/>
    <w:qFormat/>
    <w:uiPriority w:val="0"/>
    <w:rPr>
      <w:kern w:val="2"/>
      <w:sz w:val="18"/>
      <w:szCs w:val="18"/>
    </w:rPr>
  </w:style>
  <w:style w:type="character" w:customStyle="1" w:styleId="42">
    <w:name w:val="批注文字 Char1"/>
    <w:link w:val="11"/>
    <w:qFormat/>
    <w:locked/>
    <w:uiPriority w:val="0"/>
    <w:rPr>
      <w:kern w:val="2"/>
      <w:sz w:val="21"/>
      <w:szCs w:val="24"/>
    </w:rPr>
  </w:style>
  <w:style w:type="character" w:customStyle="1" w:styleId="43">
    <w:name w:val="正文2 Char Char"/>
    <w:link w:val="37"/>
    <w:qFormat/>
    <w:locked/>
    <w:uiPriority w:val="0"/>
    <w:rPr>
      <w:kern w:val="2"/>
      <w:sz w:val="24"/>
    </w:r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character" w:customStyle="1" w:styleId="45">
    <w:name w:val="NormalCharacter"/>
    <w:qFormat/>
    <w:uiPriority w:val="0"/>
  </w:style>
  <w:style w:type="paragraph" w:customStyle="1" w:styleId="46">
    <w:name w:val="Table Paragraph"/>
    <w:basedOn w:val="1"/>
    <w:qFormat/>
    <w:uiPriority w:val="1"/>
  </w:style>
  <w:style w:type="paragraph" w:customStyle="1" w:styleId="47">
    <w:name w:val="Char1 Char Char Char Char Char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9168</Words>
  <Characters>52262</Characters>
  <Lines>435</Lines>
  <Paragraphs>122</Paragraphs>
  <TotalTime>1</TotalTime>
  <ScaleCrop>false</ScaleCrop>
  <LinksUpToDate>false</LinksUpToDate>
  <CharactersWithSpaces>61308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娇娇</cp:lastModifiedBy>
  <dcterms:modified xsi:type="dcterms:W3CDTF">2025-12-03T09:32:04Z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66255D01BF27429C9D2A29D561BFFBC4_13</vt:lpwstr>
  </property>
</Properties>
</file>