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line="360" w:lineRule="auto"/>
        <w:jc w:val="center"/>
        <w:rPr>
          <w:rFonts w:hint="eastAsia" w:ascii="宋体" w:hAnsi="宋体" w:eastAsia="宋体" w:cs="Times New Roman"/>
          <w:color w:val="auto"/>
          <w:sz w:val="52"/>
          <w:szCs w:val="52"/>
          <w:highlight w:val="none"/>
        </w:rPr>
      </w:pPr>
    </w:p>
    <w:p>
      <w:pPr>
        <w:snapToGrid w:val="0"/>
        <w:spacing w:before="156" w:beforeLines="50" w:line="360" w:lineRule="auto"/>
        <w:jc w:val="center"/>
        <w:rPr>
          <w:rFonts w:hint="eastAsia" w:ascii="宋体" w:hAnsi="宋体" w:eastAsia="宋体" w:cs="宋体"/>
          <w:color w:val="auto"/>
          <w:sz w:val="36"/>
          <w:szCs w:val="36"/>
          <w:highlight w:val="none"/>
        </w:rPr>
      </w:pPr>
    </w:p>
    <w:p>
      <w:pPr>
        <w:snapToGrid w:val="0"/>
        <w:spacing w:before="156" w:beforeLines="50"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72"/>
          <w:szCs w:val="72"/>
          <w:highlight w:val="none"/>
        </w:rPr>
        <w:t>竞争性谈判文件</w:t>
      </w:r>
    </w:p>
    <w:p>
      <w:pPr>
        <w:spacing w:before="312" w:beforeLines="100" w:after="156"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（全流程电子化评标）</w:t>
      </w:r>
    </w:p>
    <w:p>
      <w:pPr>
        <w:spacing w:line="360" w:lineRule="auto"/>
        <w:rPr>
          <w:rFonts w:hint="eastAsia" w:ascii="宋体" w:hAnsi="宋体" w:eastAsia="宋体" w:cs="宋体"/>
          <w:b/>
          <w:color w:val="auto"/>
          <w:sz w:val="32"/>
          <w:szCs w:val="32"/>
          <w:highlight w:val="none"/>
        </w:rPr>
      </w:pPr>
    </w:p>
    <w:p>
      <w:pPr>
        <w:spacing w:line="360" w:lineRule="auto"/>
        <w:jc w:val="center"/>
        <w:rPr>
          <w:rFonts w:hint="eastAsia" w:ascii="宋体" w:hAnsi="宋体" w:eastAsia="宋体" w:cs="宋体"/>
          <w:b/>
          <w:color w:val="auto"/>
          <w:sz w:val="32"/>
          <w:szCs w:val="32"/>
          <w:highlight w:val="none"/>
        </w:rPr>
      </w:pPr>
    </w:p>
    <w:p>
      <w:pPr>
        <w:snapToGrid w:val="0"/>
        <w:spacing w:before="50" w:after="120" w:line="360" w:lineRule="auto"/>
        <w:ind w:firstLine="1205" w:firstLineChars="400"/>
        <w:jc w:val="both"/>
        <w:rPr>
          <w:rFonts w:hint="eastAsia" w:ascii="宋体" w:hAnsi="宋体" w:eastAsia="宋体" w:cs="宋体"/>
          <w:b/>
          <w:bCs/>
          <w:color w:val="auto"/>
          <w:kern w:val="0"/>
          <w:sz w:val="30"/>
          <w:szCs w:val="30"/>
          <w:highlight w:val="none"/>
          <w:lang w:val="zh-CN"/>
        </w:rPr>
      </w:pPr>
      <w:r>
        <w:rPr>
          <w:rFonts w:hint="eastAsia" w:ascii="宋体" w:hAnsi="宋体" w:eastAsia="宋体" w:cs="宋体"/>
          <w:b/>
          <w:bCs/>
          <w:color w:val="auto"/>
          <w:kern w:val="0"/>
          <w:sz w:val="30"/>
          <w:szCs w:val="30"/>
          <w:highlight w:val="none"/>
          <w:lang w:val="zh-CN"/>
        </w:rPr>
        <w:t>项目</w:t>
      </w:r>
      <w:r>
        <w:rPr>
          <w:rFonts w:hint="eastAsia" w:ascii="宋体" w:hAnsi="宋体" w:eastAsia="宋体" w:cs="宋体"/>
          <w:b/>
          <w:bCs/>
          <w:color w:val="auto"/>
          <w:w w:val="95"/>
          <w:kern w:val="0"/>
          <w:sz w:val="30"/>
          <w:szCs w:val="30"/>
          <w:highlight w:val="none"/>
          <w:lang w:val="zh-CN"/>
        </w:rPr>
        <w:t>名称</w:t>
      </w:r>
      <w:r>
        <w:rPr>
          <w:rFonts w:hint="eastAsia" w:ascii="宋体" w:hAnsi="宋体" w:eastAsia="宋体" w:cs="宋体"/>
          <w:b/>
          <w:bCs/>
          <w:color w:val="auto"/>
          <w:kern w:val="0"/>
          <w:sz w:val="30"/>
          <w:szCs w:val="30"/>
          <w:highlight w:val="none"/>
          <w:lang w:val="zh-CN"/>
        </w:rPr>
        <w:t>：崇左市公安局安保维稳装备项目</w:t>
      </w:r>
      <w:bookmarkStart w:id="0" w:name="OLE_LINK4"/>
      <w:r>
        <w:rPr>
          <w:rFonts w:hint="eastAsia" w:ascii="宋体" w:hAnsi="宋体" w:eastAsia="宋体" w:cs="宋体"/>
          <w:b/>
          <w:bCs/>
          <w:color w:val="auto"/>
          <w:kern w:val="0"/>
          <w:sz w:val="30"/>
          <w:szCs w:val="30"/>
          <w:highlight w:val="none"/>
          <w:lang w:val="zh-CN"/>
        </w:rPr>
        <w:t>（</w:t>
      </w:r>
      <w:bookmarkStart w:id="1" w:name="OLE_LINK3"/>
      <w:r>
        <w:rPr>
          <w:rFonts w:hint="eastAsia" w:ascii="宋体" w:hAnsi="宋体" w:eastAsia="宋体" w:cs="宋体"/>
          <w:b/>
          <w:bCs/>
          <w:color w:val="auto"/>
          <w:kern w:val="0"/>
          <w:sz w:val="30"/>
          <w:szCs w:val="30"/>
          <w:highlight w:val="none"/>
          <w:lang w:val="en-US" w:eastAsia="zh-CN"/>
        </w:rPr>
        <w:t>分标2重</w:t>
      </w:r>
      <w:bookmarkEnd w:id="1"/>
      <w:r>
        <w:rPr>
          <w:rFonts w:hint="eastAsia" w:ascii="宋体" w:hAnsi="宋体" w:eastAsia="宋体" w:cs="宋体"/>
          <w:b/>
          <w:bCs/>
          <w:color w:val="auto"/>
          <w:kern w:val="0"/>
          <w:sz w:val="30"/>
          <w:szCs w:val="30"/>
          <w:highlight w:val="none"/>
          <w:lang w:val="en-US" w:eastAsia="zh-CN"/>
        </w:rPr>
        <w:t>2</w:t>
      </w:r>
      <w:r>
        <w:rPr>
          <w:rFonts w:hint="eastAsia" w:ascii="宋体" w:hAnsi="宋体" w:eastAsia="宋体" w:cs="宋体"/>
          <w:b/>
          <w:bCs/>
          <w:color w:val="auto"/>
          <w:kern w:val="0"/>
          <w:sz w:val="30"/>
          <w:szCs w:val="30"/>
          <w:highlight w:val="none"/>
          <w:lang w:val="zh-CN"/>
        </w:rPr>
        <w:t>）</w:t>
      </w:r>
      <w:bookmarkEnd w:id="0"/>
    </w:p>
    <w:p>
      <w:pPr>
        <w:snapToGrid w:val="0"/>
        <w:spacing w:before="50" w:after="120" w:line="360" w:lineRule="auto"/>
        <w:ind w:firstLine="1193" w:firstLineChars="396"/>
        <w:rPr>
          <w:rFonts w:hint="eastAsia" w:ascii="宋体" w:hAnsi="宋体" w:eastAsia="宋体" w:cs="宋体"/>
          <w:b/>
          <w:bCs/>
          <w:color w:val="auto"/>
          <w:kern w:val="0"/>
          <w:sz w:val="30"/>
          <w:szCs w:val="30"/>
          <w:highlight w:val="none"/>
          <w:lang w:val="zh-CN"/>
        </w:rPr>
      </w:pPr>
      <w:r>
        <w:rPr>
          <w:rFonts w:hint="eastAsia" w:ascii="宋体" w:hAnsi="宋体" w:eastAsia="宋体" w:cs="宋体"/>
          <w:b/>
          <w:bCs/>
          <w:color w:val="auto"/>
          <w:kern w:val="0"/>
          <w:sz w:val="30"/>
          <w:szCs w:val="30"/>
          <w:highlight w:val="none"/>
          <w:lang w:val="zh-CN"/>
        </w:rPr>
        <w:t>项目编号：CZZC2026-J1-990010-HSZB</w:t>
      </w:r>
    </w:p>
    <w:p>
      <w:pPr>
        <w:snapToGrid w:val="0"/>
        <w:spacing w:before="50" w:after="120" w:line="360" w:lineRule="auto"/>
        <w:rPr>
          <w:rFonts w:hint="eastAsia" w:ascii="宋体" w:hAnsi="宋体" w:eastAsia="宋体" w:cs="宋体"/>
          <w:b/>
          <w:bCs/>
          <w:color w:val="auto"/>
          <w:w w:val="95"/>
          <w:kern w:val="0"/>
          <w:sz w:val="30"/>
          <w:szCs w:val="30"/>
          <w:highlight w:val="none"/>
          <w:lang w:val="zh-CN"/>
        </w:rPr>
      </w:pPr>
    </w:p>
    <w:p>
      <w:pPr>
        <w:snapToGrid w:val="0"/>
        <w:spacing w:before="50" w:after="120" w:line="360" w:lineRule="auto"/>
        <w:ind w:firstLine="1125" w:firstLineChars="393"/>
        <w:rPr>
          <w:rFonts w:hint="eastAsia" w:ascii="宋体" w:hAnsi="宋体" w:eastAsia="宋体" w:cs="宋体"/>
          <w:b/>
          <w:bCs/>
          <w:color w:val="auto"/>
          <w:w w:val="95"/>
          <w:kern w:val="0"/>
          <w:sz w:val="30"/>
          <w:szCs w:val="30"/>
          <w:highlight w:val="none"/>
          <w:lang w:val="zh-CN"/>
        </w:rPr>
      </w:pPr>
      <w:r>
        <w:rPr>
          <w:rFonts w:hint="eastAsia" w:ascii="宋体" w:hAnsi="宋体" w:eastAsia="宋体" w:cs="宋体"/>
          <w:b/>
          <w:bCs/>
          <w:color w:val="auto"/>
          <w:w w:val="95"/>
          <w:kern w:val="0"/>
          <w:sz w:val="30"/>
          <w:szCs w:val="30"/>
          <w:highlight w:val="none"/>
          <w:lang w:val="zh-CN"/>
        </w:rPr>
        <w:t>采 购 人：</w:t>
      </w:r>
      <w:r>
        <w:rPr>
          <w:rFonts w:hint="eastAsia" w:hAnsi="宋体"/>
          <w:b/>
          <w:color w:val="auto"/>
          <w:sz w:val="30"/>
          <w:szCs w:val="72"/>
          <w:highlight w:val="none"/>
        </w:rPr>
        <w:t>崇左市公安局</w:t>
      </w:r>
      <w:r>
        <w:rPr>
          <w:rFonts w:hint="eastAsia" w:ascii="宋体" w:hAnsi="宋体" w:eastAsia="宋体" w:cs="宋体"/>
          <w:b/>
          <w:bCs/>
          <w:color w:val="auto"/>
          <w:w w:val="95"/>
          <w:kern w:val="0"/>
          <w:sz w:val="30"/>
          <w:szCs w:val="30"/>
          <w:highlight w:val="none"/>
          <w:lang w:val="zh-CN"/>
        </w:rPr>
        <w:t xml:space="preserve"> </w:t>
      </w:r>
      <w:r>
        <w:rPr>
          <w:rFonts w:hint="eastAsia" w:ascii="宋体" w:hAnsi="宋体" w:eastAsia="宋体" w:cs="宋体"/>
          <w:b/>
          <w:bCs/>
          <w:color w:val="auto"/>
          <w:w w:val="95"/>
          <w:kern w:val="0"/>
          <w:sz w:val="30"/>
          <w:szCs w:val="30"/>
          <w:highlight w:val="none"/>
        </w:rPr>
        <w:t xml:space="preserve"> </w:t>
      </w:r>
    </w:p>
    <w:p>
      <w:pPr>
        <w:snapToGrid w:val="0"/>
        <w:spacing w:before="50" w:after="120" w:line="360" w:lineRule="auto"/>
        <w:ind w:firstLine="1125" w:firstLineChars="393"/>
        <w:rPr>
          <w:rFonts w:hint="eastAsia" w:ascii="宋体" w:hAnsi="宋体" w:eastAsia="宋体" w:cs="宋体"/>
          <w:b/>
          <w:bCs/>
          <w:color w:val="auto"/>
          <w:w w:val="95"/>
          <w:kern w:val="0"/>
          <w:sz w:val="30"/>
          <w:szCs w:val="30"/>
          <w:highlight w:val="none"/>
          <w:lang w:val="zh-CN"/>
        </w:rPr>
      </w:pPr>
      <w:r>
        <w:rPr>
          <w:rFonts w:hint="eastAsia" w:ascii="宋体" w:hAnsi="宋体" w:eastAsia="宋体" w:cs="宋体"/>
          <w:b/>
          <w:bCs/>
          <w:color w:val="auto"/>
          <w:w w:val="95"/>
          <w:kern w:val="0"/>
          <w:sz w:val="30"/>
          <w:szCs w:val="30"/>
          <w:highlight w:val="none"/>
          <w:lang w:val="zh-CN"/>
        </w:rPr>
        <w:t>采购代理机构：</w:t>
      </w:r>
      <w:r>
        <w:rPr>
          <w:rFonts w:hint="eastAsia" w:hAnsi="宋体"/>
          <w:b/>
          <w:color w:val="auto"/>
          <w:sz w:val="30"/>
          <w:szCs w:val="72"/>
        </w:rPr>
        <w:t>广西</w:t>
      </w:r>
      <w:r>
        <w:rPr>
          <w:rFonts w:hint="eastAsia" w:hAnsi="宋体"/>
          <w:b/>
          <w:color w:val="auto"/>
          <w:sz w:val="30"/>
          <w:szCs w:val="72"/>
          <w:lang w:val="en-US" w:eastAsia="zh-CN"/>
        </w:rPr>
        <w:t>华晟</w:t>
      </w:r>
      <w:r>
        <w:rPr>
          <w:rFonts w:hint="eastAsia" w:hAnsi="宋体"/>
          <w:b/>
          <w:color w:val="auto"/>
          <w:sz w:val="30"/>
          <w:szCs w:val="72"/>
        </w:rPr>
        <w:t>招标</w:t>
      </w:r>
      <w:r>
        <w:rPr>
          <w:rFonts w:hint="eastAsia" w:hAnsi="宋体"/>
          <w:b/>
          <w:color w:val="auto"/>
          <w:sz w:val="30"/>
          <w:szCs w:val="72"/>
          <w:lang w:val="en-US" w:eastAsia="zh-CN"/>
        </w:rPr>
        <w:t>代理</w:t>
      </w:r>
      <w:r>
        <w:rPr>
          <w:rFonts w:hint="eastAsia" w:hAnsi="宋体"/>
          <w:b/>
          <w:color w:val="auto"/>
          <w:sz w:val="30"/>
          <w:szCs w:val="72"/>
        </w:rPr>
        <w:t>有限公司</w:t>
      </w:r>
    </w:p>
    <w:p>
      <w:pPr>
        <w:spacing w:line="360" w:lineRule="auto"/>
        <w:jc w:val="center"/>
        <w:rPr>
          <w:rFonts w:hint="eastAsia" w:ascii="宋体" w:hAnsi="宋体" w:eastAsia="宋体" w:cs="宋体"/>
          <w:b/>
          <w:color w:val="auto"/>
          <w:sz w:val="32"/>
          <w:szCs w:val="32"/>
          <w:highlight w:val="none"/>
        </w:rPr>
      </w:pPr>
    </w:p>
    <w:p>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2</w:t>
      </w:r>
      <w:r>
        <w:rPr>
          <w:rFonts w:ascii="宋体" w:hAnsi="宋体" w:eastAsia="宋体" w:cs="宋体"/>
          <w:b/>
          <w:color w:val="auto"/>
          <w:sz w:val="32"/>
          <w:szCs w:val="32"/>
          <w:highlight w:val="none"/>
        </w:rPr>
        <w:t>02</w:t>
      </w:r>
      <w:r>
        <w:rPr>
          <w:rFonts w:hint="eastAsia" w:ascii="宋体" w:hAnsi="宋体" w:eastAsia="宋体" w:cs="宋体"/>
          <w:b/>
          <w:color w:val="auto"/>
          <w:sz w:val="32"/>
          <w:szCs w:val="32"/>
          <w:highlight w:val="none"/>
          <w:lang w:val="en-US" w:eastAsia="zh-CN"/>
        </w:rPr>
        <w:t>6</w:t>
      </w:r>
      <w:r>
        <w:rPr>
          <w:rFonts w:hint="eastAsia" w:ascii="宋体" w:hAnsi="宋体" w:eastAsia="宋体" w:cs="宋体"/>
          <w:b/>
          <w:color w:val="auto"/>
          <w:sz w:val="32"/>
          <w:szCs w:val="32"/>
          <w:highlight w:val="none"/>
        </w:rPr>
        <w:t>年</w:t>
      </w:r>
      <w:r>
        <w:rPr>
          <w:rFonts w:hint="eastAsia" w:ascii="宋体" w:hAnsi="宋体" w:eastAsia="宋体" w:cs="宋体"/>
          <w:b/>
          <w:color w:val="auto"/>
          <w:sz w:val="32"/>
          <w:szCs w:val="32"/>
          <w:highlight w:val="none"/>
          <w:lang w:val="en-US" w:eastAsia="zh-CN"/>
        </w:rPr>
        <w:t xml:space="preserve"> 02</w:t>
      </w:r>
      <w:r>
        <w:rPr>
          <w:rFonts w:hint="eastAsia" w:ascii="宋体" w:hAnsi="宋体" w:eastAsia="宋体" w:cs="宋体"/>
          <w:b/>
          <w:color w:val="auto"/>
          <w:sz w:val="32"/>
          <w:szCs w:val="32"/>
          <w:highlight w:val="none"/>
        </w:rPr>
        <w:t>月</w:t>
      </w:r>
      <w:r>
        <w:rPr>
          <w:rFonts w:hint="eastAsia" w:ascii="宋体" w:hAnsi="宋体" w:eastAsia="宋体" w:cs="宋体"/>
          <w:b/>
          <w:color w:val="auto"/>
          <w:sz w:val="32"/>
          <w:szCs w:val="32"/>
          <w:highlight w:val="none"/>
          <w:lang w:val="en-US" w:eastAsia="zh-CN"/>
        </w:rPr>
        <w:t xml:space="preserve">02 </w:t>
      </w:r>
      <w:r>
        <w:rPr>
          <w:rFonts w:hint="eastAsia" w:ascii="宋体" w:hAnsi="宋体" w:eastAsia="宋体" w:cs="宋体"/>
          <w:b/>
          <w:color w:val="auto"/>
          <w:sz w:val="32"/>
          <w:szCs w:val="32"/>
          <w:highlight w:val="none"/>
        </w:rPr>
        <w:t>日</w:t>
      </w:r>
    </w:p>
    <w:p>
      <w:pPr>
        <w:ind w:firstLine="803"/>
        <w:rPr>
          <w:rFonts w:hint="eastAsia" w:ascii="宋体" w:hAnsi="宋体" w:eastAsia="宋体" w:cs="宋体"/>
          <w:b/>
          <w:color w:val="auto"/>
          <w:sz w:val="32"/>
          <w:szCs w:val="32"/>
          <w:highlight w:val="none"/>
          <w:lang w:val="zh-CN"/>
        </w:rPr>
        <w:sectPr>
          <w:headerReference r:id="rId6" w:type="first"/>
          <w:footerReference r:id="rId8" w:type="first"/>
          <w:headerReference r:id="rId5" w:type="default"/>
          <w:footerReference r:id="rId7" w:type="default"/>
          <w:pgSz w:w="11906" w:h="16838"/>
          <w:pgMar w:top="1440" w:right="1440" w:bottom="1440" w:left="1587" w:header="851" w:footer="992" w:gutter="0"/>
          <w:pgNumType w:start="0"/>
          <w:cols w:space="720" w:num="1"/>
          <w:titlePg/>
          <w:docGrid w:type="lines" w:linePitch="312" w:charSpace="0"/>
        </w:sectPr>
      </w:pPr>
    </w:p>
    <w:p>
      <w:pPr>
        <w:spacing w:line="400" w:lineRule="exact"/>
        <w:jc w:val="left"/>
        <w:rPr>
          <w:rFonts w:hint="eastAsia" w:ascii="宋体" w:hAnsi="宋体" w:eastAsia="宋体" w:cs="Times New Roman"/>
          <w:b/>
          <w:color w:val="auto"/>
          <w:sz w:val="32"/>
          <w:szCs w:val="32"/>
          <w:highlight w:val="none"/>
        </w:rPr>
      </w:pPr>
    </w:p>
    <w:p>
      <w:pPr>
        <w:spacing w:line="360" w:lineRule="auto"/>
        <w:jc w:val="center"/>
        <w:rPr>
          <w:rFonts w:hint="eastAsia" w:ascii="宋体" w:hAnsi="宋体" w:eastAsia="宋体" w:cs="Times New Roman"/>
          <w:b/>
          <w:color w:val="auto"/>
          <w:sz w:val="44"/>
          <w:szCs w:val="44"/>
          <w:highlight w:val="none"/>
        </w:rPr>
      </w:pPr>
      <w:r>
        <w:rPr>
          <w:rFonts w:hint="eastAsia" w:ascii="宋体" w:hAnsi="宋体" w:eastAsia="宋体" w:cs="Times New Roman"/>
          <w:b/>
          <w:color w:val="auto"/>
          <w:sz w:val="44"/>
          <w:szCs w:val="44"/>
          <w:highlight w:val="none"/>
        </w:rPr>
        <w:t>目   录</w:t>
      </w:r>
    </w:p>
    <w:p>
      <w:pPr>
        <w:spacing w:line="400" w:lineRule="exact"/>
        <w:jc w:val="center"/>
        <w:rPr>
          <w:rFonts w:hint="eastAsia" w:ascii="宋体" w:hAnsi="宋体" w:eastAsia="宋体" w:cs="Times New Roman"/>
          <w:b/>
          <w:color w:val="auto"/>
          <w:sz w:val="44"/>
          <w:szCs w:val="44"/>
          <w:highlight w:val="none"/>
        </w:rPr>
      </w:pPr>
    </w:p>
    <w:p>
      <w:pPr>
        <w:pStyle w:val="26"/>
        <w:tabs>
          <w:tab w:val="right" w:leader="dot" w:pos="8879"/>
        </w:tabs>
        <w:rPr>
          <w:rFonts w:hint="eastAsia" w:ascii="宋体" w:hAnsi="宋体" w:eastAsia="宋体" w:cs="宋体"/>
          <w:b/>
          <w:color w:val="auto"/>
          <w:sz w:val="28"/>
          <w:szCs w:val="28"/>
          <w:highlight w:val="none"/>
        </w:rPr>
      </w:pPr>
    </w:p>
    <w:p>
      <w:pPr>
        <w:pStyle w:val="26"/>
        <w:tabs>
          <w:tab w:val="right" w:leader="dot" w:pos="8879"/>
        </w:tabs>
        <w:spacing w:line="480" w:lineRule="auto"/>
        <w:rPr>
          <w:rFonts w:hint="eastAsia" w:asciiTheme="majorEastAsia" w:hAnsiTheme="majorEastAsia" w:eastAsiaTheme="majorEastAsia" w:cstheme="majorEastAsia"/>
          <w:b/>
          <w:bCs/>
          <w:color w:val="auto"/>
          <w:sz w:val="24"/>
          <w:szCs w:val="24"/>
          <w:highlight w:val="none"/>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TOC \o "1-1" \h \u </w:instrText>
      </w:r>
      <w:r>
        <w:rPr>
          <w:rFonts w:hint="eastAsia" w:ascii="宋体" w:hAnsi="宋体" w:eastAsia="宋体" w:cs="宋体"/>
          <w:b/>
          <w:color w:val="auto"/>
          <w:sz w:val="24"/>
          <w:szCs w:val="24"/>
          <w:highlight w:val="none"/>
        </w:rPr>
        <w:fldChar w:fldCharType="separate"/>
      </w:r>
      <w:r>
        <w:rPr>
          <w:color w:val="auto"/>
          <w:highlight w:val="none"/>
        </w:rPr>
        <w:fldChar w:fldCharType="begin"/>
      </w:r>
      <w:r>
        <w:rPr>
          <w:color w:val="auto"/>
          <w:highlight w:val="none"/>
        </w:rPr>
        <w:instrText xml:space="preserve"> HYPERLINK \l "_Toc28468" </w:instrText>
      </w:r>
      <w:r>
        <w:rPr>
          <w:color w:val="auto"/>
          <w:highlight w:val="none"/>
        </w:rPr>
        <w:fldChar w:fldCharType="separate"/>
      </w:r>
      <w:r>
        <w:rPr>
          <w:rFonts w:hint="eastAsia" w:asciiTheme="majorEastAsia" w:hAnsiTheme="majorEastAsia" w:eastAsiaTheme="majorEastAsia" w:cstheme="majorEastAsia"/>
          <w:b/>
          <w:bCs/>
          <w:color w:val="auto"/>
          <w:kern w:val="44"/>
          <w:sz w:val="24"/>
          <w:szCs w:val="24"/>
          <w:highlight w:val="none"/>
          <w:lang w:val="zh-CN"/>
        </w:rPr>
        <w:t>第一章 竞争性谈判公告</w:t>
      </w:r>
      <w:r>
        <w:rPr>
          <w:rFonts w:hint="eastAsia" w:asciiTheme="majorEastAsia" w:hAnsiTheme="majorEastAsia" w:eastAsiaTheme="majorEastAsia" w:cstheme="majorEastAsia"/>
          <w:b/>
          <w:bCs/>
          <w:color w:val="auto"/>
          <w:sz w:val="24"/>
          <w:szCs w:val="24"/>
          <w:highlight w:val="none"/>
        </w:rPr>
        <w:tab/>
      </w:r>
      <w:r>
        <w:rPr>
          <w:rFonts w:hint="eastAsia" w:asciiTheme="majorEastAsia" w:hAnsiTheme="majorEastAsia" w:eastAsiaTheme="majorEastAsia" w:cstheme="majorEastAsia"/>
          <w:b/>
          <w:bCs/>
          <w:color w:val="auto"/>
          <w:sz w:val="24"/>
          <w:szCs w:val="24"/>
          <w:highlight w:val="none"/>
        </w:rPr>
        <w:fldChar w:fldCharType="begin"/>
      </w:r>
      <w:r>
        <w:rPr>
          <w:rFonts w:hint="eastAsia" w:asciiTheme="majorEastAsia" w:hAnsiTheme="majorEastAsia" w:eastAsiaTheme="majorEastAsia" w:cstheme="majorEastAsia"/>
          <w:b/>
          <w:bCs/>
          <w:color w:val="auto"/>
          <w:sz w:val="24"/>
          <w:szCs w:val="24"/>
          <w:highlight w:val="none"/>
        </w:rPr>
        <w:instrText xml:space="preserve"> PAGEREF _Toc28468 </w:instrText>
      </w:r>
      <w:r>
        <w:rPr>
          <w:rFonts w:hint="eastAsia" w:asciiTheme="majorEastAsia" w:hAnsiTheme="majorEastAsia" w:eastAsiaTheme="majorEastAsia" w:cstheme="majorEastAsia"/>
          <w:b/>
          <w:bCs/>
          <w:color w:val="auto"/>
          <w:sz w:val="24"/>
          <w:szCs w:val="24"/>
          <w:highlight w:val="none"/>
        </w:rPr>
        <w:fldChar w:fldCharType="separate"/>
      </w:r>
      <w:r>
        <w:rPr>
          <w:rFonts w:hint="eastAsia" w:asciiTheme="majorEastAsia" w:hAnsiTheme="majorEastAsia" w:eastAsiaTheme="majorEastAsia" w:cstheme="majorEastAsia"/>
          <w:b/>
          <w:bCs/>
          <w:color w:val="auto"/>
          <w:sz w:val="24"/>
          <w:szCs w:val="24"/>
          <w:highlight w:val="none"/>
        </w:rPr>
        <w:t>2</w:t>
      </w:r>
      <w:r>
        <w:rPr>
          <w:rFonts w:hint="eastAsia" w:asciiTheme="majorEastAsia" w:hAnsiTheme="majorEastAsia" w:eastAsiaTheme="majorEastAsia" w:cstheme="majorEastAsia"/>
          <w:b/>
          <w:bCs/>
          <w:color w:val="auto"/>
          <w:sz w:val="24"/>
          <w:szCs w:val="24"/>
          <w:highlight w:val="none"/>
        </w:rPr>
        <w:fldChar w:fldCharType="end"/>
      </w:r>
      <w:r>
        <w:rPr>
          <w:rFonts w:hint="eastAsia" w:asciiTheme="majorEastAsia" w:hAnsiTheme="majorEastAsia" w:eastAsiaTheme="majorEastAsia" w:cstheme="majorEastAsia"/>
          <w:b/>
          <w:bCs/>
          <w:color w:val="auto"/>
          <w:sz w:val="24"/>
          <w:szCs w:val="24"/>
          <w:highlight w:val="none"/>
        </w:rPr>
        <w:fldChar w:fldCharType="end"/>
      </w:r>
    </w:p>
    <w:p>
      <w:pPr>
        <w:pStyle w:val="26"/>
        <w:tabs>
          <w:tab w:val="right" w:leader="dot" w:pos="8879"/>
        </w:tabs>
        <w:spacing w:line="480" w:lineRule="auto"/>
        <w:rPr>
          <w:rFonts w:hint="eastAsia" w:asciiTheme="majorEastAsia" w:hAnsiTheme="majorEastAsia" w:eastAsiaTheme="majorEastAsia" w:cstheme="majorEastAsia"/>
          <w:b/>
          <w:bCs/>
          <w:color w:val="auto"/>
          <w:sz w:val="24"/>
          <w:szCs w:val="24"/>
          <w:highlight w:val="none"/>
        </w:rPr>
      </w:pPr>
      <w:r>
        <w:rPr>
          <w:color w:val="auto"/>
          <w:highlight w:val="none"/>
        </w:rPr>
        <w:fldChar w:fldCharType="begin"/>
      </w:r>
      <w:r>
        <w:rPr>
          <w:color w:val="auto"/>
          <w:highlight w:val="none"/>
        </w:rPr>
        <w:instrText xml:space="preserve"> HYPERLINK \l "_Toc7676" </w:instrText>
      </w:r>
      <w:r>
        <w:rPr>
          <w:color w:val="auto"/>
          <w:highlight w:val="none"/>
        </w:rPr>
        <w:fldChar w:fldCharType="separate"/>
      </w:r>
      <w:r>
        <w:rPr>
          <w:rFonts w:hint="eastAsia" w:asciiTheme="majorEastAsia" w:hAnsiTheme="majorEastAsia" w:eastAsiaTheme="majorEastAsia" w:cstheme="majorEastAsia"/>
          <w:b/>
          <w:bCs/>
          <w:color w:val="auto"/>
          <w:kern w:val="44"/>
          <w:sz w:val="24"/>
          <w:szCs w:val="24"/>
          <w:highlight w:val="none"/>
          <w:lang w:val="zh-CN"/>
        </w:rPr>
        <w:t>第二章 采购需求</w:t>
      </w:r>
      <w:r>
        <w:rPr>
          <w:rFonts w:hint="eastAsia" w:asciiTheme="majorEastAsia" w:hAnsiTheme="majorEastAsia" w:eastAsiaTheme="majorEastAsia" w:cstheme="majorEastAsia"/>
          <w:b/>
          <w:bCs/>
          <w:color w:val="auto"/>
          <w:sz w:val="24"/>
          <w:szCs w:val="24"/>
          <w:highlight w:val="none"/>
        </w:rPr>
        <w:tab/>
      </w:r>
      <w:r>
        <w:rPr>
          <w:rFonts w:hint="eastAsia" w:asciiTheme="majorEastAsia" w:hAnsiTheme="majorEastAsia" w:eastAsiaTheme="majorEastAsia" w:cstheme="majorEastAsia"/>
          <w:b/>
          <w:bCs/>
          <w:color w:val="auto"/>
          <w:sz w:val="24"/>
          <w:szCs w:val="24"/>
          <w:highlight w:val="none"/>
        </w:rPr>
        <w:fldChar w:fldCharType="begin"/>
      </w:r>
      <w:r>
        <w:rPr>
          <w:rFonts w:hint="eastAsia" w:asciiTheme="majorEastAsia" w:hAnsiTheme="majorEastAsia" w:eastAsiaTheme="majorEastAsia" w:cstheme="majorEastAsia"/>
          <w:b/>
          <w:bCs/>
          <w:color w:val="auto"/>
          <w:sz w:val="24"/>
          <w:szCs w:val="24"/>
          <w:highlight w:val="none"/>
        </w:rPr>
        <w:instrText xml:space="preserve"> PAGEREF _Toc7676 </w:instrText>
      </w:r>
      <w:r>
        <w:rPr>
          <w:rFonts w:hint="eastAsia" w:asciiTheme="majorEastAsia" w:hAnsiTheme="majorEastAsia" w:eastAsiaTheme="majorEastAsia" w:cstheme="majorEastAsia"/>
          <w:b/>
          <w:bCs/>
          <w:color w:val="auto"/>
          <w:sz w:val="24"/>
          <w:szCs w:val="24"/>
          <w:highlight w:val="none"/>
        </w:rPr>
        <w:fldChar w:fldCharType="separate"/>
      </w:r>
      <w:r>
        <w:rPr>
          <w:rFonts w:hint="eastAsia" w:asciiTheme="majorEastAsia" w:hAnsiTheme="majorEastAsia" w:eastAsiaTheme="majorEastAsia" w:cstheme="majorEastAsia"/>
          <w:b/>
          <w:bCs/>
          <w:color w:val="auto"/>
          <w:sz w:val="24"/>
          <w:szCs w:val="24"/>
          <w:highlight w:val="none"/>
        </w:rPr>
        <w:t>6</w:t>
      </w:r>
      <w:r>
        <w:rPr>
          <w:rFonts w:hint="eastAsia" w:asciiTheme="majorEastAsia" w:hAnsiTheme="majorEastAsia" w:eastAsiaTheme="majorEastAsia" w:cstheme="majorEastAsia"/>
          <w:b/>
          <w:bCs/>
          <w:color w:val="auto"/>
          <w:sz w:val="24"/>
          <w:szCs w:val="24"/>
          <w:highlight w:val="none"/>
        </w:rPr>
        <w:fldChar w:fldCharType="end"/>
      </w:r>
      <w:r>
        <w:rPr>
          <w:rFonts w:hint="eastAsia" w:asciiTheme="majorEastAsia" w:hAnsiTheme="majorEastAsia" w:eastAsiaTheme="majorEastAsia" w:cstheme="majorEastAsia"/>
          <w:b/>
          <w:bCs/>
          <w:color w:val="auto"/>
          <w:sz w:val="24"/>
          <w:szCs w:val="24"/>
          <w:highlight w:val="none"/>
        </w:rPr>
        <w:fldChar w:fldCharType="end"/>
      </w:r>
    </w:p>
    <w:p>
      <w:pPr>
        <w:pStyle w:val="26"/>
        <w:tabs>
          <w:tab w:val="right" w:leader="dot" w:pos="8879"/>
        </w:tabs>
        <w:spacing w:line="480" w:lineRule="auto"/>
        <w:rPr>
          <w:rFonts w:hint="eastAsia" w:asciiTheme="majorEastAsia" w:hAnsiTheme="majorEastAsia" w:eastAsiaTheme="majorEastAsia" w:cstheme="majorEastAsia"/>
          <w:b/>
          <w:bCs/>
          <w:color w:val="auto"/>
          <w:sz w:val="24"/>
          <w:szCs w:val="24"/>
          <w:highlight w:val="none"/>
        </w:rPr>
      </w:pPr>
      <w:r>
        <w:rPr>
          <w:color w:val="auto"/>
          <w:highlight w:val="none"/>
        </w:rPr>
        <w:fldChar w:fldCharType="begin"/>
      </w:r>
      <w:r>
        <w:rPr>
          <w:color w:val="auto"/>
          <w:highlight w:val="none"/>
        </w:rPr>
        <w:instrText xml:space="preserve"> HYPERLINK \l "_Toc16363" </w:instrText>
      </w:r>
      <w:r>
        <w:rPr>
          <w:color w:val="auto"/>
          <w:highlight w:val="none"/>
        </w:rPr>
        <w:fldChar w:fldCharType="separate"/>
      </w:r>
      <w:r>
        <w:rPr>
          <w:rFonts w:hint="eastAsia" w:asciiTheme="majorEastAsia" w:hAnsiTheme="majorEastAsia" w:eastAsiaTheme="majorEastAsia" w:cstheme="majorEastAsia"/>
          <w:b/>
          <w:bCs/>
          <w:color w:val="auto"/>
          <w:kern w:val="44"/>
          <w:sz w:val="24"/>
          <w:szCs w:val="24"/>
          <w:highlight w:val="none"/>
          <w:lang w:val="zh-CN"/>
        </w:rPr>
        <w:t>第三章 供应商须知</w:t>
      </w:r>
      <w:r>
        <w:rPr>
          <w:rFonts w:hint="eastAsia" w:asciiTheme="majorEastAsia" w:hAnsiTheme="majorEastAsia" w:eastAsiaTheme="majorEastAsia" w:cstheme="majorEastAsia"/>
          <w:b/>
          <w:bCs/>
          <w:color w:val="auto"/>
          <w:sz w:val="24"/>
          <w:szCs w:val="24"/>
          <w:highlight w:val="none"/>
        </w:rPr>
        <w:tab/>
      </w:r>
      <w:r>
        <w:rPr>
          <w:rFonts w:hint="eastAsia" w:asciiTheme="majorEastAsia" w:hAnsiTheme="majorEastAsia" w:eastAsiaTheme="majorEastAsia" w:cstheme="majorEastAsia"/>
          <w:b/>
          <w:bCs/>
          <w:color w:val="auto"/>
          <w:sz w:val="24"/>
          <w:szCs w:val="24"/>
          <w:highlight w:val="none"/>
        </w:rPr>
        <w:fldChar w:fldCharType="begin"/>
      </w:r>
      <w:r>
        <w:rPr>
          <w:rFonts w:hint="eastAsia" w:asciiTheme="majorEastAsia" w:hAnsiTheme="majorEastAsia" w:eastAsiaTheme="majorEastAsia" w:cstheme="majorEastAsia"/>
          <w:b/>
          <w:bCs/>
          <w:color w:val="auto"/>
          <w:sz w:val="24"/>
          <w:szCs w:val="24"/>
          <w:highlight w:val="none"/>
        </w:rPr>
        <w:instrText xml:space="preserve"> PAGEREF _Toc16363 </w:instrText>
      </w:r>
      <w:r>
        <w:rPr>
          <w:rFonts w:hint="eastAsia" w:asciiTheme="majorEastAsia" w:hAnsiTheme="majorEastAsia" w:eastAsiaTheme="majorEastAsia" w:cstheme="majorEastAsia"/>
          <w:b/>
          <w:bCs/>
          <w:color w:val="auto"/>
          <w:sz w:val="24"/>
          <w:szCs w:val="24"/>
          <w:highlight w:val="none"/>
        </w:rPr>
        <w:fldChar w:fldCharType="separate"/>
      </w:r>
      <w:r>
        <w:rPr>
          <w:rFonts w:hint="eastAsia" w:asciiTheme="majorEastAsia" w:hAnsiTheme="majorEastAsia" w:eastAsiaTheme="majorEastAsia" w:cstheme="majorEastAsia"/>
          <w:b/>
          <w:bCs/>
          <w:color w:val="auto"/>
          <w:sz w:val="24"/>
          <w:szCs w:val="24"/>
          <w:highlight w:val="none"/>
        </w:rPr>
        <w:t>20</w:t>
      </w:r>
      <w:r>
        <w:rPr>
          <w:rFonts w:hint="eastAsia" w:asciiTheme="majorEastAsia" w:hAnsiTheme="majorEastAsia" w:eastAsiaTheme="majorEastAsia" w:cstheme="majorEastAsia"/>
          <w:b/>
          <w:bCs/>
          <w:color w:val="auto"/>
          <w:sz w:val="24"/>
          <w:szCs w:val="24"/>
          <w:highlight w:val="none"/>
        </w:rPr>
        <w:fldChar w:fldCharType="end"/>
      </w:r>
      <w:r>
        <w:rPr>
          <w:rFonts w:hint="eastAsia" w:asciiTheme="majorEastAsia" w:hAnsiTheme="majorEastAsia" w:eastAsiaTheme="majorEastAsia" w:cstheme="majorEastAsia"/>
          <w:b/>
          <w:bCs/>
          <w:color w:val="auto"/>
          <w:sz w:val="24"/>
          <w:szCs w:val="24"/>
          <w:highlight w:val="none"/>
        </w:rPr>
        <w:fldChar w:fldCharType="end"/>
      </w:r>
    </w:p>
    <w:p>
      <w:pPr>
        <w:pStyle w:val="26"/>
        <w:tabs>
          <w:tab w:val="right" w:leader="dot" w:pos="8879"/>
        </w:tabs>
        <w:spacing w:line="480" w:lineRule="auto"/>
        <w:rPr>
          <w:rFonts w:hint="eastAsia" w:asciiTheme="majorEastAsia" w:hAnsiTheme="majorEastAsia" w:eastAsiaTheme="majorEastAsia" w:cstheme="majorEastAsia"/>
          <w:b/>
          <w:bCs/>
          <w:color w:val="auto"/>
          <w:sz w:val="24"/>
          <w:szCs w:val="24"/>
          <w:highlight w:val="none"/>
        </w:rPr>
      </w:pPr>
      <w:r>
        <w:rPr>
          <w:color w:val="auto"/>
          <w:highlight w:val="none"/>
        </w:rPr>
        <w:fldChar w:fldCharType="begin"/>
      </w:r>
      <w:r>
        <w:rPr>
          <w:color w:val="auto"/>
          <w:highlight w:val="none"/>
        </w:rPr>
        <w:instrText xml:space="preserve"> HYPERLINK \l "_Toc17139" </w:instrText>
      </w:r>
      <w:r>
        <w:rPr>
          <w:color w:val="auto"/>
          <w:highlight w:val="none"/>
        </w:rPr>
        <w:fldChar w:fldCharType="separate"/>
      </w:r>
      <w:r>
        <w:rPr>
          <w:rFonts w:hint="eastAsia" w:asciiTheme="majorEastAsia" w:hAnsiTheme="majorEastAsia" w:eastAsiaTheme="majorEastAsia" w:cstheme="majorEastAsia"/>
          <w:b/>
          <w:bCs/>
          <w:color w:val="auto"/>
          <w:sz w:val="24"/>
          <w:szCs w:val="24"/>
          <w:highlight w:val="none"/>
          <w:lang w:val="zh-CN"/>
        </w:rPr>
        <w:t>第四章 评审程序、评审方法和成交标准</w:t>
      </w:r>
      <w:r>
        <w:rPr>
          <w:rFonts w:hint="eastAsia" w:asciiTheme="majorEastAsia" w:hAnsiTheme="majorEastAsia" w:eastAsiaTheme="majorEastAsia" w:cstheme="majorEastAsia"/>
          <w:b/>
          <w:bCs/>
          <w:color w:val="auto"/>
          <w:sz w:val="24"/>
          <w:szCs w:val="24"/>
          <w:highlight w:val="none"/>
        </w:rPr>
        <w:tab/>
      </w:r>
      <w:r>
        <w:rPr>
          <w:rFonts w:hint="eastAsia" w:asciiTheme="majorEastAsia" w:hAnsiTheme="majorEastAsia" w:eastAsiaTheme="majorEastAsia" w:cstheme="majorEastAsia"/>
          <w:b/>
          <w:bCs/>
          <w:color w:val="auto"/>
          <w:sz w:val="24"/>
          <w:szCs w:val="24"/>
          <w:highlight w:val="none"/>
        </w:rPr>
        <w:fldChar w:fldCharType="begin"/>
      </w:r>
      <w:r>
        <w:rPr>
          <w:rFonts w:hint="eastAsia" w:asciiTheme="majorEastAsia" w:hAnsiTheme="majorEastAsia" w:eastAsiaTheme="majorEastAsia" w:cstheme="majorEastAsia"/>
          <w:b/>
          <w:bCs/>
          <w:color w:val="auto"/>
          <w:sz w:val="24"/>
          <w:szCs w:val="24"/>
          <w:highlight w:val="none"/>
        </w:rPr>
        <w:instrText xml:space="preserve"> PAGEREF _Toc17139 </w:instrText>
      </w:r>
      <w:r>
        <w:rPr>
          <w:rFonts w:hint="eastAsia" w:asciiTheme="majorEastAsia" w:hAnsiTheme="majorEastAsia" w:eastAsiaTheme="majorEastAsia" w:cstheme="majorEastAsia"/>
          <w:b/>
          <w:bCs/>
          <w:color w:val="auto"/>
          <w:sz w:val="24"/>
          <w:szCs w:val="24"/>
          <w:highlight w:val="none"/>
        </w:rPr>
        <w:fldChar w:fldCharType="separate"/>
      </w:r>
      <w:r>
        <w:rPr>
          <w:rFonts w:hint="eastAsia" w:asciiTheme="majorEastAsia" w:hAnsiTheme="majorEastAsia" w:eastAsiaTheme="majorEastAsia" w:cstheme="majorEastAsia"/>
          <w:b/>
          <w:bCs/>
          <w:color w:val="auto"/>
          <w:sz w:val="24"/>
          <w:szCs w:val="24"/>
          <w:highlight w:val="none"/>
        </w:rPr>
        <w:t>44</w:t>
      </w:r>
      <w:r>
        <w:rPr>
          <w:rFonts w:hint="eastAsia" w:asciiTheme="majorEastAsia" w:hAnsiTheme="majorEastAsia" w:eastAsiaTheme="majorEastAsia" w:cstheme="majorEastAsia"/>
          <w:b/>
          <w:bCs/>
          <w:color w:val="auto"/>
          <w:sz w:val="24"/>
          <w:szCs w:val="24"/>
          <w:highlight w:val="none"/>
        </w:rPr>
        <w:fldChar w:fldCharType="end"/>
      </w:r>
      <w:r>
        <w:rPr>
          <w:rFonts w:hint="eastAsia" w:asciiTheme="majorEastAsia" w:hAnsiTheme="majorEastAsia" w:eastAsiaTheme="majorEastAsia" w:cstheme="majorEastAsia"/>
          <w:b/>
          <w:bCs/>
          <w:color w:val="auto"/>
          <w:sz w:val="24"/>
          <w:szCs w:val="24"/>
          <w:highlight w:val="none"/>
        </w:rPr>
        <w:fldChar w:fldCharType="end"/>
      </w:r>
    </w:p>
    <w:p>
      <w:pPr>
        <w:pStyle w:val="26"/>
        <w:tabs>
          <w:tab w:val="right" w:leader="dot" w:pos="8879"/>
        </w:tabs>
        <w:spacing w:line="480" w:lineRule="auto"/>
        <w:rPr>
          <w:rFonts w:hint="eastAsia" w:asciiTheme="majorEastAsia" w:hAnsiTheme="majorEastAsia" w:eastAsiaTheme="majorEastAsia" w:cstheme="majorEastAsia"/>
          <w:b/>
          <w:bCs/>
          <w:color w:val="auto"/>
          <w:sz w:val="24"/>
          <w:szCs w:val="24"/>
          <w:highlight w:val="none"/>
        </w:rPr>
      </w:pPr>
      <w:r>
        <w:rPr>
          <w:color w:val="auto"/>
          <w:highlight w:val="none"/>
        </w:rPr>
        <w:fldChar w:fldCharType="begin"/>
      </w:r>
      <w:r>
        <w:rPr>
          <w:color w:val="auto"/>
          <w:highlight w:val="none"/>
        </w:rPr>
        <w:instrText xml:space="preserve"> HYPERLINK \l "_Toc25678" </w:instrText>
      </w:r>
      <w:r>
        <w:rPr>
          <w:color w:val="auto"/>
          <w:highlight w:val="none"/>
        </w:rPr>
        <w:fldChar w:fldCharType="separate"/>
      </w:r>
      <w:r>
        <w:rPr>
          <w:rFonts w:hint="eastAsia" w:asciiTheme="majorEastAsia" w:hAnsiTheme="majorEastAsia" w:eastAsiaTheme="majorEastAsia" w:cstheme="majorEastAsia"/>
          <w:b/>
          <w:bCs/>
          <w:color w:val="auto"/>
          <w:kern w:val="44"/>
          <w:sz w:val="24"/>
          <w:szCs w:val="24"/>
          <w:highlight w:val="none"/>
          <w:lang w:val="zh-CN"/>
        </w:rPr>
        <w:t>第五章 响应文件格式</w:t>
      </w:r>
      <w:r>
        <w:rPr>
          <w:rFonts w:hint="eastAsia" w:asciiTheme="majorEastAsia" w:hAnsiTheme="majorEastAsia" w:eastAsiaTheme="majorEastAsia" w:cstheme="majorEastAsia"/>
          <w:b/>
          <w:bCs/>
          <w:color w:val="auto"/>
          <w:sz w:val="24"/>
          <w:szCs w:val="24"/>
          <w:highlight w:val="none"/>
        </w:rPr>
        <w:tab/>
      </w:r>
      <w:r>
        <w:rPr>
          <w:rFonts w:hint="eastAsia" w:asciiTheme="majorEastAsia" w:hAnsiTheme="majorEastAsia" w:eastAsiaTheme="majorEastAsia" w:cstheme="majorEastAsia"/>
          <w:b/>
          <w:bCs/>
          <w:color w:val="auto"/>
          <w:sz w:val="24"/>
          <w:szCs w:val="24"/>
          <w:highlight w:val="none"/>
        </w:rPr>
        <w:fldChar w:fldCharType="begin"/>
      </w:r>
      <w:r>
        <w:rPr>
          <w:rFonts w:hint="eastAsia" w:asciiTheme="majorEastAsia" w:hAnsiTheme="majorEastAsia" w:eastAsiaTheme="majorEastAsia" w:cstheme="majorEastAsia"/>
          <w:b/>
          <w:bCs/>
          <w:color w:val="auto"/>
          <w:sz w:val="24"/>
          <w:szCs w:val="24"/>
          <w:highlight w:val="none"/>
        </w:rPr>
        <w:instrText xml:space="preserve"> PAGEREF _Toc25678 </w:instrText>
      </w:r>
      <w:r>
        <w:rPr>
          <w:rFonts w:hint="eastAsia" w:asciiTheme="majorEastAsia" w:hAnsiTheme="majorEastAsia" w:eastAsiaTheme="majorEastAsia" w:cstheme="majorEastAsia"/>
          <w:b/>
          <w:bCs/>
          <w:color w:val="auto"/>
          <w:sz w:val="24"/>
          <w:szCs w:val="24"/>
          <w:highlight w:val="none"/>
        </w:rPr>
        <w:fldChar w:fldCharType="separate"/>
      </w:r>
      <w:r>
        <w:rPr>
          <w:rFonts w:hint="eastAsia" w:asciiTheme="majorEastAsia" w:hAnsiTheme="majorEastAsia" w:eastAsiaTheme="majorEastAsia" w:cstheme="majorEastAsia"/>
          <w:b/>
          <w:bCs/>
          <w:color w:val="auto"/>
          <w:sz w:val="24"/>
          <w:szCs w:val="24"/>
          <w:highlight w:val="none"/>
        </w:rPr>
        <w:t>51</w:t>
      </w:r>
      <w:r>
        <w:rPr>
          <w:rFonts w:hint="eastAsia" w:asciiTheme="majorEastAsia" w:hAnsiTheme="majorEastAsia" w:eastAsiaTheme="majorEastAsia" w:cstheme="majorEastAsia"/>
          <w:b/>
          <w:bCs/>
          <w:color w:val="auto"/>
          <w:sz w:val="24"/>
          <w:szCs w:val="24"/>
          <w:highlight w:val="none"/>
        </w:rPr>
        <w:fldChar w:fldCharType="end"/>
      </w:r>
      <w:r>
        <w:rPr>
          <w:rFonts w:hint="eastAsia" w:asciiTheme="majorEastAsia" w:hAnsiTheme="majorEastAsia" w:eastAsiaTheme="majorEastAsia" w:cstheme="majorEastAsia"/>
          <w:b/>
          <w:bCs/>
          <w:color w:val="auto"/>
          <w:sz w:val="24"/>
          <w:szCs w:val="24"/>
          <w:highlight w:val="none"/>
        </w:rPr>
        <w:fldChar w:fldCharType="end"/>
      </w:r>
    </w:p>
    <w:p>
      <w:pPr>
        <w:pStyle w:val="26"/>
        <w:tabs>
          <w:tab w:val="right" w:leader="dot" w:pos="8879"/>
        </w:tabs>
        <w:spacing w:line="480" w:lineRule="auto"/>
        <w:rPr>
          <w:rFonts w:hint="eastAsia" w:asciiTheme="majorEastAsia" w:hAnsiTheme="majorEastAsia" w:eastAsiaTheme="majorEastAsia" w:cstheme="majorEastAsia"/>
          <w:b/>
          <w:bCs/>
          <w:color w:val="auto"/>
          <w:sz w:val="24"/>
          <w:szCs w:val="24"/>
          <w:highlight w:val="none"/>
        </w:rPr>
      </w:pPr>
      <w:r>
        <w:rPr>
          <w:color w:val="auto"/>
          <w:highlight w:val="none"/>
        </w:rPr>
        <w:fldChar w:fldCharType="begin"/>
      </w:r>
      <w:r>
        <w:rPr>
          <w:color w:val="auto"/>
          <w:highlight w:val="none"/>
        </w:rPr>
        <w:instrText xml:space="preserve"> HYPERLINK \l "_Toc4631" </w:instrText>
      </w:r>
      <w:r>
        <w:rPr>
          <w:color w:val="auto"/>
          <w:highlight w:val="none"/>
        </w:rPr>
        <w:fldChar w:fldCharType="separate"/>
      </w:r>
      <w:r>
        <w:rPr>
          <w:rFonts w:hint="eastAsia" w:asciiTheme="majorEastAsia" w:hAnsiTheme="majorEastAsia" w:eastAsiaTheme="majorEastAsia" w:cstheme="majorEastAsia"/>
          <w:b/>
          <w:bCs/>
          <w:color w:val="auto"/>
          <w:kern w:val="44"/>
          <w:sz w:val="24"/>
          <w:szCs w:val="24"/>
          <w:highlight w:val="none"/>
          <w:lang w:val="zh-CN"/>
        </w:rPr>
        <w:t>第六章 合同文本</w:t>
      </w:r>
      <w:r>
        <w:rPr>
          <w:rFonts w:hint="eastAsia" w:asciiTheme="majorEastAsia" w:hAnsiTheme="majorEastAsia" w:eastAsiaTheme="majorEastAsia" w:cstheme="majorEastAsia"/>
          <w:b/>
          <w:bCs/>
          <w:color w:val="auto"/>
          <w:sz w:val="24"/>
          <w:szCs w:val="24"/>
          <w:highlight w:val="none"/>
        </w:rPr>
        <w:tab/>
      </w:r>
      <w:r>
        <w:rPr>
          <w:rFonts w:hint="eastAsia" w:asciiTheme="majorEastAsia" w:hAnsiTheme="majorEastAsia" w:eastAsiaTheme="majorEastAsia" w:cstheme="majorEastAsia"/>
          <w:b/>
          <w:bCs/>
          <w:color w:val="auto"/>
          <w:sz w:val="24"/>
          <w:szCs w:val="24"/>
          <w:highlight w:val="none"/>
        </w:rPr>
        <w:fldChar w:fldCharType="begin"/>
      </w:r>
      <w:r>
        <w:rPr>
          <w:rFonts w:hint="eastAsia" w:asciiTheme="majorEastAsia" w:hAnsiTheme="majorEastAsia" w:eastAsiaTheme="majorEastAsia" w:cstheme="majorEastAsia"/>
          <w:b/>
          <w:bCs/>
          <w:color w:val="auto"/>
          <w:sz w:val="24"/>
          <w:szCs w:val="24"/>
          <w:highlight w:val="none"/>
        </w:rPr>
        <w:instrText xml:space="preserve"> PAGEREF _Toc4631 </w:instrText>
      </w:r>
      <w:r>
        <w:rPr>
          <w:rFonts w:hint="eastAsia" w:asciiTheme="majorEastAsia" w:hAnsiTheme="majorEastAsia" w:eastAsiaTheme="majorEastAsia" w:cstheme="majorEastAsia"/>
          <w:b/>
          <w:bCs/>
          <w:color w:val="auto"/>
          <w:sz w:val="24"/>
          <w:szCs w:val="24"/>
          <w:highlight w:val="none"/>
        </w:rPr>
        <w:fldChar w:fldCharType="separate"/>
      </w:r>
      <w:r>
        <w:rPr>
          <w:rFonts w:hint="eastAsia" w:asciiTheme="majorEastAsia" w:hAnsiTheme="majorEastAsia" w:eastAsiaTheme="majorEastAsia" w:cstheme="majorEastAsia"/>
          <w:b/>
          <w:bCs/>
          <w:color w:val="auto"/>
          <w:sz w:val="24"/>
          <w:szCs w:val="24"/>
          <w:highlight w:val="none"/>
        </w:rPr>
        <w:t>76</w:t>
      </w:r>
      <w:r>
        <w:rPr>
          <w:rFonts w:hint="eastAsia" w:asciiTheme="majorEastAsia" w:hAnsiTheme="majorEastAsia" w:eastAsiaTheme="majorEastAsia" w:cstheme="majorEastAsia"/>
          <w:b/>
          <w:bCs/>
          <w:color w:val="auto"/>
          <w:sz w:val="24"/>
          <w:szCs w:val="24"/>
          <w:highlight w:val="none"/>
        </w:rPr>
        <w:fldChar w:fldCharType="end"/>
      </w:r>
      <w:r>
        <w:rPr>
          <w:rFonts w:hint="eastAsia" w:asciiTheme="majorEastAsia" w:hAnsiTheme="majorEastAsia" w:eastAsiaTheme="majorEastAsia" w:cstheme="majorEastAsia"/>
          <w:b/>
          <w:bCs/>
          <w:color w:val="auto"/>
          <w:sz w:val="24"/>
          <w:szCs w:val="24"/>
          <w:highlight w:val="none"/>
        </w:rPr>
        <w:fldChar w:fldCharType="end"/>
      </w:r>
    </w:p>
    <w:p>
      <w:pPr>
        <w:pStyle w:val="26"/>
        <w:tabs>
          <w:tab w:val="right" w:leader="dot" w:pos="8879"/>
        </w:tabs>
        <w:spacing w:line="480" w:lineRule="auto"/>
        <w:rPr>
          <w:color w:val="auto"/>
          <w:highlight w:val="none"/>
        </w:rPr>
      </w:pPr>
      <w:r>
        <w:rPr>
          <w:color w:val="auto"/>
          <w:highlight w:val="none"/>
        </w:rPr>
        <w:fldChar w:fldCharType="begin"/>
      </w:r>
      <w:r>
        <w:rPr>
          <w:color w:val="auto"/>
          <w:highlight w:val="none"/>
        </w:rPr>
        <w:instrText xml:space="preserve"> HYPERLINK \l "_Toc24483" </w:instrText>
      </w:r>
      <w:r>
        <w:rPr>
          <w:color w:val="auto"/>
          <w:highlight w:val="none"/>
        </w:rPr>
        <w:fldChar w:fldCharType="separate"/>
      </w:r>
      <w:r>
        <w:rPr>
          <w:rFonts w:hint="eastAsia" w:asciiTheme="majorEastAsia" w:hAnsiTheme="majorEastAsia" w:eastAsiaTheme="majorEastAsia" w:cstheme="majorEastAsia"/>
          <w:b/>
          <w:bCs/>
          <w:color w:val="auto"/>
          <w:kern w:val="44"/>
          <w:sz w:val="24"/>
          <w:szCs w:val="24"/>
          <w:highlight w:val="none"/>
          <w:lang w:val="zh-CN"/>
        </w:rPr>
        <w:t>第七章 质疑、投诉材料格式</w:t>
      </w:r>
      <w:r>
        <w:rPr>
          <w:rFonts w:hint="eastAsia" w:asciiTheme="majorEastAsia" w:hAnsiTheme="majorEastAsia" w:eastAsiaTheme="majorEastAsia" w:cstheme="majorEastAsia"/>
          <w:b/>
          <w:bCs/>
          <w:color w:val="auto"/>
          <w:sz w:val="24"/>
          <w:szCs w:val="24"/>
          <w:highlight w:val="none"/>
        </w:rPr>
        <w:tab/>
      </w:r>
      <w:r>
        <w:rPr>
          <w:rFonts w:hint="eastAsia" w:asciiTheme="majorEastAsia" w:hAnsiTheme="majorEastAsia" w:eastAsiaTheme="majorEastAsia" w:cstheme="majorEastAsia"/>
          <w:b/>
          <w:bCs/>
          <w:color w:val="auto"/>
          <w:sz w:val="24"/>
          <w:szCs w:val="24"/>
          <w:highlight w:val="none"/>
        </w:rPr>
        <w:fldChar w:fldCharType="begin"/>
      </w:r>
      <w:r>
        <w:rPr>
          <w:rFonts w:hint="eastAsia" w:asciiTheme="majorEastAsia" w:hAnsiTheme="majorEastAsia" w:eastAsiaTheme="majorEastAsia" w:cstheme="majorEastAsia"/>
          <w:b/>
          <w:bCs/>
          <w:color w:val="auto"/>
          <w:sz w:val="24"/>
          <w:szCs w:val="24"/>
          <w:highlight w:val="none"/>
        </w:rPr>
        <w:instrText xml:space="preserve"> PAGEREF _Toc24483 </w:instrText>
      </w:r>
      <w:r>
        <w:rPr>
          <w:rFonts w:hint="eastAsia" w:asciiTheme="majorEastAsia" w:hAnsiTheme="majorEastAsia" w:eastAsiaTheme="majorEastAsia" w:cstheme="majorEastAsia"/>
          <w:b/>
          <w:bCs/>
          <w:color w:val="auto"/>
          <w:sz w:val="24"/>
          <w:szCs w:val="24"/>
          <w:highlight w:val="none"/>
        </w:rPr>
        <w:fldChar w:fldCharType="separate"/>
      </w:r>
      <w:r>
        <w:rPr>
          <w:rFonts w:hint="eastAsia" w:asciiTheme="majorEastAsia" w:hAnsiTheme="majorEastAsia" w:eastAsiaTheme="majorEastAsia" w:cstheme="majorEastAsia"/>
          <w:b/>
          <w:bCs/>
          <w:color w:val="auto"/>
          <w:sz w:val="24"/>
          <w:szCs w:val="24"/>
          <w:highlight w:val="none"/>
        </w:rPr>
        <w:t>84</w:t>
      </w:r>
      <w:r>
        <w:rPr>
          <w:rFonts w:hint="eastAsia" w:asciiTheme="majorEastAsia" w:hAnsiTheme="majorEastAsia" w:eastAsiaTheme="majorEastAsia" w:cstheme="majorEastAsia"/>
          <w:b/>
          <w:bCs/>
          <w:color w:val="auto"/>
          <w:sz w:val="24"/>
          <w:szCs w:val="24"/>
          <w:highlight w:val="none"/>
        </w:rPr>
        <w:fldChar w:fldCharType="end"/>
      </w:r>
      <w:r>
        <w:rPr>
          <w:rFonts w:hint="eastAsia" w:asciiTheme="majorEastAsia" w:hAnsiTheme="majorEastAsia" w:eastAsiaTheme="majorEastAsia" w:cstheme="majorEastAsia"/>
          <w:b/>
          <w:bCs/>
          <w:color w:val="auto"/>
          <w:sz w:val="24"/>
          <w:szCs w:val="24"/>
          <w:highlight w:val="none"/>
        </w:rPr>
        <w:fldChar w:fldCharType="end"/>
      </w:r>
    </w:p>
    <w:p>
      <w:pPr>
        <w:spacing w:line="480" w:lineRule="auto"/>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fldChar w:fldCharType="end"/>
      </w:r>
    </w:p>
    <w:p>
      <w:pPr>
        <w:spacing w:line="400" w:lineRule="exact"/>
        <w:jc w:val="center"/>
        <w:rPr>
          <w:rFonts w:hint="eastAsia" w:ascii="宋体" w:hAnsi="宋体" w:eastAsia="宋体" w:cs="Times New Roman"/>
          <w:b/>
          <w:color w:val="auto"/>
          <w:sz w:val="32"/>
          <w:szCs w:val="32"/>
          <w:highlight w:val="none"/>
        </w:rPr>
      </w:pPr>
    </w:p>
    <w:p>
      <w:pPr>
        <w:spacing w:line="400" w:lineRule="exact"/>
        <w:jc w:val="center"/>
        <w:rPr>
          <w:rFonts w:hint="eastAsia" w:ascii="宋体" w:hAnsi="宋体" w:eastAsia="宋体" w:cs="Times New Roman"/>
          <w:b/>
          <w:color w:val="auto"/>
          <w:sz w:val="32"/>
          <w:szCs w:val="32"/>
          <w:highlight w:val="none"/>
        </w:rPr>
      </w:pPr>
    </w:p>
    <w:p>
      <w:pPr>
        <w:spacing w:line="400" w:lineRule="exact"/>
        <w:rPr>
          <w:rFonts w:hint="eastAsia" w:ascii="宋体" w:hAnsi="宋体" w:eastAsia="宋体" w:cs="Times New Roman"/>
          <w:b/>
          <w:color w:val="auto"/>
          <w:sz w:val="32"/>
          <w:szCs w:val="32"/>
          <w:highlight w:val="none"/>
        </w:rPr>
        <w:sectPr>
          <w:footerReference r:id="rId10" w:type="first"/>
          <w:footerReference r:id="rId9" w:type="default"/>
          <w:pgSz w:w="11906" w:h="16838"/>
          <w:pgMar w:top="1440" w:right="1440" w:bottom="1440" w:left="1587" w:header="851" w:footer="992" w:gutter="0"/>
          <w:pgNumType w:fmt="decimal" w:start="1"/>
          <w:cols w:space="720" w:num="1"/>
          <w:titlePg/>
          <w:docGrid w:type="lines" w:linePitch="312" w:charSpace="0"/>
        </w:sectPr>
      </w:pPr>
    </w:p>
    <w:p>
      <w:pPr>
        <w:keepNext/>
        <w:keepLines/>
        <w:spacing w:before="340" w:after="330" w:line="400" w:lineRule="exact"/>
        <w:jc w:val="center"/>
        <w:outlineLvl w:val="0"/>
        <w:rPr>
          <w:rFonts w:ascii="Times New Roman" w:hAnsi="Times New Roman" w:eastAsia="宋体" w:cs="Times New Roman"/>
          <w:b/>
          <w:bCs/>
          <w:color w:val="auto"/>
          <w:kern w:val="44"/>
          <w:sz w:val="44"/>
          <w:szCs w:val="44"/>
          <w:highlight w:val="none"/>
          <w:lang w:val="zh-CN"/>
        </w:rPr>
      </w:pPr>
      <w:bookmarkStart w:id="2" w:name="_Toc80205920"/>
      <w:bookmarkStart w:id="3" w:name="_Toc7085"/>
      <w:bookmarkStart w:id="4" w:name="_Toc21558"/>
      <w:bookmarkStart w:id="5" w:name="_Toc15375"/>
      <w:bookmarkStart w:id="6" w:name="_Toc21011"/>
      <w:bookmarkStart w:id="7" w:name="_Toc2567"/>
      <w:bookmarkStart w:id="8" w:name="_Toc6626"/>
      <w:bookmarkStart w:id="9" w:name="_Toc28468"/>
      <w:bookmarkStart w:id="10" w:name="_Toc32002"/>
      <w:r>
        <w:rPr>
          <w:rFonts w:hint="eastAsia" w:ascii="Times New Roman" w:hAnsi="Times New Roman" w:eastAsia="宋体" w:cs="Times New Roman"/>
          <w:b/>
          <w:bCs/>
          <w:color w:val="auto"/>
          <w:kern w:val="44"/>
          <w:sz w:val="44"/>
          <w:szCs w:val="44"/>
          <w:highlight w:val="none"/>
          <w:lang w:val="zh-CN"/>
        </w:rPr>
        <w:t>第一章 竞争性谈判公告</w:t>
      </w:r>
      <w:bookmarkEnd w:id="2"/>
      <w:bookmarkEnd w:id="3"/>
      <w:bookmarkEnd w:id="4"/>
      <w:bookmarkEnd w:id="5"/>
      <w:bookmarkEnd w:id="6"/>
      <w:bookmarkEnd w:id="7"/>
      <w:bookmarkEnd w:id="8"/>
      <w:bookmarkEnd w:id="9"/>
      <w:bookmarkEnd w:id="10"/>
      <w:bookmarkStart w:id="11" w:name="_Toc28359089"/>
      <w:bookmarkStart w:id="12" w:name="_Toc35393629"/>
      <w:bookmarkStart w:id="13" w:name="_Toc28359012"/>
      <w:bookmarkStart w:id="14" w:name="_Toc44229878"/>
      <w:bookmarkStart w:id="15" w:name="_Toc35393798"/>
      <w:bookmarkStart w:id="16" w:name="_Toc35393792"/>
      <w:bookmarkStart w:id="17" w:name="_Toc35393623"/>
      <w:bookmarkStart w:id="18" w:name="_Toc28359081"/>
      <w:bookmarkStart w:id="19" w:name="_Toc28359004"/>
    </w:p>
    <w:tbl>
      <w:tblPr>
        <w:tblStyle w:val="32"/>
        <w:tblW w:w="9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1" w:hRule="atLeast"/>
        </w:trPr>
        <w:tc>
          <w:tcPr>
            <w:tcW w:w="9560" w:type="dxa"/>
          </w:tcPr>
          <w:p>
            <w:pPr>
              <w:spacing w:line="360" w:lineRule="auto"/>
              <w:ind w:firstLine="420" w:firstLineChars="200"/>
              <w:rPr>
                <w:color w:val="auto"/>
                <w:szCs w:val="21"/>
                <w:highlight w:val="none"/>
              </w:rPr>
            </w:pPr>
            <w:r>
              <w:rPr>
                <w:rFonts w:hint="eastAsia"/>
                <w:color w:val="auto"/>
                <w:szCs w:val="21"/>
                <w:highlight w:val="none"/>
              </w:rPr>
              <w:t>项目概况</w:t>
            </w:r>
          </w:p>
          <w:p>
            <w:pPr>
              <w:spacing w:line="360" w:lineRule="auto"/>
              <w:ind w:firstLine="420" w:firstLineChars="200"/>
              <w:rPr>
                <w:rFonts w:hint="eastAsia" w:ascii="黑体" w:hAnsi="黑体" w:eastAsia="黑体" w:cs="宋体"/>
                <w:bCs/>
                <w:color w:val="auto"/>
                <w:sz w:val="24"/>
                <w:highlight w:val="none"/>
              </w:rPr>
            </w:pPr>
            <w:r>
              <w:rPr>
                <w:rFonts w:hint="eastAsia" w:ascii="宋体" w:hAnsi="宋体"/>
                <w:color w:val="auto"/>
                <w:szCs w:val="21"/>
                <w:highlight w:val="none"/>
                <w:u w:val="single"/>
                <w:lang w:val="zh-CN"/>
              </w:rPr>
              <w:t>崇左市公安局安保维稳装备项目（</w:t>
            </w:r>
            <w:r>
              <w:rPr>
                <w:rFonts w:hint="eastAsia" w:ascii="宋体" w:hAnsi="宋体"/>
                <w:color w:val="auto"/>
                <w:szCs w:val="21"/>
                <w:highlight w:val="none"/>
                <w:u w:val="single"/>
                <w:lang w:val="zh-CN" w:eastAsia="zh-CN"/>
              </w:rPr>
              <w:t>分标2重</w:t>
            </w:r>
            <w:r>
              <w:rPr>
                <w:rFonts w:hint="eastAsia" w:ascii="宋体" w:hAnsi="宋体"/>
                <w:color w:val="auto"/>
                <w:szCs w:val="21"/>
                <w:highlight w:val="none"/>
                <w:u w:val="single"/>
                <w:lang w:val="en-US" w:eastAsia="zh-CN"/>
              </w:rPr>
              <w:t>2</w:t>
            </w:r>
            <w:r>
              <w:rPr>
                <w:rFonts w:hint="eastAsia" w:ascii="宋体" w:hAnsi="宋体"/>
                <w:color w:val="auto"/>
                <w:szCs w:val="21"/>
                <w:highlight w:val="none"/>
                <w:u w:val="single"/>
                <w:lang w:val="zh-CN"/>
              </w:rPr>
              <w:t>）</w:t>
            </w:r>
            <w:r>
              <w:rPr>
                <w:rFonts w:hint="eastAsia" w:ascii="宋体" w:hAnsi="宋体"/>
                <w:color w:val="auto"/>
                <w:szCs w:val="21"/>
                <w:highlight w:val="none"/>
              </w:rPr>
              <w:t>采购项目</w:t>
            </w:r>
            <w:r>
              <w:rPr>
                <w:rFonts w:hint="eastAsia"/>
                <w:color w:val="auto"/>
                <w:szCs w:val="21"/>
                <w:highlight w:val="none"/>
              </w:rPr>
              <w:t>的潜在供应商应在</w:t>
            </w:r>
            <w:r>
              <w:rPr>
                <w:rFonts w:hint="eastAsia" w:ascii="宋体" w:hAnsi="宋体" w:cs="宋体"/>
                <w:color w:val="auto"/>
                <w:szCs w:val="21"/>
                <w:highlight w:val="none"/>
              </w:rPr>
              <w:t>广西政府采购云平台（</w:t>
            </w:r>
            <w:r>
              <w:rPr>
                <w:color w:val="auto"/>
                <w:highlight w:val="none"/>
                <w:u w:val="none"/>
              </w:rPr>
              <w:fldChar w:fldCharType="begin"/>
            </w:r>
            <w:r>
              <w:rPr>
                <w:color w:val="auto"/>
                <w:highlight w:val="none"/>
                <w:u w:val="none"/>
              </w:rPr>
              <w:instrText xml:space="preserve"> HYPERLINK "https://www.gcy.zfcg.gxzf.gov.cn/）获取采购文件，并于" </w:instrText>
            </w:r>
            <w:r>
              <w:rPr>
                <w:color w:val="auto"/>
                <w:highlight w:val="none"/>
                <w:u w:val="none"/>
              </w:rPr>
              <w:fldChar w:fldCharType="separate"/>
            </w:r>
            <w:r>
              <w:rPr>
                <w:rStyle w:val="39"/>
                <w:rFonts w:hint="eastAsia" w:ascii="宋体" w:hAnsi="宋体" w:eastAsia="宋体" w:cs="宋体"/>
                <w:bCs/>
                <w:color w:val="auto"/>
                <w:szCs w:val="21"/>
                <w:highlight w:val="none"/>
                <w:u w:val="none"/>
              </w:rPr>
              <w:t>https://www.gcy.zfcg.gxzf.gov.cn/</w:t>
            </w:r>
            <w:r>
              <w:rPr>
                <w:rStyle w:val="39"/>
                <w:rFonts w:hint="eastAsia" w:ascii="宋体" w:hAnsi="宋体" w:cs="宋体"/>
                <w:color w:val="auto"/>
                <w:szCs w:val="21"/>
                <w:highlight w:val="none"/>
                <w:u w:val="none"/>
              </w:rPr>
              <w:t>）</w:t>
            </w:r>
            <w:r>
              <w:rPr>
                <w:rStyle w:val="39"/>
                <w:rFonts w:hint="eastAsia"/>
                <w:color w:val="auto"/>
                <w:szCs w:val="21"/>
                <w:highlight w:val="none"/>
                <w:u w:val="none"/>
              </w:rPr>
              <w:t>获取采购文件，并于</w:t>
            </w:r>
            <w:r>
              <w:rPr>
                <w:rStyle w:val="39"/>
                <w:rFonts w:hint="eastAsia"/>
                <w:color w:val="auto"/>
                <w:szCs w:val="21"/>
                <w:highlight w:val="none"/>
                <w:u w:val="none"/>
              </w:rPr>
              <w:fldChar w:fldCharType="end"/>
            </w: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02</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 xml:space="preserve">06 </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点</w:t>
            </w: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分（北京时间）前提交响应文件</w:t>
            </w:r>
            <w:r>
              <w:rPr>
                <w:rFonts w:hint="eastAsia"/>
                <w:color w:val="auto"/>
                <w:szCs w:val="21"/>
                <w:highlight w:val="none"/>
              </w:rPr>
              <w:t>。</w:t>
            </w:r>
          </w:p>
        </w:tc>
      </w:tr>
    </w:tbl>
    <w:p>
      <w:pPr>
        <w:rPr>
          <w:rFonts w:ascii="Times New Roman" w:hAnsi="Times New Roman" w:eastAsia="宋体" w:cs="Times New Roman"/>
          <w:color w:val="auto"/>
          <w:szCs w:val="24"/>
          <w:highlight w:val="none"/>
        </w:rPr>
      </w:pPr>
    </w:p>
    <w:p>
      <w:pPr>
        <w:keepNext w:val="0"/>
        <w:keepLines w:val="0"/>
        <w:pageBreakBefore w:val="0"/>
        <w:kinsoku/>
        <w:wordWrap/>
        <w:overflowPunct/>
        <w:topLinePunct w:val="0"/>
        <w:autoSpaceDE/>
        <w:autoSpaceDN/>
        <w:bidi w:val="0"/>
        <w:adjustRightInd/>
        <w:spacing w:line="360" w:lineRule="exact"/>
        <w:textAlignment w:val="auto"/>
        <w:rPr>
          <w:rFonts w:ascii="Times New Roman" w:hAnsi="Times New Roman" w:eastAsia="宋体" w:cs="Times New Roman"/>
          <w:color w:val="auto"/>
          <w:szCs w:val="24"/>
          <w:highlight w:val="none"/>
        </w:rPr>
      </w:pPr>
      <w:r>
        <w:rPr>
          <w:rFonts w:hint="eastAsia" w:ascii="黑体" w:hAnsi="黑体" w:eastAsia="黑体" w:cs="宋体"/>
          <w:bCs/>
          <w:color w:val="auto"/>
          <w:sz w:val="24"/>
          <w:szCs w:val="24"/>
          <w:highlight w:val="none"/>
        </w:rPr>
        <w:t>一、项目基本情况</w:t>
      </w:r>
      <w:bookmarkEnd w:id="11"/>
      <w:bookmarkEnd w:id="12"/>
      <w:bookmarkEnd w:id="13"/>
      <w:bookmarkEnd w:id="14"/>
      <w:bookmarkEnd w:id="15"/>
    </w:p>
    <w:p>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项目</w:t>
      </w:r>
      <w:r>
        <w:rPr>
          <w:rFonts w:hint="eastAsia" w:ascii="宋体" w:hAnsi="宋体" w:eastAsia="宋体" w:cs="Times New Roman"/>
          <w:color w:val="auto"/>
          <w:szCs w:val="21"/>
          <w:highlight w:val="none"/>
          <w:lang w:val="zh-CN"/>
        </w:rPr>
        <w:t>编号：CZZC2026-J1-990010-HSZB</w:t>
      </w:r>
    </w:p>
    <w:p>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Times New Roman"/>
          <w:color w:val="auto"/>
          <w:szCs w:val="21"/>
          <w:highlight w:val="none"/>
          <w:lang w:val="zh-CN" w:eastAsia="zh-CN"/>
        </w:rPr>
      </w:pPr>
      <w:r>
        <w:rPr>
          <w:rFonts w:hint="eastAsia" w:ascii="宋体" w:hAnsi="宋体" w:eastAsia="宋体" w:cs="Times New Roman"/>
          <w:color w:val="auto"/>
          <w:szCs w:val="21"/>
          <w:highlight w:val="none"/>
        </w:rPr>
        <w:t>项目名称：</w:t>
      </w:r>
      <w:r>
        <w:rPr>
          <w:rFonts w:hint="eastAsia" w:ascii="宋体" w:hAnsi="宋体" w:eastAsia="宋体" w:cs="Times New Roman"/>
          <w:color w:val="auto"/>
          <w:szCs w:val="21"/>
          <w:highlight w:val="none"/>
          <w:lang w:eastAsia="zh-CN"/>
        </w:rPr>
        <w:t>崇左市公安局安保维稳装备项目</w:t>
      </w:r>
      <w:r>
        <w:rPr>
          <w:rFonts w:hint="eastAsia" w:ascii="宋体" w:hAnsi="宋体" w:eastAsia="宋体" w:cs="Times New Roman"/>
          <w:color w:val="auto"/>
          <w:szCs w:val="21"/>
          <w:highlight w:val="none"/>
          <w:lang w:val="zh-CN" w:eastAsia="zh-CN"/>
        </w:rPr>
        <w:t>（</w:t>
      </w:r>
      <w:r>
        <w:rPr>
          <w:rFonts w:hint="eastAsia" w:ascii="宋体" w:hAnsi="宋体" w:eastAsia="宋体" w:cs="Times New Roman"/>
          <w:color w:val="auto"/>
          <w:szCs w:val="21"/>
          <w:highlight w:val="none"/>
          <w:lang w:val="en-US" w:eastAsia="zh-CN"/>
        </w:rPr>
        <w:t>分标2重2</w:t>
      </w:r>
      <w:r>
        <w:rPr>
          <w:rFonts w:hint="eastAsia" w:ascii="宋体" w:hAnsi="宋体" w:eastAsia="宋体" w:cs="Times New Roman"/>
          <w:color w:val="auto"/>
          <w:szCs w:val="21"/>
          <w:highlight w:val="none"/>
          <w:lang w:val="zh-CN" w:eastAsia="zh-CN"/>
        </w:rPr>
        <w:t>）</w:t>
      </w:r>
    </w:p>
    <w:p>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采购方式：</w:t>
      </w:r>
      <w:r>
        <w:rPr>
          <w:rFonts w:hint="eastAsia" w:ascii="Segoe UI Symbol" w:hAnsi="Segoe UI Symbol" w:cs="Segoe UI Symbol"/>
          <w:color w:val="auto"/>
          <w:szCs w:val="21"/>
          <w:highlight w:val="none"/>
        </w:rPr>
        <w:t>☑</w:t>
      </w:r>
      <w:r>
        <w:rPr>
          <w:rFonts w:hint="eastAsia" w:ascii="宋体" w:hAnsi="宋体"/>
          <w:color w:val="auto"/>
          <w:szCs w:val="21"/>
          <w:highlight w:val="none"/>
        </w:rPr>
        <w:t xml:space="preserve"> 竞争性谈判 □竞争性磋商 □询价</w:t>
      </w:r>
    </w:p>
    <w:p>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olor w:val="auto"/>
          <w:szCs w:val="21"/>
          <w:highlight w:val="none"/>
          <w:lang w:val="en-US" w:eastAsia="zh-CN"/>
        </w:rPr>
      </w:pPr>
      <w:r>
        <w:rPr>
          <w:rFonts w:hint="eastAsia" w:ascii="宋体" w:hAnsi="宋体"/>
          <w:color w:val="auto"/>
          <w:szCs w:val="21"/>
          <w:highlight w:val="none"/>
        </w:rPr>
        <w:t>预算总金额（元）：</w:t>
      </w:r>
      <w:r>
        <w:rPr>
          <w:rFonts w:hint="eastAsia" w:ascii="宋体" w:hAnsi="宋体" w:cs="宋体"/>
          <w:b w:val="0"/>
          <w:bCs/>
          <w:color w:val="auto"/>
          <w:sz w:val="21"/>
          <w:szCs w:val="21"/>
          <w:highlight w:val="none"/>
          <w:lang w:val="en-US" w:eastAsia="zh-CN"/>
        </w:rPr>
        <w:t>壹拾贰万捌仟零叁元整</w:t>
      </w:r>
      <w:r>
        <w:rPr>
          <w:rFonts w:hint="eastAsia" w:ascii="宋体" w:hAnsi="宋体"/>
          <w:color w:val="auto"/>
          <w:szCs w:val="21"/>
          <w:highlight w:val="none"/>
          <w:lang w:val="en-US" w:eastAsia="zh-CN"/>
        </w:rPr>
        <w:t>（￥128,003.00）</w:t>
      </w:r>
    </w:p>
    <w:p>
      <w:pPr>
        <w:keepNext w:val="0"/>
        <w:keepLines w:val="0"/>
        <w:pageBreakBefore w:val="0"/>
        <w:kinsoku/>
        <w:wordWrap/>
        <w:overflowPunct/>
        <w:topLinePunct w:val="0"/>
        <w:autoSpaceDE/>
        <w:autoSpaceDN/>
        <w:bidi w:val="0"/>
        <w:spacing w:line="360" w:lineRule="exact"/>
        <w:ind w:firstLine="420" w:firstLineChars="200"/>
        <w:rPr>
          <w:rFonts w:hint="default"/>
          <w:color w:val="auto"/>
          <w:lang w:val="en-US" w:eastAsia="zh-CN"/>
        </w:rPr>
      </w:pPr>
      <w:r>
        <w:rPr>
          <w:rFonts w:hint="eastAsia" w:ascii="宋体" w:hAnsi="宋体"/>
          <w:color w:val="auto"/>
          <w:szCs w:val="21"/>
          <w:highlight w:val="none"/>
        </w:rPr>
        <w:t>最高限价：</w:t>
      </w:r>
      <w:r>
        <w:rPr>
          <w:rFonts w:hint="eastAsia" w:ascii="宋体" w:hAnsi="宋体" w:eastAsia="宋体" w:cs="Times New Roman"/>
          <w:color w:val="auto"/>
          <w:szCs w:val="21"/>
          <w:highlight w:val="none"/>
        </w:rPr>
        <w:t>同采购预算金额</w:t>
      </w:r>
      <w:r>
        <w:rPr>
          <w:rFonts w:hint="eastAsia" w:ascii="宋体" w:hAnsi="宋体"/>
          <w:color w:val="auto"/>
          <w:szCs w:val="21"/>
          <w:highlight w:val="none"/>
        </w:rPr>
        <w:t>。</w:t>
      </w:r>
    </w:p>
    <w:p>
      <w:pPr>
        <w:keepNext w:val="0"/>
        <w:keepLines w:val="0"/>
        <w:pageBreakBefore w:val="0"/>
        <w:kinsoku/>
        <w:wordWrap/>
        <w:overflowPunct/>
        <w:topLinePunct w:val="0"/>
        <w:autoSpaceDE/>
        <w:autoSpaceDN/>
        <w:bidi w:val="0"/>
        <w:adjustRightInd/>
        <w:spacing w:line="360" w:lineRule="exact"/>
        <w:ind w:firstLine="420" w:firstLineChars="200"/>
        <w:textAlignment w:val="auto"/>
        <w:rPr>
          <w:rFonts w:ascii="宋体" w:hAnsi="宋体"/>
          <w:color w:val="auto"/>
          <w:szCs w:val="21"/>
          <w:highlight w:val="none"/>
        </w:rPr>
      </w:pPr>
      <w:r>
        <w:rPr>
          <w:rFonts w:hint="eastAsia" w:ascii="宋体" w:hAnsi="宋体" w:eastAsia="宋体" w:cs="Times New Roman"/>
          <w:color w:val="auto"/>
          <w:szCs w:val="21"/>
          <w:highlight w:val="none"/>
        </w:rPr>
        <w:t>采购需求：</w:t>
      </w:r>
      <w:r>
        <w:rPr>
          <w:rFonts w:ascii="宋体" w:hAnsi="宋体"/>
          <w:color w:val="auto"/>
          <w:szCs w:val="21"/>
          <w:highlight w:val="none"/>
        </w:rPr>
        <w:t xml:space="preserve"> </w:t>
      </w:r>
    </w:p>
    <w:tbl>
      <w:tblPr>
        <w:tblStyle w:val="32"/>
        <w:tblW w:w="951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7"/>
        <w:gridCol w:w="1556"/>
        <w:gridCol w:w="727"/>
        <w:gridCol w:w="755"/>
        <w:gridCol w:w="57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360" w:lineRule="exact"/>
              <w:jc w:val="center"/>
              <w:rPr>
                <w:rFonts w:hint="eastAsia" w:ascii="宋体" w:hAnsi="宋体"/>
                <w:b/>
                <w:bCs/>
                <w:color w:val="auto"/>
                <w:szCs w:val="21"/>
                <w:highlight w:val="none"/>
              </w:rPr>
            </w:pPr>
            <w:bookmarkStart w:id="20" w:name="_Toc28359090"/>
            <w:bookmarkStart w:id="21" w:name="_Toc28359013"/>
            <w:bookmarkStart w:id="22" w:name="_Toc35393630"/>
            <w:bookmarkStart w:id="23" w:name="_Toc35393799"/>
            <w:bookmarkStart w:id="24" w:name="_Toc44229879"/>
            <w:r>
              <w:rPr>
                <w:rFonts w:hint="eastAsia" w:ascii="宋体" w:hAnsi="宋体"/>
                <w:b/>
                <w:bCs/>
                <w:color w:val="auto"/>
                <w:szCs w:val="21"/>
                <w:highlight w:val="none"/>
              </w:rPr>
              <w:t>序号</w:t>
            </w:r>
          </w:p>
        </w:tc>
        <w:tc>
          <w:tcPr>
            <w:tcW w:w="15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360" w:lineRule="exact"/>
              <w:jc w:val="center"/>
              <w:rPr>
                <w:rFonts w:hint="eastAsia" w:ascii="宋体" w:hAnsi="宋体"/>
                <w:b/>
                <w:bCs/>
                <w:color w:val="auto"/>
                <w:szCs w:val="21"/>
                <w:highlight w:val="none"/>
              </w:rPr>
            </w:pPr>
            <w:r>
              <w:rPr>
                <w:rFonts w:hint="eastAsia" w:ascii="宋体" w:hAnsi="宋体"/>
                <w:b/>
                <w:bCs/>
                <w:color w:val="auto"/>
                <w:szCs w:val="21"/>
                <w:highlight w:val="none"/>
              </w:rPr>
              <w:t>标的名称</w:t>
            </w:r>
          </w:p>
        </w:tc>
        <w:tc>
          <w:tcPr>
            <w:tcW w:w="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360" w:lineRule="exact"/>
              <w:rPr>
                <w:rFonts w:hint="eastAsia" w:ascii="宋体" w:hAnsi="宋体"/>
                <w:b/>
                <w:bCs/>
                <w:color w:val="auto"/>
                <w:szCs w:val="21"/>
                <w:highlight w:val="none"/>
              </w:rPr>
            </w:pPr>
            <w:r>
              <w:rPr>
                <w:rFonts w:hint="eastAsia" w:ascii="宋体" w:hAnsi="宋体"/>
                <w:b/>
                <w:bCs/>
                <w:color w:val="auto"/>
                <w:szCs w:val="21"/>
                <w:highlight w:val="none"/>
              </w:rPr>
              <w:t>单位</w:t>
            </w:r>
          </w:p>
        </w:tc>
        <w:tc>
          <w:tcPr>
            <w:tcW w:w="7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360" w:lineRule="exact"/>
              <w:jc w:val="center"/>
              <w:rPr>
                <w:rFonts w:hint="eastAsia" w:ascii="宋体" w:hAnsi="宋体"/>
                <w:b/>
                <w:bCs/>
                <w:color w:val="auto"/>
                <w:szCs w:val="21"/>
                <w:highlight w:val="none"/>
              </w:rPr>
            </w:pPr>
            <w:r>
              <w:rPr>
                <w:rFonts w:hint="eastAsia" w:ascii="宋体" w:hAnsi="宋体"/>
                <w:b/>
                <w:bCs/>
                <w:color w:val="auto"/>
                <w:szCs w:val="21"/>
                <w:highlight w:val="none"/>
              </w:rPr>
              <w:t>数量</w:t>
            </w:r>
          </w:p>
        </w:tc>
        <w:tc>
          <w:tcPr>
            <w:tcW w:w="57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360" w:lineRule="exact"/>
              <w:jc w:val="center"/>
              <w:rPr>
                <w:rFonts w:hint="eastAsia" w:ascii="宋体" w:hAnsi="宋体"/>
                <w:b/>
                <w:bCs/>
                <w:color w:val="auto"/>
                <w:szCs w:val="21"/>
                <w:highlight w:val="none"/>
              </w:rPr>
            </w:pPr>
            <w:r>
              <w:rPr>
                <w:rFonts w:hint="eastAsia" w:ascii="宋体" w:hAnsi="宋体"/>
                <w:b/>
                <w:bCs/>
                <w:color w:val="auto"/>
                <w:szCs w:val="21"/>
                <w:highlight w:val="none"/>
              </w:rPr>
              <w:t>技术要求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0" w:hRule="atLeast"/>
        </w:trPr>
        <w:tc>
          <w:tcPr>
            <w:tcW w:w="7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1</w:t>
            </w:r>
          </w:p>
        </w:tc>
        <w:tc>
          <w:tcPr>
            <w:tcW w:w="15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宋体" w:hAnsi="宋体"/>
                <w:color w:val="auto"/>
                <w:szCs w:val="21"/>
                <w:highlight w:val="none"/>
              </w:rPr>
            </w:pPr>
            <w:bookmarkStart w:id="25" w:name="OLE_LINK6"/>
            <w:r>
              <w:rPr>
                <w:rFonts w:hint="eastAsia"/>
                <w:color w:val="auto"/>
                <w:sz w:val="21"/>
                <w:szCs w:val="21"/>
                <w:lang w:eastAsia="zh-CN"/>
              </w:rPr>
              <w:t>急流水域救生衣</w:t>
            </w:r>
            <w:bookmarkEnd w:id="25"/>
          </w:p>
        </w:tc>
        <w:tc>
          <w:tcPr>
            <w:tcW w:w="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default" w:ascii="宋体" w:hAnsi="宋体"/>
                <w:color w:val="auto"/>
                <w:szCs w:val="21"/>
                <w:highlight w:val="none"/>
                <w:lang w:val="en-US"/>
              </w:rPr>
            </w:pPr>
            <w:r>
              <w:rPr>
                <w:rFonts w:hint="eastAsia"/>
                <w:color w:val="auto"/>
                <w:sz w:val="21"/>
                <w:szCs w:val="21"/>
                <w:lang w:val="en-US" w:eastAsia="zh-CN"/>
              </w:rPr>
              <w:t>套</w:t>
            </w:r>
          </w:p>
        </w:tc>
        <w:tc>
          <w:tcPr>
            <w:tcW w:w="7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宋体" w:hAnsi="宋体"/>
                <w:color w:val="auto"/>
                <w:szCs w:val="21"/>
                <w:highlight w:val="none"/>
              </w:rPr>
            </w:pPr>
            <w:r>
              <w:rPr>
                <w:rFonts w:hint="eastAsia"/>
                <w:color w:val="auto"/>
                <w:sz w:val="21"/>
                <w:szCs w:val="21"/>
                <w:lang w:val="en-US" w:eastAsia="zh-CN"/>
              </w:rPr>
              <w:t xml:space="preserve">23 </w:t>
            </w:r>
          </w:p>
        </w:tc>
        <w:tc>
          <w:tcPr>
            <w:tcW w:w="57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1、总体尺寸：长55±1cm，宽63±1cm，厚13±1cm。</w:t>
            </w:r>
          </w:p>
          <w:p>
            <w:pPr>
              <w:keepNext w:val="0"/>
              <w:keepLines w:val="0"/>
              <w:pageBreakBefore w:val="0"/>
              <w:kinsoku/>
              <w:wordWrap/>
              <w:overflowPunct/>
              <w:topLinePunct w:val="0"/>
              <w:autoSpaceDE/>
              <w:autoSpaceDN/>
              <w:bidi w:val="0"/>
              <w:adjustRightInd/>
              <w:spacing w:line="360" w:lineRule="exact"/>
              <w:jc w:val="left"/>
              <w:rPr>
                <w:rFonts w:hint="default" w:eastAsia="宋体"/>
                <w:color w:val="auto"/>
                <w:highlight w:val="none"/>
                <w:lang w:val="en-US" w:eastAsia="zh-CN"/>
              </w:rPr>
            </w:pPr>
            <w:r>
              <w:rPr>
                <w:rFonts w:hint="eastAsia" w:eastAsiaTheme="minorEastAsia"/>
                <w:color w:val="auto"/>
                <w:lang w:val="en-US" w:eastAsia="zh-CN"/>
              </w:rPr>
              <w:t>2、净重：2.4±1kg。</w:t>
            </w:r>
            <w:r>
              <w:rPr>
                <w:rFonts w:hint="eastAsia"/>
                <w:color w:val="auto"/>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34" w:hRule="atLeast"/>
        </w:trPr>
        <w:tc>
          <w:tcPr>
            <w:tcW w:w="7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360" w:lineRule="exact"/>
              <w:jc w:val="center"/>
              <w:rPr>
                <w:rFonts w:hint="eastAsia"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2</w:t>
            </w:r>
          </w:p>
        </w:tc>
        <w:tc>
          <w:tcPr>
            <w:tcW w:w="15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rPr>
                <w:rFonts w:hint="eastAsia" w:ascii="宋体" w:hAnsi="宋体"/>
                <w:color w:val="auto"/>
                <w:szCs w:val="21"/>
                <w:highlight w:val="none"/>
              </w:rPr>
            </w:pPr>
            <w:r>
              <w:rPr>
                <w:rFonts w:hint="eastAsia"/>
                <w:color w:val="auto"/>
                <w:lang w:eastAsia="zh-CN"/>
              </w:rPr>
              <w:t>水域救援头盔</w:t>
            </w:r>
          </w:p>
        </w:tc>
        <w:tc>
          <w:tcPr>
            <w:tcW w:w="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rPr>
                <w:rFonts w:hint="default" w:ascii="宋体" w:hAnsi="宋体"/>
                <w:color w:val="auto"/>
                <w:szCs w:val="21"/>
                <w:highlight w:val="none"/>
                <w:lang w:val="en-US"/>
              </w:rPr>
            </w:pPr>
            <w:r>
              <w:rPr>
                <w:rFonts w:hint="eastAsia"/>
                <w:color w:val="auto"/>
                <w:lang w:val="en-US" w:eastAsia="zh-CN"/>
              </w:rPr>
              <w:t>个</w:t>
            </w:r>
          </w:p>
        </w:tc>
        <w:tc>
          <w:tcPr>
            <w:tcW w:w="7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rPr>
                <w:rFonts w:hint="eastAsia" w:ascii="宋体" w:hAnsi="宋体"/>
                <w:color w:val="auto"/>
                <w:szCs w:val="21"/>
                <w:highlight w:val="none"/>
              </w:rPr>
            </w:pPr>
            <w:r>
              <w:rPr>
                <w:rFonts w:hint="eastAsia"/>
                <w:color w:val="auto"/>
                <w:lang w:val="en-US" w:eastAsia="zh-CN"/>
              </w:rPr>
              <w:t xml:space="preserve">23 </w:t>
            </w:r>
          </w:p>
        </w:tc>
        <w:tc>
          <w:tcPr>
            <w:tcW w:w="57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1、符合消防员水域救援防护头盔实验大纲、XF44-2015消防头盔标准。</w:t>
            </w:r>
          </w:p>
          <w:p>
            <w:pPr>
              <w:keepNext w:val="0"/>
              <w:keepLines w:val="0"/>
              <w:pageBreakBefore w:val="0"/>
              <w:kinsoku/>
              <w:wordWrap/>
              <w:overflowPunct/>
              <w:topLinePunct w:val="0"/>
              <w:autoSpaceDE/>
              <w:autoSpaceDN/>
              <w:bidi w:val="0"/>
              <w:adjustRightInd/>
              <w:spacing w:line="360" w:lineRule="exact"/>
              <w:jc w:val="left"/>
              <w:rPr>
                <w:rFonts w:hint="default" w:eastAsia="宋体"/>
                <w:color w:val="auto"/>
                <w:highlight w:val="none"/>
                <w:lang w:val="en-US" w:eastAsia="zh-CN"/>
              </w:rPr>
            </w:pPr>
            <w:r>
              <w:rPr>
                <w:rFonts w:hint="eastAsia" w:eastAsiaTheme="minorEastAsia"/>
                <w:color w:val="auto"/>
                <w:lang w:val="en-US" w:eastAsia="zh-CN"/>
              </w:rPr>
              <w:t>2、应用空气动力学设计≥11个透气孔，头盔内腔气流通畅，大温差环境中，具有高舒适度。</w:t>
            </w:r>
            <w:r>
              <w:rPr>
                <w:rFonts w:hint="eastAsia"/>
                <w:color w:val="auto"/>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34" w:hRule="atLeast"/>
        </w:trPr>
        <w:tc>
          <w:tcPr>
            <w:tcW w:w="7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360" w:lineRule="exact"/>
              <w:jc w:val="center"/>
              <w:rPr>
                <w:rFonts w:hint="eastAsia"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3</w:t>
            </w:r>
          </w:p>
        </w:tc>
        <w:tc>
          <w:tcPr>
            <w:tcW w:w="15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宋体" w:hAnsi="宋体"/>
                <w:color w:val="auto"/>
                <w:szCs w:val="21"/>
                <w:highlight w:val="none"/>
              </w:rPr>
            </w:pPr>
            <w:r>
              <w:rPr>
                <w:rFonts w:hint="eastAsia"/>
                <w:color w:val="auto"/>
                <w:sz w:val="21"/>
                <w:szCs w:val="21"/>
                <w:lang w:eastAsia="zh-CN"/>
              </w:rPr>
              <w:t>抛绳包</w:t>
            </w:r>
          </w:p>
        </w:tc>
        <w:tc>
          <w:tcPr>
            <w:tcW w:w="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default" w:ascii="宋体" w:hAnsi="宋体"/>
                <w:color w:val="auto"/>
                <w:szCs w:val="21"/>
                <w:highlight w:val="none"/>
                <w:lang w:val="en-US"/>
              </w:rPr>
            </w:pPr>
            <w:r>
              <w:rPr>
                <w:rFonts w:hint="eastAsia"/>
                <w:color w:val="auto"/>
                <w:sz w:val="21"/>
                <w:szCs w:val="21"/>
                <w:lang w:val="en-US" w:eastAsia="zh-CN"/>
              </w:rPr>
              <w:t>件</w:t>
            </w:r>
          </w:p>
        </w:tc>
        <w:tc>
          <w:tcPr>
            <w:tcW w:w="7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宋体" w:hAnsi="宋体"/>
                <w:color w:val="auto"/>
                <w:szCs w:val="21"/>
                <w:highlight w:val="none"/>
              </w:rPr>
            </w:pPr>
            <w:r>
              <w:rPr>
                <w:rFonts w:hint="eastAsia"/>
                <w:color w:val="auto"/>
                <w:sz w:val="21"/>
                <w:szCs w:val="21"/>
                <w:lang w:val="en-US" w:eastAsia="zh-CN"/>
              </w:rPr>
              <w:t xml:space="preserve">23 </w:t>
            </w:r>
          </w:p>
        </w:tc>
        <w:tc>
          <w:tcPr>
            <w:tcW w:w="57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1、腰挂式水域救援抛绳包由腰带和抛绳包组成，能很方便地环绕在腰间。</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color w:val="auto"/>
                <w:lang w:val="en-US" w:eastAsia="zh-CN"/>
              </w:rPr>
            </w:pPr>
            <w:r>
              <w:rPr>
                <w:rFonts w:hint="eastAsia" w:eastAsiaTheme="minorEastAsia"/>
                <w:color w:val="auto"/>
                <w:sz w:val="21"/>
                <w:szCs w:val="21"/>
                <w:lang w:val="en-US" w:eastAsia="zh-CN"/>
              </w:rPr>
              <w:t>2、绳包可漂浮于水面，收口型顶端设计，方便进行抛投动作和便捷填充。</w:t>
            </w:r>
            <w:r>
              <w:rPr>
                <w:rFonts w:hint="eastAsia"/>
                <w:color w:val="auto"/>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360" w:lineRule="exact"/>
              <w:jc w:val="both"/>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w:t>
            </w:r>
          </w:p>
        </w:tc>
        <w:tc>
          <w:tcPr>
            <w:tcW w:w="8751"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exact"/>
              <w:jc w:val="left"/>
              <w:rPr>
                <w:rFonts w:hint="eastAsia" w:eastAsiaTheme="minorEastAsia"/>
                <w:color w:val="auto"/>
                <w:lang w:val="en-US" w:eastAsia="zh-CN"/>
              </w:rPr>
            </w:pPr>
            <w:bookmarkStart w:id="26" w:name="OLE_LINK7"/>
            <w:bookmarkStart w:id="27" w:name="OLE_LINK13"/>
            <w:r>
              <w:rPr>
                <w:rFonts w:hint="eastAsia" w:ascii="宋体" w:hAnsi="宋体"/>
                <w:color w:val="auto"/>
                <w:szCs w:val="21"/>
                <w:highlight w:val="none"/>
              </w:rPr>
              <w:t>具体的标的名称、数量、简要技术需求或服务要求等内容</w:t>
            </w:r>
            <w:bookmarkEnd w:id="26"/>
            <w:r>
              <w:rPr>
                <w:rFonts w:hint="eastAsia" w:ascii="宋体" w:hAnsi="宋体" w:eastAsia="宋体" w:cs="宋体"/>
                <w:i w:val="0"/>
                <w:iCs w:val="0"/>
                <w:caps w:val="0"/>
                <w:color w:val="auto"/>
                <w:spacing w:val="0"/>
                <w:sz w:val="21"/>
                <w:szCs w:val="21"/>
              </w:rPr>
              <w:t>详见</w:t>
            </w:r>
            <w:r>
              <w:rPr>
                <w:rFonts w:hint="eastAsia" w:ascii="宋体" w:hAnsi="宋体" w:eastAsia="宋体" w:cs="宋体"/>
                <w:i w:val="0"/>
                <w:iCs w:val="0"/>
                <w:caps w:val="0"/>
                <w:color w:val="auto"/>
                <w:spacing w:val="0"/>
                <w:sz w:val="21"/>
                <w:szCs w:val="21"/>
                <w:lang w:val="zh-CN"/>
              </w:rPr>
              <w:t>竞争性谈判公告</w:t>
            </w:r>
            <w:r>
              <w:rPr>
                <w:rFonts w:hint="eastAsia" w:ascii="宋体" w:hAnsi="宋体" w:eastAsia="宋体" w:cs="宋体"/>
                <w:i w:val="0"/>
                <w:iCs w:val="0"/>
                <w:caps w:val="0"/>
                <w:color w:val="auto"/>
                <w:spacing w:val="0"/>
                <w:sz w:val="21"/>
                <w:szCs w:val="21"/>
              </w:rPr>
              <w:t>附件的采购需求</w:t>
            </w:r>
            <w:r>
              <w:rPr>
                <w:rFonts w:hint="eastAsia" w:ascii="宋体" w:hAnsi="宋体"/>
                <w:color w:val="auto"/>
                <w:szCs w:val="21"/>
                <w:highlight w:val="none"/>
                <w:lang w:eastAsia="zh-CN"/>
              </w:rPr>
              <w:t>。</w:t>
            </w:r>
            <w:bookmarkEnd w:id="27"/>
          </w:p>
        </w:tc>
      </w:tr>
    </w:tbl>
    <w:p>
      <w:pPr>
        <w:pStyle w:val="29"/>
        <w:keepNext w:val="0"/>
        <w:keepLines w:val="0"/>
        <w:pageBreakBefore w:val="0"/>
        <w:widowControl/>
        <w:suppressLineNumbers w:val="0"/>
        <w:kinsoku/>
        <w:wordWrap w:val="0"/>
        <w:overflowPunct/>
        <w:topLinePunct w:val="0"/>
        <w:autoSpaceDE/>
        <w:autoSpaceDN/>
        <w:bidi w:val="0"/>
        <w:adjustRightInd/>
        <w:spacing w:before="75" w:beforeAutospacing="0" w:after="75" w:afterAutospacing="0" w:line="360" w:lineRule="exact"/>
        <w:ind w:left="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aps w:val="0"/>
          <w:color w:val="auto"/>
          <w:spacing w:val="0"/>
          <w:sz w:val="21"/>
          <w:szCs w:val="21"/>
        </w:rPr>
        <w:t>合同履约期限：</w:t>
      </w:r>
      <w:r>
        <w:rPr>
          <w:rFonts w:hint="eastAsia" w:ascii="宋体" w:hAnsi="宋体" w:eastAsia="宋体" w:cs="宋体"/>
          <w:color w:val="auto"/>
          <w:sz w:val="21"/>
          <w:szCs w:val="21"/>
        </w:rPr>
        <w:t>交付使用</w:t>
      </w:r>
      <w:r>
        <w:rPr>
          <w:rFonts w:hint="eastAsia" w:ascii="宋体" w:hAnsi="宋体" w:eastAsia="宋体" w:cs="宋体"/>
          <w:color w:val="auto"/>
          <w:sz w:val="21"/>
          <w:szCs w:val="21"/>
          <w:lang w:val="en-US" w:eastAsia="zh-CN"/>
        </w:rPr>
        <w:t>期</w:t>
      </w:r>
      <w:r>
        <w:rPr>
          <w:rFonts w:hint="eastAsia" w:ascii="宋体" w:hAnsi="宋体" w:eastAsia="宋体" w:cs="宋体"/>
          <w:color w:val="auto"/>
          <w:sz w:val="21"/>
          <w:szCs w:val="21"/>
        </w:rPr>
        <w:t>：</w:t>
      </w:r>
      <w:r>
        <w:rPr>
          <w:rFonts w:hint="eastAsia" w:ascii="宋体" w:hAnsi="宋体" w:eastAsia="宋体" w:cs="宋体"/>
          <w:color w:val="auto"/>
          <w:sz w:val="21"/>
          <w:szCs w:val="21"/>
          <w:highlight w:val="none"/>
          <w:lang w:val="en-US" w:eastAsia="zh-CN"/>
        </w:rPr>
        <w:t>接到甲方供货通知后20日内交付使用；紧急通知供货的通用货物当天送达。</w:t>
      </w:r>
    </w:p>
    <w:p>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黑体" w:hAnsi="黑体" w:eastAsia="宋体" w:cs="宋体"/>
          <w:b/>
          <w:color w:val="auto"/>
          <w:kern w:val="44"/>
          <w:sz w:val="21"/>
          <w:szCs w:val="21"/>
          <w:highlight w:val="none"/>
          <w:lang w:eastAsia="zh-CN"/>
        </w:rPr>
      </w:pPr>
      <w:r>
        <w:rPr>
          <w:rFonts w:hint="eastAsia" w:ascii="宋体" w:hAnsi="宋体" w:eastAsia="宋体" w:cs="宋体"/>
          <w:i w:val="0"/>
          <w:iCs w:val="0"/>
          <w:caps w:val="0"/>
          <w:color w:val="auto"/>
          <w:spacing w:val="0"/>
          <w:sz w:val="21"/>
          <w:szCs w:val="21"/>
        </w:rPr>
        <w:t>本标项（</w:t>
      </w:r>
      <w:r>
        <w:rPr>
          <w:rStyle w:val="41"/>
          <w:rFonts w:hint="eastAsia" w:ascii="宋体" w:hAnsi="宋体" w:eastAsia="宋体" w:cs="宋体"/>
          <w:i w:val="0"/>
          <w:iCs w:val="0"/>
          <w:caps w:val="0"/>
          <w:color w:val="auto"/>
          <w:spacing w:val="0"/>
          <w:sz w:val="21"/>
          <w:szCs w:val="21"/>
        </w:rPr>
        <w:t>否</w:t>
      </w:r>
      <w:r>
        <w:rPr>
          <w:rFonts w:hint="eastAsia" w:ascii="宋体" w:hAnsi="宋体" w:eastAsia="宋体" w:cs="宋体"/>
          <w:i w:val="0"/>
          <w:iCs w:val="0"/>
          <w:caps w:val="0"/>
          <w:color w:val="auto"/>
          <w:spacing w:val="0"/>
          <w:sz w:val="21"/>
          <w:szCs w:val="21"/>
        </w:rPr>
        <w:t>）接受联合体投标</w:t>
      </w:r>
      <w:r>
        <w:rPr>
          <w:rFonts w:hint="eastAsia" w:ascii="宋体" w:hAnsi="宋体" w:eastAsia="宋体" w:cs="宋体"/>
          <w:i w:val="0"/>
          <w:iCs w:val="0"/>
          <w:caps w:val="0"/>
          <w:color w:val="auto"/>
          <w:spacing w:val="0"/>
          <w:sz w:val="21"/>
          <w:szCs w:val="21"/>
          <w:lang w:eastAsia="zh-CN"/>
        </w:rPr>
        <w:t>。</w:t>
      </w:r>
    </w:p>
    <w:p>
      <w:pPr>
        <w:keepNext w:val="0"/>
        <w:keepLines w:val="0"/>
        <w:pageBreakBefore w:val="0"/>
        <w:kinsoku/>
        <w:wordWrap/>
        <w:overflowPunct/>
        <w:topLinePunct w:val="0"/>
        <w:autoSpaceDE/>
        <w:autoSpaceDN/>
        <w:bidi w:val="0"/>
        <w:adjustRightInd/>
        <w:spacing w:line="360" w:lineRule="exact"/>
        <w:ind w:firstLine="482" w:firstLineChars="200"/>
        <w:textAlignment w:val="auto"/>
        <w:rPr>
          <w:rFonts w:hint="eastAsia"/>
          <w:color w:val="auto"/>
        </w:rPr>
      </w:pPr>
      <w:r>
        <w:rPr>
          <w:rFonts w:hint="eastAsia" w:ascii="黑体" w:hAnsi="黑体" w:eastAsia="黑体" w:cs="宋体"/>
          <w:b/>
          <w:color w:val="auto"/>
          <w:kern w:val="44"/>
          <w:sz w:val="24"/>
          <w:szCs w:val="24"/>
          <w:highlight w:val="none"/>
        </w:rPr>
        <w:t>二、申请人的资格</w:t>
      </w:r>
      <w:bookmarkEnd w:id="20"/>
      <w:bookmarkEnd w:id="21"/>
      <w:bookmarkEnd w:id="22"/>
      <w:bookmarkEnd w:id="23"/>
      <w:bookmarkEnd w:id="24"/>
      <w:r>
        <w:rPr>
          <w:rFonts w:hint="eastAsia" w:ascii="黑体" w:hAnsi="黑体" w:eastAsia="黑体" w:cs="宋体"/>
          <w:b/>
          <w:color w:val="auto"/>
          <w:kern w:val="44"/>
          <w:sz w:val="24"/>
          <w:szCs w:val="24"/>
          <w:highlight w:val="none"/>
        </w:rPr>
        <w:t>要求</w:t>
      </w:r>
    </w:p>
    <w:p>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2.落实政府采购政策需满足的资格要求：</w:t>
      </w:r>
      <w:bookmarkStart w:id="28" w:name="OLE_LINK33"/>
      <w:r>
        <w:rPr>
          <w:rFonts w:hint="eastAsia" w:ascii="宋体" w:hAnsi="宋体" w:eastAsia="宋体" w:cs="宋体"/>
          <w:color w:val="auto"/>
          <w:szCs w:val="21"/>
          <w:lang w:val="en-US" w:eastAsia="zh-CN"/>
        </w:rPr>
        <w:t>无</w:t>
      </w:r>
      <w:r>
        <w:rPr>
          <w:rFonts w:hint="eastAsia" w:ascii="宋体" w:hAnsi="宋体" w:eastAsia="宋体" w:cs="宋体"/>
          <w:color w:val="auto"/>
          <w:szCs w:val="21"/>
          <w:highlight w:val="none"/>
          <w:lang w:val="en-US" w:eastAsia="zh-CN"/>
        </w:rPr>
        <w:t>；</w:t>
      </w:r>
      <w:bookmarkEnd w:id="28"/>
    </w:p>
    <w:p>
      <w:pPr>
        <w:keepNext w:val="0"/>
        <w:keepLines w:val="0"/>
        <w:pageBreakBefore w:val="0"/>
        <w:numPr>
          <w:ilvl w:val="0"/>
          <w:numId w:val="0"/>
        </w:numPr>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本项目的特定资格要求：</w:t>
      </w:r>
      <w:r>
        <w:rPr>
          <w:rFonts w:hint="eastAsia" w:ascii="宋体" w:hAnsi="宋体" w:eastAsia="宋体" w:cs="宋体"/>
          <w:color w:val="auto"/>
          <w:szCs w:val="21"/>
          <w:lang w:val="en-US" w:eastAsia="zh-CN"/>
        </w:rPr>
        <w:t>无</w:t>
      </w:r>
      <w:r>
        <w:rPr>
          <w:rFonts w:hint="eastAsia" w:ascii="宋体" w:hAnsi="宋体" w:eastAsia="宋体" w:cs="宋体"/>
          <w:color w:val="auto"/>
          <w:szCs w:val="21"/>
          <w:highlight w:val="none"/>
          <w:lang w:val="en-US" w:eastAsia="zh-CN"/>
        </w:rPr>
        <w:t>；</w:t>
      </w:r>
    </w:p>
    <w:p>
      <w:pPr>
        <w:keepNext w:val="0"/>
        <w:keepLines w:val="0"/>
        <w:pageBreakBefore w:val="0"/>
        <w:kinsoku/>
        <w:wordWrap/>
        <w:overflowPunct/>
        <w:topLinePunct w:val="0"/>
        <w:autoSpaceDE/>
        <w:autoSpaceDN/>
        <w:bidi w:val="0"/>
        <w:adjustRightInd/>
        <w:spacing w:line="360" w:lineRule="exact"/>
        <w:ind w:firstLine="482" w:firstLineChars="200"/>
        <w:textAlignment w:val="auto"/>
        <w:rPr>
          <w:rFonts w:hint="eastAsia" w:ascii="黑体" w:hAnsi="黑体" w:eastAsia="黑体" w:cs="Times New Roman"/>
          <w:b/>
          <w:bCs/>
          <w:color w:val="auto"/>
          <w:sz w:val="24"/>
          <w:szCs w:val="24"/>
          <w:highlight w:val="none"/>
        </w:rPr>
      </w:pPr>
      <w:r>
        <w:rPr>
          <w:rFonts w:hint="eastAsia" w:ascii="黑体" w:hAnsi="黑体" w:eastAsia="黑体" w:cs="Times New Roman"/>
          <w:b/>
          <w:bCs/>
          <w:color w:val="auto"/>
          <w:sz w:val="24"/>
          <w:szCs w:val="24"/>
          <w:highlight w:val="none"/>
        </w:rPr>
        <w:t>三、获取采购文件</w:t>
      </w:r>
      <w:bookmarkEnd w:id="16"/>
      <w:bookmarkEnd w:id="17"/>
      <w:bookmarkEnd w:id="18"/>
      <w:bookmarkEnd w:id="19"/>
    </w:p>
    <w:p>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bCs/>
          <w:color w:val="auto"/>
          <w:kern w:val="0"/>
          <w:szCs w:val="21"/>
          <w:highlight w:val="none"/>
        </w:rPr>
      </w:pPr>
      <w:bookmarkStart w:id="29" w:name="_Toc28359082"/>
      <w:bookmarkStart w:id="30" w:name="_Toc35393793"/>
      <w:bookmarkStart w:id="31" w:name="_Toc35393624"/>
      <w:bookmarkStart w:id="32" w:name="_Toc28359005"/>
      <w:r>
        <w:rPr>
          <w:rFonts w:hint="eastAsia" w:ascii="宋体" w:hAnsi="宋体" w:eastAsia="宋体" w:cs="宋体"/>
          <w:bCs/>
          <w:color w:val="auto"/>
          <w:kern w:val="0"/>
          <w:szCs w:val="21"/>
          <w:highlight w:val="none"/>
        </w:rPr>
        <w:t>时间：</w:t>
      </w:r>
      <w:bookmarkStart w:id="33" w:name="OLE_LINK8"/>
      <w:r>
        <w:rPr>
          <w:rFonts w:ascii="宋体" w:hAnsi="宋体" w:eastAsia="宋体" w:cs="宋体"/>
          <w:bCs/>
          <w:color w:val="auto"/>
          <w:kern w:val="0"/>
          <w:szCs w:val="21"/>
          <w:highlight w:val="none"/>
        </w:rPr>
        <w:t>202</w:t>
      </w:r>
      <w:r>
        <w:rPr>
          <w:rFonts w:hint="eastAsia" w:ascii="宋体" w:hAnsi="宋体" w:eastAsia="宋体" w:cs="宋体"/>
          <w:bCs/>
          <w:color w:val="auto"/>
          <w:kern w:val="0"/>
          <w:szCs w:val="21"/>
          <w:highlight w:val="none"/>
          <w:lang w:val="en-US" w:eastAsia="zh-CN"/>
        </w:rPr>
        <w:t>6</w:t>
      </w:r>
      <w:r>
        <w:rPr>
          <w:rFonts w:hint="eastAsia" w:ascii="宋体" w:hAnsi="宋体" w:eastAsia="宋体" w:cs="宋体"/>
          <w:bCs/>
          <w:color w:val="auto"/>
          <w:kern w:val="0"/>
          <w:szCs w:val="21"/>
          <w:highlight w:val="none"/>
        </w:rPr>
        <w:t>年</w:t>
      </w:r>
      <w:r>
        <w:rPr>
          <w:rFonts w:hint="eastAsia" w:ascii="宋体" w:hAnsi="宋体" w:eastAsia="宋体" w:cs="宋体"/>
          <w:bCs/>
          <w:color w:val="auto"/>
          <w:kern w:val="0"/>
          <w:szCs w:val="21"/>
          <w:highlight w:val="none"/>
          <w:lang w:val="en-US" w:eastAsia="zh-CN"/>
        </w:rPr>
        <w:t>02</w:t>
      </w:r>
      <w:r>
        <w:rPr>
          <w:rFonts w:hint="eastAsia" w:ascii="宋体" w:hAnsi="宋体" w:eastAsia="宋体" w:cs="宋体"/>
          <w:bCs/>
          <w:color w:val="auto"/>
          <w:kern w:val="0"/>
          <w:szCs w:val="21"/>
          <w:highlight w:val="none"/>
        </w:rPr>
        <w:t>月</w:t>
      </w:r>
      <w:r>
        <w:rPr>
          <w:rFonts w:hint="eastAsia" w:ascii="宋体" w:hAnsi="宋体" w:eastAsia="宋体" w:cs="宋体"/>
          <w:bCs/>
          <w:color w:val="auto"/>
          <w:kern w:val="0"/>
          <w:szCs w:val="21"/>
          <w:highlight w:val="none"/>
          <w:lang w:val="en-US" w:eastAsia="zh-CN"/>
        </w:rPr>
        <w:t xml:space="preserve">02 </w:t>
      </w:r>
      <w:r>
        <w:rPr>
          <w:rFonts w:hint="eastAsia" w:ascii="宋体" w:hAnsi="宋体" w:eastAsia="宋体" w:cs="宋体"/>
          <w:bCs/>
          <w:color w:val="auto"/>
          <w:kern w:val="0"/>
          <w:szCs w:val="21"/>
          <w:highlight w:val="none"/>
        </w:rPr>
        <w:t>日</w:t>
      </w:r>
      <w:bookmarkEnd w:id="33"/>
      <w:r>
        <w:rPr>
          <w:rFonts w:hint="eastAsia" w:ascii="宋体" w:hAnsi="宋体" w:eastAsia="宋体" w:cs="宋体"/>
          <w:bCs/>
          <w:color w:val="auto"/>
          <w:kern w:val="0"/>
          <w:szCs w:val="21"/>
          <w:highlight w:val="none"/>
        </w:rPr>
        <w:t>至</w:t>
      </w:r>
      <w:r>
        <w:rPr>
          <w:rFonts w:ascii="宋体" w:hAnsi="宋体" w:eastAsia="宋体" w:cs="宋体"/>
          <w:bCs/>
          <w:color w:val="auto"/>
          <w:kern w:val="0"/>
          <w:szCs w:val="21"/>
          <w:highlight w:val="none"/>
        </w:rPr>
        <w:t>202</w:t>
      </w:r>
      <w:r>
        <w:rPr>
          <w:rFonts w:hint="eastAsia" w:ascii="宋体" w:hAnsi="宋体" w:eastAsia="宋体" w:cs="宋体"/>
          <w:bCs/>
          <w:color w:val="auto"/>
          <w:kern w:val="0"/>
          <w:szCs w:val="21"/>
          <w:highlight w:val="none"/>
          <w:lang w:val="en-US" w:eastAsia="zh-CN"/>
        </w:rPr>
        <w:t>6</w:t>
      </w:r>
      <w:r>
        <w:rPr>
          <w:rFonts w:hint="eastAsia" w:ascii="宋体" w:hAnsi="宋体" w:eastAsia="宋体" w:cs="宋体"/>
          <w:bCs/>
          <w:color w:val="auto"/>
          <w:kern w:val="0"/>
          <w:szCs w:val="21"/>
          <w:highlight w:val="none"/>
        </w:rPr>
        <w:t>年</w:t>
      </w:r>
      <w:r>
        <w:rPr>
          <w:rFonts w:hint="eastAsia" w:ascii="宋体" w:hAnsi="宋体" w:eastAsia="宋体" w:cs="宋体"/>
          <w:bCs/>
          <w:color w:val="auto"/>
          <w:kern w:val="0"/>
          <w:szCs w:val="21"/>
          <w:highlight w:val="none"/>
          <w:lang w:val="en-US" w:eastAsia="zh-CN"/>
        </w:rPr>
        <w:t>02</w:t>
      </w:r>
      <w:r>
        <w:rPr>
          <w:rFonts w:hint="eastAsia" w:ascii="宋体" w:hAnsi="宋体" w:eastAsia="宋体" w:cs="宋体"/>
          <w:bCs/>
          <w:color w:val="auto"/>
          <w:kern w:val="0"/>
          <w:szCs w:val="21"/>
          <w:highlight w:val="none"/>
        </w:rPr>
        <w:t>月</w:t>
      </w:r>
      <w:r>
        <w:rPr>
          <w:rFonts w:hint="eastAsia" w:ascii="宋体" w:hAnsi="宋体" w:eastAsia="宋体" w:cs="宋体"/>
          <w:bCs/>
          <w:color w:val="auto"/>
          <w:kern w:val="0"/>
          <w:szCs w:val="21"/>
          <w:highlight w:val="none"/>
          <w:lang w:val="en-US" w:eastAsia="zh-CN"/>
        </w:rPr>
        <w:t>05</w:t>
      </w:r>
      <w:r>
        <w:rPr>
          <w:rFonts w:hint="eastAsia" w:ascii="宋体" w:hAnsi="宋体" w:eastAsia="宋体" w:cs="宋体"/>
          <w:bCs/>
          <w:color w:val="auto"/>
          <w:kern w:val="0"/>
          <w:szCs w:val="21"/>
          <w:highlight w:val="none"/>
        </w:rPr>
        <w:t>日，每天上午00:00至12:00，下午12:00至23:59（北京时间，法定节假日除外）</w:t>
      </w:r>
    </w:p>
    <w:p>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地点：</w:t>
      </w:r>
      <w:bookmarkStart w:id="34" w:name="OLE_LINK9"/>
      <w:r>
        <w:rPr>
          <w:rFonts w:hint="eastAsia" w:ascii="宋体" w:hAnsi="宋体" w:cs="宋体"/>
          <w:color w:val="auto"/>
          <w:szCs w:val="21"/>
          <w:highlight w:val="none"/>
        </w:rPr>
        <w:t>广西政府采购云平台（</w:t>
      </w:r>
      <w:r>
        <w:rPr>
          <w:rStyle w:val="35"/>
          <w:rFonts w:hint="eastAsia" w:ascii="宋体" w:hAnsi="宋体" w:eastAsia="宋体" w:cs="宋体"/>
          <w:b w:val="0"/>
          <w:bCs/>
          <w:color w:val="auto"/>
          <w:szCs w:val="21"/>
          <w:highlight w:val="none"/>
        </w:rPr>
        <w:t>https://www.gcy.zfcg.gxzf.gov.cn/</w:t>
      </w:r>
      <w:r>
        <w:rPr>
          <w:rFonts w:hint="eastAsia" w:ascii="宋体" w:hAnsi="宋体" w:cs="宋体"/>
          <w:color w:val="auto"/>
          <w:szCs w:val="21"/>
          <w:highlight w:val="none"/>
        </w:rPr>
        <w:t>）</w:t>
      </w:r>
      <w:bookmarkEnd w:id="34"/>
    </w:p>
    <w:p>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Cs w:val="21"/>
          <w:highlight w:val="none"/>
        </w:rPr>
        <w:t>方式：</w:t>
      </w:r>
      <w:bookmarkStart w:id="35" w:name="OLE_LINK10"/>
      <w:r>
        <w:rPr>
          <w:rFonts w:hint="eastAsia" w:ascii="宋体" w:hAnsi="宋体" w:eastAsia="宋体" w:cs="宋体"/>
          <w:color w:val="auto"/>
          <w:szCs w:val="21"/>
          <w:highlight w:val="none"/>
        </w:rPr>
        <w:t>网上下载。本项目不发放纸质采购文件，潜在</w:t>
      </w:r>
      <w:bookmarkStart w:id="36" w:name="OLE_LINK27"/>
      <w:r>
        <w:rPr>
          <w:rFonts w:hint="eastAsia" w:ascii="宋体" w:hAnsi="宋体" w:eastAsia="宋体" w:cs="宋体"/>
          <w:color w:val="auto"/>
          <w:szCs w:val="21"/>
          <w:highlight w:val="none"/>
        </w:rPr>
        <w:t>供应商可自行在</w:t>
      </w:r>
      <w:r>
        <w:rPr>
          <w:rFonts w:hint="eastAsia" w:ascii="宋体" w:hAnsi="宋体" w:cs="宋体"/>
          <w:color w:val="auto"/>
          <w:szCs w:val="21"/>
          <w:highlight w:val="none"/>
        </w:rPr>
        <w:t>广西政府采购云平台（</w:t>
      </w:r>
      <w:r>
        <w:rPr>
          <w:rStyle w:val="35"/>
          <w:rFonts w:hint="eastAsia" w:ascii="宋体" w:hAnsi="宋体" w:eastAsia="宋体" w:cs="宋体"/>
          <w:b w:val="0"/>
          <w:bCs/>
          <w:color w:val="auto"/>
          <w:szCs w:val="21"/>
          <w:highlight w:val="none"/>
        </w:rPr>
        <w:t>https://www.gcy.zfcg.gxzf.gov.cn/</w:t>
      </w:r>
      <w:r>
        <w:rPr>
          <w:rFonts w:hint="eastAsia" w:ascii="宋体" w:hAnsi="宋体" w:cs="宋体"/>
          <w:color w:val="auto"/>
          <w:szCs w:val="21"/>
          <w:highlight w:val="none"/>
        </w:rPr>
        <w:t>）</w:t>
      </w:r>
      <w:r>
        <w:rPr>
          <w:rFonts w:hint="eastAsia" w:ascii="宋体" w:hAnsi="宋体" w:eastAsia="宋体" w:cs="宋体"/>
          <w:color w:val="auto"/>
          <w:szCs w:val="21"/>
          <w:highlight w:val="none"/>
        </w:rPr>
        <w:t>下载采购文件（操作路径：登录</w:t>
      </w:r>
      <w:r>
        <w:rPr>
          <w:rFonts w:hint="eastAsia" w:ascii="宋体" w:hAnsi="宋体" w:cs="宋体"/>
          <w:color w:val="auto"/>
          <w:szCs w:val="21"/>
          <w:highlight w:val="none"/>
        </w:rPr>
        <w:t>广西政府采购云平台</w:t>
      </w:r>
      <w:r>
        <w:rPr>
          <w:rFonts w:hint="eastAsia" w:ascii="宋体" w:hAnsi="宋体" w:eastAsia="宋体" w:cs="宋体"/>
          <w:color w:val="auto"/>
          <w:szCs w:val="21"/>
          <w:highlight w:val="none"/>
        </w:rPr>
        <w:t>-项目采购-获取采购文件-找到本项目-点击“申请获取采购文件”）</w:t>
      </w:r>
      <w:bookmarkEnd w:id="36"/>
      <w:r>
        <w:rPr>
          <w:rFonts w:hint="eastAsia" w:ascii="宋体" w:hAnsi="宋体" w:eastAsia="宋体" w:cs="宋体"/>
          <w:color w:val="auto"/>
          <w:szCs w:val="21"/>
          <w:highlight w:val="none"/>
        </w:rPr>
        <w:t>，电子响应文件制作需要基于</w:t>
      </w:r>
      <w:r>
        <w:rPr>
          <w:rFonts w:hint="eastAsia" w:ascii="宋体" w:hAnsi="宋体" w:cs="宋体"/>
          <w:color w:val="auto"/>
          <w:szCs w:val="21"/>
          <w:highlight w:val="none"/>
        </w:rPr>
        <w:t>广西政府采购云平台</w:t>
      </w:r>
      <w:r>
        <w:rPr>
          <w:rFonts w:hint="eastAsia" w:ascii="宋体" w:hAnsi="宋体" w:eastAsia="宋体" w:cs="宋体"/>
          <w:color w:val="auto"/>
          <w:szCs w:val="21"/>
          <w:highlight w:val="none"/>
        </w:rPr>
        <w:t>获取的采购文件编制。</w:t>
      </w:r>
      <w:bookmarkEnd w:id="35"/>
    </w:p>
    <w:p>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售价：人民币0元。</w:t>
      </w:r>
    </w:p>
    <w:p>
      <w:pPr>
        <w:keepNext w:val="0"/>
        <w:keepLines w:val="0"/>
        <w:pageBreakBefore w:val="0"/>
        <w:kinsoku/>
        <w:wordWrap/>
        <w:overflowPunct/>
        <w:topLinePunct w:val="0"/>
        <w:autoSpaceDE/>
        <w:autoSpaceDN/>
        <w:bidi w:val="0"/>
        <w:adjustRightInd/>
        <w:spacing w:line="360" w:lineRule="exact"/>
        <w:ind w:firstLine="482" w:firstLineChars="200"/>
        <w:textAlignment w:val="auto"/>
        <w:rPr>
          <w:rFonts w:hint="eastAsia" w:ascii="黑体" w:hAnsi="黑体" w:eastAsia="黑体" w:cs="Times New Roman"/>
          <w:b/>
          <w:bCs/>
          <w:color w:val="auto"/>
          <w:sz w:val="24"/>
          <w:szCs w:val="24"/>
          <w:highlight w:val="none"/>
        </w:rPr>
      </w:pPr>
      <w:r>
        <w:rPr>
          <w:rFonts w:hint="eastAsia" w:ascii="黑体" w:hAnsi="黑体" w:eastAsia="黑体" w:cs="Times New Roman"/>
          <w:b/>
          <w:bCs/>
          <w:color w:val="auto"/>
          <w:sz w:val="24"/>
          <w:szCs w:val="24"/>
          <w:highlight w:val="none"/>
        </w:rPr>
        <w:t>四、</w:t>
      </w:r>
      <w:bookmarkEnd w:id="29"/>
      <w:bookmarkEnd w:id="30"/>
      <w:bookmarkEnd w:id="31"/>
      <w:bookmarkEnd w:id="32"/>
      <w:r>
        <w:rPr>
          <w:rFonts w:hint="eastAsia" w:ascii="黑体" w:hAnsi="黑体" w:eastAsia="黑体" w:cs="Times New Roman"/>
          <w:b/>
          <w:bCs/>
          <w:color w:val="auto"/>
          <w:sz w:val="24"/>
          <w:szCs w:val="24"/>
          <w:highlight w:val="none"/>
        </w:rPr>
        <w:t>响应文件提交</w:t>
      </w:r>
    </w:p>
    <w:p>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Times New Roman"/>
          <w:color w:val="auto"/>
          <w:szCs w:val="21"/>
          <w:highlight w:val="none"/>
        </w:rPr>
        <w:t>1、首次响应文件提交截止时间：</w:t>
      </w: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02</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06</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点</w:t>
      </w: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分</w:t>
      </w:r>
      <w:r>
        <w:rPr>
          <w:rFonts w:hint="eastAsia"/>
          <w:bCs/>
          <w:color w:val="auto"/>
          <w:szCs w:val="21"/>
          <w:highlight w:val="none"/>
        </w:rPr>
        <w:t>（北京时间）</w:t>
      </w:r>
    </w:p>
    <w:p>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2、首次响应文件提交地点：</w:t>
      </w:r>
      <w:bookmarkStart w:id="37" w:name="OLE_LINK14"/>
      <w:r>
        <w:rPr>
          <w:rFonts w:hint="eastAsia" w:ascii="宋体" w:hAnsi="宋体"/>
          <w:color w:val="auto"/>
          <w:szCs w:val="21"/>
          <w:highlight w:val="none"/>
        </w:rPr>
        <w:t>广西政府采购云平台（https://www.gcy.zfcg.gxzf.gov.cn/）</w:t>
      </w:r>
      <w:bookmarkEnd w:id="37"/>
    </w:p>
    <w:p>
      <w:pPr>
        <w:keepNext w:val="0"/>
        <w:keepLines w:val="0"/>
        <w:pageBreakBefore w:val="0"/>
        <w:kinsoku/>
        <w:wordWrap/>
        <w:overflowPunct/>
        <w:topLinePunct w:val="0"/>
        <w:autoSpaceDE/>
        <w:autoSpaceDN/>
        <w:bidi w:val="0"/>
        <w:adjustRightInd/>
        <w:spacing w:line="360" w:lineRule="exact"/>
        <w:ind w:firstLine="482" w:firstLineChars="200"/>
        <w:textAlignment w:val="auto"/>
        <w:rPr>
          <w:rFonts w:hint="eastAsia" w:ascii="黑体" w:hAnsi="黑体" w:eastAsia="黑体" w:cs="Times New Roman"/>
          <w:b/>
          <w:bCs/>
          <w:color w:val="auto"/>
          <w:sz w:val="24"/>
          <w:szCs w:val="24"/>
          <w:highlight w:val="none"/>
        </w:rPr>
      </w:pPr>
      <w:r>
        <w:rPr>
          <w:rFonts w:hint="eastAsia" w:ascii="黑体" w:hAnsi="黑体" w:eastAsia="黑体" w:cs="Times New Roman"/>
          <w:b/>
          <w:bCs/>
          <w:color w:val="auto"/>
          <w:sz w:val="24"/>
          <w:szCs w:val="24"/>
          <w:highlight w:val="none"/>
        </w:rPr>
        <w:t>五、开启（首次响应文件开启时间）</w:t>
      </w:r>
    </w:p>
    <w:p>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bCs/>
          <w:color w:val="auto"/>
          <w:szCs w:val="21"/>
          <w:highlight w:val="none"/>
        </w:rPr>
      </w:pPr>
      <w:r>
        <w:rPr>
          <w:rFonts w:hint="eastAsia" w:ascii="宋体" w:hAnsi="宋体" w:eastAsia="宋体" w:cs="Times New Roman"/>
          <w:color w:val="auto"/>
          <w:szCs w:val="21"/>
          <w:highlight w:val="none"/>
        </w:rPr>
        <w:t>时间</w:t>
      </w:r>
      <w:bookmarkStart w:id="38" w:name="PO_3000001871_PM015_2"/>
      <w:r>
        <w:rPr>
          <w:rFonts w:hint="eastAsia" w:ascii="宋体" w:hAnsi="宋体" w:eastAsia="宋体" w:cs="Times New Roman"/>
          <w:color w:val="auto"/>
          <w:szCs w:val="21"/>
          <w:highlight w:val="none"/>
        </w:rPr>
        <w:t>：</w:t>
      </w: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02</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06</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点</w:t>
      </w: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分</w:t>
      </w:r>
      <w:r>
        <w:rPr>
          <w:rFonts w:hint="eastAsia"/>
          <w:bCs/>
          <w:color w:val="auto"/>
          <w:szCs w:val="21"/>
          <w:highlight w:val="none"/>
        </w:rPr>
        <w:t>（北京时间）</w:t>
      </w:r>
      <w:bookmarkEnd w:id="38"/>
    </w:p>
    <w:p>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Times New Roman"/>
          <w:bCs/>
          <w:color w:val="auto"/>
          <w:szCs w:val="21"/>
          <w:highlight w:val="none"/>
          <w:u w:val="single"/>
        </w:rPr>
      </w:pPr>
      <w:r>
        <w:rPr>
          <w:rFonts w:hint="eastAsia" w:ascii="宋体" w:hAnsi="宋体" w:eastAsia="宋体" w:cs="Times New Roman"/>
          <w:color w:val="auto"/>
          <w:szCs w:val="21"/>
          <w:highlight w:val="none"/>
        </w:rPr>
        <w:t>地点：</w:t>
      </w:r>
      <w:bookmarkStart w:id="39" w:name="OLE_LINK11"/>
      <w:r>
        <w:rPr>
          <w:rFonts w:hint="eastAsia" w:ascii="宋体" w:hAnsi="宋体"/>
          <w:color w:val="auto"/>
          <w:szCs w:val="21"/>
          <w:highlight w:val="none"/>
        </w:rPr>
        <w:t>广西政府采购云平台电子开标大厅</w:t>
      </w:r>
      <w:bookmarkEnd w:id="39"/>
    </w:p>
    <w:p>
      <w:pPr>
        <w:keepNext w:val="0"/>
        <w:keepLines w:val="0"/>
        <w:pageBreakBefore w:val="0"/>
        <w:kinsoku/>
        <w:wordWrap/>
        <w:overflowPunct/>
        <w:topLinePunct w:val="0"/>
        <w:autoSpaceDE/>
        <w:autoSpaceDN/>
        <w:bidi w:val="0"/>
        <w:adjustRightInd/>
        <w:spacing w:line="360" w:lineRule="exact"/>
        <w:ind w:firstLine="482" w:firstLineChars="200"/>
        <w:textAlignment w:val="auto"/>
        <w:rPr>
          <w:rFonts w:hint="eastAsia" w:ascii="黑体" w:hAnsi="黑体" w:eastAsia="黑体" w:cs="Times New Roman"/>
          <w:b/>
          <w:bCs/>
          <w:color w:val="auto"/>
          <w:sz w:val="24"/>
          <w:szCs w:val="24"/>
          <w:highlight w:val="none"/>
        </w:rPr>
      </w:pPr>
      <w:bookmarkStart w:id="40" w:name="_Toc35393625"/>
      <w:bookmarkStart w:id="41" w:name="_Toc35393794"/>
      <w:bookmarkStart w:id="42" w:name="_Toc28359007"/>
      <w:bookmarkStart w:id="43" w:name="_Toc28359084"/>
      <w:r>
        <w:rPr>
          <w:rFonts w:hint="eastAsia" w:ascii="黑体" w:hAnsi="黑体" w:eastAsia="黑体" w:cs="Times New Roman"/>
          <w:b/>
          <w:bCs/>
          <w:color w:val="auto"/>
          <w:sz w:val="24"/>
          <w:szCs w:val="24"/>
          <w:highlight w:val="none"/>
        </w:rPr>
        <w:t>六、公告期限</w:t>
      </w:r>
      <w:bookmarkEnd w:id="40"/>
      <w:bookmarkEnd w:id="41"/>
      <w:bookmarkEnd w:id="42"/>
      <w:bookmarkEnd w:id="43"/>
    </w:p>
    <w:p>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自本公告发布之日起3个工作日。</w:t>
      </w:r>
    </w:p>
    <w:p>
      <w:pPr>
        <w:keepNext w:val="0"/>
        <w:keepLines w:val="0"/>
        <w:pageBreakBefore w:val="0"/>
        <w:kinsoku/>
        <w:wordWrap/>
        <w:overflowPunct/>
        <w:topLinePunct w:val="0"/>
        <w:autoSpaceDE/>
        <w:autoSpaceDN/>
        <w:bidi w:val="0"/>
        <w:adjustRightInd/>
        <w:spacing w:line="360" w:lineRule="exact"/>
        <w:ind w:firstLine="482" w:firstLineChars="200"/>
        <w:textAlignment w:val="auto"/>
        <w:rPr>
          <w:rFonts w:hint="eastAsia" w:ascii="黑体" w:hAnsi="黑体" w:eastAsia="黑体" w:cs="Times New Roman"/>
          <w:b/>
          <w:bCs/>
          <w:color w:val="auto"/>
          <w:sz w:val="24"/>
          <w:szCs w:val="24"/>
          <w:highlight w:val="none"/>
        </w:rPr>
      </w:pPr>
      <w:bookmarkStart w:id="44" w:name="_Toc35393626"/>
      <w:bookmarkStart w:id="45" w:name="_Toc35393795"/>
      <w:r>
        <w:rPr>
          <w:rFonts w:hint="eastAsia" w:ascii="黑体" w:hAnsi="黑体" w:eastAsia="黑体" w:cs="Times New Roman"/>
          <w:b/>
          <w:bCs/>
          <w:color w:val="auto"/>
          <w:sz w:val="24"/>
          <w:szCs w:val="24"/>
          <w:highlight w:val="none"/>
        </w:rPr>
        <w:t>七、其他补充事宜</w:t>
      </w:r>
      <w:bookmarkEnd w:id="44"/>
      <w:bookmarkEnd w:id="45"/>
    </w:p>
    <w:p>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color w:val="auto"/>
          <w:kern w:val="0"/>
          <w:szCs w:val="21"/>
          <w:highlight w:val="none"/>
          <w:u w:val="single"/>
        </w:rPr>
      </w:pPr>
      <w:bookmarkStart w:id="46" w:name="OLE_LINK12"/>
      <w:r>
        <w:rPr>
          <w:rFonts w:hint="eastAsia" w:ascii="宋体" w:hAnsi="宋体" w:eastAsia="宋体" w:cs="宋体"/>
          <w:color w:val="auto"/>
          <w:kern w:val="0"/>
          <w:szCs w:val="21"/>
          <w:highlight w:val="none"/>
        </w:rPr>
        <w:t xml:space="preserve">1.谈判保证金： </w:t>
      </w:r>
      <w:r>
        <w:rPr>
          <w:rFonts w:hint="eastAsia" w:ascii="宋体" w:hAnsi="宋体" w:eastAsia="宋体" w:cs="宋体"/>
          <w:b/>
          <w:bCs/>
          <w:color w:val="auto"/>
          <w:szCs w:val="21"/>
          <w:highlight w:val="none"/>
        </w:rPr>
        <w:t>本项目不需要缴</w:t>
      </w:r>
      <w:r>
        <w:rPr>
          <w:rFonts w:hint="eastAsia" w:ascii="宋体" w:hAnsi="宋体" w:eastAsia="宋体" w:cs="宋体"/>
          <w:b/>
          <w:bCs/>
          <w:color w:val="auto"/>
          <w:kern w:val="0"/>
          <w:szCs w:val="21"/>
          <w:highlight w:val="none"/>
        </w:rPr>
        <w:t>纳</w:t>
      </w:r>
      <w:r>
        <w:rPr>
          <w:rFonts w:hint="eastAsia" w:ascii="宋体" w:hAnsi="宋体" w:eastAsia="宋体" w:cs="宋体"/>
          <w:b/>
          <w:bCs/>
          <w:color w:val="auto"/>
          <w:szCs w:val="21"/>
          <w:highlight w:val="none"/>
        </w:rPr>
        <w:t>谈判保证金。</w:t>
      </w:r>
    </w:p>
    <w:p>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color w:val="auto"/>
          <w:kern w:val="0"/>
          <w:szCs w:val="21"/>
          <w:highlight w:val="none"/>
          <w:lang w:eastAsia="zh-CN"/>
        </w:rPr>
      </w:pPr>
      <w:bookmarkStart w:id="47" w:name="_Hlk37429585"/>
      <w:bookmarkStart w:id="48" w:name="_Hlk37429595"/>
      <w:r>
        <w:rPr>
          <w:rFonts w:hint="eastAsia" w:ascii="宋体" w:hAnsi="宋体" w:eastAsia="宋体" w:cs="宋体"/>
          <w:color w:val="auto"/>
          <w:kern w:val="0"/>
          <w:szCs w:val="21"/>
          <w:highlight w:val="none"/>
        </w:rPr>
        <w:t>2.网上查询地址</w:t>
      </w:r>
      <w:r>
        <w:rPr>
          <w:rFonts w:hint="eastAsia" w:ascii="宋体" w:hAnsi="宋体" w:eastAsia="宋体" w:cs="宋体"/>
          <w:color w:val="auto"/>
          <w:kern w:val="0"/>
          <w:szCs w:val="21"/>
          <w:highlight w:val="none"/>
          <w:lang w:eastAsia="zh-CN"/>
        </w:rPr>
        <w:t>：</w:t>
      </w:r>
    </w:p>
    <w:bookmarkEnd w:id="47"/>
    <w:bookmarkEnd w:id="48"/>
    <w:p>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color w:val="auto"/>
          <w:kern w:val="0"/>
          <w:szCs w:val="21"/>
          <w:highlight w:val="none"/>
        </w:rPr>
      </w:pPr>
      <w:bookmarkStart w:id="49" w:name="_Hlk37429674"/>
      <w:r>
        <w:rPr>
          <w:rFonts w:hint="eastAsia" w:ascii="宋体" w:hAnsi="宋体" w:eastAsia="宋体" w:cs="宋体"/>
          <w:color w:val="auto"/>
          <w:kern w:val="0"/>
          <w:szCs w:val="21"/>
          <w:highlight w:val="none"/>
        </w:rPr>
        <w:t>http://www.ccgp.gov.cn/（中国政府采购网）、</w:t>
      </w:r>
      <w:r>
        <w:rPr>
          <w:rFonts w:hint="eastAsia" w:ascii="宋体" w:hAnsi="宋体" w:eastAsia="宋体" w:cs="宋体"/>
          <w:color w:val="auto"/>
          <w:szCs w:val="21"/>
          <w:highlight w:val="none"/>
        </w:rPr>
        <w:t>http://zfcg.gxzf.gov.cn/</w:t>
      </w:r>
      <w:r>
        <w:rPr>
          <w:rFonts w:hint="eastAsia" w:ascii="宋体" w:hAnsi="宋体" w:cs="宋体"/>
          <w:color w:val="auto"/>
          <w:kern w:val="0"/>
          <w:szCs w:val="21"/>
          <w:highlight w:val="none"/>
        </w:rPr>
        <w:t xml:space="preserve"> </w:t>
      </w:r>
      <w:r>
        <w:rPr>
          <w:rFonts w:hint="eastAsia" w:ascii="宋体" w:hAnsi="宋体" w:eastAsia="宋体" w:cs="宋体"/>
          <w:color w:val="auto"/>
          <w:kern w:val="0"/>
          <w:szCs w:val="21"/>
          <w:highlight w:val="none"/>
        </w:rPr>
        <w:t xml:space="preserve"> (广西政府采购网)</w:t>
      </w:r>
      <w:r>
        <w:rPr>
          <w:rFonts w:ascii="宋体" w:hAnsi="宋体" w:eastAsia="宋体" w:cs="宋体"/>
          <w:color w:val="auto"/>
          <w:kern w:val="0"/>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3.本项目需要落实的政府采购政策</w:t>
      </w:r>
      <w:r>
        <w:rPr>
          <w:rFonts w:hint="eastAsia" w:ascii="宋体" w:hAnsi="宋体" w:eastAsia="宋体" w:cs="宋体"/>
          <w:color w:val="auto"/>
          <w:kern w:val="0"/>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315" w:firstLineChars="15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（1）政府采购促进中小企业发展。</w:t>
      </w:r>
    </w:p>
    <w:p>
      <w:pPr>
        <w:keepNext w:val="0"/>
        <w:keepLines w:val="0"/>
        <w:pageBreakBefore w:val="0"/>
        <w:widowControl w:val="0"/>
        <w:kinsoku/>
        <w:wordWrap/>
        <w:overflowPunct/>
        <w:topLinePunct w:val="0"/>
        <w:autoSpaceDE/>
        <w:autoSpaceDN/>
        <w:bidi w:val="0"/>
        <w:adjustRightInd/>
        <w:snapToGrid/>
        <w:spacing w:line="360" w:lineRule="exact"/>
        <w:ind w:firstLine="315" w:firstLineChars="15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（2）政府采购支持采用本国产品的政策。</w:t>
      </w:r>
    </w:p>
    <w:p>
      <w:pPr>
        <w:keepNext w:val="0"/>
        <w:keepLines w:val="0"/>
        <w:pageBreakBefore w:val="0"/>
        <w:widowControl w:val="0"/>
        <w:kinsoku/>
        <w:wordWrap/>
        <w:overflowPunct/>
        <w:topLinePunct w:val="0"/>
        <w:autoSpaceDE/>
        <w:autoSpaceDN/>
        <w:bidi w:val="0"/>
        <w:adjustRightInd/>
        <w:snapToGrid/>
        <w:spacing w:line="360" w:lineRule="exact"/>
        <w:ind w:firstLine="315" w:firstLineChars="15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（3）强制采购节能产品；优先采购节能产品、环境标志产品。</w:t>
      </w:r>
    </w:p>
    <w:p>
      <w:pPr>
        <w:keepNext w:val="0"/>
        <w:keepLines w:val="0"/>
        <w:pageBreakBefore w:val="0"/>
        <w:widowControl w:val="0"/>
        <w:kinsoku/>
        <w:wordWrap/>
        <w:overflowPunct/>
        <w:topLinePunct w:val="0"/>
        <w:autoSpaceDE/>
        <w:autoSpaceDN/>
        <w:bidi w:val="0"/>
        <w:adjustRightInd/>
        <w:snapToGrid/>
        <w:spacing w:line="360" w:lineRule="exact"/>
        <w:ind w:firstLine="315" w:firstLineChars="15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（4）政府采购促进残疾人就业政策。</w:t>
      </w:r>
    </w:p>
    <w:p>
      <w:pPr>
        <w:keepNext w:val="0"/>
        <w:keepLines w:val="0"/>
        <w:pageBreakBefore w:val="0"/>
        <w:widowControl w:val="0"/>
        <w:kinsoku/>
        <w:wordWrap/>
        <w:overflowPunct/>
        <w:topLinePunct w:val="0"/>
        <w:autoSpaceDE/>
        <w:autoSpaceDN/>
        <w:bidi w:val="0"/>
        <w:adjustRightInd/>
        <w:snapToGrid/>
        <w:spacing w:line="360" w:lineRule="exact"/>
        <w:ind w:firstLine="315" w:firstLineChars="15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（5）政府采购支持监狱企业发展。</w:t>
      </w:r>
    </w:p>
    <w:bookmarkEnd w:id="49"/>
    <w:p>
      <w:pPr>
        <w:keepNext w:val="0"/>
        <w:keepLines w:val="0"/>
        <w:pageBreakBefore w:val="0"/>
        <w:kinsoku/>
        <w:wordWrap/>
        <w:overflowPunct/>
        <w:topLinePunct w:val="0"/>
        <w:autoSpaceDE/>
        <w:autoSpaceDN/>
        <w:bidi w:val="0"/>
        <w:adjustRightInd/>
        <w:snapToGrid w:val="0"/>
        <w:spacing w:line="3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keepNext w:val="0"/>
        <w:keepLines w:val="0"/>
        <w:pageBreakBefore w:val="0"/>
        <w:kinsoku/>
        <w:wordWrap/>
        <w:overflowPunct/>
        <w:topLinePunct w:val="0"/>
        <w:autoSpaceDE/>
        <w:autoSpaceDN/>
        <w:bidi w:val="0"/>
        <w:adjustRightInd/>
        <w:snapToGrid w:val="0"/>
        <w:spacing w:line="36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5.对在“信用中国”网站(www.creditchina.gov.cn)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pPr>
        <w:keepNext w:val="0"/>
        <w:keepLines w:val="0"/>
        <w:pageBreakBefore w:val="0"/>
        <w:kinsoku/>
        <w:wordWrap/>
        <w:overflowPunct/>
        <w:topLinePunct w:val="0"/>
        <w:autoSpaceDE/>
        <w:autoSpaceDN/>
        <w:bidi w:val="0"/>
        <w:adjustRightInd/>
        <w:spacing w:line="360" w:lineRule="exact"/>
        <w:ind w:firstLine="422" w:firstLineChars="200"/>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w:t>
      </w:r>
      <w:r>
        <w:rPr>
          <w:rFonts w:hint="eastAsia" w:ascii="宋体" w:hAnsi="宋体" w:eastAsia="宋体" w:cs="宋体"/>
          <w:b/>
          <w:bCs/>
          <w:color w:val="auto"/>
          <w:szCs w:val="21"/>
          <w:highlight w:val="none"/>
        </w:rPr>
        <w:t>在线竞标的有关说明</w:t>
      </w:r>
      <w:r>
        <w:rPr>
          <w:rFonts w:hint="eastAsia" w:ascii="宋体" w:hAnsi="宋体" w:eastAsia="宋体" w:cs="宋体"/>
          <w:b/>
          <w:bCs/>
          <w:color w:val="auto"/>
          <w:kern w:val="0"/>
          <w:szCs w:val="21"/>
          <w:highlight w:val="none"/>
        </w:rPr>
        <w:t>：</w:t>
      </w:r>
    </w:p>
    <w:p>
      <w:pPr>
        <w:keepNext w:val="0"/>
        <w:keepLines w:val="0"/>
        <w:pageBreakBefore w:val="0"/>
        <w:widowControl/>
        <w:kinsoku/>
        <w:wordWrap/>
        <w:overflowPunct/>
        <w:topLinePunct w:val="0"/>
        <w:autoSpaceDE/>
        <w:autoSpaceDN/>
        <w:bidi w:val="0"/>
        <w:adjustRightInd/>
        <w:spacing w:line="360" w:lineRule="exact"/>
        <w:ind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（1）响应文件提交方式：本项目为全流程电子化项目，通过</w:t>
      </w:r>
      <w:r>
        <w:rPr>
          <w:rFonts w:hint="eastAsia" w:ascii="宋体" w:hAnsi="宋体" w:cs="宋体"/>
          <w:color w:val="auto"/>
          <w:szCs w:val="21"/>
          <w:highlight w:val="none"/>
        </w:rPr>
        <w:t>广西政府采购云平台（</w:t>
      </w:r>
      <w:r>
        <w:rPr>
          <w:rStyle w:val="35"/>
          <w:rFonts w:hint="eastAsia" w:ascii="宋体" w:hAnsi="宋体" w:eastAsia="宋体" w:cs="宋体"/>
          <w:b w:val="0"/>
          <w:bCs/>
          <w:color w:val="auto"/>
          <w:szCs w:val="21"/>
          <w:highlight w:val="none"/>
        </w:rPr>
        <w:t>https://www.gcy.zfcg.gxzf.gov.cn/</w:t>
      </w:r>
      <w:r>
        <w:rPr>
          <w:rFonts w:hint="eastAsia" w:ascii="宋体" w:hAnsi="宋体" w:cs="宋体"/>
          <w:color w:val="auto"/>
          <w:szCs w:val="21"/>
          <w:highlight w:val="none"/>
        </w:rPr>
        <w:t>）</w:t>
      </w:r>
      <w:r>
        <w:rPr>
          <w:rFonts w:hint="eastAsia" w:ascii="宋体" w:hAnsi="宋体" w:eastAsia="宋体" w:cs="宋体"/>
          <w:color w:val="auto"/>
          <w:szCs w:val="21"/>
          <w:highlight w:val="none"/>
        </w:rPr>
        <w:t>实行在线电子响应，供应商应先安装</w:t>
      </w:r>
      <w:r>
        <w:rPr>
          <w:rFonts w:hint="eastAsia" w:ascii="宋体" w:hAnsi="宋体" w:cs="宋体"/>
          <w:color w:val="auto"/>
          <w:szCs w:val="21"/>
          <w:highlight w:val="none"/>
        </w:rPr>
        <w:t>广西政府采购云平台新版客户端（新版</w:t>
      </w:r>
      <w:r>
        <w:rPr>
          <w:rFonts w:hint="eastAsia" w:ascii="宋体" w:hAnsi="宋体" w:eastAsia="宋体" w:cs="宋体"/>
          <w:color w:val="auto"/>
          <w:szCs w:val="21"/>
          <w:highlight w:val="none"/>
        </w:rPr>
        <w:t>客户端下载路径：广西政府采购网（访问地址http://zfcg.gxzf.gov.cn/）—办事服务—下载专区</w:t>
      </w:r>
      <w:r>
        <w:rPr>
          <w:rFonts w:hint="eastAsia" w:ascii="宋体" w:hAnsi="宋体" w:cs="宋体"/>
          <w:color w:val="auto"/>
          <w:szCs w:val="21"/>
          <w:highlight w:val="none"/>
        </w:rPr>
        <w:t>）</w:t>
      </w:r>
      <w:r>
        <w:rPr>
          <w:rFonts w:hint="eastAsia" w:ascii="宋体" w:hAnsi="宋体" w:eastAsia="宋体" w:cs="宋体"/>
          <w:color w:val="auto"/>
          <w:szCs w:val="21"/>
          <w:highlight w:val="none"/>
        </w:rPr>
        <w:t>，并按照本项目采购文件和</w:t>
      </w:r>
      <w:r>
        <w:rPr>
          <w:rFonts w:hint="eastAsia" w:ascii="宋体" w:hAnsi="宋体" w:cs="宋体"/>
          <w:color w:val="auto"/>
          <w:szCs w:val="21"/>
          <w:highlight w:val="none"/>
        </w:rPr>
        <w:t>广西政府采购云平台</w:t>
      </w:r>
      <w:r>
        <w:rPr>
          <w:rFonts w:hint="eastAsia" w:ascii="宋体" w:hAnsi="宋体" w:eastAsia="宋体" w:cs="宋体"/>
          <w:color w:val="auto"/>
          <w:szCs w:val="21"/>
          <w:highlight w:val="none"/>
        </w:rPr>
        <w:t>的要求编制、加密后在响应文件提交截止时间前通过网络上传至</w:t>
      </w:r>
      <w:r>
        <w:rPr>
          <w:rFonts w:hint="eastAsia" w:ascii="宋体" w:hAnsi="宋体" w:cs="宋体"/>
          <w:color w:val="auto"/>
          <w:szCs w:val="21"/>
          <w:highlight w:val="none"/>
        </w:rPr>
        <w:t>广西政府采购云平台</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供应商在广西政府采购云平台提交电子版响应文件时，请填写参加远程采购活动经办人联系方式</w:t>
      </w:r>
      <w:r>
        <w:rPr>
          <w:rFonts w:hint="eastAsia" w:ascii="宋体" w:hAnsi="宋体" w:eastAsia="宋体" w:cs="宋体"/>
          <w:color w:val="auto"/>
          <w:szCs w:val="21"/>
          <w:highlight w:val="none"/>
        </w:rPr>
        <w:t>。</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进行网上注册并办理数字证书（CA认证）的供应商将无法参与本项目政府采购活动，潜在供应商应当在首次响应文件提交截止时间前，完成电子交易平台上的CA数字证书办理及响应文件的提交。（3）为确保网上操作合法、有效和安全，请供应商确保在电子响应过程中能够对相关数据电文进行加密和使用电子签章，妥善保管CA数字证书并使用有效的CA数字证书参与整个采购活动。</w:t>
      </w:r>
    </w:p>
    <w:p>
      <w:pPr>
        <w:keepNext w:val="0"/>
        <w:keepLines w:val="0"/>
        <w:pageBreakBefore w:val="0"/>
        <w:kinsoku/>
        <w:wordWrap/>
        <w:overflowPunct/>
        <w:topLinePunct w:val="0"/>
        <w:autoSpaceDE/>
        <w:autoSpaceDN/>
        <w:bidi w:val="0"/>
        <w:adjustRightInd/>
        <w:spacing w:line="360" w:lineRule="exact"/>
        <w:ind w:firstLine="422" w:firstLineChars="200"/>
        <w:textAlignment w:val="auto"/>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注：供应商应当在首次响应文件提交截止时间前完成电子响应文件的上传、递交，响应文件提交截止时间前可以补充、修改或者撤回响应文件。补充或者修改响应文件的，应当先行撤回原文件，补充、修改后重新上传、递交。</w:t>
      </w:r>
      <w:r>
        <w:rPr>
          <w:rFonts w:hint="eastAsia" w:ascii="宋体" w:hAnsi="宋体" w:eastAsia="宋体" w:cs="宋体"/>
          <w:b/>
          <w:color w:val="auto"/>
          <w:szCs w:val="21"/>
          <w:highlight w:val="none"/>
        </w:rPr>
        <w:t>响应文件提交</w:t>
      </w:r>
      <w:r>
        <w:rPr>
          <w:rFonts w:hint="eastAsia" w:ascii="宋体" w:hAnsi="宋体" w:eastAsia="宋体" w:cs="宋体"/>
          <w:b/>
          <w:color w:val="auto"/>
          <w:szCs w:val="21"/>
          <w:highlight w:val="none"/>
          <w:u w:val="single"/>
        </w:rPr>
        <w:t>截止时间前未完成上传、递交的，视为撤回响应文件。响应文件提交截止时间以后上传递交的响应文件的，广西政府采购云平台将予以拒收。</w:t>
      </w:r>
    </w:p>
    <w:p>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（4）CA证书在线解密：首次响应文件开启时，需要供应商登录</w:t>
      </w:r>
      <w:r>
        <w:rPr>
          <w:rFonts w:hint="eastAsia" w:ascii="宋体" w:hAnsi="宋体" w:cs="宋体"/>
          <w:color w:val="auto"/>
          <w:szCs w:val="21"/>
          <w:highlight w:val="none"/>
        </w:rPr>
        <w:t>广西政府采购云平台</w:t>
      </w:r>
      <w:r>
        <w:rPr>
          <w:rFonts w:hint="eastAsia" w:ascii="宋体" w:hAnsi="宋体" w:eastAsia="宋体" w:cs="宋体"/>
          <w:color w:val="auto"/>
          <w:kern w:val="0"/>
          <w:szCs w:val="21"/>
          <w:highlight w:val="none"/>
        </w:rPr>
        <w:t>电子开标大厅按规定时间对加密的响应文件进行解密。</w:t>
      </w:r>
    </w:p>
    <w:p>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（5）供应商需要在具备有摄像头及语音功能且互联网网络状况良好的电脑登录</w:t>
      </w:r>
      <w:r>
        <w:rPr>
          <w:rFonts w:hint="eastAsia" w:ascii="宋体" w:hAnsi="宋体" w:cs="宋体"/>
          <w:color w:val="auto"/>
          <w:szCs w:val="21"/>
          <w:highlight w:val="none"/>
        </w:rPr>
        <w:t>广西政府采购云平台</w:t>
      </w:r>
      <w:r>
        <w:rPr>
          <w:rFonts w:hint="eastAsia" w:ascii="宋体" w:hAnsi="宋体" w:eastAsia="宋体" w:cs="宋体"/>
          <w:color w:val="auto"/>
          <w:kern w:val="0"/>
          <w:szCs w:val="21"/>
          <w:highlight w:val="none"/>
        </w:rPr>
        <w:t>远程开标大厅参与本次谈判，否则后果自负。</w:t>
      </w:r>
    </w:p>
    <w:p>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7.若对项目采购电子交易系统操作有疑问，可登录</w:t>
      </w:r>
      <w:r>
        <w:rPr>
          <w:rFonts w:hint="eastAsia" w:ascii="宋体" w:hAnsi="宋体" w:cs="宋体"/>
          <w:color w:val="auto"/>
          <w:szCs w:val="21"/>
          <w:highlight w:val="none"/>
        </w:rPr>
        <w:t>广西政府采购云平台（</w:t>
      </w:r>
      <w:r>
        <w:rPr>
          <w:rStyle w:val="35"/>
          <w:rFonts w:hint="eastAsia" w:ascii="宋体" w:hAnsi="宋体" w:eastAsia="宋体" w:cs="宋体"/>
          <w:b w:val="0"/>
          <w:bCs/>
          <w:color w:val="auto"/>
          <w:szCs w:val="21"/>
          <w:highlight w:val="none"/>
        </w:rPr>
        <w:t>https://www.gcy.zfcg.gxzf.gov.cn/</w:t>
      </w:r>
      <w:r>
        <w:rPr>
          <w:rFonts w:hint="eastAsia" w:ascii="宋体" w:hAnsi="宋体" w:cs="宋体"/>
          <w:color w:val="auto"/>
          <w:szCs w:val="21"/>
          <w:highlight w:val="none"/>
        </w:rPr>
        <w:t>）</w:t>
      </w:r>
      <w:r>
        <w:rPr>
          <w:rFonts w:hint="eastAsia" w:ascii="宋体" w:hAnsi="宋体" w:eastAsia="宋体" w:cs="宋体"/>
          <w:color w:val="auto"/>
          <w:kern w:val="0"/>
          <w:szCs w:val="21"/>
          <w:highlight w:val="none"/>
        </w:rPr>
        <w:t>，点击右侧咨询小采，获取采小蜜智能服务管家帮助，或拨打</w:t>
      </w:r>
      <w:r>
        <w:rPr>
          <w:rFonts w:hint="eastAsia" w:ascii="宋体" w:hAnsi="宋体" w:cs="宋体"/>
          <w:color w:val="auto"/>
          <w:szCs w:val="21"/>
          <w:highlight w:val="none"/>
        </w:rPr>
        <w:t>广西政府采购云平台</w:t>
      </w:r>
      <w:r>
        <w:rPr>
          <w:rFonts w:hint="eastAsia" w:ascii="宋体" w:hAnsi="宋体" w:eastAsia="宋体" w:cs="宋体"/>
          <w:color w:val="auto"/>
          <w:kern w:val="0"/>
          <w:szCs w:val="21"/>
          <w:highlight w:val="none"/>
        </w:rPr>
        <w:t>服务热线95763获取热线服务帮助。</w:t>
      </w:r>
    </w:p>
    <w:p>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8.根据《崇左市财政局关于进一步做好线上“政采贷”融资业务工作的通知》( 崇财采(2023)10号) ,供应商可凭成交通知书、政府采购合同，通过中征应收账款融资服务平台向银行在线申请“政采贷”融资。(具体详见竞争性谈判文件中关于“政采贷”相关信息)。</w:t>
      </w:r>
    </w:p>
    <w:p>
      <w:pPr>
        <w:keepNext w:val="0"/>
        <w:keepLines w:val="0"/>
        <w:pageBreakBefore w:val="0"/>
        <w:kinsoku/>
        <w:wordWrap/>
        <w:overflowPunct/>
        <w:topLinePunct w:val="0"/>
        <w:autoSpaceDE/>
        <w:autoSpaceDN/>
        <w:bidi w:val="0"/>
        <w:spacing w:line="400" w:lineRule="exact"/>
        <w:ind w:firstLine="422" w:firstLineChars="200"/>
        <w:jc w:val="left"/>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9</w:t>
      </w:r>
      <w:r>
        <w:rPr>
          <w:rFonts w:hint="eastAsia" w:ascii="宋体" w:hAnsi="宋体" w:eastAsia="宋体" w:cs="宋体"/>
          <w:b/>
          <w:bCs/>
          <w:color w:val="auto"/>
          <w:kern w:val="0"/>
          <w:szCs w:val="21"/>
          <w:highlight w:val="none"/>
        </w:rPr>
        <w:t>.本项目采用远程异地评审</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rPr>
        <w:t>评标主会场地址</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rPr>
        <w:t>广西</w:t>
      </w:r>
      <w:r>
        <w:rPr>
          <w:rFonts w:hint="eastAsia" w:ascii="宋体" w:hAnsi="宋体" w:eastAsia="宋体" w:cs="宋体"/>
          <w:b/>
          <w:bCs/>
          <w:color w:val="auto"/>
          <w:kern w:val="0"/>
          <w:szCs w:val="21"/>
          <w:highlight w:val="none"/>
          <w:lang w:val="en-US" w:eastAsia="zh-CN"/>
        </w:rPr>
        <w:t>华晟</w:t>
      </w:r>
      <w:r>
        <w:rPr>
          <w:rFonts w:hint="eastAsia" w:ascii="宋体" w:hAnsi="宋体" w:eastAsia="宋体" w:cs="宋体"/>
          <w:b/>
          <w:bCs/>
          <w:color w:val="auto"/>
          <w:kern w:val="0"/>
          <w:szCs w:val="21"/>
          <w:highlight w:val="none"/>
        </w:rPr>
        <w:t>招标</w:t>
      </w:r>
      <w:r>
        <w:rPr>
          <w:rFonts w:hint="eastAsia" w:ascii="宋体" w:hAnsi="宋体" w:eastAsia="宋体" w:cs="宋体"/>
          <w:b/>
          <w:bCs/>
          <w:color w:val="auto"/>
          <w:kern w:val="0"/>
          <w:szCs w:val="21"/>
          <w:highlight w:val="none"/>
          <w:lang w:val="en-US" w:eastAsia="zh-CN"/>
        </w:rPr>
        <w:t>代理</w:t>
      </w:r>
      <w:r>
        <w:rPr>
          <w:rFonts w:hint="eastAsia" w:ascii="宋体" w:hAnsi="宋体" w:eastAsia="宋体" w:cs="宋体"/>
          <w:b/>
          <w:bCs/>
          <w:color w:val="auto"/>
          <w:kern w:val="0"/>
          <w:szCs w:val="21"/>
          <w:highlight w:val="none"/>
        </w:rPr>
        <w:t>有限公司（崇左市城南八路万隆商务领寓三楼31</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室</w:t>
      </w:r>
      <w:r>
        <w:rPr>
          <w:rFonts w:hint="eastAsia" w:ascii="宋体" w:hAnsi="宋体" w:eastAsia="宋体" w:cs="宋体"/>
          <w:b/>
          <w:bCs/>
          <w:color w:val="auto"/>
          <w:kern w:val="0"/>
          <w:szCs w:val="21"/>
          <w:highlight w:val="none"/>
          <w:lang w:val="en-US" w:eastAsia="zh-CN"/>
        </w:rPr>
        <w:t>），联系方式：0771-7963762；百色市右江区前程路8号三祺城光中心1613-1614号 ，联系方式：0776-2820866</w:t>
      </w:r>
      <w:r>
        <w:rPr>
          <w:rFonts w:hint="eastAsia" w:ascii="宋体" w:hAnsi="宋体" w:eastAsia="宋体" w:cs="宋体"/>
          <w:b/>
          <w:bCs/>
          <w:color w:val="auto"/>
          <w:kern w:val="0"/>
          <w:szCs w:val="21"/>
          <w:highlight w:val="none"/>
        </w:rPr>
        <w:t>。</w:t>
      </w:r>
    </w:p>
    <w:bookmarkEnd w:id="46"/>
    <w:p>
      <w:pPr>
        <w:keepNext w:val="0"/>
        <w:keepLines w:val="0"/>
        <w:pageBreakBefore w:val="0"/>
        <w:kinsoku/>
        <w:wordWrap/>
        <w:overflowPunct/>
        <w:topLinePunct w:val="0"/>
        <w:autoSpaceDE/>
        <w:autoSpaceDN/>
        <w:bidi w:val="0"/>
        <w:adjustRightInd/>
        <w:spacing w:line="360" w:lineRule="exact"/>
        <w:ind w:firstLine="482" w:firstLineChars="200"/>
        <w:textAlignment w:val="auto"/>
        <w:rPr>
          <w:rFonts w:hint="eastAsia" w:ascii="黑体" w:hAnsi="黑体" w:eastAsia="黑体" w:cs="宋体"/>
          <w:bCs/>
          <w:color w:val="auto"/>
          <w:sz w:val="24"/>
          <w:szCs w:val="24"/>
          <w:highlight w:val="none"/>
        </w:rPr>
      </w:pPr>
      <w:r>
        <w:rPr>
          <w:rFonts w:hint="eastAsia" w:ascii="黑体" w:hAnsi="黑体" w:eastAsia="黑体" w:cs="宋体"/>
          <w:b/>
          <w:color w:val="auto"/>
          <w:kern w:val="44"/>
          <w:sz w:val="24"/>
          <w:szCs w:val="24"/>
          <w:highlight w:val="none"/>
        </w:rPr>
        <w:t>八、凡对本次采购提出询问，请按</w:t>
      </w:r>
      <w:r>
        <w:rPr>
          <w:rFonts w:ascii="黑体" w:hAnsi="黑体" w:eastAsia="黑体" w:cs="宋体"/>
          <w:b/>
          <w:color w:val="auto"/>
          <w:kern w:val="44"/>
          <w:sz w:val="24"/>
          <w:szCs w:val="24"/>
          <w:highlight w:val="none"/>
        </w:rPr>
        <w:t>以下方式</w:t>
      </w:r>
      <w:r>
        <w:rPr>
          <w:rFonts w:hint="eastAsia" w:ascii="黑体" w:hAnsi="黑体" w:eastAsia="黑体" w:cs="宋体"/>
          <w:b/>
          <w:color w:val="auto"/>
          <w:kern w:val="44"/>
          <w:sz w:val="24"/>
          <w:szCs w:val="24"/>
          <w:highlight w:val="none"/>
        </w:rPr>
        <w:t>联系。</w:t>
      </w:r>
    </w:p>
    <w:p>
      <w:pPr>
        <w:keepNext w:val="0"/>
        <w:keepLines w:val="0"/>
        <w:pageBreakBefore w:val="0"/>
        <w:widowControl w:val="0"/>
        <w:kinsoku/>
        <w:wordWrap/>
        <w:overflowPunct/>
        <w:topLinePunct w:val="0"/>
        <w:autoSpaceDE/>
        <w:autoSpaceDN/>
        <w:bidi w:val="0"/>
        <w:adjustRightInd/>
        <w:snapToGrid/>
        <w:spacing w:line="360" w:lineRule="exact"/>
        <w:ind w:left="1041" w:leftChars="371" w:hanging="262" w:hangingChars="125"/>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1.采购人信息</w:t>
      </w:r>
    </w:p>
    <w:p>
      <w:pPr>
        <w:keepNext w:val="0"/>
        <w:keepLines w:val="0"/>
        <w:pageBreakBefore w:val="0"/>
        <w:widowControl w:val="0"/>
        <w:kinsoku/>
        <w:wordWrap/>
        <w:overflowPunct/>
        <w:topLinePunct w:val="0"/>
        <w:autoSpaceDE/>
        <w:autoSpaceDN/>
        <w:bidi w:val="0"/>
        <w:adjustRightInd/>
        <w:snapToGrid/>
        <w:spacing w:line="360" w:lineRule="exact"/>
        <w:ind w:firstLine="735" w:firstLineChars="350"/>
        <w:textAlignment w:val="auto"/>
        <w:rPr>
          <w:rFonts w:hint="eastAsia" w:ascii="宋体" w:hAnsi="宋体" w:eastAsia="宋体" w:cs="宋体"/>
          <w:color w:val="auto"/>
          <w:szCs w:val="21"/>
        </w:rPr>
      </w:pPr>
      <w:r>
        <w:rPr>
          <w:rFonts w:hint="eastAsia" w:ascii="宋体" w:hAnsi="宋体" w:cs="宋体"/>
          <w:color w:val="auto"/>
          <w:szCs w:val="21"/>
        </w:rPr>
        <w:t xml:space="preserve">名  </w:t>
      </w:r>
      <w:r>
        <w:rPr>
          <w:rFonts w:hint="eastAsia" w:ascii="宋体" w:hAnsi="宋体" w:eastAsia="宋体" w:cs="宋体"/>
          <w:color w:val="auto"/>
          <w:szCs w:val="21"/>
        </w:rPr>
        <w:t>称：崇左市公安局</w:t>
      </w:r>
    </w:p>
    <w:p>
      <w:pPr>
        <w:keepNext w:val="0"/>
        <w:keepLines w:val="0"/>
        <w:pageBreakBefore w:val="0"/>
        <w:widowControl w:val="0"/>
        <w:kinsoku/>
        <w:wordWrap/>
        <w:overflowPunct/>
        <w:topLinePunct w:val="0"/>
        <w:autoSpaceDE/>
        <w:autoSpaceDN/>
        <w:bidi w:val="0"/>
        <w:adjustRightInd/>
        <w:snapToGrid/>
        <w:spacing w:line="360" w:lineRule="exact"/>
        <w:ind w:firstLine="735" w:firstLineChars="35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rPr>
        <w:t>地  址：</w:t>
      </w:r>
      <w:bookmarkStart w:id="50" w:name="OLE_LINK37"/>
      <w:r>
        <w:rPr>
          <w:rFonts w:hint="eastAsia" w:ascii="宋体" w:hAnsi="宋体" w:eastAsia="宋体" w:cs="宋体"/>
          <w:color w:val="auto"/>
          <w:szCs w:val="21"/>
          <w:lang w:val="en-US" w:eastAsia="zh-CN"/>
        </w:rPr>
        <w:t>崇左市江州区石景林路8号</w:t>
      </w:r>
      <w:bookmarkEnd w:id="50"/>
    </w:p>
    <w:p>
      <w:pPr>
        <w:keepNext w:val="0"/>
        <w:keepLines w:val="0"/>
        <w:pageBreakBefore w:val="0"/>
        <w:widowControl w:val="0"/>
        <w:kinsoku/>
        <w:wordWrap/>
        <w:overflowPunct/>
        <w:topLinePunct w:val="0"/>
        <w:autoSpaceDE/>
        <w:autoSpaceDN/>
        <w:bidi w:val="0"/>
        <w:adjustRightInd/>
        <w:snapToGrid/>
        <w:spacing w:line="360" w:lineRule="exact"/>
        <w:ind w:firstLine="735" w:firstLineChars="35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rPr>
        <w:t>联系方式：</w:t>
      </w:r>
      <w:r>
        <w:rPr>
          <w:rFonts w:hint="eastAsia" w:ascii="宋体" w:hAnsi="宋体" w:eastAsia="宋体" w:cs="宋体"/>
          <w:color w:val="auto"/>
          <w:szCs w:val="21"/>
          <w:lang w:val="en-US" w:eastAsia="zh-CN"/>
        </w:rPr>
        <w:t>蔡警官</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bookmarkStart w:id="51" w:name="OLE_LINK28"/>
      <w:r>
        <w:rPr>
          <w:rFonts w:hint="eastAsia" w:ascii="宋体" w:hAnsi="宋体" w:eastAsia="宋体" w:cs="宋体"/>
          <w:color w:val="auto"/>
          <w:szCs w:val="21"/>
          <w:lang w:val="en-US" w:eastAsia="zh-CN"/>
        </w:rPr>
        <w:t>0771-7966013</w:t>
      </w:r>
      <w:bookmarkEnd w:id="51"/>
    </w:p>
    <w:p>
      <w:pPr>
        <w:keepNext w:val="0"/>
        <w:keepLines w:val="0"/>
        <w:pageBreakBefore w:val="0"/>
        <w:widowControl w:val="0"/>
        <w:kinsoku/>
        <w:wordWrap/>
        <w:overflowPunct/>
        <w:topLinePunct w:val="0"/>
        <w:autoSpaceDE/>
        <w:autoSpaceDN/>
        <w:bidi w:val="0"/>
        <w:adjustRightInd/>
        <w:snapToGrid/>
        <w:spacing w:line="360" w:lineRule="exact"/>
        <w:ind w:left="1041" w:leftChars="371" w:hanging="262" w:hangingChars="125"/>
        <w:jc w:val="left"/>
        <w:textAlignment w:val="auto"/>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rPr>
        <w:t>2.采购代理机构信息</w:t>
      </w:r>
    </w:p>
    <w:p>
      <w:pPr>
        <w:keepNext w:val="0"/>
        <w:keepLines w:val="0"/>
        <w:pageBreakBefore w:val="0"/>
        <w:widowControl w:val="0"/>
        <w:kinsoku/>
        <w:wordWrap/>
        <w:overflowPunct/>
        <w:topLinePunct w:val="0"/>
        <w:autoSpaceDE/>
        <w:autoSpaceDN/>
        <w:bidi w:val="0"/>
        <w:adjustRightInd/>
        <w:snapToGrid/>
        <w:spacing w:line="360" w:lineRule="exact"/>
        <w:ind w:firstLine="735" w:firstLineChars="35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 xml:space="preserve">名  称：广西华晟招标代理有限公司                            </w:t>
      </w:r>
    </w:p>
    <w:p>
      <w:pPr>
        <w:keepNext w:val="0"/>
        <w:keepLines w:val="0"/>
        <w:pageBreakBefore w:val="0"/>
        <w:widowControl w:val="0"/>
        <w:kinsoku/>
        <w:wordWrap/>
        <w:overflowPunct/>
        <w:topLinePunct w:val="0"/>
        <w:autoSpaceDE/>
        <w:autoSpaceDN/>
        <w:bidi w:val="0"/>
        <w:adjustRightInd/>
        <w:snapToGrid/>
        <w:spacing w:line="360" w:lineRule="exact"/>
        <w:ind w:firstLine="735" w:firstLineChars="35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地　址：</w:t>
      </w:r>
      <w:bookmarkStart w:id="52" w:name="OLE_LINK32"/>
      <w:r>
        <w:rPr>
          <w:rFonts w:hint="eastAsia" w:ascii="宋体" w:hAnsi="宋体" w:eastAsia="宋体" w:cs="宋体"/>
          <w:color w:val="auto"/>
          <w:szCs w:val="21"/>
          <w:lang w:val="en-US" w:eastAsia="zh-CN"/>
        </w:rPr>
        <w:t>崇左市城南八路万隆商务领寓三楼312室</w:t>
      </w:r>
      <w:bookmarkEnd w:id="52"/>
      <w:r>
        <w:rPr>
          <w:rFonts w:hint="eastAsia" w:ascii="宋体" w:hAnsi="宋体" w:eastAsia="宋体" w:cs="宋体"/>
          <w:color w:val="auto"/>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735" w:firstLineChars="350"/>
        <w:textAlignment w:val="auto"/>
        <w:rPr>
          <w:rFonts w:hint="eastAsia" w:ascii="宋体" w:hAnsi="宋体" w:cs="宋体"/>
          <w:color w:val="auto"/>
          <w:kern w:val="0"/>
          <w:szCs w:val="21"/>
        </w:rPr>
      </w:pPr>
      <w:r>
        <w:rPr>
          <w:rFonts w:hint="eastAsia" w:ascii="宋体" w:hAnsi="宋体" w:eastAsia="宋体" w:cs="宋体"/>
          <w:color w:val="auto"/>
          <w:szCs w:val="21"/>
          <w:lang w:val="en-US" w:eastAsia="zh-CN"/>
        </w:rPr>
        <w:t>联系方式：赵工　</w:t>
      </w:r>
      <w:bookmarkStart w:id="53" w:name="OLE_LINK38"/>
      <w:r>
        <w:rPr>
          <w:rFonts w:hint="eastAsia" w:ascii="宋体" w:hAnsi="宋体" w:eastAsia="宋体" w:cs="宋体"/>
          <w:color w:val="auto"/>
          <w:szCs w:val="21"/>
          <w:lang w:val="en-US" w:eastAsia="zh-CN"/>
        </w:rPr>
        <w:t>0771-7963762</w:t>
      </w:r>
      <w:bookmarkEnd w:id="53"/>
      <w:r>
        <w:rPr>
          <w:rFonts w:hint="eastAsia" w:ascii="宋体" w:hAnsi="宋体" w:cs="宋体"/>
          <w:color w:val="auto"/>
          <w:kern w:val="0"/>
          <w:szCs w:val="21"/>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735" w:firstLineChars="35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3.项目联系</w:t>
      </w:r>
      <w:r>
        <w:rPr>
          <w:rFonts w:ascii="宋体" w:hAnsi="宋体" w:eastAsia="宋体" w:cs="Times New Roman"/>
          <w:color w:val="auto"/>
          <w:szCs w:val="21"/>
          <w:highlight w:val="none"/>
        </w:rPr>
        <w:t>方式</w:t>
      </w:r>
    </w:p>
    <w:p>
      <w:pPr>
        <w:keepNext w:val="0"/>
        <w:keepLines w:val="0"/>
        <w:pageBreakBefore w:val="0"/>
        <w:widowControl w:val="0"/>
        <w:kinsoku/>
        <w:wordWrap/>
        <w:overflowPunct/>
        <w:topLinePunct w:val="0"/>
        <w:autoSpaceDE/>
        <w:autoSpaceDN/>
        <w:bidi w:val="0"/>
        <w:adjustRightInd/>
        <w:snapToGrid/>
        <w:spacing w:line="360" w:lineRule="exact"/>
        <w:ind w:firstLine="735" w:firstLineChars="350"/>
        <w:textAlignment w:val="auto"/>
        <w:rPr>
          <w:rFonts w:hint="eastAsia" w:ascii="宋体" w:hAnsi="宋体" w:cs="宋体"/>
          <w:color w:val="auto"/>
          <w:szCs w:val="21"/>
        </w:rPr>
      </w:pPr>
      <w:r>
        <w:rPr>
          <w:rFonts w:hint="eastAsia" w:ascii="宋体" w:hAnsi="宋体" w:cs="宋体"/>
          <w:color w:val="auto"/>
          <w:szCs w:val="21"/>
        </w:rPr>
        <w:t>项目联系人：</w:t>
      </w:r>
      <w:r>
        <w:rPr>
          <w:rFonts w:hint="eastAsia" w:ascii="宋体" w:hAnsi="宋体" w:eastAsia="宋体" w:cs="宋体"/>
          <w:color w:val="auto"/>
          <w:szCs w:val="21"/>
          <w:lang w:val="en-US" w:eastAsia="zh-CN"/>
        </w:rPr>
        <w:t>赵工</w:t>
      </w:r>
    </w:p>
    <w:p>
      <w:pPr>
        <w:keepNext w:val="0"/>
        <w:keepLines w:val="0"/>
        <w:pageBreakBefore w:val="0"/>
        <w:widowControl w:val="0"/>
        <w:kinsoku/>
        <w:wordWrap/>
        <w:overflowPunct/>
        <w:topLinePunct w:val="0"/>
        <w:autoSpaceDE/>
        <w:autoSpaceDN/>
        <w:bidi w:val="0"/>
        <w:adjustRightInd/>
        <w:snapToGrid/>
        <w:spacing w:line="360" w:lineRule="exact"/>
        <w:ind w:firstLine="735" w:firstLineChars="350"/>
        <w:textAlignment w:val="auto"/>
        <w:rPr>
          <w:rFonts w:hint="eastAsia" w:ascii="宋体" w:hAnsi="宋体" w:cs="宋体"/>
          <w:color w:val="auto"/>
          <w:szCs w:val="21"/>
        </w:rPr>
      </w:pPr>
      <w:r>
        <w:rPr>
          <w:rFonts w:hint="eastAsia" w:ascii="宋体" w:hAnsi="宋体" w:cs="宋体"/>
          <w:color w:val="auto"/>
          <w:szCs w:val="21"/>
        </w:rPr>
        <w:t>电  话：</w:t>
      </w:r>
      <w:r>
        <w:rPr>
          <w:rFonts w:hint="eastAsia" w:ascii="宋体" w:hAnsi="宋体" w:eastAsia="宋体" w:cs="宋体"/>
          <w:color w:val="auto"/>
          <w:szCs w:val="21"/>
          <w:lang w:val="en-US" w:eastAsia="zh-CN"/>
        </w:rPr>
        <w:t>0771-7963762</w:t>
      </w:r>
      <w:r>
        <w:rPr>
          <w:rFonts w:hint="eastAsia" w:ascii="宋体" w:hAnsi="宋体" w:cs="宋体"/>
          <w:color w:val="auto"/>
          <w:szCs w:val="21"/>
        </w:rPr>
        <w:t xml:space="preserve"> </w:t>
      </w:r>
    </w:p>
    <w:p>
      <w:pPr>
        <w:pStyle w:val="2"/>
        <w:rPr>
          <w:rFonts w:hint="eastAsia" w:ascii="宋体" w:hAnsi="宋体" w:cs="宋体"/>
          <w:color w:val="auto"/>
          <w:szCs w:val="21"/>
        </w:rPr>
      </w:pPr>
    </w:p>
    <w:p>
      <w:pPr>
        <w:rPr>
          <w:rFonts w:hint="eastAsia"/>
          <w:color w:val="auto"/>
        </w:rPr>
      </w:pPr>
    </w:p>
    <w:p>
      <w:pPr>
        <w:pStyle w:val="2"/>
        <w:rPr>
          <w:rFonts w:hint="eastAsia"/>
          <w:color w:val="auto"/>
        </w:rPr>
      </w:pPr>
    </w:p>
    <w:p>
      <w:pPr>
        <w:rPr>
          <w:rFonts w:hint="eastAsia"/>
          <w:color w:val="auto"/>
        </w:rPr>
      </w:pPr>
    </w:p>
    <w:p>
      <w:pPr>
        <w:pStyle w:val="2"/>
        <w:rPr>
          <w:rFonts w:hint="eastAsia"/>
          <w:color w:val="auto"/>
        </w:rPr>
      </w:pPr>
    </w:p>
    <w:p>
      <w:pPr>
        <w:rPr>
          <w:rFonts w:hint="eastAsia"/>
          <w:color w:val="auto"/>
        </w:rPr>
      </w:pPr>
    </w:p>
    <w:p>
      <w:pPr>
        <w:pStyle w:val="2"/>
        <w:rPr>
          <w:rFonts w:hint="eastAsia"/>
          <w:color w:val="auto"/>
        </w:rPr>
      </w:pPr>
    </w:p>
    <w:p>
      <w:pPr>
        <w:rPr>
          <w:rFonts w:hint="eastAsia"/>
          <w:color w:val="auto"/>
        </w:rPr>
      </w:pPr>
    </w:p>
    <w:p>
      <w:pPr>
        <w:rPr>
          <w:rFonts w:hint="eastAsia"/>
          <w:color w:val="auto"/>
        </w:rPr>
      </w:pPr>
    </w:p>
    <w:p>
      <w:pPr>
        <w:keepNext/>
        <w:keepLines/>
        <w:spacing w:before="340" w:after="330" w:line="578" w:lineRule="auto"/>
        <w:jc w:val="center"/>
        <w:outlineLvl w:val="0"/>
        <w:rPr>
          <w:rFonts w:ascii="Times New Roman" w:hAnsi="Times New Roman" w:eastAsia="宋体" w:cs="Times New Roman"/>
          <w:b/>
          <w:bCs/>
          <w:color w:val="auto"/>
          <w:kern w:val="44"/>
          <w:sz w:val="44"/>
          <w:szCs w:val="44"/>
          <w:highlight w:val="none"/>
          <w:lang w:val="zh-CN"/>
        </w:rPr>
      </w:pPr>
      <w:bookmarkStart w:id="54" w:name="_Toc21351"/>
      <w:bookmarkStart w:id="55" w:name="_Toc7360"/>
      <w:bookmarkStart w:id="56" w:name="_Toc30021"/>
      <w:bookmarkStart w:id="57" w:name="_Toc80205921"/>
      <w:bookmarkStart w:id="58" w:name="_Toc16263"/>
      <w:bookmarkStart w:id="59" w:name="_Toc27517"/>
      <w:bookmarkStart w:id="60" w:name="_Toc7676"/>
      <w:bookmarkStart w:id="61" w:name="_Toc30720"/>
      <w:bookmarkStart w:id="62" w:name="_Toc14086"/>
      <w:r>
        <w:rPr>
          <w:rFonts w:hint="eastAsia" w:ascii="Cambria" w:hAnsi="Cambria" w:eastAsia="宋体" w:cs="Times New Roman"/>
          <w:b/>
          <w:color w:val="auto"/>
          <w:kern w:val="44"/>
          <w:sz w:val="32"/>
          <w:szCs w:val="32"/>
          <w:highlight w:val="none"/>
          <w:lang w:val="zh-CN"/>
        </w:rPr>
        <w:t xml:space="preserve">第二章 </w:t>
      </w:r>
      <w:bookmarkStart w:id="63" w:name="OLE_LINK31"/>
      <w:r>
        <w:rPr>
          <w:rFonts w:hint="eastAsia" w:ascii="Cambria" w:hAnsi="Cambria" w:eastAsia="宋体" w:cs="Times New Roman"/>
          <w:b/>
          <w:color w:val="auto"/>
          <w:kern w:val="44"/>
          <w:sz w:val="32"/>
          <w:szCs w:val="32"/>
          <w:highlight w:val="none"/>
          <w:lang w:val="zh-CN"/>
        </w:rPr>
        <w:t>采购需求</w:t>
      </w:r>
      <w:bookmarkEnd w:id="54"/>
      <w:bookmarkEnd w:id="55"/>
      <w:bookmarkEnd w:id="56"/>
      <w:bookmarkEnd w:id="57"/>
      <w:bookmarkEnd w:id="58"/>
      <w:bookmarkEnd w:id="59"/>
      <w:bookmarkEnd w:id="60"/>
      <w:bookmarkEnd w:id="61"/>
      <w:bookmarkEnd w:id="62"/>
      <w:bookmarkEnd w:id="63"/>
    </w:p>
    <w:p>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宋体" w:hAnsi="宋体" w:eastAsia="宋体" w:cs="宋体"/>
          <w:b/>
          <w:bCs/>
          <w:color w:val="auto"/>
          <w:szCs w:val="21"/>
          <w:highlight w:val="none"/>
        </w:rPr>
      </w:pPr>
      <w:bookmarkStart w:id="64" w:name="OLE_LINK46"/>
      <w:r>
        <w:rPr>
          <w:rFonts w:hint="eastAsia" w:ascii="宋体" w:hAnsi="宋体" w:eastAsia="宋体" w:cs="宋体"/>
          <w:b/>
          <w:bCs/>
          <w:color w:val="auto"/>
          <w:szCs w:val="21"/>
          <w:highlight w:val="none"/>
        </w:rPr>
        <w:t>说明：</w:t>
      </w:r>
    </w:p>
    <w:p>
      <w:pPr>
        <w:keepNext w:val="0"/>
        <w:keepLines w:val="0"/>
        <w:pageBreakBefore w:val="0"/>
        <w:widowControl w:val="0"/>
        <w:kinsoku/>
        <w:wordWrap/>
        <w:overflowPunct/>
        <w:topLinePunct w:val="0"/>
        <w:autoSpaceDE/>
        <w:autoSpaceDN/>
        <w:bidi w:val="0"/>
        <w:adjustRightInd/>
        <w:spacing w:line="36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4"/>
          <w:highlight w:val="none"/>
        </w:rPr>
        <w:t>1. 为落实政府采购政策需满足的要求：</w:t>
      </w:r>
    </w:p>
    <w:p>
      <w:pPr>
        <w:keepNext w:val="0"/>
        <w:keepLines w:val="0"/>
        <w:pageBreakBefore w:val="0"/>
        <w:widowControl w:val="0"/>
        <w:kinsoku/>
        <w:wordWrap/>
        <w:overflowPunct/>
        <w:topLinePunct w:val="0"/>
        <w:autoSpaceDE/>
        <w:autoSpaceDN/>
        <w:bidi w:val="0"/>
        <w:adjustRightInd/>
        <w:spacing w:line="36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（1）本竞争性谈判文件所称中小企业必须符合《政府采购促进中小企业发展管理办法》（财库〔2020〕46号）的规定。</w:t>
      </w:r>
    </w:p>
    <w:p>
      <w:pPr>
        <w:keepNext w:val="0"/>
        <w:keepLines w:val="0"/>
        <w:pageBreakBefore w:val="0"/>
        <w:widowControl w:val="0"/>
        <w:kinsoku/>
        <w:wordWrap/>
        <w:overflowPunct/>
        <w:topLinePunct w:val="0"/>
        <w:autoSpaceDE/>
        <w:autoSpaceDN/>
        <w:bidi w:val="0"/>
        <w:adjustRightInd/>
        <w:spacing w:line="36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w:t>
      </w:r>
      <w:bookmarkStart w:id="65" w:name="OLE_LINK35"/>
      <w:r>
        <w:rPr>
          <w:rFonts w:hint="eastAsia" w:ascii="宋体" w:hAnsi="宋体" w:eastAsia="宋体" w:cs="宋体"/>
          <w:b/>
          <w:bCs/>
          <w:color w:val="auto"/>
          <w:szCs w:val="21"/>
          <w:highlight w:val="none"/>
        </w:rPr>
        <w:t>★</w:t>
      </w:r>
      <w:bookmarkEnd w:id="65"/>
      <w:r>
        <w:rPr>
          <w:rFonts w:hint="eastAsia" w:ascii="宋体" w:hAnsi="宋体" w:eastAsia="宋体" w:cs="宋体"/>
          <w:b/>
          <w:bCs/>
          <w:color w:val="auto"/>
          <w:szCs w:val="21"/>
          <w:highlight w:val="none"/>
        </w:rPr>
        <w:t>”的，供应商必须在响应文件中提供所竞标产品有效期内的节能产品认证证书复印件（加盖供应商公章），否则响应文件作无效处理。如本项目包含的配套货物属于品目清单内非标注“★”的产品时，应优先采购，具体详见“第四章 评审程序、评审方法和成交标准”。</w:t>
      </w:r>
    </w:p>
    <w:p>
      <w:pPr>
        <w:pStyle w:val="2"/>
        <w:keepNext w:val="0"/>
        <w:keepLines w:val="0"/>
        <w:pageBreakBefore w:val="0"/>
        <w:widowControl w:val="0"/>
        <w:kinsoku/>
        <w:wordWrap/>
        <w:overflowPunct/>
        <w:topLinePunct w:val="0"/>
        <w:autoSpaceDE/>
        <w:autoSpaceDN/>
        <w:bidi w:val="0"/>
        <w:adjustRightInd/>
        <w:spacing w:line="360" w:lineRule="exact"/>
        <w:ind w:firstLine="422" w:firstLineChars="200"/>
        <w:jc w:val="both"/>
        <w:textAlignment w:val="auto"/>
        <w:rPr>
          <w:rFonts w:hint="eastAsia" w:ascii="宋体" w:hAnsi="宋体" w:cs="宋体"/>
          <w:b/>
          <w:bCs/>
          <w:color w:val="auto"/>
          <w:kern w:val="2"/>
          <w:sz w:val="21"/>
          <w:szCs w:val="24"/>
          <w:highlight w:val="none"/>
          <w:lang w:val="en-US"/>
        </w:rPr>
      </w:pPr>
      <w:r>
        <w:rPr>
          <w:rFonts w:hint="eastAsia" w:ascii="宋体" w:hAnsi="宋体" w:cs="宋体"/>
          <w:b/>
          <w:bCs/>
          <w:color w:val="auto"/>
          <w:kern w:val="2"/>
          <w:sz w:val="21"/>
          <w:szCs w:val="24"/>
          <w:highlight w:val="none"/>
          <w:lang w:val="en-US"/>
        </w:rPr>
        <w:t>2.“实质性要求”是指竞争性谈判文件中已经指明不满足则响应文件作无效响应处理的条款，或者不能负偏离的条款，或者采购需求中带“▲”的条款。</w:t>
      </w:r>
    </w:p>
    <w:p>
      <w:pPr>
        <w:keepNext w:val="0"/>
        <w:keepLines w:val="0"/>
        <w:pageBreakBefore w:val="0"/>
        <w:widowControl w:val="0"/>
        <w:kinsoku/>
        <w:wordWrap/>
        <w:overflowPunct/>
        <w:topLinePunct w:val="0"/>
        <w:autoSpaceDE/>
        <w:autoSpaceDN/>
        <w:bidi w:val="0"/>
        <w:adjustRightInd/>
        <w:spacing w:line="360" w:lineRule="exact"/>
        <w:ind w:firstLine="422" w:firstLineChars="200"/>
        <w:textAlignment w:val="auto"/>
        <w:rPr>
          <w:rFonts w:hint="eastAsia" w:ascii="宋体" w:hAnsi="宋体" w:eastAsia="宋体" w:cs="宋体"/>
          <w:b/>
          <w:color w:val="auto"/>
          <w:szCs w:val="21"/>
          <w:highlight w:val="none"/>
        </w:rPr>
      </w:pPr>
      <w:r>
        <w:rPr>
          <w:rStyle w:val="102"/>
          <w:rFonts w:hint="eastAsia" w:ascii="宋体" w:hAnsi="宋体"/>
          <w:b/>
          <w:bCs/>
          <w:color w:val="auto"/>
          <w:szCs w:val="21"/>
          <w:highlight w:val="none"/>
        </w:rPr>
        <w:t>▲</w:t>
      </w:r>
      <w:r>
        <w:rPr>
          <w:rFonts w:hint="eastAsia" w:ascii="宋体" w:hAnsi="宋体" w:eastAsia="宋体" w:cs="宋体"/>
          <w:b/>
          <w:color w:val="auto"/>
          <w:szCs w:val="21"/>
          <w:highlight w:val="none"/>
        </w:rPr>
        <w:t>3、竞标产品属于国家强制性认证产品的，供应商须在响应文件中提供产品的有效强制性认证证书的复印件并加盖供应商公章。</w:t>
      </w:r>
    </w:p>
    <w:p>
      <w:pPr>
        <w:keepNext w:val="0"/>
        <w:keepLines w:val="0"/>
        <w:pageBreakBefore w:val="0"/>
        <w:widowControl w:val="0"/>
        <w:kinsoku/>
        <w:wordWrap/>
        <w:overflowPunct/>
        <w:topLinePunct w:val="0"/>
        <w:autoSpaceDE/>
        <w:autoSpaceDN/>
        <w:bidi w:val="0"/>
        <w:adjustRightInd/>
        <w:spacing w:line="360" w:lineRule="exact"/>
        <w:ind w:firstLine="424" w:firstLineChars="202"/>
        <w:textAlignment w:val="auto"/>
        <w:rPr>
          <w:rFonts w:hint="eastAsia" w:ascii="宋体" w:hAnsi="宋体" w:eastAsia="宋体" w:cs="宋体"/>
          <w:b/>
          <w:color w:val="auto"/>
          <w:szCs w:val="21"/>
          <w:highlight w:val="none"/>
        </w:rPr>
      </w:pPr>
      <w:bookmarkStart w:id="66" w:name="OLE_LINK34"/>
      <w:bookmarkStart w:id="67" w:name="PO_3000001871_PM050"/>
      <w:r>
        <w:rPr>
          <w:rFonts w:hint="eastAsia" w:ascii="宋体" w:hAnsi="宋体" w:eastAsia="宋体" w:cs="宋体"/>
          <w:color w:val="auto"/>
          <w:szCs w:val="21"/>
          <w:highlight w:val="none"/>
        </w:rPr>
        <w:t>▲</w:t>
      </w:r>
      <w:bookmarkEnd w:id="66"/>
      <w:r>
        <w:rPr>
          <w:rFonts w:hint="eastAsia" w:ascii="宋体" w:hAnsi="宋体" w:eastAsia="宋体" w:cs="宋体"/>
          <w:color w:val="auto"/>
          <w:szCs w:val="21"/>
          <w:highlight w:val="none"/>
        </w:rPr>
        <w:t>4、</w:t>
      </w:r>
      <w:r>
        <w:rPr>
          <w:rFonts w:hint="eastAsia" w:ascii="宋体" w:hAnsi="宋体" w:eastAsia="宋体" w:cs="宋体"/>
          <w:b/>
          <w:color w:val="auto"/>
          <w:szCs w:val="21"/>
          <w:highlight w:val="none"/>
        </w:rPr>
        <w:t>供应商应承诺响应文件中提供的证明材料和资质文件真实，并承诺如出现虚假应标情况，供应商除了应接受有关部门的处罚外，还应根据采购人的实际损失来确定赔偿金额。</w:t>
      </w:r>
      <w:bookmarkEnd w:id="64"/>
    </w:p>
    <w:bookmarkEnd w:id="67"/>
    <w:tbl>
      <w:tblPr>
        <w:tblStyle w:val="3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6"/>
        <w:gridCol w:w="869"/>
        <w:gridCol w:w="837"/>
        <w:gridCol w:w="874"/>
        <w:gridCol w:w="1173"/>
        <w:gridCol w:w="4615"/>
        <w:gridCol w:w="8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jc w:val="center"/>
        </w:trPr>
        <w:tc>
          <w:tcPr>
            <w:tcW w:w="9634" w:type="dxa"/>
            <w:gridSpan w:val="7"/>
            <w:vAlign w:val="center"/>
          </w:tcPr>
          <w:p>
            <w:pPr>
              <w:keepNext w:val="0"/>
              <w:keepLines w:val="0"/>
              <w:pageBreakBefore w:val="0"/>
              <w:tabs>
                <w:tab w:val="left" w:pos="180"/>
                <w:tab w:val="left" w:pos="1620"/>
              </w:tabs>
              <w:kinsoku/>
              <w:wordWrap/>
              <w:overflowPunct/>
              <w:topLinePunct w:val="0"/>
              <w:autoSpaceDE/>
              <w:autoSpaceDN/>
              <w:bidi w:val="0"/>
              <w:adjustRightInd/>
              <w:spacing w:line="360" w:lineRule="exact"/>
              <w:rPr>
                <w:rFonts w:hint="eastAsia" w:ascii="宋体" w:hAnsi="宋体" w:eastAsia="宋体" w:cs="宋体"/>
                <w:b/>
                <w:bCs/>
                <w:color w:val="auto"/>
                <w:szCs w:val="21"/>
              </w:rPr>
            </w:pPr>
            <w:r>
              <w:rPr>
                <w:rFonts w:hint="eastAsia" w:ascii="宋体" w:hAnsi="宋体" w:eastAsia="宋体" w:cs="宋体"/>
                <w:b/>
                <w:bCs/>
                <w:color w:val="auto"/>
                <w:szCs w:val="21"/>
              </w:rPr>
              <w:t>第一部分 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jc w:val="center"/>
        </w:trPr>
        <w:tc>
          <w:tcPr>
            <w:tcW w:w="426" w:type="dxa"/>
            <w:vAlign w:val="center"/>
          </w:tcPr>
          <w:p>
            <w:pPr>
              <w:keepNext w:val="0"/>
              <w:keepLines w:val="0"/>
              <w:pageBreakBefore w:val="0"/>
              <w:tabs>
                <w:tab w:val="left" w:pos="180"/>
                <w:tab w:val="left" w:pos="1620"/>
              </w:tabs>
              <w:kinsoku/>
              <w:wordWrap/>
              <w:overflowPunct/>
              <w:topLinePunct w:val="0"/>
              <w:autoSpaceDE/>
              <w:autoSpaceDN/>
              <w:bidi w:val="0"/>
              <w:adjustRightInd/>
              <w:spacing w:line="360" w:lineRule="exact"/>
              <w:jc w:val="center"/>
              <w:rPr>
                <w:rFonts w:hint="eastAsia" w:ascii="宋体" w:hAnsi="宋体" w:eastAsia="宋体" w:cs="宋体"/>
                <w:b w:val="0"/>
                <w:bCs w:val="0"/>
                <w:color w:val="auto"/>
                <w:szCs w:val="21"/>
              </w:rPr>
            </w:pPr>
            <w:r>
              <w:rPr>
                <w:rFonts w:hint="eastAsia" w:ascii="宋体" w:hAnsi="宋体" w:eastAsia="宋体" w:cs="宋体"/>
                <w:b w:val="0"/>
                <w:bCs w:val="0"/>
                <w:color w:val="auto"/>
                <w:szCs w:val="21"/>
              </w:rPr>
              <w:t>序号</w:t>
            </w:r>
          </w:p>
        </w:tc>
        <w:tc>
          <w:tcPr>
            <w:tcW w:w="869" w:type="dxa"/>
            <w:vAlign w:val="center"/>
          </w:tcPr>
          <w:p>
            <w:pPr>
              <w:keepNext w:val="0"/>
              <w:keepLines w:val="0"/>
              <w:pageBreakBefore w:val="0"/>
              <w:tabs>
                <w:tab w:val="left" w:pos="180"/>
                <w:tab w:val="left" w:pos="1620"/>
              </w:tabs>
              <w:kinsoku/>
              <w:wordWrap/>
              <w:overflowPunct/>
              <w:topLinePunct w:val="0"/>
              <w:autoSpaceDE/>
              <w:autoSpaceDN/>
              <w:bidi w:val="0"/>
              <w:adjustRightInd/>
              <w:spacing w:line="360" w:lineRule="exact"/>
              <w:jc w:val="center"/>
              <w:rPr>
                <w:rFonts w:hint="eastAsia" w:ascii="宋体" w:hAnsi="宋体" w:eastAsia="宋体" w:cs="宋体"/>
                <w:b w:val="0"/>
                <w:bCs w:val="0"/>
                <w:color w:val="auto"/>
                <w:szCs w:val="21"/>
              </w:rPr>
            </w:pPr>
            <w:r>
              <w:rPr>
                <w:rFonts w:hint="eastAsia" w:ascii="宋体" w:hAnsi="宋体" w:eastAsia="宋体" w:cs="宋体"/>
                <w:b w:val="0"/>
                <w:bCs w:val="0"/>
                <w:color w:val="auto"/>
                <w:szCs w:val="21"/>
              </w:rPr>
              <w:t>标的的名称</w:t>
            </w:r>
          </w:p>
        </w:tc>
        <w:tc>
          <w:tcPr>
            <w:tcW w:w="837" w:type="dxa"/>
            <w:vAlign w:val="center"/>
          </w:tcPr>
          <w:p>
            <w:pPr>
              <w:keepNext w:val="0"/>
              <w:keepLines w:val="0"/>
              <w:pageBreakBefore w:val="0"/>
              <w:tabs>
                <w:tab w:val="left" w:pos="180"/>
                <w:tab w:val="left" w:pos="1620"/>
              </w:tabs>
              <w:kinsoku/>
              <w:wordWrap/>
              <w:overflowPunct/>
              <w:topLinePunct w:val="0"/>
              <w:autoSpaceDE/>
              <w:autoSpaceDN/>
              <w:bidi w:val="0"/>
              <w:adjustRightInd/>
              <w:spacing w:line="360" w:lineRule="exact"/>
              <w:jc w:val="center"/>
              <w:rPr>
                <w:rFonts w:hint="eastAsia" w:ascii="宋体" w:hAnsi="宋体" w:eastAsia="宋体" w:cs="宋体"/>
                <w:b w:val="0"/>
                <w:bCs w:val="0"/>
                <w:color w:val="auto"/>
                <w:szCs w:val="21"/>
              </w:rPr>
            </w:pPr>
            <w:r>
              <w:rPr>
                <w:rFonts w:hint="eastAsia" w:ascii="宋体" w:hAnsi="宋体" w:eastAsia="宋体" w:cs="宋体"/>
                <w:b w:val="0"/>
                <w:bCs w:val="0"/>
                <w:color w:val="auto"/>
                <w:szCs w:val="21"/>
              </w:rPr>
              <w:t>单位</w:t>
            </w:r>
          </w:p>
        </w:tc>
        <w:tc>
          <w:tcPr>
            <w:tcW w:w="874" w:type="dxa"/>
            <w:vAlign w:val="center"/>
          </w:tcPr>
          <w:p>
            <w:pPr>
              <w:keepNext w:val="0"/>
              <w:keepLines w:val="0"/>
              <w:pageBreakBefore w:val="0"/>
              <w:tabs>
                <w:tab w:val="left" w:pos="180"/>
                <w:tab w:val="left" w:pos="1620"/>
              </w:tabs>
              <w:kinsoku/>
              <w:wordWrap/>
              <w:overflowPunct/>
              <w:topLinePunct w:val="0"/>
              <w:autoSpaceDE/>
              <w:autoSpaceDN/>
              <w:bidi w:val="0"/>
              <w:adjustRightInd/>
              <w:spacing w:line="360" w:lineRule="exact"/>
              <w:jc w:val="center"/>
              <w:rPr>
                <w:rFonts w:hint="eastAsia" w:ascii="宋体" w:hAnsi="宋体" w:eastAsia="宋体" w:cs="宋体"/>
                <w:b w:val="0"/>
                <w:bCs w:val="0"/>
                <w:color w:val="auto"/>
                <w:szCs w:val="21"/>
              </w:rPr>
            </w:pPr>
            <w:r>
              <w:rPr>
                <w:rFonts w:hint="eastAsia" w:ascii="宋体" w:hAnsi="宋体" w:eastAsia="宋体" w:cs="宋体"/>
                <w:b w:val="0"/>
                <w:bCs w:val="0"/>
                <w:color w:val="auto"/>
                <w:szCs w:val="21"/>
              </w:rPr>
              <w:t>数量</w:t>
            </w:r>
          </w:p>
        </w:tc>
        <w:tc>
          <w:tcPr>
            <w:tcW w:w="1173" w:type="dxa"/>
            <w:vAlign w:val="center"/>
          </w:tcPr>
          <w:p>
            <w:pPr>
              <w:keepNext w:val="0"/>
              <w:keepLines w:val="0"/>
              <w:pageBreakBefore w:val="0"/>
              <w:tabs>
                <w:tab w:val="left" w:pos="180"/>
                <w:tab w:val="left" w:pos="1620"/>
              </w:tabs>
              <w:kinsoku/>
              <w:wordWrap/>
              <w:overflowPunct/>
              <w:topLinePunct w:val="0"/>
              <w:autoSpaceDE/>
              <w:autoSpaceDN/>
              <w:bidi w:val="0"/>
              <w:adjustRightInd/>
              <w:spacing w:line="360" w:lineRule="exact"/>
              <w:jc w:val="both"/>
              <w:rPr>
                <w:rFonts w:hint="default" w:ascii="宋体" w:hAnsi="宋体" w:eastAsia="宋体" w:cs="宋体"/>
                <w:b w:val="0"/>
                <w:bCs w:val="0"/>
                <w:color w:val="auto"/>
                <w:szCs w:val="21"/>
                <w:lang w:val="en-US" w:eastAsia="zh-CN"/>
              </w:rPr>
            </w:pPr>
            <w:r>
              <w:rPr>
                <w:rFonts w:hint="eastAsia" w:ascii="宋体" w:hAnsi="宋体" w:eastAsia="宋体" w:cs="宋体"/>
                <w:b w:val="0"/>
                <w:bCs w:val="0"/>
                <w:color w:val="auto"/>
                <w:szCs w:val="21"/>
                <w:lang w:val="en-US" w:eastAsia="zh-CN"/>
              </w:rPr>
              <w:t>预算单价</w:t>
            </w:r>
            <w:r>
              <w:rPr>
                <w:rFonts w:hint="eastAsia" w:ascii="宋体" w:hAnsi="宋体" w:eastAsia="宋体" w:cs="宋体"/>
                <w:color w:val="auto"/>
                <w:szCs w:val="21"/>
              </w:rPr>
              <w:t>（元）</w:t>
            </w:r>
          </w:p>
        </w:tc>
        <w:tc>
          <w:tcPr>
            <w:tcW w:w="4615" w:type="dxa"/>
            <w:vAlign w:val="center"/>
          </w:tcPr>
          <w:p>
            <w:pPr>
              <w:keepNext w:val="0"/>
              <w:keepLines w:val="0"/>
              <w:pageBreakBefore w:val="0"/>
              <w:tabs>
                <w:tab w:val="left" w:pos="180"/>
                <w:tab w:val="left" w:pos="1620"/>
              </w:tabs>
              <w:kinsoku/>
              <w:wordWrap/>
              <w:overflowPunct/>
              <w:topLinePunct w:val="0"/>
              <w:autoSpaceDE/>
              <w:autoSpaceDN/>
              <w:bidi w:val="0"/>
              <w:adjustRightInd/>
              <w:spacing w:line="360" w:lineRule="exact"/>
              <w:jc w:val="center"/>
              <w:rPr>
                <w:rFonts w:hint="eastAsia" w:ascii="宋体" w:hAnsi="宋体" w:eastAsia="宋体" w:cs="宋体"/>
                <w:b/>
                <w:bCs/>
                <w:color w:val="auto"/>
                <w:szCs w:val="21"/>
              </w:rPr>
            </w:pPr>
            <w:r>
              <w:rPr>
                <w:rFonts w:hint="eastAsia"/>
                <w:color w:val="auto"/>
                <w:lang w:val="en-US" w:eastAsia="zh-CN"/>
              </w:rPr>
              <w:t>技术参数及性能要求</w:t>
            </w:r>
          </w:p>
        </w:tc>
        <w:tc>
          <w:tcPr>
            <w:tcW w:w="840" w:type="dxa"/>
            <w:vAlign w:val="center"/>
          </w:tcPr>
          <w:p>
            <w:pPr>
              <w:keepNext w:val="0"/>
              <w:keepLines w:val="0"/>
              <w:pageBreakBefore w:val="0"/>
              <w:tabs>
                <w:tab w:val="left" w:pos="180"/>
                <w:tab w:val="left" w:pos="1620"/>
              </w:tabs>
              <w:kinsoku/>
              <w:wordWrap/>
              <w:overflowPunct/>
              <w:topLinePunct w:val="0"/>
              <w:autoSpaceDE/>
              <w:autoSpaceDN/>
              <w:bidi w:val="0"/>
              <w:adjustRightInd/>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中小企业划分标准所属行业名称（行业名称及划分见本章附件1）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426"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color w:val="auto"/>
              </w:rPr>
            </w:pPr>
            <w:r>
              <w:rPr>
                <w:rFonts w:hint="eastAsia"/>
                <w:color w:val="auto"/>
              </w:rPr>
              <w:t>1</w:t>
            </w:r>
          </w:p>
        </w:tc>
        <w:tc>
          <w:tcPr>
            <w:tcW w:w="869"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color w:val="auto"/>
                <w:sz w:val="21"/>
                <w:szCs w:val="21"/>
                <w:lang w:eastAsia="zh-CN"/>
              </w:rPr>
            </w:pPr>
            <w:r>
              <w:rPr>
                <w:rFonts w:hint="eastAsia"/>
                <w:color w:val="auto"/>
                <w:sz w:val="21"/>
                <w:szCs w:val="21"/>
                <w:lang w:eastAsia="zh-CN"/>
              </w:rPr>
              <w:t>急流水域救生衣</w:t>
            </w:r>
          </w:p>
        </w:tc>
        <w:tc>
          <w:tcPr>
            <w:tcW w:w="837"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default"/>
                <w:color w:val="auto"/>
                <w:sz w:val="21"/>
                <w:szCs w:val="21"/>
                <w:lang w:val="en-US" w:eastAsia="zh-CN"/>
              </w:rPr>
            </w:pPr>
            <w:r>
              <w:rPr>
                <w:rFonts w:hint="eastAsia"/>
                <w:color w:val="auto"/>
                <w:sz w:val="21"/>
                <w:szCs w:val="21"/>
                <w:lang w:val="en-US" w:eastAsia="zh-CN"/>
              </w:rPr>
              <w:t>套</w:t>
            </w:r>
          </w:p>
        </w:tc>
        <w:tc>
          <w:tcPr>
            <w:tcW w:w="874"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default"/>
                <w:color w:val="auto"/>
                <w:sz w:val="21"/>
                <w:szCs w:val="21"/>
                <w:lang w:val="en-US" w:eastAsia="zh-CN"/>
              </w:rPr>
            </w:pPr>
            <w:r>
              <w:rPr>
                <w:rFonts w:hint="eastAsia"/>
                <w:color w:val="auto"/>
                <w:sz w:val="21"/>
                <w:szCs w:val="21"/>
                <w:lang w:val="en-US" w:eastAsia="zh-CN"/>
              </w:rPr>
              <w:t xml:space="preserve">23 </w:t>
            </w:r>
          </w:p>
        </w:tc>
        <w:tc>
          <w:tcPr>
            <w:tcW w:w="1173"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default"/>
                <w:color w:val="auto"/>
                <w:sz w:val="21"/>
                <w:szCs w:val="21"/>
                <w:lang w:val="en-US" w:eastAsia="zh-CN"/>
              </w:rPr>
            </w:pPr>
            <w:r>
              <w:rPr>
                <w:rFonts w:hint="eastAsia"/>
                <w:color w:val="auto"/>
                <w:sz w:val="21"/>
                <w:szCs w:val="21"/>
                <w:lang w:val="en-US" w:eastAsia="zh-CN"/>
              </w:rPr>
              <w:t xml:space="preserve">2979.00 </w:t>
            </w:r>
          </w:p>
        </w:tc>
        <w:tc>
          <w:tcPr>
            <w:tcW w:w="4615" w:type="dxa"/>
            <w:vAlign w:val="center"/>
          </w:tcPr>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1、总体尺寸：长55±1cm，宽63±1cm，厚13±1cm。</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2、净重：2.4±1kg。</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3、面料：420DPU尼龙面料，耐磨性好，抗撕拉力强。</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4、浮力：浮力≥152N，采用国际UL认证二次发泡超轻闭孔PVC+NBR浮力棉。</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5、外观：救生衣的颜色为黑色；救生衣系固采用扣件和拉链形式；救生衣的属具及配件无尖角、毛刺等导致穿着者和被救者受伤的缺陷；救生衣上逆向反光带的总面积≥300cm2，且救生衣的胸腹部、肩部和背部的外表面均贴着逆向反光带；救生衣装有腋下带，能使穿着人员入水后救生衣上浮窜动更小。</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▲6、救生衣在淡水浸泡24h后，其浮力损失9%。</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▲7、救生衣衣身能承受≥3200N的作用力30min而不损坏。</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▲8、救生衣肩部能承受 ≥900N的作用力30min而不损坏。</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▲9、腋下带与救生衣衣体之间能承受900N的作用力而不发生脱离或损坏；</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10、人员穿着救生衣以任意方式下水，能在10s内解开快脱带，且快脱带的开启力110N。</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▲11、快脱带在扣件闭合状态下能承受2500N 的拉力，且扣件未出现开启或损坏现象。</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12、人员穿着救生衣以任意方式下水后，在自由漂浮状态下，人嘴能高出水面120 mm 以上。</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13、扣具：采用多耐福(UTX)扣具，抗拉、抗撕裂性能强。</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14、拉链：采用YKK树脂拉链，树脂带锁拉头，有锁止功能，使用时防止拉链拖开，树脂材料，耐腐蚀，强度高。</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15、不锈钢配件：采用优质316材质不锈钢，主扣≥4mm厚，带有凸槽(快速脱离时，更顺畅)，D型环为直径≥6mm一体D型环，牛尾日字扣，为≥3mm厚不锈钢日字扣。</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16、织带：快脱主带选用高强涤纶材料，强度大，质量轻，快脱牛尾选用筒型尼龙织带，其强度大，体积小，便于携带；</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17、反光材料：采用 3M反光条，反光性能好，强度大，耐撕拉。</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18、缝线：缝线采用邦迪N66 尼龙线，强度高，耐拉伸。</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19、每件救生衣配备细索系牢的哨笛1只。使用时，穿着者任何一只手能将哨笛移出或放入。</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20、每件救生衣配备细索系牢的示位灯1只。</w:t>
            </w:r>
          </w:p>
          <w:p>
            <w:pPr>
              <w:pStyle w:val="2"/>
              <w:rPr>
                <w:rFonts w:hint="eastAsia"/>
                <w:color w:val="auto"/>
                <w:lang w:val="en-US" w:eastAsia="zh-CN"/>
              </w:rPr>
            </w:pPr>
            <w:r>
              <w:rPr>
                <w:rFonts w:hint="eastAsia" w:asciiTheme="minorHAnsi" w:hAnsiTheme="minorHAnsi" w:eastAsiaTheme="minorEastAsia" w:cstheme="minorBidi"/>
                <w:color w:val="auto"/>
                <w:kern w:val="2"/>
                <w:sz w:val="21"/>
                <w:szCs w:val="22"/>
                <w:lang w:val="en-US" w:eastAsia="zh-CN" w:bidi="ar-SA"/>
              </w:rPr>
              <w:t>▲</w:t>
            </w:r>
            <w:r>
              <w:rPr>
                <w:rFonts w:hint="default" w:asciiTheme="minorHAnsi" w:hAnsiTheme="minorHAnsi" w:eastAsiaTheme="minorEastAsia" w:cstheme="minorBidi"/>
                <w:color w:val="auto"/>
                <w:kern w:val="2"/>
                <w:sz w:val="21"/>
                <w:szCs w:val="22"/>
                <w:lang w:val="en" w:eastAsia="zh-CN" w:bidi="ar-SA"/>
              </w:rPr>
              <w:t>21</w:t>
            </w:r>
            <w:r>
              <w:rPr>
                <w:rFonts w:hint="eastAsia" w:asciiTheme="minorHAnsi" w:hAnsiTheme="minorHAnsi" w:eastAsiaTheme="minorEastAsia" w:cstheme="minorBidi"/>
                <w:color w:val="auto"/>
                <w:kern w:val="2"/>
                <w:sz w:val="21"/>
                <w:szCs w:val="22"/>
                <w:lang w:val="en" w:eastAsia="zh-CN" w:bidi="ar-SA"/>
              </w:rPr>
              <w:t>、响应文件中需要提供国家认可的第三方检测机构出具的产品检测报告（需检测上述包含</w:t>
            </w:r>
            <w:r>
              <w:rPr>
                <w:rFonts w:hint="eastAsia" w:asciiTheme="minorHAnsi" w:hAnsiTheme="minorHAnsi" w:eastAsiaTheme="minorEastAsia" w:cstheme="minorBidi"/>
                <w:color w:val="auto"/>
                <w:kern w:val="2"/>
                <w:sz w:val="21"/>
                <w:szCs w:val="22"/>
                <w:lang w:val="en-US" w:eastAsia="zh-CN" w:bidi="ar-SA"/>
              </w:rPr>
              <w:t>▲项</w:t>
            </w:r>
            <w:r>
              <w:rPr>
                <w:rFonts w:hint="eastAsia" w:asciiTheme="minorHAnsi" w:hAnsiTheme="minorHAnsi" w:eastAsiaTheme="minorEastAsia" w:cstheme="minorBidi"/>
                <w:color w:val="auto"/>
                <w:kern w:val="2"/>
                <w:sz w:val="21"/>
                <w:szCs w:val="22"/>
                <w:lang w:val="en" w:eastAsia="zh-CN" w:bidi="ar-SA"/>
              </w:rPr>
              <w:t>）复印件，并加盖供应商公章。</w:t>
            </w:r>
          </w:p>
        </w:tc>
        <w:tc>
          <w:tcPr>
            <w:tcW w:w="840"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5" w:hRule="atLeast"/>
          <w:jc w:val="center"/>
        </w:trPr>
        <w:tc>
          <w:tcPr>
            <w:tcW w:w="426"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eastAsiaTheme="minorEastAsia"/>
                <w:color w:val="auto"/>
                <w:lang w:val="en-US" w:eastAsia="zh-CN"/>
              </w:rPr>
            </w:pPr>
            <w:r>
              <w:rPr>
                <w:rFonts w:hint="eastAsia"/>
                <w:color w:val="auto"/>
                <w:lang w:val="en-US" w:eastAsia="zh-CN"/>
              </w:rPr>
              <w:t>2</w:t>
            </w:r>
          </w:p>
        </w:tc>
        <w:tc>
          <w:tcPr>
            <w:tcW w:w="869"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color w:val="auto"/>
                <w:lang w:eastAsia="zh-CN"/>
              </w:rPr>
            </w:pPr>
            <w:r>
              <w:rPr>
                <w:rFonts w:hint="eastAsia"/>
                <w:color w:val="auto"/>
                <w:lang w:eastAsia="zh-CN"/>
              </w:rPr>
              <w:t>水域救援头盔</w:t>
            </w:r>
          </w:p>
        </w:tc>
        <w:tc>
          <w:tcPr>
            <w:tcW w:w="837"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color w:val="auto"/>
                <w:lang w:val="en-US" w:eastAsia="zh-CN"/>
              </w:rPr>
            </w:pPr>
            <w:r>
              <w:rPr>
                <w:rFonts w:hint="eastAsia"/>
                <w:color w:val="auto"/>
                <w:lang w:val="en-US" w:eastAsia="zh-CN"/>
              </w:rPr>
              <w:t>个</w:t>
            </w:r>
          </w:p>
        </w:tc>
        <w:tc>
          <w:tcPr>
            <w:tcW w:w="874"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color w:val="auto"/>
                <w:lang w:val="en-US" w:eastAsia="zh-CN"/>
              </w:rPr>
            </w:pPr>
            <w:r>
              <w:rPr>
                <w:rFonts w:hint="eastAsia"/>
                <w:color w:val="auto"/>
                <w:lang w:val="en-US" w:eastAsia="zh-CN"/>
              </w:rPr>
              <w:t xml:space="preserve">23 </w:t>
            </w:r>
          </w:p>
        </w:tc>
        <w:tc>
          <w:tcPr>
            <w:tcW w:w="1173" w:type="dxa"/>
            <w:vAlign w:val="center"/>
          </w:tcPr>
          <w:p>
            <w:pPr>
              <w:keepNext w:val="0"/>
              <w:keepLines w:val="0"/>
              <w:pageBreakBefore w:val="0"/>
              <w:kinsoku/>
              <w:wordWrap/>
              <w:overflowPunct/>
              <w:topLinePunct w:val="0"/>
              <w:autoSpaceDE/>
              <w:autoSpaceDN/>
              <w:bidi w:val="0"/>
              <w:adjustRightInd/>
              <w:spacing w:line="360" w:lineRule="exact"/>
              <w:jc w:val="center"/>
              <w:rPr>
                <w:rFonts w:hint="default"/>
                <w:color w:val="auto"/>
                <w:lang w:val="en-US" w:eastAsia="zh-CN"/>
              </w:rPr>
            </w:pPr>
            <w:r>
              <w:rPr>
                <w:rFonts w:hint="eastAsia"/>
                <w:color w:val="auto"/>
                <w:lang w:val="en-US" w:eastAsia="zh-CN"/>
              </w:rPr>
              <w:t xml:space="preserve">800.00 </w:t>
            </w:r>
          </w:p>
        </w:tc>
        <w:tc>
          <w:tcPr>
            <w:tcW w:w="4615" w:type="dxa"/>
            <w:vAlign w:val="center"/>
          </w:tcPr>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bookmarkStart w:id="68" w:name="OLE_LINK1"/>
            <w:r>
              <w:rPr>
                <w:rFonts w:hint="eastAsia"/>
                <w:color w:val="auto"/>
                <w:lang w:val="en-US" w:eastAsia="zh-CN"/>
              </w:rPr>
              <w:t>1、符合消防员水域救援防护头盔实验大纲、XF44-2015消防头盔标准。</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2、应用空气动力学设计≥11个透气孔，头盔内腔气流通畅，大温差环境中，具有高舒适度。</w:t>
            </w:r>
          </w:p>
          <w:bookmarkEnd w:id="68"/>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3、头盔两侧带战术导轨前端墨鱼干设计，两侧护耳拥有模压一体式通气排水孔，更能保证水流排出、通气顺畅，方便清洗，保护耳部的同时不影响听力。</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4、ABS工程塑料注塑成型盔壳，高冲击强度，良好的机械性能。</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5、高密度EVA缓冲垫，密闭泡孔结构，不吸水，回弹性和抗张力高，良好的耐水性能和低速冲击能量吸收能力。</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6、头箍设有整体包裹全防护型EVA衬垫，增加佩戴者后脑勺部分的舒适性，魔术贴固位，易于拆卸清洁和更换。</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7、快调式帽衬，可单手操作，全方位满足个性化尺寸调节需求</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8、盔壳材质为优质ABS工程塑料;</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9、缓冲垫：高密度EVA泡棉;</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10、系带为宽15MM尼龙织带材质，塑钢快插扣闭合</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11、帽衬调节为快调式帽衬，带有缓冲软垫</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12、头盔的漂浮性能佳，经过检验测试，放入水中漂浮24小时后，头盔能始终漂浮在水面上。</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▲13、冲击吸收性能：头模受到最大冲击力最大值≤ 3668.5N。</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14、重量：≤550g</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▲15、顶部抗冲击最大加速度：≥141</w:t>
            </w:r>
            <w:r>
              <w:rPr>
                <w:rFonts w:hint="default"/>
                <w:color w:val="auto"/>
                <w:lang w:val="en" w:eastAsia="zh-CN"/>
              </w:rPr>
              <w:t>gn</w:t>
            </w:r>
            <w:r>
              <w:rPr>
                <w:rFonts w:hint="eastAsia"/>
                <w:color w:val="auto"/>
                <w:lang w:val="en" w:eastAsia="zh-CN"/>
              </w:rPr>
              <w:t>，加速度超过</w:t>
            </w:r>
            <w:r>
              <w:rPr>
                <w:rFonts w:hint="eastAsia"/>
                <w:color w:val="auto"/>
                <w:lang w:val="en-US" w:eastAsia="zh-CN"/>
              </w:rPr>
              <w:t>150</w:t>
            </w:r>
            <w:r>
              <w:rPr>
                <w:rFonts w:hint="default"/>
                <w:color w:val="auto"/>
                <w:lang w:val="en" w:eastAsia="zh-CN"/>
              </w:rPr>
              <w:t>g</w:t>
            </w:r>
            <w:r>
              <w:rPr>
                <w:rFonts w:hint="eastAsia"/>
                <w:color w:val="auto"/>
                <w:lang w:val="en" w:eastAsia="zh-CN"/>
              </w:rPr>
              <w:t>的作用时间</w:t>
            </w:r>
            <w:r>
              <w:rPr>
                <w:rFonts w:hint="eastAsia"/>
                <w:color w:val="auto"/>
                <w:lang w:val="en-US" w:eastAsia="zh-CN"/>
              </w:rPr>
              <w:t>≤5</w:t>
            </w:r>
            <w:r>
              <w:rPr>
                <w:rFonts w:hint="default"/>
                <w:color w:val="auto"/>
                <w:lang w:val="en" w:eastAsia="zh-CN"/>
              </w:rPr>
              <w:t>ms</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16、耐穿透性能钢锥为穿透头盔与头模产生接触。</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▲17、</w:t>
            </w:r>
            <w:r>
              <w:rPr>
                <w:rFonts w:hint="eastAsia" w:asciiTheme="minorHAnsi" w:hAnsiTheme="minorHAnsi" w:eastAsiaTheme="minorEastAsia" w:cstheme="minorBidi"/>
                <w:color w:val="auto"/>
                <w:kern w:val="2"/>
                <w:sz w:val="21"/>
                <w:szCs w:val="22"/>
                <w:lang w:val="en" w:eastAsia="zh-CN" w:bidi="ar-SA"/>
              </w:rPr>
              <w:t>响应文件中需要提供国家认可的第三方检测机构出具的产品检测报告（需检测上述包含</w:t>
            </w:r>
            <w:r>
              <w:rPr>
                <w:rFonts w:hint="eastAsia" w:asciiTheme="minorHAnsi" w:hAnsiTheme="minorHAnsi" w:eastAsiaTheme="minorEastAsia" w:cstheme="minorBidi"/>
                <w:color w:val="auto"/>
                <w:kern w:val="2"/>
                <w:sz w:val="21"/>
                <w:szCs w:val="22"/>
                <w:lang w:val="en-US" w:eastAsia="zh-CN" w:bidi="ar-SA"/>
              </w:rPr>
              <w:t>▲项</w:t>
            </w:r>
            <w:r>
              <w:rPr>
                <w:rFonts w:hint="eastAsia" w:asciiTheme="minorHAnsi" w:hAnsiTheme="minorHAnsi" w:eastAsiaTheme="minorEastAsia" w:cstheme="minorBidi"/>
                <w:color w:val="auto"/>
                <w:kern w:val="2"/>
                <w:sz w:val="21"/>
                <w:szCs w:val="22"/>
                <w:lang w:val="en" w:eastAsia="zh-CN" w:bidi="ar-SA"/>
              </w:rPr>
              <w:t>）复印件，并加盖供应商公章。</w:t>
            </w:r>
          </w:p>
        </w:tc>
        <w:tc>
          <w:tcPr>
            <w:tcW w:w="840"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5" w:hRule="atLeast"/>
          <w:jc w:val="center"/>
        </w:trPr>
        <w:tc>
          <w:tcPr>
            <w:tcW w:w="426" w:type="dxa"/>
            <w:vAlign w:val="center"/>
          </w:tcPr>
          <w:p>
            <w:pPr>
              <w:keepNext w:val="0"/>
              <w:keepLines w:val="0"/>
              <w:pageBreakBefore w:val="0"/>
              <w:kinsoku/>
              <w:wordWrap/>
              <w:overflowPunct/>
              <w:topLinePunct w:val="0"/>
              <w:autoSpaceDE/>
              <w:autoSpaceDN/>
              <w:bidi w:val="0"/>
              <w:adjustRightInd/>
              <w:spacing w:line="360" w:lineRule="exact"/>
              <w:jc w:val="center"/>
              <w:rPr>
                <w:rFonts w:hint="default"/>
                <w:color w:val="auto"/>
                <w:lang w:val="en-US" w:eastAsia="zh-CN"/>
              </w:rPr>
            </w:pPr>
            <w:r>
              <w:rPr>
                <w:rFonts w:hint="eastAsia"/>
                <w:color w:val="auto"/>
                <w:lang w:val="en-US" w:eastAsia="zh-CN"/>
              </w:rPr>
              <w:t>3</w:t>
            </w:r>
          </w:p>
        </w:tc>
        <w:tc>
          <w:tcPr>
            <w:tcW w:w="869"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color w:val="auto"/>
                <w:sz w:val="21"/>
                <w:szCs w:val="21"/>
                <w:lang w:eastAsia="zh-CN"/>
              </w:rPr>
            </w:pPr>
            <w:r>
              <w:rPr>
                <w:rFonts w:hint="eastAsia"/>
                <w:color w:val="auto"/>
                <w:sz w:val="21"/>
                <w:szCs w:val="21"/>
                <w:lang w:eastAsia="zh-CN"/>
              </w:rPr>
              <w:t>抛绳包</w:t>
            </w:r>
          </w:p>
        </w:tc>
        <w:tc>
          <w:tcPr>
            <w:tcW w:w="837"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color w:val="auto"/>
                <w:sz w:val="21"/>
                <w:szCs w:val="21"/>
                <w:lang w:val="en-US" w:eastAsia="zh-CN"/>
              </w:rPr>
            </w:pPr>
            <w:r>
              <w:rPr>
                <w:rFonts w:hint="eastAsia"/>
                <w:color w:val="auto"/>
                <w:sz w:val="21"/>
                <w:szCs w:val="21"/>
                <w:lang w:val="en-US" w:eastAsia="zh-CN"/>
              </w:rPr>
              <w:t>件</w:t>
            </w:r>
          </w:p>
        </w:tc>
        <w:tc>
          <w:tcPr>
            <w:tcW w:w="874"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color w:val="auto"/>
                <w:sz w:val="21"/>
                <w:szCs w:val="21"/>
                <w:lang w:val="en-US" w:eastAsia="zh-CN"/>
              </w:rPr>
            </w:pPr>
            <w:r>
              <w:rPr>
                <w:rFonts w:hint="eastAsia"/>
                <w:color w:val="auto"/>
                <w:sz w:val="21"/>
                <w:szCs w:val="21"/>
                <w:lang w:val="en-US" w:eastAsia="zh-CN"/>
              </w:rPr>
              <w:t xml:space="preserve">23 </w:t>
            </w:r>
          </w:p>
        </w:tc>
        <w:tc>
          <w:tcPr>
            <w:tcW w:w="1173"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default"/>
                <w:color w:val="auto"/>
                <w:sz w:val="21"/>
                <w:szCs w:val="21"/>
                <w:lang w:val="en-US" w:eastAsia="zh-CN"/>
              </w:rPr>
            </w:pPr>
            <w:r>
              <w:rPr>
                <w:rFonts w:hint="eastAsia"/>
                <w:color w:val="auto"/>
                <w:sz w:val="21"/>
                <w:szCs w:val="21"/>
                <w:lang w:val="en-US" w:eastAsia="zh-CN"/>
              </w:rPr>
              <w:t xml:space="preserve">830.00 </w:t>
            </w:r>
          </w:p>
        </w:tc>
        <w:tc>
          <w:tcPr>
            <w:tcW w:w="4615"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1、腰挂式水域救援抛绳包由腰带和抛绳包组成，能很方便地环绕在腰间。</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2、绳包可漂浮于水面，收口型顶端设计，方便进行抛投动作和便捷填充。</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 xml:space="preserve">3、绳包采用1680D/PU尼龙面料，结合尼龙布与PU涂层特性，实现防水功能。  </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防水性能 ≥IPX4，水珠接触后擦拭不留渗透痕迹。</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4、经向断裂强力 ≥5000N，纬向强力 ≥4500N，可承受 ≥15kg静态载荷。</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5、经≥7500转磨耗测试后仅出现轻微起毛，表面无纤维断裂，耐磨性强。</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6、漂浮绳长度 ≥25m，绳径 ≥8mm，拉力 ≥27N。</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7、绳包两侧采用编织PVC网眼布，多孔结构，可快速排出保内积水，同时保持空气流通，避免积水滞留导致包体潮湿。</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8、绳包有明显的反光条，提高弱光环境下的能见度。</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9、配有2个快卸扣，可快速卸下绳包投入使用。</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10、可调节腰围的腰带采用≥5mm厚双面贴合SBR材料，腰带上配有4个D扣和不锈钢环，方便挂其他救援装备。</w:t>
            </w:r>
          </w:p>
        </w:tc>
        <w:tc>
          <w:tcPr>
            <w:tcW w:w="840"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5" w:hRule="atLeast"/>
          <w:jc w:val="center"/>
        </w:trPr>
        <w:tc>
          <w:tcPr>
            <w:tcW w:w="426" w:type="dxa"/>
            <w:vAlign w:val="center"/>
          </w:tcPr>
          <w:p>
            <w:pPr>
              <w:keepNext w:val="0"/>
              <w:keepLines w:val="0"/>
              <w:pageBreakBefore w:val="0"/>
              <w:kinsoku/>
              <w:wordWrap/>
              <w:overflowPunct/>
              <w:topLinePunct w:val="0"/>
              <w:autoSpaceDE/>
              <w:autoSpaceDN/>
              <w:bidi w:val="0"/>
              <w:adjustRightInd/>
              <w:spacing w:line="360" w:lineRule="exact"/>
              <w:jc w:val="center"/>
              <w:rPr>
                <w:rFonts w:hint="default"/>
                <w:color w:val="auto"/>
                <w:lang w:val="en-US" w:eastAsia="zh-CN"/>
              </w:rPr>
            </w:pPr>
            <w:r>
              <w:rPr>
                <w:rFonts w:hint="eastAsia"/>
                <w:color w:val="auto"/>
                <w:lang w:val="en-US" w:eastAsia="zh-CN"/>
              </w:rPr>
              <w:t>4</w:t>
            </w:r>
          </w:p>
        </w:tc>
        <w:tc>
          <w:tcPr>
            <w:tcW w:w="869" w:type="dxa"/>
            <w:vAlign w:val="center"/>
          </w:tcPr>
          <w:p>
            <w:pPr>
              <w:keepNext w:val="0"/>
              <w:keepLines w:val="0"/>
              <w:widowControl/>
              <w:suppressLineNumbers w:val="0"/>
              <w:jc w:val="center"/>
              <w:textAlignment w:val="center"/>
              <w:rPr>
                <w:rFonts w:hint="eastAsia"/>
                <w:color w:val="auto"/>
                <w:sz w:val="21"/>
                <w:szCs w:val="21"/>
                <w:lang w:eastAsia="zh-CN"/>
              </w:rPr>
            </w:pPr>
            <w:r>
              <w:rPr>
                <w:rFonts w:hint="eastAsia" w:ascii="宋体" w:hAnsi="宋体" w:eastAsia="宋体" w:cs="宋体"/>
                <w:i w:val="0"/>
                <w:iCs w:val="0"/>
                <w:color w:val="auto"/>
                <w:kern w:val="0"/>
                <w:sz w:val="21"/>
                <w:szCs w:val="21"/>
                <w:u w:val="none"/>
                <w:lang w:val="en-US" w:eastAsia="zh-CN" w:bidi="ar"/>
              </w:rPr>
              <w:t>牛尾绳</w:t>
            </w:r>
          </w:p>
        </w:tc>
        <w:tc>
          <w:tcPr>
            <w:tcW w:w="83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件</w:t>
            </w:r>
          </w:p>
        </w:tc>
        <w:tc>
          <w:tcPr>
            <w:tcW w:w="87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23 </w:t>
            </w:r>
          </w:p>
        </w:tc>
        <w:tc>
          <w:tcPr>
            <w:tcW w:w="117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275.00 </w:t>
            </w:r>
          </w:p>
        </w:tc>
        <w:tc>
          <w:tcPr>
            <w:tcW w:w="4615"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▲1、重量≤150g,主体采用25mm弹力尼龙织带，具有韧性、防割、耐磨性，能够承受高强度的拉力，而且在长期使用过程中不易变形、断裂</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2、表面编入3股反光丝，在光线较暗的环境下，反光丝能够反射光线，提高牛尾绳的辨识度。</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3、两端采用先进三层密集2*5cm四方、X形线迹加固机缝，强度更高。</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▲4、静态长度≥51cm,在≥25N的轴向拉力作用下，伸展后长度≥100cm,且伸展长度控制在静态长度的1.5倍=20倍之间；</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▲5、绳两端各配备316不锈钢O型环和铝合金D型安全钩，不锈钢0型环内径5cm,重量</w:t>
            </w:r>
            <w:r>
              <w:rPr>
                <w:rFonts w:hint="eastAsia"/>
                <w:color w:val="auto"/>
                <w:sz w:val="21"/>
                <w:szCs w:val="21"/>
                <w:lang w:val="en-US" w:eastAsia="zh-CN"/>
              </w:rPr>
              <w:t>约</w:t>
            </w:r>
            <w:r>
              <w:rPr>
                <w:rFonts w:hint="eastAsia" w:eastAsiaTheme="minorEastAsia"/>
                <w:color w:val="auto"/>
                <w:sz w:val="21"/>
                <w:szCs w:val="21"/>
                <w:lang w:val="en-US" w:eastAsia="zh-CN"/>
              </w:rPr>
              <w:t>45g:铝合金D型安全钩重量</w:t>
            </w:r>
            <w:r>
              <w:rPr>
                <w:rFonts w:hint="eastAsia"/>
                <w:color w:val="auto"/>
                <w:sz w:val="21"/>
                <w:szCs w:val="21"/>
                <w:lang w:val="en-US" w:eastAsia="zh-CN"/>
              </w:rPr>
              <w:t>约</w:t>
            </w:r>
            <w:r>
              <w:rPr>
                <w:rFonts w:hint="eastAsia" w:eastAsiaTheme="minorEastAsia"/>
                <w:color w:val="auto"/>
                <w:sz w:val="21"/>
                <w:szCs w:val="21"/>
                <w:lang w:val="en-US" w:eastAsia="zh-CN"/>
              </w:rPr>
              <w:t>50g,开口尺寸25mm,纵向拉力23kN,横向拉力8kN。</w:t>
            </w:r>
          </w:p>
        </w:tc>
        <w:tc>
          <w:tcPr>
            <w:tcW w:w="840"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78" w:hRule="atLeast"/>
          <w:jc w:val="center"/>
        </w:trPr>
        <w:tc>
          <w:tcPr>
            <w:tcW w:w="426"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color w:val="auto"/>
                <w:lang w:val="en-US" w:eastAsia="zh-CN"/>
              </w:rPr>
            </w:pPr>
            <w:r>
              <w:rPr>
                <w:rFonts w:hint="eastAsia" w:ascii="宋体" w:hAnsi="宋体" w:eastAsia="宋体" w:cs="宋体"/>
                <w:i w:val="0"/>
                <w:iCs w:val="0"/>
                <w:color w:val="auto"/>
                <w:kern w:val="0"/>
                <w:sz w:val="20"/>
                <w:szCs w:val="20"/>
                <w:u w:val="none"/>
                <w:lang w:val="en-US" w:eastAsia="zh-CN" w:bidi="ar"/>
              </w:rPr>
              <w:t>5</w:t>
            </w:r>
          </w:p>
        </w:tc>
        <w:tc>
          <w:tcPr>
            <w:tcW w:w="869" w:type="dxa"/>
            <w:vAlign w:val="center"/>
          </w:tcPr>
          <w:p>
            <w:pPr>
              <w:keepNext w:val="0"/>
              <w:keepLines w:val="0"/>
              <w:widowControl/>
              <w:suppressLineNumbers w:val="0"/>
              <w:jc w:val="center"/>
              <w:textAlignment w:val="center"/>
              <w:rPr>
                <w:rFonts w:hint="eastAsia"/>
                <w:color w:val="auto"/>
                <w:sz w:val="21"/>
                <w:szCs w:val="21"/>
                <w:lang w:eastAsia="zh-CN"/>
              </w:rPr>
            </w:pPr>
            <w:r>
              <w:rPr>
                <w:rFonts w:hint="eastAsia" w:ascii="宋体" w:hAnsi="宋体" w:eastAsia="宋体" w:cs="宋体"/>
                <w:i w:val="0"/>
                <w:iCs w:val="0"/>
                <w:color w:val="auto"/>
                <w:kern w:val="0"/>
                <w:sz w:val="21"/>
                <w:szCs w:val="21"/>
                <w:u w:val="none"/>
                <w:lang w:val="en-US" w:eastAsia="zh-CN" w:bidi="ar"/>
              </w:rPr>
              <w:t>3:1绳索倍力工具</w:t>
            </w:r>
          </w:p>
        </w:tc>
        <w:tc>
          <w:tcPr>
            <w:tcW w:w="83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件</w:t>
            </w:r>
          </w:p>
        </w:tc>
        <w:tc>
          <w:tcPr>
            <w:tcW w:w="87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2 </w:t>
            </w:r>
          </w:p>
        </w:tc>
        <w:tc>
          <w:tcPr>
            <w:tcW w:w="117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3500.00 </w:t>
            </w:r>
          </w:p>
        </w:tc>
        <w:tc>
          <w:tcPr>
            <w:tcW w:w="4615"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该工具由高效轻量大直径制停滑轮 1个，高效小滑轮 1个、尼龙扁带环2条、O型锁4个以及静力绳 1条组成；</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▲1、高效轻量应急救援大直径制停滑轮：采用铝材质，重量</w:t>
            </w:r>
            <w:r>
              <w:rPr>
                <w:rFonts w:hint="eastAsia"/>
                <w:color w:val="auto"/>
                <w:sz w:val="21"/>
                <w:szCs w:val="21"/>
                <w:lang w:val="en-US" w:eastAsia="zh-CN"/>
              </w:rPr>
              <w:t>约</w:t>
            </w:r>
            <w:r>
              <w:rPr>
                <w:rFonts w:hint="default" w:eastAsiaTheme="minorEastAsia"/>
                <w:color w:val="auto"/>
                <w:sz w:val="21"/>
                <w:szCs w:val="21"/>
                <w:lang w:val="en-US" w:eastAsia="zh-CN"/>
              </w:rPr>
              <w:t>85g，直径25</w:t>
            </w:r>
            <w:bookmarkStart w:id="204" w:name="_GoBack"/>
            <w:bookmarkEnd w:id="204"/>
            <w:r>
              <w:rPr>
                <w:rFonts w:hint="default" w:eastAsiaTheme="minorEastAsia"/>
                <w:color w:val="auto"/>
                <w:sz w:val="21"/>
                <w:szCs w:val="21"/>
                <w:lang w:val="en-US" w:eastAsia="zh-CN"/>
              </w:rPr>
              <w:t>mm，效率91%，最大工作负荷 2.5kN×2=5kN，断裂负荷15kn，适用绳索直径8-11mm。滑轮轻巧、效率高。</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▲2、高效小滑轮：采用铝材质，重量</w:t>
            </w:r>
            <w:r>
              <w:rPr>
                <w:rFonts w:hint="eastAsia"/>
                <w:color w:val="auto"/>
                <w:sz w:val="21"/>
                <w:szCs w:val="21"/>
                <w:lang w:val="en-US" w:eastAsia="zh-CN"/>
              </w:rPr>
              <w:t>约</w:t>
            </w:r>
            <w:r>
              <w:rPr>
                <w:rFonts w:hint="default" w:eastAsiaTheme="minorEastAsia"/>
                <w:color w:val="auto"/>
                <w:sz w:val="21"/>
                <w:szCs w:val="21"/>
                <w:lang w:val="en-US" w:eastAsia="zh-CN"/>
              </w:rPr>
              <w:t>56g，效率90%，最大工作负荷 2.5kN×2=5kN，适用绳经 7-11mm，滚轮直径25mm。</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 xml:space="preserve">3、尼龙扁带环：采用聚酯纤维材质编织，重量 </w:t>
            </w:r>
            <w:r>
              <w:rPr>
                <w:rFonts w:hint="eastAsia"/>
                <w:color w:val="auto"/>
                <w:sz w:val="21"/>
                <w:szCs w:val="21"/>
                <w:lang w:val="en-US" w:eastAsia="zh-CN"/>
              </w:rPr>
              <w:t>约</w:t>
            </w:r>
            <w:r>
              <w:rPr>
                <w:rFonts w:hint="default" w:eastAsiaTheme="minorEastAsia"/>
                <w:color w:val="auto"/>
                <w:sz w:val="21"/>
                <w:szCs w:val="21"/>
                <w:lang w:val="en-US" w:eastAsia="zh-CN"/>
              </w:rPr>
              <w:t>100g，长度120cm，断裂强度22kN；拉力损耗小；自重轻，表面光滑，摩擦系数小且耐磨。</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4、轻型O型锁扣：由铝合金制成，重量</w:t>
            </w:r>
            <w:bookmarkStart w:id="69" w:name="OLE_LINK30"/>
            <w:r>
              <w:rPr>
                <w:rFonts w:hint="eastAsia"/>
                <w:color w:val="auto"/>
                <w:sz w:val="21"/>
                <w:szCs w:val="21"/>
                <w:lang w:val="en-US" w:eastAsia="zh-CN"/>
              </w:rPr>
              <w:t>约</w:t>
            </w:r>
            <w:bookmarkEnd w:id="69"/>
            <w:r>
              <w:rPr>
                <w:rFonts w:hint="default" w:eastAsiaTheme="minorEastAsia"/>
                <w:color w:val="auto"/>
                <w:sz w:val="21"/>
                <w:szCs w:val="21"/>
                <w:lang w:val="en-US" w:eastAsia="zh-CN"/>
              </w:rPr>
              <w:t>75g，主轴强度25kN，副轴强度8kN，开门拉力7kN,开口尺寸22mm。使用简便，且能保护标记不受磨损。</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 xml:space="preserve">▲5、静力绳：结构采用尼龙绳芯和聚酯纤维绳皮，绳直径10.5mm，长度 30米，重量 </w:t>
            </w:r>
            <w:r>
              <w:rPr>
                <w:rFonts w:hint="eastAsia"/>
                <w:color w:val="auto"/>
                <w:sz w:val="21"/>
                <w:szCs w:val="21"/>
                <w:lang w:val="en-US" w:eastAsia="zh-CN"/>
              </w:rPr>
              <w:t>约</w:t>
            </w:r>
            <w:r>
              <w:rPr>
                <w:rFonts w:hint="default" w:eastAsiaTheme="minorEastAsia"/>
                <w:color w:val="auto"/>
                <w:sz w:val="21"/>
                <w:szCs w:val="21"/>
                <w:lang w:val="en-US" w:eastAsia="zh-CN"/>
              </w:rPr>
              <w:t>2250g，8字结的强度 15kN，缝合末端的强度 22kN,冲击力(系数0.3) 5.2kN，线束股数 32线轴，绳皮占有率 45%，静态伸长率 3.5%；延展少，柔软性好。</w:t>
            </w:r>
          </w:p>
        </w:tc>
        <w:tc>
          <w:tcPr>
            <w:tcW w:w="840"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color w:val="auto"/>
                <w:lang w:val="en-US" w:eastAsia="zh-CN"/>
              </w:rPr>
            </w:pPr>
            <w:r>
              <w:rPr>
                <w:rFonts w:hint="eastAsia"/>
                <w:color w:val="auto"/>
                <w:lang w:val="en-US" w:eastAsia="zh-CN"/>
              </w:rPr>
              <w:t>工业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78" w:hRule="atLeast"/>
          <w:jc w:val="center"/>
        </w:trPr>
        <w:tc>
          <w:tcPr>
            <w:tcW w:w="426"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6</w:t>
            </w:r>
          </w:p>
        </w:tc>
        <w:tc>
          <w:tcPr>
            <w:tcW w:w="869" w:type="dxa"/>
            <w:vAlign w:val="center"/>
          </w:tcPr>
          <w:p>
            <w:pPr>
              <w:keepNext w:val="0"/>
              <w:keepLines w:val="0"/>
              <w:widowControl/>
              <w:suppressLineNumbers w:val="0"/>
              <w:jc w:val="center"/>
              <w:textAlignment w:val="center"/>
              <w:rPr>
                <w:rFonts w:hint="eastAsia"/>
                <w:color w:val="auto"/>
                <w:sz w:val="21"/>
                <w:szCs w:val="21"/>
                <w:lang w:eastAsia="zh-CN"/>
              </w:rPr>
            </w:pPr>
            <w:r>
              <w:rPr>
                <w:rFonts w:hint="eastAsia" w:ascii="宋体" w:hAnsi="宋体" w:eastAsia="宋体" w:cs="宋体"/>
                <w:i w:val="0"/>
                <w:iCs w:val="0"/>
                <w:color w:val="auto"/>
                <w:kern w:val="0"/>
                <w:sz w:val="21"/>
                <w:szCs w:val="21"/>
                <w:u w:val="none"/>
                <w:lang w:val="en-US" w:eastAsia="zh-CN" w:bidi="ar"/>
              </w:rPr>
              <w:t>水域救援刀</w:t>
            </w:r>
          </w:p>
        </w:tc>
        <w:tc>
          <w:tcPr>
            <w:tcW w:w="83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张</w:t>
            </w:r>
          </w:p>
        </w:tc>
        <w:tc>
          <w:tcPr>
            <w:tcW w:w="87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23 </w:t>
            </w:r>
          </w:p>
        </w:tc>
        <w:tc>
          <w:tcPr>
            <w:tcW w:w="117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377.00 </w:t>
            </w:r>
          </w:p>
        </w:tc>
        <w:tc>
          <w:tcPr>
            <w:tcW w:w="4615"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1.刀片为钛合金（不会氧化生锈）， 钛合金是超轻材质，比钢更强韧并且也足够锋刃。</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2. 平刃和齿刃，还有一个绳索切割钩，满足绝大部分需求。</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3. 高耐腐蚀的钛合金刀刃使得它可以胜任各种水域类型的作业。</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4.平头的设计是为了防止刀尖伤到使用者或者其他穿刺伤害。同时这个平头也可以作为一字螺丝刀。</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5. 特制的刀鞘可以将刀稳稳的固定住，然而只要轻松的按一下，刀就会自动弹出。</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6.波浪形的手柄可以提供良好的摩擦力，即使在湿润的环境下也不会脱落。</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7.刀鞘的卡子可以牢固的固定在PFD上面。</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8.刀长</w:t>
            </w:r>
            <w:r>
              <w:rPr>
                <w:rFonts w:hint="eastAsia"/>
                <w:color w:val="auto"/>
                <w:sz w:val="21"/>
                <w:szCs w:val="21"/>
                <w:lang w:val="en-US" w:eastAsia="zh-CN"/>
              </w:rPr>
              <w:t>约</w:t>
            </w:r>
            <w:r>
              <w:rPr>
                <w:rFonts w:hint="default" w:eastAsiaTheme="minorEastAsia"/>
                <w:color w:val="auto"/>
                <w:sz w:val="21"/>
                <w:szCs w:val="21"/>
                <w:lang w:val="en-US" w:eastAsia="zh-CN"/>
              </w:rPr>
              <w:t>18.7cm，刃长</w:t>
            </w:r>
            <w:r>
              <w:rPr>
                <w:rFonts w:hint="eastAsia"/>
                <w:color w:val="auto"/>
                <w:sz w:val="21"/>
                <w:szCs w:val="21"/>
                <w:lang w:val="en-US" w:eastAsia="zh-CN"/>
              </w:rPr>
              <w:t>约</w:t>
            </w:r>
            <w:r>
              <w:rPr>
                <w:rFonts w:hint="default" w:eastAsiaTheme="minorEastAsia"/>
                <w:color w:val="auto"/>
                <w:sz w:val="21"/>
                <w:szCs w:val="21"/>
                <w:lang w:val="en-US" w:eastAsia="zh-CN"/>
              </w:rPr>
              <w:t>7.3cm，硬度50hrc。</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 xml:space="preserve">▲9. </w:t>
            </w:r>
            <w:r>
              <w:rPr>
                <w:rFonts w:hint="eastAsia" w:eastAsiaTheme="minorEastAsia"/>
                <w:color w:val="auto"/>
                <w:lang w:val="en-US" w:eastAsia="zh-CN"/>
              </w:rPr>
              <w:t>响应文件中需提供国家认可的第三方检测机构出具的检测报告复印件，并加盖供应商公章。</w:t>
            </w:r>
          </w:p>
        </w:tc>
        <w:tc>
          <w:tcPr>
            <w:tcW w:w="840"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color w:val="auto"/>
                <w:lang w:val="en-US" w:eastAsia="zh-CN"/>
              </w:rPr>
            </w:pPr>
            <w:r>
              <w:rPr>
                <w:rFonts w:hint="eastAsia"/>
                <w:color w:val="auto"/>
                <w:lang w:val="en-US" w:eastAsia="zh-CN"/>
              </w:rPr>
              <w:t>工业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1" w:hRule="atLeast"/>
          <w:jc w:val="center"/>
        </w:trPr>
        <w:tc>
          <w:tcPr>
            <w:tcW w:w="9634"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b/>
                <w:color w:val="auto"/>
                <w:szCs w:val="21"/>
              </w:rPr>
            </w:pPr>
            <w:r>
              <w:rPr>
                <w:rFonts w:hint="eastAsia" w:ascii="宋体" w:hAnsi="宋体" w:eastAsia="宋体" w:cs="宋体"/>
                <w:b/>
                <w:color w:val="auto"/>
                <w:szCs w:val="21"/>
              </w:rPr>
              <w:t>第二部分 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3" w:hRule="atLeast"/>
          <w:jc w:val="center"/>
        </w:trPr>
        <w:tc>
          <w:tcPr>
            <w:tcW w:w="2132" w:type="dxa"/>
            <w:gridSpan w:val="3"/>
            <w:tcBorders>
              <w:top w:val="single" w:color="auto" w:sz="4" w:space="0"/>
              <w:left w:val="single" w:color="auto" w:sz="4" w:space="0"/>
              <w:bottom w:val="single" w:color="auto" w:sz="4" w:space="0"/>
              <w:right w:val="single" w:color="auto" w:sz="4" w:space="0"/>
            </w:tcBorders>
            <w:vAlign w:val="center"/>
          </w:tcPr>
          <w:p>
            <w:pPr>
              <w:pStyle w:val="15"/>
              <w:keepNext w:val="0"/>
              <w:keepLines w:val="0"/>
              <w:pageBreakBefore w:val="0"/>
              <w:numPr>
                <w:ilvl w:val="0"/>
                <w:numId w:val="0"/>
              </w:numPr>
              <w:kinsoku/>
              <w:wordWrap/>
              <w:overflowPunct/>
              <w:topLinePunct w:val="0"/>
              <w:autoSpaceDE/>
              <w:autoSpaceDN/>
              <w:bidi w:val="0"/>
              <w:adjustRightInd/>
              <w:spacing w:line="360" w:lineRule="exac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合同签订时间</w:t>
            </w:r>
          </w:p>
        </w:tc>
        <w:tc>
          <w:tcPr>
            <w:tcW w:w="750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color="auto" w:fill="FFFFFF"/>
              <w:kinsoku/>
              <w:wordWrap/>
              <w:overflowPunct/>
              <w:topLinePunct w:val="0"/>
              <w:autoSpaceDE/>
              <w:autoSpaceDN/>
              <w:bidi w:val="0"/>
              <w:adjustRightInd/>
              <w:spacing w:line="360" w:lineRule="exact"/>
              <w:rPr>
                <w:rFonts w:hint="eastAsia" w:ascii="宋体" w:hAnsi="宋体" w:cs="宋体"/>
                <w:color w:val="auto"/>
                <w:szCs w:val="21"/>
              </w:rPr>
            </w:pPr>
            <w:r>
              <w:rPr>
                <w:rFonts w:hint="eastAsia" w:ascii="宋体" w:hAnsi="宋体" w:cs="宋体"/>
                <w:color w:val="auto"/>
                <w:szCs w:val="21"/>
              </w:rPr>
              <w:t xml:space="preserve"> </w:t>
            </w:r>
            <w:r>
              <w:rPr>
                <w:rFonts w:hint="eastAsia" w:ascii="宋体" w:hAnsi="宋体" w:eastAsia="宋体" w:cs="宋体"/>
                <w:color w:val="auto"/>
                <w:szCs w:val="21"/>
              </w:rPr>
              <w:t>自</w:t>
            </w:r>
            <w:r>
              <w:rPr>
                <w:rFonts w:hint="eastAsia" w:ascii="宋体" w:hAnsi="宋体" w:eastAsia="宋体" w:cs="宋体"/>
                <w:color w:val="auto"/>
                <w:szCs w:val="21"/>
                <w:lang w:val="en-US" w:eastAsia="zh-CN"/>
              </w:rPr>
              <w:t>成交</w:t>
            </w:r>
            <w:r>
              <w:rPr>
                <w:rFonts w:hint="eastAsia" w:ascii="宋体" w:hAnsi="宋体" w:eastAsia="宋体" w:cs="宋体"/>
                <w:color w:val="auto"/>
                <w:szCs w:val="21"/>
              </w:rPr>
              <w:t>通知书发出之日起15日内，因不可抗力原因延迟签订合同的，自不可抗力事由消除之日起5个工作日内完成合同签订事宜。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3" w:hRule="atLeast"/>
          <w:jc w:val="center"/>
        </w:trPr>
        <w:tc>
          <w:tcPr>
            <w:tcW w:w="2132" w:type="dxa"/>
            <w:gridSpan w:val="3"/>
            <w:tcBorders>
              <w:top w:val="single" w:color="auto" w:sz="4" w:space="0"/>
              <w:left w:val="single" w:color="auto" w:sz="4" w:space="0"/>
              <w:bottom w:val="single" w:color="auto" w:sz="4" w:space="0"/>
              <w:right w:val="single" w:color="auto" w:sz="4" w:space="0"/>
            </w:tcBorders>
            <w:vAlign w:val="center"/>
          </w:tcPr>
          <w:p>
            <w:pPr>
              <w:pStyle w:val="15"/>
              <w:keepNext w:val="0"/>
              <w:keepLines w:val="0"/>
              <w:pageBreakBefore w:val="0"/>
              <w:numPr>
                <w:ilvl w:val="0"/>
                <w:numId w:val="0"/>
              </w:numPr>
              <w:kinsoku/>
              <w:wordWrap/>
              <w:overflowPunct/>
              <w:topLinePunct w:val="0"/>
              <w:autoSpaceDE/>
              <w:autoSpaceDN/>
              <w:bidi w:val="0"/>
              <w:adjustRightInd/>
              <w:spacing w:line="360" w:lineRule="exact"/>
              <w:rPr>
                <w:rFonts w:hint="eastAsia" w:ascii="宋体" w:hAnsi="宋体" w:eastAsia="宋体" w:cs="宋体"/>
                <w:color w:val="auto"/>
                <w:lang w:val="en-US" w:eastAsia="zh-CN"/>
              </w:rPr>
            </w:pPr>
            <w:r>
              <w:rPr>
                <w:rFonts w:hint="eastAsia" w:ascii="宋体" w:hAnsi="宋体" w:eastAsia="宋体" w:cs="宋体"/>
                <w:color w:val="auto"/>
                <w:lang w:val="en-US" w:eastAsia="zh-CN"/>
              </w:rPr>
              <w:t>▲交付的时间和地点</w:t>
            </w:r>
          </w:p>
        </w:tc>
        <w:tc>
          <w:tcPr>
            <w:tcW w:w="750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center"/>
              <w:rPr>
                <w:rFonts w:hint="eastAsia" w:ascii="宋体" w:hAnsi="宋体" w:eastAsia="宋体" w:cs="宋体"/>
                <w:color w:val="auto"/>
                <w:kern w:val="0"/>
                <w:szCs w:val="21"/>
              </w:rPr>
            </w:pPr>
            <w:r>
              <w:rPr>
                <w:rFonts w:hint="eastAsia" w:ascii="Times New Roman" w:hAnsi="Times New Roman" w:eastAsia="宋体" w:cs="Times New Roman"/>
                <w:color w:val="auto"/>
                <w:highlight w:val="none"/>
              </w:rPr>
              <w:t>交付使用期：</w:t>
            </w:r>
            <w:r>
              <w:rPr>
                <w:rFonts w:hint="eastAsia" w:ascii="Times New Roman" w:hAnsi="Times New Roman" w:eastAsia="宋体" w:cs="Times New Roman"/>
                <w:color w:val="auto"/>
                <w:highlight w:val="none"/>
                <w:lang w:val="en-US" w:eastAsia="zh-CN"/>
              </w:rPr>
              <w:t>接到甲方供货通知后20日</w:t>
            </w:r>
            <w:r>
              <w:rPr>
                <w:rFonts w:hint="eastAsia" w:ascii="Times New Roman" w:hAnsi="Times New Roman" w:eastAsia="宋体" w:cs="Times New Roman"/>
                <w:color w:val="auto"/>
                <w:sz w:val="21"/>
                <w:szCs w:val="21"/>
                <w:highlight w:val="none"/>
                <w:lang w:val="en-US" w:eastAsia="zh-CN"/>
              </w:rPr>
              <w:t>内</w:t>
            </w:r>
            <w:r>
              <w:rPr>
                <w:rFonts w:hint="eastAsia" w:ascii="Times New Roman" w:hAnsi="Times New Roman" w:eastAsia="宋体" w:cs="Times New Roman"/>
                <w:color w:val="auto"/>
                <w:highlight w:val="none"/>
                <w:lang w:val="en-US" w:eastAsia="zh-CN"/>
              </w:rPr>
              <w:t>交付使用；紧急通知供货的通用货物当天送达。</w:t>
            </w:r>
          </w:p>
          <w:p>
            <w:pPr>
              <w:keepNext w:val="0"/>
              <w:keepLines w:val="0"/>
              <w:pageBreakBefore w:val="0"/>
              <w:widowControl/>
              <w:kinsoku/>
              <w:wordWrap/>
              <w:overflowPunct/>
              <w:topLinePunct w:val="0"/>
              <w:autoSpaceDE/>
              <w:autoSpaceDN/>
              <w:bidi w:val="0"/>
              <w:adjustRightInd/>
              <w:spacing w:line="360" w:lineRule="exact"/>
              <w:jc w:val="left"/>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地点：广西区内采购人指定地点。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4" w:hRule="atLeast"/>
          <w:jc w:val="center"/>
        </w:trPr>
        <w:tc>
          <w:tcPr>
            <w:tcW w:w="213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▲付款条件</w:t>
            </w:r>
          </w:p>
        </w:tc>
        <w:tc>
          <w:tcPr>
            <w:tcW w:w="7502"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420" w:firstLineChars="200"/>
              <w:jc w:val="left"/>
              <w:textAlignment w:val="center"/>
              <w:rPr>
                <w:rFonts w:hint="default"/>
                <w:color w:val="auto"/>
                <w:lang w:val="en-US" w:eastAsia="zh-CN"/>
              </w:rPr>
            </w:pPr>
            <w:r>
              <w:rPr>
                <w:rFonts w:hint="eastAsia" w:ascii="宋体" w:hAnsi="宋体" w:eastAsia="宋体" w:cs="宋体"/>
                <w:color w:val="auto"/>
                <w:kern w:val="0"/>
                <w:szCs w:val="21"/>
                <w:lang w:val="en-US" w:eastAsia="zh-CN"/>
              </w:rPr>
              <w:t>货物供货完毕并经采购人验收合格后成交供应商开具合同总金额100%的合法的发票给采购人，采购人在收到合法有效的发票之日起10个工作日内向成交供应商支付合同金额100%的货款。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01" w:hRule="atLeast"/>
          <w:jc w:val="center"/>
        </w:trPr>
        <w:tc>
          <w:tcPr>
            <w:tcW w:w="213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 xml:space="preserve">▲质保期 </w:t>
            </w:r>
          </w:p>
        </w:tc>
        <w:tc>
          <w:tcPr>
            <w:tcW w:w="750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center"/>
              <w:rPr>
                <w:rFonts w:hint="eastAsia"/>
                <w:color w:val="auto"/>
              </w:rPr>
            </w:pPr>
            <w:r>
              <w:rPr>
                <w:rFonts w:hint="eastAsia"/>
                <w:color w:val="auto"/>
              </w:rPr>
              <w:t>质保期</w:t>
            </w:r>
            <w:r>
              <w:rPr>
                <w:rFonts w:hint="eastAsia"/>
                <w:color w:val="auto"/>
                <w:lang w:val="en-US" w:eastAsia="zh-CN"/>
              </w:rPr>
              <w:t>三</w:t>
            </w:r>
            <w:r>
              <w:rPr>
                <w:rFonts w:hint="eastAsia"/>
                <w:color w:val="auto"/>
              </w:rPr>
              <w:t>年（如“技术参数及其性能（配置）要求”中另有要求，按其规定</w:t>
            </w:r>
            <w:r>
              <w:rPr>
                <w:rFonts w:hint="eastAsia"/>
                <w:color w:val="auto"/>
                <w:lang w:eastAsia="zh-CN"/>
              </w:rPr>
              <w:t>。</w:t>
            </w:r>
            <w:r>
              <w:rPr>
                <w:rFonts w:hint="eastAsia" w:ascii="宋体" w:hAnsi="宋体" w:eastAsia="宋体" w:cs="宋体"/>
                <w:bCs/>
                <w:color w:val="auto"/>
                <w:kern w:val="0"/>
                <w:sz w:val="21"/>
                <w:szCs w:val="21"/>
                <w:lang w:eastAsia="zh-CN"/>
              </w:rPr>
              <w:t>厂家质保期超过此年限的按厂家规定执行。</w:t>
            </w:r>
            <w:r>
              <w:rPr>
                <w:rFonts w:hint="eastAsia"/>
                <w:color w:val="auto"/>
              </w:rPr>
              <w:t>），质保期内维修及更换配件，终身维修（质保期外只收配件费，差旅费由厂家或</w:t>
            </w:r>
            <w:r>
              <w:rPr>
                <w:rFonts w:hint="eastAsia"/>
                <w:color w:val="auto"/>
                <w:lang w:val="en-US" w:eastAsia="zh-CN"/>
              </w:rPr>
              <w:t>成交</w:t>
            </w:r>
            <w:r>
              <w:rPr>
                <w:rFonts w:hint="eastAsia"/>
                <w:color w:val="auto"/>
                <w:lang w:eastAsia="zh-CN"/>
              </w:rPr>
              <w:t>供应商</w:t>
            </w:r>
            <w:r>
              <w:rPr>
                <w:rFonts w:hint="eastAsia"/>
                <w:color w:val="auto"/>
              </w:rPr>
              <w:t>负责）。 质保期内非用户原因引起的质量事故</w:t>
            </w:r>
            <w:r>
              <w:rPr>
                <w:rFonts w:hint="eastAsia"/>
                <w:color w:val="auto"/>
                <w:lang w:val="en-US" w:eastAsia="zh-CN"/>
              </w:rPr>
              <w:t>成交</w:t>
            </w:r>
            <w:r>
              <w:rPr>
                <w:rFonts w:hint="eastAsia"/>
                <w:color w:val="auto"/>
                <w:lang w:eastAsia="zh-CN"/>
              </w:rPr>
              <w:t>供应商</w:t>
            </w:r>
            <w:r>
              <w:rPr>
                <w:rFonts w:hint="eastAsia"/>
                <w:color w:val="auto"/>
              </w:rPr>
              <w:t>应负全部责任。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01" w:hRule="atLeast"/>
          <w:jc w:val="center"/>
        </w:trPr>
        <w:tc>
          <w:tcPr>
            <w:tcW w:w="213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▲售后服务</w:t>
            </w:r>
          </w:p>
        </w:tc>
        <w:tc>
          <w:tcPr>
            <w:tcW w:w="7502"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360" w:lineRule="exact"/>
              <w:jc w:val="left"/>
              <w:textAlignment w:val="center"/>
              <w:rPr>
                <w:rFonts w:hint="eastAsia"/>
                <w:color w:val="auto"/>
                <w:sz w:val="21"/>
                <w:szCs w:val="21"/>
                <w:highlight w:val="none"/>
              </w:rPr>
            </w:pPr>
            <w:r>
              <w:rPr>
                <w:rFonts w:hint="eastAsia"/>
                <w:color w:val="auto"/>
                <w:sz w:val="21"/>
                <w:szCs w:val="21"/>
                <w:highlight w:val="none"/>
                <w:lang w:val="en-US" w:eastAsia="zh-CN"/>
              </w:rPr>
              <w:t>1</w:t>
            </w:r>
            <w:r>
              <w:rPr>
                <w:rFonts w:hint="eastAsia"/>
                <w:color w:val="auto"/>
                <w:sz w:val="21"/>
                <w:szCs w:val="21"/>
                <w:highlight w:val="none"/>
              </w:rPr>
              <w:t>、成交供应商负责送货到采购人现场，在</w:t>
            </w:r>
            <w:r>
              <w:rPr>
                <w:rFonts w:hint="eastAsia"/>
                <w:color w:val="auto"/>
                <w:sz w:val="21"/>
                <w:szCs w:val="21"/>
                <w:highlight w:val="none"/>
                <w:lang w:eastAsia="zh-CN"/>
              </w:rPr>
              <w:t>竞争</w:t>
            </w:r>
            <w:r>
              <w:rPr>
                <w:rFonts w:hint="eastAsia"/>
                <w:color w:val="auto"/>
                <w:sz w:val="21"/>
                <w:szCs w:val="21"/>
                <w:highlight w:val="none"/>
                <w:lang w:val="en-US" w:eastAsia="zh-CN"/>
              </w:rPr>
              <w:t>性谈判</w:t>
            </w:r>
            <w:r>
              <w:rPr>
                <w:rFonts w:hint="eastAsia"/>
                <w:color w:val="auto"/>
                <w:sz w:val="21"/>
                <w:szCs w:val="21"/>
                <w:highlight w:val="none"/>
                <w:lang w:eastAsia="zh-CN"/>
              </w:rPr>
              <w:t>文件规定的或成交供应商承诺</w:t>
            </w:r>
            <w:r>
              <w:rPr>
                <w:rFonts w:hint="eastAsia"/>
                <w:color w:val="auto"/>
                <w:sz w:val="21"/>
                <w:szCs w:val="21"/>
                <w:highlight w:val="none"/>
              </w:rPr>
              <w:t>的时间内完成本</w:t>
            </w:r>
            <w:r>
              <w:rPr>
                <w:rFonts w:hint="eastAsia"/>
                <w:color w:val="auto"/>
                <w:sz w:val="21"/>
                <w:szCs w:val="21"/>
                <w:highlight w:val="none"/>
                <w:lang w:eastAsia="zh-CN"/>
              </w:rPr>
              <w:t>项目</w:t>
            </w:r>
            <w:r>
              <w:rPr>
                <w:rFonts w:hint="eastAsia"/>
                <w:color w:val="auto"/>
                <w:sz w:val="21"/>
                <w:szCs w:val="21"/>
                <w:highlight w:val="none"/>
              </w:rPr>
              <w:t>采购需求中所有内容的交付，若逾期交货，成交供应商需承担相应的违约责任。</w:t>
            </w:r>
          </w:p>
          <w:p>
            <w:pPr>
              <w:widowControl/>
              <w:autoSpaceDE w:val="0"/>
              <w:spacing w:line="360" w:lineRule="exact"/>
              <w:jc w:val="left"/>
              <w:textAlignment w:val="center"/>
              <w:rPr>
                <w:rFonts w:hint="eastAsia"/>
                <w:color w:val="auto"/>
                <w:sz w:val="21"/>
                <w:szCs w:val="21"/>
                <w:highlight w:val="none"/>
              </w:rPr>
            </w:pPr>
            <w:r>
              <w:rPr>
                <w:rFonts w:hint="eastAsia"/>
                <w:color w:val="auto"/>
                <w:sz w:val="21"/>
                <w:szCs w:val="21"/>
                <w:highlight w:val="none"/>
                <w:lang w:val="en-US" w:eastAsia="zh-CN"/>
              </w:rPr>
              <w:t>2</w:t>
            </w:r>
            <w:r>
              <w:rPr>
                <w:rFonts w:hint="eastAsia"/>
                <w:color w:val="auto"/>
                <w:sz w:val="21"/>
                <w:szCs w:val="21"/>
                <w:highlight w:val="none"/>
              </w:rPr>
              <w:t>、所有货物必须是全新、原装的，未使用过的产品，货物到货后，成交供应商和采购人应在现场进行清点核对，清点核对过程中如果发现因包装或运输不当引起的设备外观或内部的损坏，成交供应商承担所有责任。</w:t>
            </w:r>
          </w:p>
          <w:p>
            <w:pPr>
              <w:widowControl/>
              <w:autoSpaceDE w:val="0"/>
              <w:spacing w:line="360" w:lineRule="exact"/>
              <w:jc w:val="left"/>
              <w:textAlignment w:val="center"/>
              <w:rPr>
                <w:rFonts w:hint="eastAsia"/>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eastAsia="zh-CN"/>
              </w:rPr>
              <w:t>3</w:t>
            </w:r>
            <w:r>
              <w:rPr>
                <w:rFonts w:hint="eastAsia"/>
                <w:color w:val="auto"/>
                <w:sz w:val="21"/>
                <w:szCs w:val="21"/>
                <w:highlight w:val="none"/>
              </w:rPr>
              <w:t>、成交供应商交货时需提供产品说明书、保修卡、合格证产品目录、图纸、操作手册、试用说明、维护手册或服务指南等供货商品的配套资料。</w:t>
            </w:r>
          </w:p>
          <w:p>
            <w:pPr>
              <w:widowControl/>
              <w:autoSpaceDE w:val="0"/>
              <w:spacing w:line="360" w:lineRule="exact"/>
              <w:jc w:val="left"/>
              <w:textAlignment w:val="center"/>
              <w:rPr>
                <w:rFonts w:hint="eastAsia"/>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eastAsia="zh-CN"/>
              </w:rPr>
              <w:t>4</w:t>
            </w:r>
            <w:r>
              <w:rPr>
                <w:rFonts w:hint="eastAsia"/>
                <w:color w:val="auto"/>
                <w:sz w:val="21"/>
                <w:szCs w:val="21"/>
                <w:highlight w:val="none"/>
              </w:rPr>
              <w:t>、响应时间：按国家及行业标准进行及时处理，出现故障时在30分钟内响应，4小时内</w:t>
            </w:r>
            <w:r>
              <w:rPr>
                <w:rFonts w:hint="eastAsia"/>
                <w:color w:val="auto"/>
                <w:sz w:val="21"/>
                <w:szCs w:val="21"/>
                <w:highlight w:val="none"/>
                <w:lang w:eastAsia="zh-CN"/>
              </w:rPr>
              <w:t>到达现场</w:t>
            </w:r>
            <w:r>
              <w:rPr>
                <w:rFonts w:hint="eastAsia"/>
                <w:color w:val="auto"/>
                <w:sz w:val="21"/>
                <w:szCs w:val="21"/>
                <w:highlight w:val="none"/>
              </w:rPr>
              <w:t>。</w:t>
            </w:r>
          </w:p>
          <w:p>
            <w:pPr>
              <w:keepNext w:val="0"/>
              <w:keepLines w:val="0"/>
              <w:pageBreakBefore w:val="0"/>
              <w:widowControl/>
              <w:kinsoku/>
              <w:wordWrap/>
              <w:overflowPunct/>
              <w:topLinePunct w:val="0"/>
              <w:autoSpaceDE/>
              <w:autoSpaceDN/>
              <w:bidi w:val="0"/>
              <w:adjustRightInd/>
              <w:spacing w:line="360" w:lineRule="exact"/>
              <w:jc w:val="left"/>
              <w:textAlignment w:val="center"/>
              <w:rPr>
                <w:rFonts w:hint="eastAsia" w:ascii="宋体" w:hAnsi="宋体" w:eastAsia="宋体" w:cs="宋体"/>
                <w:color w:val="auto"/>
                <w:kern w:val="0"/>
                <w:szCs w:val="21"/>
              </w:rPr>
            </w:pPr>
            <w:r>
              <w:rPr>
                <w:rFonts w:hint="eastAsia"/>
                <w:color w:val="auto"/>
                <w:sz w:val="21"/>
                <w:szCs w:val="21"/>
                <w:highlight w:val="none"/>
                <w:lang w:val="en-US" w:eastAsia="zh-CN"/>
              </w:rPr>
              <w:t>5</w:t>
            </w:r>
            <w:r>
              <w:rPr>
                <w:rFonts w:hint="eastAsia"/>
                <w:color w:val="auto"/>
                <w:sz w:val="21"/>
                <w:szCs w:val="21"/>
                <w:highlight w:val="none"/>
              </w:rPr>
              <w:t>、培训要求：</w:t>
            </w:r>
            <w:r>
              <w:rPr>
                <w:rFonts w:hint="eastAsia"/>
                <w:color w:val="auto"/>
                <w:sz w:val="21"/>
                <w:szCs w:val="21"/>
                <w:highlight w:val="none"/>
                <w:lang w:eastAsia="zh-CN"/>
              </w:rPr>
              <w:t>成交</w:t>
            </w:r>
            <w:r>
              <w:rPr>
                <w:rFonts w:hint="eastAsia"/>
                <w:color w:val="auto"/>
                <w:sz w:val="21"/>
                <w:szCs w:val="21"/>
                <w:highlight w:val="none"/>
              </w:rPr>
              <w:t>供应商应提供对采购人的基本培训，使采购人使用人员熟练掌握所培训内容。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2" w:hRule="atLeast"/>
          <w:jc w:val="center"/>
        </w:trPr>
        <w:tc>
          <w:tcPr>
            <w:tcW w:w="213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竞标</w:t>
            </w:r>
            <w:r>
              <w:rPr>
                <w:rFonts w:hint="eastAsia" w:ascii="宋体" w:hAnsi="宋体" w:eastAsia="宋体" w:cs="宋体"/>
                <w:color w:val="auto"/>
                <w:kern w:val="0"/>
                <w:szCs w:val="21"/>
              </w:rPr>
              <w:t>报价要求</w:t>
            </w:r>
          </w:p>
        </w:tc>
        <w:tc>
          <w:tcPr>
            <w:tcW w:w="750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1、竞标</w:t>
            </w:r>
            <w:r>
              <w:rPr>
                <w:rFonts w:hint="eastAsia" w:ascii="宋体" w:hAnsi="宋体" w:eastAsia="宋体" w:cs="宋体"/>
                <w:color w:val="auto"/>
                <w:kern w:val="0"/>
                <w:szCs w:val="21"/>
              </w:rPr>
              <w:t>报价必须包含满足本次竞标全部采购需求所应提供的货物（包括备品备件、专用工具等）的价格及其运输（含保险）、安装（如有）、调试、检验、技术服务、培训和采购文件要求提供的所有伴随服务、工程等费用和税费。</w:t>
            </w:r>
          </w:p>
          <w:p>
            <w:pPr>
              <w:keepNext w:val="0"/>
              <w:keepLines w:val="0"/>
              <w:pageBreakBefore w:val="0"/>
              <w:widowControl/>
              <w:kinsoku/>
              <w:wordWrap/>
              <w:overflowPunct/>
              <w:topLinePunct w:val="0"/>
              <w:autoSpaceDE/>
              <w:autoSpaceDN/>
              <w:bidi w:val="0"/>
              <w:adjustRightInd/>
              <w:spacing w:line="360" w:lineRule="exact"/>
              <w:jc w:val="left"/>
              <w:textAlignment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2、</w:t>
            </w:r>
            <w:r>
              <w:rPr>
                <w:rFonts w:hint="eastAsia" w:ascii="宋体" w:hAnsi="宋体" w:eastAsia="宋体" w:cs="宋体"/>
                <w:b/>
                <w:bCs/>
                <w:color w:val="auto"/>
                <w:kern w:val="0"/>
                <w:szCs w:val="21"/>
                <w:lang w:val="en-US" w:eastAsia="zh-CN"/>
              </w:rPr>
              <w:t>竞标报价总价不能超预算总价，竞标报价单项报价不能超预算单价，</w:t>
            </w:r>
            <w:r>
              <w:rPr>
                <w:rFonts w:hint="eastAsia" w:ascii="宋体" w:hAnsi="宋体" w:eastAsia="宋体" w:cs="宋体"/>
                <w:b/>
                <w:color w:val="auto"/>
                <w:szCs w:val="21"/>
                <w:highlight w:val="none"/>
              </w:rPr>
              <w:t>否则响应文件作无效响应处理</w:t>
            </w:r>
            <w:r>
              <w:rPr>
                <w:rFonts w:hint="eastAsia" w:ascii="宋体" w:hAnsi="宋体" w:eastAsia="宋体" w:cs="宋体"/>
                <w:b/>
                <w:bCs/>
                <w:color w:val="auto"/>
                <w:kern w:val="0"/>
                <w:szCs w:val="21"/>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213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rPr>
              <w:t>▲验收标准、验收方法及方案</w:t>
            </w:r>
          </w:p>
        </w:tc>
        <w:tc>
          <w:tcPr>
            <w:tcW w:w="750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1、</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rPr>
              <w:t>人对</w:t>
            </w:r>
            <w:r>
              <w:rPr>
                <w:rFonts w:hint="eastAsia" w:ascii="宋体" w:hAnsi="宋体" w:eastAsia="宋体" w:cs="宋体"/>
                <w:color w:val="auto"/>
                <w:kern w:val="0"/>
                <w:szCs w:val="21"/>
                <w:lang w:val="en-US" w:eastAsia="zh-CN"/>
              </w:rPr>
              <w:t>成交</w:t>
            </w:r>
            <w:r>
              <w:rPr>
                <w:rFonts w:hint="eastAsia" w:ascii="宋体" w:hAnsi="宋体" w:eastAsia="宋体" w:cs="宋体"/>
                <w:color w:val="auto"/>
                <w:kern w:val="0"/>
                <w:szCs w:val="21"/>
                <w:lang w:eastAsia="zh-CN"/>
              </w:rPr>
              <w:t>供应商</w:t>
            </w:r>
            <w:r>
              <w:rPr>
                <w:rFonts w:hint="eastAsia" w:ascii="宋体" w:hAnsi="宋体" w:eastAsia="宋体" w:cs="宋体"/>
                <w:color w:val="auto"/>
                <w:kern w:val="0"/>
                <w:szCs w:val="21"/>
              </w:rPr>
              <w:t>提交的货物依据</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rPr>
              <w:t>文件及</w:t>
            </w:r>
            <w:r>
              <w:rPr>
                <w:rFonts w:hint="eastAsia" w:ascii="宋体" w:hAnsi="宋体" w:eastAsia="宋体" w:cs="宋体"/>
                <w:color w:val="auto"/>
                <w:kern w:val="0"/>
                <w:szCs w:val="21"/>
                <w:lang w:val="en-US" w:eastAsia="zh-CN"/>
              </w:rPr>
              <w:t>竞标</w:t>
            </w:r>
            <w:r>
              <w:rPr>
                <w:rFonts w:hint="eastAsia" w:ascii="宋体" w:hAnsi="宋体" w:eastAsia="宋体" w:cs="宋体"/>
                <w:color w:val="auto"/>
                <w:kern w:val="0"/>
                <w:szCs w:val="21"/>
              </w:rPr>
              <w:t>文件上的技术规格要求和国家有关质量标准进行现场签收，外观、说明书符合采购文件技术要求的，给予签收，不合格的不予签收。</w:t>
            </w:r>
          </w:p>
          <w:p>
            <w:pPr>
              <w:keepNext w:val="0"/>
              <w:keepLines w:val="0"/>
              <w:pageBreakBefore w:val="0"/>
              <w:widowControl/>
              <w:kinsoku/>
              <w:wordWrap/>
              <w:overflowPunct/>
              <w:topLinePunct w:val="0"/>
              <w:autoSpaceDE/>
              <w:autoSpaceDN/>
              <w:bidi w:val="0"/>
              <w:adjustRightInd/>
              <w:spacing w:line="360" w:lineRule="exact"/>
              <w:jc w:val="left"/>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2、</w:t>
            </w:r>
            <w:r>
              <w:rPr>
                <w:rFonts w:hint="eastAsia" w:ascii="宋体" w:hAnsi="宋体" w:eastAsia="宋体" w:cs="宋体"/>
                <w:color w:val="auto"/>
                <w:kern w:val="0"/>
                <w:szCs w:val="21"/>
                <w:lang w:val="en-US" w:eastAsia="zh-CN"/>
              </w:rPr>
              <w:t>成交</w:t>
            </w:r>
            <w:r>
              <w:rPr>
                <w:rFonts w:hint="eastAsia" w:ascii="宋体" w:hAnsi="宋体" w:eastAsia="宋体" w:cs="宋体"/>
                <w:color w:val="auto"/>
                <w:kern w:val="0"/>
                <w:szCs w:val="21"/>
                <w:lang w:eastAsia="zh-CN"/>
              </w:rPr>
              <w:t>供应商</w:t>
            </w:r>
            <w:r>
              <w:rPr>
                <w:rFonts w:hint="eastAsia" w:ascii="宋体" w:hAnsi="宋体" w:eastAsia="宋体" w:cs="宋体"/>
                <w:color w:val="auto"/>
                <w:kern w:val="0"/>
                <w:szCs w:val="21"/>
              </w:rPr>
              <w:t>交货前应对产品作出全面检查和对验收文件进行整理，并列出清单，作为</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rPr>
              <w:t>人收货验收和使用的技术条件依据，检验的结果应随货物交</w:t>
            </w:r>
            <w:r>
              <w:rPr>
                <w:rFonts w:hint="eastAsia" w:ascii="宋体" w:hAnsi="宋体" w:eastAsia="宋体" w:cs="宋体"/>
                <w:color w:val="auto"/>
                <w:kern w:val="0"/>
                <w:szCs w:val="21"/>
                <w:lang w:val="en-US" w:eastAsia="zh-CN"/>
              </w:rPr>
              <w:t>采购人</w:t>
            </w: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成交</w:t>
            </w:r>
            <w:r>
              <w:rPr>
                <w:rFonts w:hint="eastAsia" w:ascii="宋体" w:hAnsi="宋体" w:eastAsia="宋体" w:cs="宋体"/>
                <w:color w:val="auto"/>
                <w:kern w:val="0"/>
                <w:szCs w:val="21"/>
                <w:lang w:eastAsia="zh-CN"/>
              </w:rPr>
              <w:t>供应商</w:t>
            </w:r>
            <w:r>
              <w:rPr>
                <w:rFonts w:hint="eastAsia" w:ascii="宋体" w:hAnsi="宋体" w:eastAsia="宋体" w:cs="宋体"/>
                <w:color w:val="auto"/>
                <w:kern w:val="0"/>
                <w:szCs w:val="21"/>
              </w:rPr>
              <w:t>不能完整交付货物及本款规定的单证和工具的，必须负责补齐，否则视为未按合同约定交货。</w:t>
            </w:r>
          </w:p>
          <w:p>
            <w:pPr>
              <w:keepNext w:val="0"/>
              <w:keepLines w:val="0"/>
              <w:pageBreakBefore w:val="0"/>
              <w:widowControl/>
              <w:kinsoku/>
              <w:wordWrap/>
              <w:overflowPunct/>
              <w:topLinePunct w:val="0"/>
              <w:autoSpaceDE/>
              <w:autoSpaceDN/>
              <w:bidi w:val="0"/>
              <w:adjustRightInd/>
              <w:spacing w:line="360" w:lineRule="exact"/>
              <w:jc w:val="left"/>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3、</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rPr>
              <w:t>人组织验收，</w:t>
            </w:r>
            <w:r>
              <w:rPr>
                <w:rFonts w:hint="eastAsia" w:ascii="宋体" w:hAnsi="宋体" w:eastAsia="宋体" w:cs="宋体"/>
                <w:color w:val="auto"/>
                <w:kern w:val="0"/>
                <w:szCs w:val="21"/>
                <w:lang w:val="en-US" w:eastAsia="zh-CN"/>
              </w:rPr>
              <w:t>成交</w:t>
            </w:r>
            <w:r>
              <w:rPr>
                <w:rFonts w:hint="eastAsia" w:ascii="宋体" w:hAnsi="宋体" w:eastAsia="宋体" w:cs="宋体"/>
                <w:color w:val="auto"/>
                <w:kern w:val="0"/>
                <w:szCs w:val="21"/>
                <w:lang w:eastAsia="zh-CN"/>
              </w:rPr>
              <w:t>供应商</w:t>
            </w:r>
            <w:r>
              <w:rPr>
                <w:rFonts w:hint="eastAsia" w:ascii="宋体" w:hAnsi="宋体" w:eastAsia="宋体" w:cs="宋体"/>
                <w:color w:val="auto"/>
                <w:kern w:val="0"/>
                <w:szCs w:val="21"/>
              </w:rPr>
              <w:t>必须到场配合，验收合格后双方签署验收合格凭证。</w:t>
            </w:r>
          </w:p>
          <w:p>
            <w:pPr>
              <w:keepNext w:val="0"/>
              <w:keepLines w:val="0"/>
              <w:pageBreakBefore w:val="0"/>
              <w:widowControl/>
              <w:kinsoku/>
              <w:wordWrap/>
              <w:overflowPunct/>
              <w:topLinePunct w:val="0"/>
              <w:autoSpaceDE/>
              <w:autoSpaceDN/>
              <w:bidi w:val="0"/>
              <w:adjustRightInd/>
              <w:spacing w:line="360" w:lineRule="exact"/>
              <w:jc w:val="left"/>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4、其他未尽事宜应严格按照《关于印发广西壮族自治区政府采购项目履约验收管理办法的通知》[桂财采〔2015〕22 号]以及《财政部关于进一步加强政府采购需求和履约验收管理的指导意见》[财库〔2016〕205 号]规定执行。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05" w:hRule="atLeast"/>
          <w:jc w:val="center"/>
        </w:trPr>
        <w:tc>
          <w:tcPr>
            <w:tcW w:w="213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其他要求</w:t>
            </w:r>
          </w:p>
        </w:tc>
        <w:tc>
          <w:tcPr>
            <w:tcW w:w="750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1</w:t>
            </w:r>
            <w:r>
              <w:rPr>
                <w:rFonts w:hint="eastAsia" w:ascii="宋体" w:hAnsi="宋体" w:eastAsia="宋体" w:cs="宋体"/>
                <w:color w:val="auto"/>
                <w:kern w:val="0"/>
                <w:szCs w:val="21"/>
              </w:rPr>
              <w:t>、货物必须是全新的；货物到货后，</w:t>
            </w:r>
            <w:r>
              <w:rPr>
                <w:rFonts w:hint="eastAsia" w:ascii="宋体" w:hAnsi="宋体" w:eastAsia="宋体" w:cs="宋体"/>
                <w:color w:val="auto"/>
                <w:kern w:val="0"/>
                <w:szCs w:val="21"/>
                <w:lang w:val="en-US" w:eastAsia="zh-CN"/>
              </w:rPr>
              <w:t>成交</w:t>
            </w:r>
            <w:r>
              <w:rPr>
                <w:rFonts w:hint="eastAsia" w:ascii="宋体" w:hAnsi="宋体" w:eastAsia="宋体" w:cs="宋体"/>
                <w:color w:val="auto"/>
                <w:kern w:val="0"/>
                <w:szCs w:val="21"/>
                <w:lang w:eastAsia="zh-CN"/>
              </w:rPr>
              <w:t>供应商</w:t>
            </w:r>
            <w:r>
              <w:rPr>
                <w:rFonts w:hint="eastAsia" w:ascii="宋体" w:hAnsi="宋体" w:eastAsia="宋体" w:cs="宋体"/>
                <w:color w:val="auto"/>
                <w:kern w:val="0"/>
                <w:szCs w:val="21"/>
              </w:rPr>
              <w:t>和</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rPr>
              <w:t>人应在现场进行清点；清点过程中如果发现因包装或运输不当引起的外观或内部的损坏，</w:t>
            </w:r>
            <w:r>
              <w:rPr>
                <w:rFonts w:hint="eastAsia" w:ascii="宋体" w:hAnsi="宋体" w:eastAsia="宋体" w:cs="宋体"/>
                <w:color w:val="auto"/>
                <w:kern w:val="0"/>
                <w:szCs w:val="21"/>
                <w:lang w:val="en-US" w:eastAsia="zh-CN"/>
              </w:rPr>
              <w:t>成交</w:t>
            </w:r>
            <w:r>
              <w:rPr>
                <w:rFonts w:hint="eastAsia" w:ascii="宋体" w:hAnsi="宋体" w:eastAsia="宋体" w:cs="宋体"/>
                <w:color w:val="auto"/>
                <w:kern w:val="0"/>
                <w:szCs w:val="21"/>
                <w:lang w:eastAsia="zh-CN"/>
              </w:rPr>
              <w:t>供应商</w:t>
            </w:r>
            <w:r>
              <w:rPr>
                <w:rFonts w:hint="eastAsia" w:ascii="宋体" w:hAnsi="宋体" w:eastAsia="宋体" w:cs="宋体"/>
                <w:color w:val="auto"/>
                <w:kern w:val="0"/>
                <w:szCs w:val="21"/>
              </w:rPr>
              <w:t>应负责更换；若发现错发/漏发情况，</w:t>
            </w:r>
            <w:r>
              <w:rPr>
                <w:rFonts w:hint="eastAsia" w:ascii="宋体" w:hAnsi="宋体" w:eastAsia="宋体" w:cs="宋体"/>
                <w:color w:val="auto"/>
                <w:kern w:val="0"/>
                <w:szCs w:val="21"/>
                <w:lang w:val="en-US" w:eastAsia="zh-CN"/>
              </w:rPr>
              <w:t>成交</w:t>
            </w:r>
            <w:r>
              <w:rPr>
                <w:rFonts w:hint="eastAsia" w:ascii="宋体" w:hAnsi="宋体" w:eastAsia="宋体" w:cs="宋体"/>
                <w:color w:val="auto"/>
                <w:kern w:val="0"/>
                <w:szCs w:val="21"/>
                <w:lang w:eastAsia="zh-CN"/>
              </w:rPr>
              <w:t>供应商</w:t>
            </w:r>
            <w:r>
              <w:rPr>
                <w:rFonts w:hint="eastAsia" w:ascii="宋体" w:hAnsi="宋体" w:eastAsia="宋体" w:cs="宋体"/>
                <w:color w:val="auto"/>
                <w:kern w:val="0"/>
                <w:szCs w:val="21"/>
              </w:rPr>
              <w:t xml:space="preserve">应负责更换和补发。 </w:t>
            </w:r>
          </w:p>
          <w:p>
            <w:pPr>
              <w:keepNext w:val="0"/>
              <w:keepLines w:val="0"/>
              <w:pageBreakBefore w:val="0"/>
              <w:widowControl/>
              <w:kinsoku/>
              <w:wordWrap/>
              <w:overflowPunct/>
              <w:topLinePunct w:val="0"/>
              <w:autoSpaceDE/>
              <w:autoSpaceDN/>
              <w:bidi w:val="0"/>
              <w:adjustRightInd/>
              <w:spacing w:line="360" w:lineRule="exact"/>
              <w:jc w:val="left"/>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2</w:t>
            </w:r>
            <w:r>
              <w:rPr>
                <w:rFonts w:hint="eastAsia" w:ascii="宋体" w:hAnsi="宋体" w:eastAsia="宋体" w:cs="宋体"/>
                <w:color w:val="auto"/>
                <w:kern w:val="0"/>
                <w:szCs w:val="21"/>
              </w:rPr>
              <w:t>、其余按第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rPr>
              <w:t>章《合同文本》要求。</w:t>
            </w:r>
          </w:p>
          <w:p>
            <w:pPr>
              <w:keepNext w:val="0"/>
              <w:keepLines w:val="0"/>
              <w:pageBreakBefore w:val="0"/>
              <w:widowControl/>
              <w:kinsoku/>
              <w:wordWrap/>
              <w:overflowPunct/>
              <w:topLinePunct w:val="0"/>
              <w:autoSpaceDE/>
              <w:autoSpaceDN/>
              <w:bidi w:val="0"/>
              <w:adjustRightInd/>
              <w:spacing w:line="360" w:lineRule="exact"/>
              <w:jc w:val="left"/>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rPr>
              <w:t>、供应商可根据</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rPr>
              <w:t>文件及评分办法的要求，在</w:t>
            </w:r>
            <w:r>
              <w:rPr>
                <w:rFonts w:hint="eastAsia" w:ascii="宋体" w:hAnsi="宋体" w:eastAsia="宋体" w:cs="宋体"/>
                <w:color w:val="auto"/>
                <w:kern w:val="0"/>
                <w:szCs w:val="21"/>
                <w:lang w:val="en-US" w:eastAsia="zh-CN"/>
              </w:rPr>
              <w:t>竞标</w:t>
            </w:r>
            <w:r>
              <w:rPr>
                <w:rFonts w:hint="eastAsia" w:ascii="宋体" w:hAnsi="宋体" w:eastAsia="宋体" w:cs="宋体"/>
                <w:color w:val="auto"/>
                <w:kern w:val="0"/>
                <w:szCs w:val="21"/>
              </w:rPr>
              <w:t>文件中提供产品性能、项目实施方案、售后服务方案、信誉、人员配备等证明材料。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1" w:hRule="atLeast"/>
          <w:jc w:val="center"/>
        </w:trPr>
        <w:tc>
          <w:tcPr>
            <w:tcW w:w="9634" w:type="dxa"/>
            <w:gridSpan w:val="7"/>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b/>
                <w:color w:val="auto"/>
                <w:szCs w:val="21"/>
              </w:rPr>
            </w:pPr>
            <w:r>
              <w:rPr>
                <w:rFonts w:hint="eastAsia" w:ascii="宋体" w:hAnsi="宋体" w:eastAsia="宋体" w:cs="宋体"/>
                <w:b/>
                <w:color w:val="auto"/>
                <w:szCs w:val="21"/>
              </w:rPr>
              <w:t>第三部分 进口产品说明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9634" w:type="dxa"/>
            <w:gridSpan w:val="7"/>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auto"/>
                <w:szCs w:val="21"/>
              </w:rPr>
            </w:pPr>
            <w:r>
              <w:rPr>
                <w:rFonts w:hint="eastAsia" w:ascii="宋体" w:hAnsi="宋体" w:eastAsia="宋体" w:cs="宋体"/>
                <w:color w:val="auto"/>
                <w:szCs w:val="21"/>
              </w:rPr>
              <w:t>本分标中所有产品均不接受进口产品投标。</w:t>
            </w:r>
            <w:r>
              <w:rPr>
                <w:rFonts w:hint="eastAsia" w:ascii="宋体" w:hAnsi="宋体" w:eastAsia="宋体" w:cs="宋体"/>
                <w:b/>
                <w:bCs/>
                <w:color w:val="auto"/>
                <w:szCs w:val="21"/>
              </w:rPr>
              <w:t>进口产品投标的，投标无效。</w:t>
            </w:r>
          </w:p>
        </w:tc>
      </w:tr>
    </w:tbl>
    <w:p>
      <w:pPr>
        <w:pStyle w:val="42"/>
        <w:rPr>
          <w:rFonts w:hint="eastAsia" w:ascii="Arial Unicode MS" w:hAnsi="Arial Unicode MS" w:eastAsia="Arial Unicode MS" w:cs="Arial Unicode MS"/>
          <w:color w:val="auto"/>
          <w:sz w:val="32"/>
          <w:szCs w:val="32"/>
          <w:highlight w:val="none"/>
        </w:rPr>
      </w:pPr>
    </w:p>
    <w:p>
      <w:pPr>
        <w:pStyle w:val="42"/>
        <w:rPr>
          <w:rFonts w:hint="eastAsia" w:ascii="Arial Unicode MS" w:hAnsi="Arial Unicode MS" w:eastAsia="Arial Unicode MS" w:cs="Arial Unicode MS"/>
          <w:color w:val="auto"/>
          <w:sz w:val="32"/>
          <w:szCs w:val="32"/>
          <w:highlight w:val="none"/>
        </w:rPr>
      </w:pPr>
    </w:p>
    <w:p>
      <w:pPr>
        <w:spacing w:line="240" w:lineRule="auto"/>
        <w:rPr>
          <w:rFonts w:hint="eastAsia" w:ascii="Arial Unicode MS" w:hAnsi="Arial Unicode MS" w:eastAsia="Arial Unicode MS" w:cs="Arial Unicode MS"/>
          <w:color w:val="auto"/>
          <w:sz w:val="17"/>
          <w:szCs w:val="17"/>
          <w:highlight w:val="none"/>
        </w:rPr>
      </w:pPr>
      <w:r>
        <w:rPr>
          <w:rFonts w:hint="eastAsia" w:ascii="Arial Unicode MS" w:hAnsi="Arial Unicode MS" w:eastAsia="Arial Unicode MS" w:cs="Arial Unicode MS"/>
          <w:color w:val="auto"/>
          <w:sz w:val="32"/>
          <w:szCs w:val="32"/>
          <w:highlight w:val="none"/>
        </w:rPr>
        <w:t>附件1：</w:t>
      </w:r>
    </w:p>
    <w:p>
      <w:pPr>
        <w:keepNext w:val="0"/>
        <w:keepLines w:val="0"/>
        <w:pageBreakBefore w:val="0"/>
        <w:widowControl/>
        <w:kinsoku/>
        <w:wordWrap/>
        <w:overflowPunct/>
        <w:topLinePunct w:val="0"/>
        <w:autoSpaceDE/>
        <w:autoSpaceDN/>
        <w:bidi w:val="0"/>
        <w:adjustRightInd/>
        <w:snapToGrid/>
        <w:spacing w:before="165" w:beforeLines="50" w:after="165" w:afterLines="50" w:line="400" w:lineRule="exact"/>
        <w:jc w:val="center"/>
        <w:textAlignment w:val="auto"/>
        <w:rPr>
          <w:rFonts w:hint="eastAsia" w:ascii="宋体" w:hAnsi="宋体" w:cs="宋体"/>
          <w:b/>
          <w:bCs/>
          <w:color w:val="auto"/>
          <w:kern w:val="0"/>
          <w:sz w:val="30"/>
          <w:szCs w:val="30"/>
          <w:highlight w:val="none"/>
        </w:rPr>
      </w:pPr>
      <w:bookmarkStart w:id="70" w:name="_Toc28361_WPSOffice_Level2"/>
      <w:bookmarkStart w:id="71" w:name="_Toc20724"/>
      <w:bookmarkStart w:id="72" w:name="_Toc80205922"/>
      <w:r>
        <w:rPr>
          <w:rFonts w:hint="eastAsia" w:ascii="宋体" w:hAnsi="宋体" w:cs="宋体"/>
          <w:b/>
          <w:bCs/>
          <w:color w:val="auto"/>
          <w:kern w:val="0"/>
          <w:sz w:val="30"/>
          <w:szCs w:val="30"/>
          <w:highlight w:val="none"/>
        </w:rPr>
        <w:t>统计上大中小微型企业划分标准</w:t>
      </w:r>
      <w:bookmarkEnd w:id="70"/>
    </w:p>
    <w:tbl>
      <w:tblPr>
        <w:tblStyle w:val="32"/>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exact"/>
          <w:tblHeader/>
          <w:jc w:val="center"/>
        </w:trPr>
        <w:tc>
          <w:tcPr>
            <w:tcW w:w="2113" w:type="dxa"/>
            <w:shd w:val="clear" w:color="auto" w:fill="8DB3E2"/>
            <w:vAlign w:val="center"/>
          </w:tcPr>
          <w:p>
            <w:pPr>
              <w:widowControl/>
              <w:spacing w:line="280" w:lineRule="exact"/>
              <w:jc w:val="center"/>
              <w:rPr>
                <w:rFonts w:hint="eastAsia" w:ascii="宋体" w:hAnsi="宋体" w:cs="宋体"/>
                <w:b/>
                <w:bCs/>
                <w:color w:val="auto"/>
                <w:kern w:val="0"/>
                <w:sz w:val="18"/>
                <w:szCs w:val="21"/>
                <w:highlight w:val="none"/>
              </w:rPr>
            </w:pPr>
            <w:r>
              <w:rPr>
                <w:rFonts w:hint="eastAsia" w:ascii="宋体" w:hAnsi="宋体" w:cs="宋体"/>
                <w:b/>
                <w:bCs/>
                <w:color w:val="auto"/>
                <w:kern w:val="0"/>
                <w:sz w:val="18"/>
                <w:szCs w:val="21"/>
                <w:highlight w:val="none"/>
              </w:rPr>
              <w:t>行业名称</w:t>
            </w:r>
          </w:p>
        </w:tc>
        <w:tc>
          <w:tcPr>
            <w:tcW w:w="1369" w:type="dxa"/>
            <w:shd w:val="clear" w:color="auto" w:fill="8DB3E2"/>
            <w:vAlign w:val="center"/>
          </w:tcPr>
          <w:p>
            <w:pPr>
              <w:widowControl/>
              <w:spacing w:line="280" w:lineRule="exact"/>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指标名称</w:t>
            </w:r>
          </w:p>
        </w:tc>
        <w:tc>
          <w:tcPr>
            <w:tcW w:w="709" w:type="dxa"/>
            <w:shd w:val="clear" w:color="auto" w:fill="8DB3E2"/>
            <w:vAlign w:val="center"/>
          </w:tcPr>
          <w:p>
            <w:pPr>
              <w:widowControl/>
              <w:spacing w:line="280" w:lineRule="exact"/>
              <w:jc w:val="center"/>
              <w:rPr>
                <w:rFonts w:hint="eastAsia" w:ascii="宋体" w:hAnsi="宋体" w:eastAsia="宋体" w:cs="宋体"/>
                <w:b/>
                <w:bCs/>
                <w:color w:val="auto"/>
                <w:kern w:val="0"/>
                <w:sz w:val="18"/>
                <w:szCs w:val="18"/>
                <w:highlight w:val="none"/>
              </w:rPr>
            </w:pPr>
            <w:r>
              <w:rPr>
                <w:rFonts w:hint="eastAsia" w:ascii="宋体" w:hAnsi="宋体" w:cs="宋体"/>
                <w:b/>
                <w:bCs/>
                <w:color w:val="auto"/>
                <w:kern w:val="0"/>
                <w:sz w:val="18"/>
                <w:szCs w:val="18"/>
                <w:highlight w:val="none"/>
              </w:rPr>
              <w:t>计量</w:t>
            </w:r>
          </w:p>
          <w:p>
            <w:pPr>
              <w:widowControl/>
              <w:spacing w:line="280" w:lineRule="exact"/>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单位</w:t>
            </w:r>
          </w:p>
        </w:tc>
        <w:tc>
          <w:tcPr>
            <w:tcW w:w="1125" w:type="dxa"/>
            <w:shd w:val="clear" w:color="auto" w:fill="8DB3E2"/>
            <w:vAlign w:val="center"/>
          </w:tcPr>
          <w:p>
            <w:pPr>
              <w:widowControl/>
              <w:spacing w:line="280" w:lineRule="exact"/>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大型</w:t>
            </w:r>
          </w:p>
        </w:tc>
        <w:tc>
          <w:tcPr>
            <w:tcW w:w="1701" w:type="dxa"/>
            <w:shd w:val="clear" w:color="auto" w:fill="8DB3E2"/>
            <w:vAlign w:val="center"/>
          </w:tcPr>
          <w:p>
            <w:pPr>
              <w:widowControl/>
              <w:spacing w:line="280" w:lineRule="exact"/>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中型</w:t>
            </w:r>
          </w:p>
        </w:tc>
        <w:tc>
          <w:tcPr>
            <w:tcW w:w="1426" w:type="dxa"/>
            <w:shd w:val="clear" w:color="auto" w:fill="8DB3E2"/>
            <w:vAlign w:val="center"/>
          </w:tcPr>
          <w:p>
            <w:pPr>
              <w:widowControl/>
              <w:spacing w:line="280" w:lineRule="exact"/>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小型</w:t>
            </w:r>
          </w:p>
        </w:tc>
        <w:tc>
          <w:tcPr>
            <w:tcW w:w="992" w:type="dxa"/>
            <w:shd w:val="clear" w:color="auto" w:fill="8DB3E2"/>
            <w:vAlign w:val="center"/>
          </w:tcPr>
          <w:p>
            <w:pPr>
              <w:widowControl/>
              <w:spacing w:line="280" w:lineRule="exact"/>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农、林、牧、渔业</w:t>
            </w: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26"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工业 *</w:t>
            </w: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hint="eastAsia" w:ascii="宋体" w:hAnsi="宋体" w:cs="宋体"/>
                <w:color w:val="auto"/>
                <w:kern w:val="0"/>
                <w:sz w:val="18"/>
                <w:szCs w:val="18"/>
                <w:highlight w:val="none"/>
              </w:rPr>
            </w:pP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426"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建筑业</w:t>
            </w: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Y≥80000</w:t>
            </w:r>
          </w:p>
        </w:tc>
        <w:tc>
          <w:tcPr>
            <w:tcW w:w="1701"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426"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hint="eastAsia" w:ascii="宋体" w:hAnsi="宋体" w:cs="宋体"/>
                <w:color w:val="auto"/>
                <w:kern w:val="0"/>
                <w:sz w:val="18"/>
                <w:szCs w:val="18"/>
                <w:highlight w:val="none"/>
              </w:rPr>
            </w:pP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Z≥80000</w:t>
            </w:r>
          </w:p>
        </w:tc>
        <w:tc>
          <w:tcPr>
            <w:tcW w:w="1701"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426"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批发业</w:t>
            </w: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426"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hint="eastAsia" w:ascii="宋体" w:hAnsi="宋体" w:cs="宋体"/>
                <w:color w:val="auto"/>
                <w:kern w:val="0"/>
                <w:sz w:val="18"/>
                <w:szCs w:val="18"/>
                <w:highlight w:val="none"/>
              </w:rPr>
            </w:pP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426" w:type="dxa"/>
            <w:vAlign w:val="center"/>
          </w:tcPr>
          <w:p>
            <w:pPr>
              <w:widowControl/>
              <w:spacing w:line="280" w:lineRule="exact"/>
              <w:ind w:left="-1" w:leftChars="-1" w:hanging="1"/>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零售业</w:t>
            </w: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426" w:type="dxa"/>
            <w:vAlign w:val="center"/>
          </w:tcPr>
          <w:p>
            <w:pPr>
              <w:widowControl/>
              <w:spacing w:line="280" w:lineRule="exact"/>
              <w:ind w:left="-1" w:leftChars="-1" w:hanging="1"/>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10≤X＜50 </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hint="eastAsia" w:ascii="宋体" w:hAnsi="宋体" w:cs="宋体"/>
                <w:color w:val="auto"/>
                <w:kern w:val="0"/>
                <w:sz w:val="18"/>
                <w:szCs w:val="18"/>
                <w:highlight w:val="none"/>
              </w:rPr>
            </w:pP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26" w:type="dxa"/>
            <w:vAlign w:val="center"/>
          </w:tcPr>
          <w:p>
            <w:pPr>
              <w:widowControl/>
              <w:spacing w:line="280" w:lineRule="exact"/>
              <w:ind w:left="-1" w:leftChars="-1" w:hanging="1"/>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交通运输业 *</w:t>
            </w: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hint="eastAsia" w:ascii="宋体" w:hAnsi="宋体" w:cs="宋体"/>
                <w:color w:val="auto"/>
                <w:kern w:val="0"/>
                <w:sz w:val="18"/>
                <w:szCs w:val="18"/>
                <w:highlight w:val="none"/>
              </w:rPr>
            </w:pP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426"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仓储业*</w:t>
            </w: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vAlign w:val="center"/>
          </w:tcPr>
          <w:p>
            <w:pPr>
              <w:widowControl/>
              <w:spacing w:line="280" w:lineRule="exact"/>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426"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hint="eastAsia" w:ascii="宋体" w:hAnsi="宋体" w:cs="宋体"/>
                <w:color w:val="auto"/>
                <w:kern w:val="0"/>
                <w:sz w:val="18"/>
                <w:szCs w:val="18"/>
                <w:highlight w:val="none"/>
              </w:rPr>
            </w:pP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426"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邮政业</w:t>
            </w: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hint="eastAsia" w:ascii="宋体" w:hAnsi="宋体" w:cs="宋体"/>
                <w:color w:val="auto"/>
                <w:kern w:val="0"/>
                <w:sz w:val="18"/>
                <w:szCs w:val="18"/>
                <w:highlight w:val="none"/>
              </w:rPr>
            </w:pP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426"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住宿业</w:t>
            </w: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pPr>
              <w:widowControl/>
              <w:spacing w:line="280" w:lineRule="exact"/>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hint="eastAsia" w:ascii="宋体" w:hAnsi="宋体" w:cs="宋体"/>
                <w:color w:val="auto"/>
                <w:kern w:val="0"/>
                <w:sz w:val="18"/>
                <w:szCs w:val="18"/>
                <w:highlight w:val="none"/>
              </w:rPr>
            </w:pP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餐饮业</w:t>
            </w: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pPr>
              <w:widowControl/>
              <w:spacing w:line="280" w:lineRule="exact"/>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hint="eastAsia" w:ascii="宋体" w:hAnsi="宋体" w:cs="宋体"/>
                <w:color w:val="auto"/>
                <w:kern w:val="0"/>
                <w:sz w:val="18"/>
                <w:szCs w:val="18"/>
                <w:highlight w:val="none"/>
              </w:rPr>
            </w:pP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信息传输业 *</w:t>
            </w: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X≥2000</w:t>
            </w:r>
          </w:p>
        </w:tc>
        <w:tc>
          <w:tcPr>
            <w:tcW w:w="1701"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426"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hint="eastAsia" w:ascii="宋体" w:hAnsi="宋体" w:cs="宋体"/>
                <w:color w:val="auto"/>
                <w:kern w:val="0"/>
                <w:sz w:val="18"/>
                <w:szCs w:val="18"/>
                <w:highlight w:val="none"/>
              </w:rPr>
            </w:pP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Y≥100000</w:t>
            </w:r>
          </w:p>
        </w:tc>
        <w:tc>
          <w:tcPr>
            <w:tcW w:w="1701"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426"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pPr>
              <w:widowControl/>
              <w:spacing w:line="280" w:lineRule="exact"/>
              <w:jc w:val="left"/>
              <w:rPr>
                <w:rFonts w:hint="eastAsia" w:ascii="宋体" w:hAnsi="宋体" w:cs="宋体"/>
                <w:color w:val="auto"/>
                <w:spacing w:val="-12"/>
                <w:kern w:val="0"/>
                <w:sz w:val="18"/>
                <w:szCs w:val="18"/>
                <w:highlight w:val="none"/>
              </w:rPr>
            </w:pPr>
            <w:r>
              <w:rPr>
                <w:rFonts w:hint="eastAsia" w:ascii="宋体" w:hAnsi="宋体" w:cs="宋体"/>
                <w:color w:val="auto"/>
                <w:spacing w:val="-12"/>
                <w:kern w:val="0"/>
                <w:sz w:val="18"/>
                <w:szCs w:val="18"/>
                <w:highlight w:val="none"/>
              </w:rPr>
              <w:t>软件和信息技术服</w:t>
            </w:r>
            <w:r>
              <w:rPr>
                <w:rFonts w:hint="eastAsia" w:ascii="宋体" w:hAnsi="宋体" w:cs="宋体"/>
                <w:color w:val="auto"/>
                <w:kern w:val="0"/>
                <w:sz w:val="18"/>
                <w:szCs w:val="18"/>
                <w:highlight w:val="none"/>
              </w:rPr>
              <w:t>务业</w:t>
            </w: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pPr>
              <w:widowControl/>
              <w:spacing w:line="280" w:lineRule="exact"/>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pPr>
              <w:widowControl/>
              <w:spacing w:line="280" w:lineRule="exact"/>
              <w:jc w:val="left"/>
              <w:rPr>
                <w:rFonts w:hint="eastAsia" w:ascii="宋体" w:hAnsi="宋体" w:cs="宋体"/>
                <w:color w:val="auto"/>
                <w:spacing w:val="-12"/>
                <w:kern w:val="0"/>
                <w:sz w:val="18"/>
                <w:szCs w:val="18"/>
                <w:highlight w:val="none"/>
              </w:rPr>
            </w:pP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426"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房地产开发经营</w:t>
            </w: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Y≥200000</w:t>
            </w:r>
          </w:p>
        </w:tc>
        <w:tc>
          <w:tcPr>
            <w:tcW w:w="1701"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426"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pPr>
              <w:widowControl/>
              <w:spacing w:line="280" w:lineRule="exact"/>
              <w:jc w:val="left"/>
              <w:rPr>
                <w:rFonts w:hint="eastAsia" w:ascii="宋体" w:hAnsi="宋体" w:cs="宋体"/>
                <w:color w:val="auto"/>
                <w:kern w:val="0"/>
                <w:sz w:val="18"/>
                <w:szCs w:val="18"/>
                <w:highlight w:val="none"/>
              </w:rPr>
            </w:pP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Z≥10000</w:t>
            </w:r>
          </w:p>
        </w:tc>
        <w:tc>
          <w:tcPr>
            <w:tcW w:w="1701"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426"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2000≤Z＜5000</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物业管理</w:t>
            </w: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pPr>
              <w:widowControl/>
              <w:spacing w:line="280" w:lineRule="exact"/>
              <w:jc w:val="left"/>
              <w:rPr>
                <w:rFonts w:hint="eastAsia" w:ascii="宋体" w:hAnsi="宋体" w:cs="宋体"/>
                <w:color w:val="auto"/>
                <w:kern w:val="0"/>
                <w:sz w:val="18"/>
                <w:szCs w:val="18"/>
                <w:highlight w:val="none"/>
              </w:rPr>
            </w:pP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Y≥5000</w:t>
            </w:r>
          </w:p>
        </w:tc>
        <w:tc>
          <w:tcPr>
            <w:tcW w:w="1701" w:type="dxa"/>
            <w:vAlign w:val="center"/>
          </w:tcPr>
          <w:p>
            <w:pPr>
              <w:widowControl/>
              <w:spacing w:line="280" w:lineRule="exact"/>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426"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租赁和商务服务业</w:t>
            </w: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pPr>
              <w:widowControl/>
              <w:spacing w:line="280" w:lineRule="exact"/>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pPr>
              <w:widowControl/>
              <w:spacing w:line="280" w:lineRule="exact"/>
              <w:jc w:val="left"/>
              <w:rPr>
                <w:rFonts w:hint="eastAsia" w:ascii="宋体" w:hAnsi="宋体" w:cs="宋体"/>
                <w:color w:val="auto"/>
                <w:kern w:val="0"/>
                <w:sz w:val="18"/>
                <w:szCs w:val="18"/>
                <w:highlight w:val="none"/>
              </w:rPr>
            </w:pP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Z≥120000</w:t>
            </w:r>
          </w:p>
        </w:tc>
        <w:tc>
          <w:tcPr>
            <w:tcW w:w="1701"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426"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其他未列明行业 *</w:t>
            </w: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pPr>
              <w:widowControl/>
              <w:spacing w:line="280" w:lineRule="exact"/>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pPr>
        <w:widowControl/>
        <w:spacing w:line="280" w:lineRule="exact"/>
        <w:rPr>
          <w:rFonts w:hint="eastAsia" w:ascii="宋体" w:hAnsi="宋体" w:cs="宋体"/>
          <w:color w:val="auto"/>
          <w:spacing w:val="8"/>
          <w:kern w:val="0"/>
          <w:sz w:val="24"/>
          <w:highlight w:val="none"/>
        </w:rPr>
      </w:pPr>
    </w:p>
    <w:p>
      <w:pPr>
        <w:widowControl/>
        <w:spacing w:line="360" w:lineRule="auto"/>
        <w:rPr>
          <w:rFonts w:hint="eastAsia" w:asciiTheme="minorEastAsia" w:hAnsiTheme="minorEastAsia" w:cstheme="minorEastAsia"/>
          <w:color w:val="auto"/>
          <w:spacing w:val="8"/>
          <w:kern w:val="0"/>
          <w:szCs w:val="21"/>
          <w:highlight w:val="none"/>
        </w:rPr>
      </w:pPr>
      <w:r>
        <w:rPr>
          <w:rFonts w:hint="eastAsia" w:asciiTheme="minorEastAsia" w:hAnsiTheme="minorEastAsia" w:cstheme="minorEastAsia"/>
          <w:color w:val="auto"/>
          <w:spacing w:val="8"/>
          <w:kern w:val="0"/>
          <w:szCs w:val="21"/>
          <w:highlight w:val="none"/>
        </w:rPr>
        <w:t>说明：</w:t>
      </w:r>
    </w:p>
    <w:p>
      <w:pPr>
        <w:pStyle w:val="20"/>
        <w:adjustRightInd w:val="0"/>
        <w:spacing w:line="360" w:lineRule="auto"/>
        <w:ind w:firstLine="452" w:firstLineChars="200"/>
        <w:contextualSpacing/>
        <w:rPr>
          <w:rFonts w:hint="eastAsia" w:asciiTheme="minorEastAsia" w:hAnsiTheme="minorEastAsia" w:eastAsiaTheme="minorEastAsia" w:cstheme="minorEastAsia"/>
          <w:color w:val="auto"/>
          <w:spacing w:val="8"/>
          <w:sz w:val="21"/>
          <w:highlight w:val="none"/>
        </w:rPr>
      </w:pPr>
      <w:r>
        <w:rPr>
          <w:rFonts w:hint="eastAsia" w:asciiTheme="minorEastAsia" w:hAnsiTheme="minorEastAsia" w:eastAsiaTheme="minorEastAsia" w:cstheme="minorEastAsia"/>
          <w:color w:val="auto"/>
          <w:spacing w:val="8"/>
          <w:sz w:val="21"/>
          <w:highlight w:val="none"/>
        </w:rPr>
        <w:t>1.大型、中型和小型企业须同时满足所列指标的下限，否则下划一档；微型企业只须满足所列指标中的一项即可。</w:t>
      </w:r>
    </w:p>
    <w:p>
      <w:pPr>
        <w:pStyle w:val="20"/>
        <w:adjustRightInd w:val="0"/>
        <w:spacing w:line="360" w:lineRule="auto"/>
        <w:ind w:firstLine="452" w:firstLineChars="200"/>
        <w:contextualSpacing/>
        <w:rPr>
          <w:rFonts w:hint="eastAsia" w:asciiTheme="minorEastAsia" w:hAnsiTheme="minorEastAsia" w:eastAsiaTheme="minorEastAsia" w:cstheme="minorEastAsia"/>
          <w:color w:val="auto"/>
          <w:spacing w:val="8"/>
          <w:sz w:val="21"/>
          <w:highlight w:val="none"/>
        </w:rPr>
      </w:pPr>
      <w:r>
        <w:rPr>
          <w:rFonts w:hint="eastAsia" w:asciiTheme="minorEastAsia" w:hAnsiTheme="minorEastAsia" w:eastAsiaTheme="minorEastAsia" w:cstheme="minorEastAsia"/>
          <w:color w:val="auto"/>
          <w:spacing w:val="8"/>
          <w:sz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pStyle w:val="20"/>
        <w:spacing w:line="360" w:lineRule="auto"/>
        <w:ind w:firstLine="452" w:firstLineChars="200"/>
        <w:rPr>
          <w:rFonts w:hint="eastAsia" w:asciiTheme="minorEastAsia" w:hAnsiTheme="minorEastAsia" w:eastAsiaTheme="minorEastAsia" w:cstheme="minorEastAsia"/>
          <w:color w:val="auto"/>
          <w:spacing w:val="8"/>
          <w:sz w:val="21"/>
          <w:highlight w:val="none"/>
        </w:rPr>
      </w:pPr>
      <w:r>
        <w:rPr>
          <w:rFonts w:hint="eastAsia" w:asciiTheme="minorEastAsia" w:hAnsiTheme="minorEastAsia" w:eastAsiaTheme="minorEastAsia" w:cstheme="minorEastAsia"/>
          <w:color w:val="auto"/>
          <w:spacing w:val="8"/>
          <w:sz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pStyle w:val="11"/>
        <w:rPr>
          <w:color w:val="auto"/>
          <w:highlight w:val="none"/>
          <w:lang w:val="zh-CN"/>
        </w:rPr>
      </w:pPr>
    </w:p>
    <w:p>
      <w:pPr>
        <w:spacing w:line="428" w:lineRule="exact"/>
        <w:rPr>
          <w:rFonts w:hint="eastAsia" w:ascii="微软雅黑" w:hAnsi="微软雅黑" w:eastAsia="微软雅黑" w:cs="微软雅黑"/>
          <w:color w:val="auto"/>
          <w:sz w:val="30"/>
          <w:szCs w:val="30"/>
          <w:highlight w:val="none"/>
        </w:rPr>
        <w:sectPr>
          <w:footerReference r:id="rId11" w:type="default"/>
          <w:pgSz w:w="11906" w:h="16838"/>
          <w:pgMar w:top="1134" w:right="1134" w:bottom="1134" w:left="1354" w:header="720" w:footer="720" w:gutter="0"/>
          <w:pgNumType w:fmt="decimal"/>
          <w:cols w:space="720" w:num="1"/>
          <w:docGrid w:type="lines" w:linePitch="331" w:charSpace="0"/>
        </w:sectPr>
      </w:pPr>
    </w:p>
    <w:p>
      <w:pPr>
        <w:spacing w:line="428" w:lineRule="exact"/>
        <w:rPr>
          <w:rFonts w:hint="eastAsia" w:ascii="Arial Unicode MS" w:hAnsi="Arial Unicode MS" w:eastAsia="Arial Unicode MS" w:cs="Arial Unicode MS"/>
          <w:color w:val="auto"/>
          <w:sz w:val="30"/>
          <w:szCs w:val="30"/>
          <w:highlight w:val="none"/>
        </w:rPr>
      </w:pPr>
      <w:r>
        <w:rPr>
          <w:rFonts w:hint="eastAsia" w:ascii="微软雅黑" w:hAnsi="微软雅黑" w:eastAsia="微软雅黑" w:cs="微软雅黑"/>
          <w:color w:val="auto"/>
          <w:sz w:val="30"/>
          <w:szCs w:val="30"/>
          <w:highlight w:val="none"/>
        </w:rPr>
        <w:t>附件2：</w:t>
      </w:r>
    </w:p>
    <w:p>
      <w:pPr>
        <w:spacing w:line="528" w:lineRule="exact"/>
        <w:ind w:left="1871" w:firstLine="600" w:firstLineChars="200"/>
        <w:rPr>
          <w:rFonts w:hint="eastAsia" w:ascii="Arial Unicode MS" w:hAnsi="Arial Unicode MS" w:eastAsia="Arial Unicode MS" w:cs="Arial Unicode MS"/>
          <w:color w:val="auto"/>
          <w:sz w:val="40"/>
          <w:szCs w:val="40"/>
          <w:highlight w:val="none"/>
        </w:rPr>
      </w:pPr>
      <w:r>
        <w:rPr>
          <w:rFonts w:hint="eastAsia" w:ascii="微软雅黑" w:hAnsi="微软雅黑" w:eastAsia="微软雅黑" w:cs="微软雅黑"/>
          <w:color w:val="auto"/>
          <w:sz w:val="30"/>
          <w:szCs w:val="30"/>
          <w:highlight w:val="none"/>
        </w:rPr>
        <w:t>节能产品政府采购品目清单</w:t>
      </w:r>
    </w:p>
    <w:tbl>
      <w:tblPr>
        <w:tblStyle w:val="32"/>
        <w:tblW w:w="922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1116"/>
        <w:gridCol w:w="1516"/>
        <w:gridCol w:w="1612"/>
        <w:gridCol w:w="4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41" w:type="dxa"/>
          </w:tcPr>
          <w:p>
            <w:pPr>
              <w:widowControl/>
              <w:jc w:val="center"/>
              <w:rPr>
                <w:rFonts w:hint="eastAsia" w:ascii="宋体" w:hAnsi="宋体" w:cs="宋体"/>
                <w:b/>
                <w:bCs/>
                <w:color w:val="auto"/>
                <w:kern w:val="0"/>
                <w:sz w:val="22"/>
                <w:highlight w:val="none"/>
              </w:rPr>
            </w:pPr>
            <w:r>
              <w:rPr>
                <w:rFonts w:hint="eastAsia" w:ascii="宋体" w:hAnsi="宋体" w:cs="宋体"/>
                <w:b/>
                <w:bCs/>
                <w:color w:val="auto"/>
                <w:kern w:val="0"/>
                <w:sz w:val="22"/>
                <w:highlight w:val="none"/>
              </w:rPr>
              <w:t>品目序号</w:t>
            </w:r>
          </w:p>
        </w:tc>
        <w:tc>
          <w:tcPr>
            <w:tcW w:w="4244" w:type="dxa"/>
            <w:gridSpan w:val="3"/>
            <w:vAlign w:val="center"/>
          </w:tcPr>
          <w:p>
            <w:pPr>
              <w:widowControl/>
              <w:jc w:val="center"/>
              <w:rPr>
                <w:rFonts w:hint="eastAsia" w:ascii="宋体" w:hAnsi="宋体" w:cs="宋体"/>
                <w:b/>
                <w:bCs/>
                <w:color w:val="auto"/>
                <w:kern w:val="0"/>
                <w:sz w:val="22"/>
                <w:highlight w:val="none"/>
              </w:rPr>
            </w:pPr>
            <w:r>
              <w:rPr>
                <w:rFonts w:hint="eastAsia" w:ascii="宋体" w:hAnsi="宋体" w:cs="宋体"/>
                <w:b/>
                <w:bCs/>
                <w:color w:val="auto"/>
                <w:kern w:val="0"/>
                <w:sz w:val="22"/>
                <w:highlight w:val="none"/>
              </w:rPr>
              <w:t>名称</w:t>
            </w:r>
          </w:p>
        </w:tc>
        <w:tc>
          <w:tcPr>
            <w:tcW w:w="4335" w:type="dxa"/>
            <w:vAlign w:val="center"/>
          </w:tcPr>
          <w:p>
            <w:pPr>
              <w:widowControl/>
              <w:jc w:val="center"/>
              <w:rPr>
                <w:rFonts w:hint="eastAsia" w:ascii="宋体" w:hAnsi="宋体" w:cs="宋体"/>
                <w:b/>
                <w:bCs/>
                <w:color w:val="auto"/>
                <w:kern w:val="0"/>
                <w:sz w:val="22"/>
                <w:highlight w:val="none"/>
              </w:rPr>
            </w:pPr>
            <w:r>
              <w:rPr>
                <w:rFonts w:hint="eastAsia" w:ascii="宋体" w:hAnsi="宋体" w:cs="宋体"/>
                <w:b/>
                <w:bCs/>
                <w:color w:val="auto"/>
                <w:kern w:val="0"/>
                <w:sz w:val="22"/>
                <w:highlight w:val="none"/>
              </w:rPr>
              <w:t>依据的标准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Merge w:val="restart"/>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1116" w:type="dxa"/>
            <w:vMerge w:val="restart"/>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A020101计算机设备</w:t>
            </w: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eastAsia="宋体" w:cs="宋体"/>
                <w:b/>
                <w:bCs/>
                <w:color w:val="auto"/>
                <w:szCs w:val="21"/>
                <w:highlight w:val="none"/>
              </w:rPr>
              <w:t>★</w:t>
            </w:r>
            <w:r>
              <w:rPr>
                <w:rFonts w:hint="eastAsia" w:ascii="宋体" w:hAnsi="宋体" w:cs="宋体"/>
                <w:color w:val="auto"/>
                <w:kern w:val="0"/>
                <w:sz w:val="20"/>
                <w:szCs w:val="20"/>
                <w:highlight w:val="none"/>
              </w:rPr>
              <w:t>A02010104台式计算机</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eastAsia="宋体" w:cs="宋体"/>
                <w:b/>
                <w:bCs/>
                <w:color w:val="auto"/>
                <w:szCs w:val="21"/>
                <w:highlight w:val="none"/>
              </w:rPr>
              <w:t>★</w:t>
            </w:r>
            <w:r>
              <w:rPr>
                <w:rFonts w:hint="eastAsia" w:ascii="宋体" w:hAnsi="宋体" w:cs="宋体"/>
                <w:color w:val="auto"/>
                <w:kern w:val="0"/>
                <w:sz w:val="20"/>
                <w:szCs w:val="20"/>
                <w:highlight w:val="none"/>
              </w:rPr>
              <w:t>A02010105便携式计算机</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eastAsia="宋体" w:cs="宋体"/>
                <w:b/>
                <w:bCs/>
                <w:color w:val="auto"/>
                <w:szCs w:val="21"/>
                <w:highlight w:val="none"/>
              </w:rPr>
              <w:t>★</w:t>
            </w:r>
            <w:r>
              <w:rPr>
                <w:rFonts w:hint="eastAsia" w:ascii="宋体" w:hAnsi="宋体" w:cs="宋体"/>
                <w:color w:val="auto"/>
                <w:kern w:val="0"/>
                <w:sz w:val="20"/>
                <w:szCs w:val="20"/>
                <w:highlight w:val="none"/>
              </w:rPr>
              <w:t>A02010107平板式微型计算机</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Merge w:val="restart"/>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1116" w:type="dxa"/>
            <w:vMerge w:val="restart"/>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A020106输入输出设备</w:t>
            </w:r>
          </w:p>
        </w:tc>
        <w:tc>
          <w:tcPr>
            <w:tcW w:w="1516" w:type="dxa"/>
            <w:vMerge w:val="restart"/>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A02010601打印设备</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A0201060101喷墨打印机</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Merge w:val="continue"/>
            <w:vAlign w:val="center"/>
          </w:tcPr>
          <w:p>
            <w:pPr>
              <w:widowControl/>
              <w:jc w:val="left"/>
              <w:rPr>
                <w:rFonts w:hint="eastAsia" w:ascii="宋体" w:hAnsi="宋体" w:cs="宋体"/>
                <w:color w:val="auto"/>
                <w:kern w:val="0"/>
                <w:sz w:val="20"/>
                <w:szCs w:val="20"/>
                <w:highlight w:val="none"/>
              </w:rPr>
            </w:pP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eastAsia="宋体" w:cs="宋体"/>
                <w:b/>
                <w:bCs/>
                <w:color w:val="auto"/>
                <w:szCs w:val="21"/>
                <w:highlight w:val="none"/>
              </w:rPr>
              <w:t>★</w:t>
            </w:r>
            <w:r>
              <w:rPr>
                <w:rFonts w:hint="eastAsia" w:ascii="宋体" w:hAnsi="宋体" w:cs="宋体"/>
                <w:color w:val="auto"/>
                <w:kern w:val="0"/>
                <w:sz w:val="20"/>
                <w:szCs w:val="20"/>
                <w:highlight w:val="none"/>
              </w:rPr>
              <w:t>A0201060102激光打印机</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Merge w:val="continue"/>
            <w:vAlign w:val="center"/>
          </w:tcPr>
          <w:p>
            <w:pPr>
              <w:widowControl/>
              <w:jc w:val="left"/>
              <w:rPr>
                <w:rFonts w:hint="eastAsia" w:ascii="宋体" w:hAnsi="宋体" w:cs="宋体"/>
                <w:color w:val="auto"/>
                <w:kern w:val="0"/>
                <w:sz w:val="20"/>
                <w:szCs w:val="20"/>
                <w:highlight w:val="none"/>
              </w:rPr>
            </w:pP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eastAsia="宋体" w:cs="宋体"/>
                <w:b/>
                <w:bCs/>
                <w:color w:val="auto"/>
                <w:szCs w:val="21"/>
                <w:highlight w:val="none"/>
              </w:rPr>
              <w:t>★</w:t>
            </w:r>
            <w:r>
              <w:rPr>
                <w:rFonts w:hint="eastAsia" w:ascii="宋体" w:hAnsi="宋体" w:cs="宋体"/>
                <w:color w:val="auto"/>
                <w:kern w:val="0"/>
                <w:sz w:val="20"/>
                <w:szCs w:val="20"/>
                <w:highlight w:val="none"/>
              </w:rPr>
              <w:t>A0201060104针式打印机</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A02010604显示设备</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eastAsia="宋体" w:cs="宋体"/>
                <w:b/>
                <w:bCs/>
                <w:color w:val="auto"/>
                <w:szCs w:val="21"/>
                <w:highlight w:val="none"/>
              </w:rPr>
              <w:t>★</w:t>
            </w:r>
            <w:r>
              <w:rPr>
                <w:rFonts w:hint="eastAsia" w:ascii="宋体" w:hAnsi="宋体" w:cs="宋体"/>
                <w:color w:val="auto"/>
                <w:kern w:val="0"/>
                <w:sz w:val="20"/>
                <w:szCs w:val="20"/>
                <w:highlight w:val="none"/>
              </w:rPr>
              <w:t>A0201060401液晶显示器</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《计算机显示器能效限定值及能效等级》（GB21520）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A02010609图形图像输入设备</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A0201060901扫描仪</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参照《复印机、打印机和传真机能效限定值及能效等级》（GB21521中打印速度为15页/分的针式打印机相关要求中打印速度为15页/分的针式打印机相关要求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11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A020202投影仪</w:t>
            </w: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《投影机能效限定值及能效等级》（GB32028）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4</w:t>
            </w:r>
          </w:p>
        </w:tc>
        <w:tc>
          <w:tcPr>
            <w:tcW w:w="11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A020204多功能一体机</w:t>
            </w: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5</w:t>
            </w:r>
          </w:p>
        </w:tc>
        <w:tc>
          <w:tcPr>
            <w:tcW w:w="11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A020519泵</w:t>
            </w: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A02051901离心泵</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《清水离心泵能效限定值及节能评价值》（GB19762）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41" w:type="dxa"/>
            <w:vMerge w:val="restart"/>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6</w:t>
            </w:r>
          </w:p>
        </w:tc>
        <w:tc>
          <w:tcPr>
            <w:tcW w:w="1116" w:type="dxa"/>
            <w:vMerge w:val="restart"/>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A020523制冷空调设备</w:t>
            </w:r>
          </w:p>
        </w:tc>
        <w:tc>
          <w:tcPr>
            <w:tcW w:w="1516" w:type="dxa"/>
            <w:vMerge w:val="restart"/>
            <w:vAlign w:val="center"/>
          </w:tcPr>
          <w:p>
            <w:pPr>
              <w:widowControl/>
              <w:jc w:val="center"/>
              <w:rPr>
                <w:rFonts w:hint="eastAsia" w:ascii="宋体" w:hAnsi="宋体" w:cs="宋体"/>
                <w:color w:val="auto"/>
                <w:kern w:val="0"/>
                <w:sz w:val="20"/>
                <w:szCs w:val="20"/>
                <w:highlight w:val="none"/>
              </w:rPr>
            </w:pPr>
            <w:r>
              <w:rPr>
                <w:rFonts w:hint="eastAsia" w:ascii="宋体" w:hAnsi="宋体" w:eastAsia="宋体" w:cs="宋体"/>
                <w:b/>
                <w:bCs/>
                <w:color w:val="auto"/>
                <w:szCs w:val="21"/>
                <w:highlight w:val="none"/>
              </w:rPr>
              <w:t>★</w:t>
            </w:r>
            <w:r>
              <w:rPr>
                <w:rFonts w:hint="eastAsia" w:ascii="宋体" w:hAnsi="宋体" w:cs="宋体"/>
                <w:color w:val="auto"/>
                <w:kern w:val="0"/>
                <w:sz w:val="20"/>
                <w:szCs w:val="20"/>
                <w:highlight w:val="none"/>
              </w:rPr>
              <w:t>A02052301制冷压缩机</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冷水机组</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《冷水机组能效限定值及能效等级》（GB19577），《低环境温度空气源热泵（冷水）机组能效限定值及能效等级》（GB37480）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Merge w:val="continue"/>
            <w:vAlign w:val="center"/>
          </w:tcPr>
          <w:p>
            <w:pPr>
              <w:widowControl/>
              <w:jc w:val="left"/>
              <w:rPr>
                <w:rFonts w:hint="eastAsia" w:ascii="宋体" w:hAnsi="宋体" w:cs="宋体"/>
                <w:color w:val="auto"/>
                <w:kern w:val="0"/>
                <w:sz w:val="20"/>
                <w:szCs w:val="20"/>
                <w:highlight w:val="none"/>
              </w:rPr>
            </w:pP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水源热泵机组</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《水（地）源热泵机组能效限定值及能效等级》（GB30721）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Merge w:val="continue"/>
            <w:vAlign w:val="center"/>
          </w:tcPr>
          <w:p>
            <w:pPr>
              <w:widowControl/>
              <w:jc w:val="left"/>
              <w:rPr>
                <w:rFonts w:hint="eastAsia" w:ascii="宋体" w:hAnsi="宋体" w:cs="宋体"/>
                <w:color w:val="auto"/>
                <w:kern w:val="0"/>
                <w:sz w:val="20"/>
                <w:szCs w:val="20"/>
                <w:highlight w:val="none"/>
              </w:rPr>
            </w:pP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《溴化锂吸收式冷水机组能效限定值及能效等级》（GB29540）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Merge w:val="restart"/>
            <w:vAlign w:val="center"/>
          </w:tcPr>
          <w:p>
            <w:pPr>
              <w:widowControl/>
              <w:jc w:val="center"/>
              <w:rPr>
                <w:rFonts w:hint="eastAsia" w:ascii="宋体" w:hAnsi="宋体" w:cs="宋体"/>
                <w:color w:val="auto"/>
                <w:kern w:val="0"/>
                <w:sz w:val="20"/>
                <w:szCs w:val="20"/>
                <w:highlight w:val="none"/>
              </w:rPr>
            </w:pPr>
            <w:r>
              <w:rPr>
                <w:rFonts w:hint="eastAsia" w:ascii="宋体" w:hAnsi="宋体" w:eastAsia="宋体" w:cs="宋体"/>
                <w:b/>
                <w:bCs/>
                <w:color w:val="auto"/>
                <w:szCs w:val="21"/>
                <w:highlight w:val="none"/>
              </w:rPr>
              <w:t>★</w:t>
            </w:r>
            <w:r>
              <w:rPr>
                <w:rFonts w:hint="eastAsia" w:ascii="宋体" w:hAnsi="宋体" w:cs="宋体"/>
                <w:color w:val="auto"/>
                <w:kern w:val="0"/>
                <w:sz w:val="20"/>
                <w:szCs w:val="20"/>
                <w:highlight w:val="none"/>
              </w:rPr>
              <w:t>A02052305空调机组</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多联式空调（热泵）机组(制冷量&gt;14000W)</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Merge w:val="continue"/>
            <w:vAlign w:val="center"/>
          </w:tcPr>
          <w:p>
            <w:pPr>
              <w:widowControl/>
              <w:jc w:val="left"/>
              <w:rPr>
                <w:rFonts w:hint="eastAsia" w:ascii="宋体" w:hAnsi="宋体" w:cs="宋体"/>
                <w:color w:val="auto"/>
                <w:kern w:val="0"/>
                <w:sz w:val="20"/>
                <w:szCs w:val="20"/>
                <w:highlight w:val="none"/>
              </w:rPr>
            </w:pP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单元式空气调节机(制冷量&gt;14000W</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《单元式空气调节机能效限定值及能效等级》（GB19576）《风管送风式空调机组能效限定值及能效等级》（GB37479）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eastAsia="宋体" w:cs="宋体"/>
                <w:b/>
                <w:bCs/>
                <w:color w:val="auto"/>
                <w:szCs w:val="21"/>
                <w:highlight w:val="none"/>
              </w:rPr>
              <w:t>★</w:t>
            </w:r>
            <w:r>
              <w:rPr>
                <w:rFonts w:hint="eastAsia" w:ascii="宋体" w:hAnsi="宋体" w:cs="宋体"/>
                <w:color w:val="auto"/>
                <w:kern w:val="0"/>
                <w:sz w:val="20"/>
                <w:szCs w:val="20"/>
                <w:highlight w:val="none"/>
              </w:rPr>
              <w:t>A02052309专用制冷、空调设备</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机房空调</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A02052399其他制冷空调设备</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冷却塔</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《机械通风冷却塔第1部分：中小型开式冷却塔》（GB/T7190.1）；《机械通风冷却塔第2部分：大型开式冷却塔》（GB/T7190.2）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7</w:t>
            </w:r>
          </w:p>
        </w:tc>
        <w:tc>
          <w:tcPr>
            <w:tcW w:w="11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A020601电机</w:t>
            </w: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《中小型三相异步电动机能效限定值及能效等级》（GB18613）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8</w:t>
            </w:r>
          </w:p>
        </w:tc>
        <w:tc>
          <w:tcPr>
            <w:tcW w:w="11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A020602变压器</w:t>
            </w: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配电变压器</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《三相配电变压器能效限定值及能效等级》（GB20052）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9</w:t>
            </w:r>
          </w:p>
        </w:tc>
        <w:tc>
          <w:tcPr>
            <w:tcW w:w="1116" w:type="dxa"/>
            <w:vAlign w:val="center"/>
          </w:tcPr>
          <w:p>
            <w:pPr>
              <w:widowControl/>
              <w:jc w:val="center"/>
              <w:rPr>
                <w:rFonts w:hint="eastAsia" w:ascii="宋体" w:hAnsi="宋体" w:cs="宋体"/>
                <w:color w:val="auto"/>
                <w:kern w:val="0"/>
                <w:sz w:val="20"/>
                <w:szCs w:val="20"/>
                <w:highlight w:val="none"/>
              </w:rPr>
            </w:pPr>
            <w:r>
              <w:rPr>
                <w:rFonts w:hint="eastAsia" w:ascii="宋体" w:hAnsi="宋体" w:eastAsia="宋体" w:cs="宋体"/>
                <w:b/>
                <w:bCs/>
                <w:color w:val="auto"/>
                <w:szCs w:val="21"/>
                <w:highlight w:val="none"/>
              </w:rPr>
              <w:t>★</w:t>
            </w:r>
            <w:r>
              <w:rPr>
                <w:rFonts w:hint="eastAsia" w:ascii="宋体" w:hAnsi="宋体" w:cs="宋体"/>
                <w:color w:val="auto"/>
                <w:kern w:val="0"/>
                <w:sz w:val="20"/>
                <w:szCs w:val="20"/>
                <w:highlight w:val="none"/>
              </w:rPr>
              <w:t>A020609镇流器</w:t>
            </w: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管型荧光灯镇流器</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《管形荧光灯镇流器能效限定值及能效等级》（GB17896）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Merge w:val="restart"/>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w:t>
            </w:r>
          </w:p>
        </w:tc>
        <w:tc>
          <w:tcPr>
            <w:tcW w:w="1116" w:type="dxa"/>
            <w:vMerge w:val="restart"/>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A020618生活用电器</w:t>
            </w: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A0206180101电冰箱</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《家用电冰箱耗电量限定值及能效等级》（GB 12021.2）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Merge w:val="restart"/>
            <w:vAlign w:val="center"/>
          </w:tcPr>
          <w:p>
            <w:pPr>
              <w:widowControl/>
              <w:jc w:val="center"/>
              <w:rPr>
                <w:rFonts w:hint="eastAsia" w:ascii="宋体" w:hAnsi="宋体" w:cs="宋体"/>
                <w:color w:val="auto"/>
                <w:kern w:val="0"/>
                <w:sz w:val="20"/>
                <w:szCs w:val="20"/>
                <w:highlight w:val="none"/>
              </w:rPr>
            </w:pPr>
            <w:r>
              <w:rPr>
                <w:rFonts w:hint="eastAsia" w:ascii="宋体" w:hAnsi="宋体" w:eastAsia="宋体" w:cs="宋体"/>
                <w:b/>
                <w:bCs/>
                <w:color w:val="auto"/>
                <w:szCs w:val="21"/>
                <w:highlight w:val="none"/>
              </w:rPr>
              <w:t>★</w:t>
            </w:r>
            <w:r>
              <w:rPr>
                <w:rFonts w:hint="eastAsia" w:ascii="宋体" w:hAnsi="宋体" w:cs="宋体"/>
                <w:color w:val="auto"/>
                <w:kern w:val="0"/>
                <w:sz w:val="20"/>
                <w:szCs w:val="20"/>
                <w:highlight w:val="none"/>
              </w:rPr>
              <w:t>A0206180203空调机</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房间空气调节器</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《转速可控型房间空气调节器能效限定值及能效等级》（GB21455-2013），待2019年修订发布后，按《房间空气调节器能效限定值及能效等级》（GB21455-2019实施。</w:t>
            </w:r>
          </w:p>
        </w:tc>
      </w:tr>
      <w:tr>
        <w:tblPrEx>
          <w:tblCellMar>
            <w:top w:w="0" w:type="dxa"/>
            <w:left w:w="108" w:type="dxa"/>
            <w:bottom w:w="0" w:type="dxa"/>
            <w:right w:w="108" w:type="dxa"/>
          </w:tblCellMar>
        </w:tblPrEx>
        <w:trPr>
          <w:trHeight w:val="73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Merge w:val="continue"/>
            <w:vAlign w:val="center"/>
          </w:tcPr>
          <w:p>
            <w:pPr>
              <w:widowControl/>
              <w:jc w:val="left"/>
              <w:rPr>
                <w:rFonts w:hint="eastAsia" w:ascii="宋体" w:hAnsi="宋体" w:cs="宋体"/>
                <w:color w:val="auto"/>
                <w:kern w:val="0"/>
                <w:sz w:val="20"/>
                <w:szCs w:val="20"/>
                <w:highlight w:val="none"/>
              </w:rPr>
            </w:pP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 14000W）</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Merge w:val="continue"/>
            <w:vAlign w:val="center"/>
          </w:tcPr>
          <w:p>
            <w:pPr>
              <w:widowControl/>
              <w:jc w:val="left"/>
              <w:rPr>
                <w:rFonts w:hint="eastAsia" w:ascii="宋体" w:hAnsi="宋体" w:cs="宋体"/>
                <w:color w:val="auto"/>
                <w:kern w:val="0"/>
                <w:sz w:val="20"/>
                <w:szCs w:val="20"/>
                <w:highlight w:val="none"/>
              </w:rPr>
            </w:pP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单元式空气调节机(制冷量≤14000W)</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《单元式空气调节机能效限定值及能源效率等级》（GB19576）《风管送风式空调机组能效限定值及能效等级》（GB37479）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A0206180301洗衣机</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《电动洗衣机能效水效限定值及等级》（GB12021.4）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Merge w:val="restart"/>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A02061808热水器</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eastAsia="宋体" w:cs="宋体"/>
                <w:b/>
                <w:bCs/>
                <w:color w:val="auto"/>
                <w:szCs w:val="21"/>
                <w:highlight w:val="none"/>
              </w:rPr>
              <w:t>★</w:t>
            </w:r>
            <w:r>
              <w:rPr>
                <w:rFonts w:hint="eastAsia" w:ascii="宋体" w:hAnsi="宋体" w:cs="宋体"/>
                <w:color w:val="auto"/>
                <w:kern w:val="0"/>
                <w:sz w:val="20"/>
                <w:szCs w:val="20"/>
                <w:highlight w:val="none"/>
              </w:rPr>
              <w:t>电热水器</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《储水式电热水器能效限定值及能效等级》（GB21519）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Merge w:val="continue"/>
            <w:vAlign w:val="center"/>
          </w:tcPr>
          <w:p>
            <w:pPr>
              <w:widowControl/>
              <w:jc w:val="left"/>
              <w:rPr>
                <w:rFonts w:hint="eastAsia" w:ascii="宋体" w:hAnsi="宋体" w:cs="宋体"/>
                <w:color w:val="auto"/>
                <w:kern w:val="0"/>
                <w:sz w:val="20"/>
                <w:szCs w:val="20"/>
                <w:highlight w:val="none"/>
              </w:rPr>
            </w:pP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燃气热水器</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《家用燃气快速热水器和燃气采暖热水炉能效限定值及能效等级》（GB20665）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Merge w:val="continue"/>
            <w:vAlign w:val="center"/>
          </w:tcPr>
          <w:p>
            <w:pPr>
              <w:widowControl/>
              <w:jc w:val="left"/>
              <w:rPr>
                <w:rFonts w:hint="eastAsia" w:ascii="宋体" w:hAnsi="宋体" w:cs="宋体"/>
                <w:color w:val="auto"/>
                <w:kern w:val="0"/>
                <w:sz w:val="20"/>
                <w:szCs w:val="20"/>
                <w:highlight w:val="none"/>
              </w:rPr>
            </w:pP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热泵热水器</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《热泵热水机（器）能效限定值及能效等级》（GB29541）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Merge w:val="continue"/>
            <w:vAlign w:val="center"/>
          </w:tcPr>
          <w:p>
            <w:pPr>
              <w:widowControl/>
              <w:jc w:val="left"/>
              <w:rPr>
                <w:rFonts w:hint="eastAsia" w:ascii="宋体" w:hAnsi="宋体" w:cs="宋体"/>
                <w:color w:val="auto"/>
                <w:kern w:val="0"/>
                <w:sz w:val="20"/>
                <w:szCs w:val="20"/>
                <w:highlight w:val="none"/>
              </w:rPr>
            </w:pP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太阳能热水系统</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《家用太阳能热水系统能效限定值及能效等级》（GB26969）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Merge w:val="restart"/>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11</w:t>
            </w:r>
          </w:p>
        </w:tc>
        <w:tc>
          <w:tcPr>
            <w:tcW w:w="1116" w:type="dxa"/>
            <w:vMerge w:val="restart"/>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A020619照明设备</w:t>
            </w: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eastAsia="宋体" w:cs="宋体"/>
                <w:b/>
                <w:bCs/>
                <w:color w:val="auto"/>
                <w:szCs w:val="21"/>
                <w:highlight w:val="none"/>
              </w:rPr>
              <w:t>★</w:t>
            </w:r>
            <w:r>
              <w:rPr>
                <w:rFonts w:hint="eastAsia" w:ascii="宋体" w:hAnsi="宋体" w:cs="宋体"/>
                <w:color w:val="auto"/>
                <w:kern w:val="0"/>
                <w:sz w:val="20"/>
                <w:szCs w:val="20"/>
                <w:highlight w:val="none"/>
              </w:rPr>
              <w:t>普通照明用双端荧光灯</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《普通照明用双端荧光灯能效限定值及能效等级》（GB19043）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LED道路/隧道照明产品</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《道路和隧道照明用LED灯具能效限定值及能效等级》（GB37478）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LED筒灯</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普通照明用非定向自镇流LED灯</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41"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12</w:t>
            </w:r>
          </w:p>
        </w:tc>
        <w:tc>
          <w:tcPr>
            <w:tcW w:w="1116" w:type="dxa"/>
            <w:vAlign w:val="center"/>
          </w:tcPr>
          <w:p>
            <w:pPr>
              <w:widowControl/>
              <w:jc w:val="center"/>
              <w:rPr>
                <w:rFonts w:hint="eastAsia" w:ascii="宋体" w:hAnsi="宋体" w:cs="宋体"/>
                <w:color w:val="auto"/>
                <w:kern w:val="0"/>
                <w:sz w:val="20"/>
                <w:szCs w:val="20"/>
                <w:highlight w:val="none"/>
              </w:rPr>
            </w:pPr>
            <w:r>
              <w:rPr>
                <w:rFonts w:hint="eastAsia" w:ascii="宋体" w:hAnsi="宋体" w:eastAsia="宋体" w:cs="宋体"/>
                <w:b/>
                <w:bCs/>
                <w:color w:val="auto"/>
                <w:szCs w:val="21"/>
                <w:highlight w:val="none"/>
              </w:rPr>
              <w:t>★</w:t>
            </w:r>
            <w:r>
              <w:rPr>
                <w:rFonts w:hint="eastAsia" w:ascii="宋体" w:hAnsi="宋体" w:cs="宋体"/>
                <w:color w:val="auto"/>
                <w:kern w:val="0"/>
                <w:sz w:val="20"/>
                <w:szCs w:val="20"/>
                <w:highlight w:val="none"/>
              </w:rPr>
              <w:t>A020910电视设备</w:t>
            </w: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A02091001普通电视设备（电视机）</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《平板电视能效限定值及能效等级》（GB24850）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641"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13</w:t>
            </w:r>
          </w:p>
        </w:tc>
        <w:tc>
          <w:tcPr>
            <w:tcW w:w="1116" w:type="dxa"/>
            <w:vAlign w:val="center"/>
          </w:tcPr>
          <w:p>
            <w:pPr>
              <w:widowControl/>
              <w:jc w:val="center"/>
              <w:rPr>
                <w:rFonts w:hint="eastAsia" w:ascii="宋体" w:hAnsi="宋体" w:cs="宋体"/>
                <w:color w:val="auto"/>
                <w:kern w:val="0"/>
                <w:sz w:val="20"/>
                <w:szCs w:val="20"/>
                <w:highlight w:val="none"/>
              </w:rPr>
            </w:pPr>
            <w:r>
              <w:rPr>
                <w:rFonts w:hint="eastAsia" w:ascii="宋体" w:hAnsi="宋体" w:eastAsia="宋体" w:cs="宋体"/>
                <w:b/>
                <w:bCs/>
                <w:color w:val="auto"/>
                <w:szCs w:val="21"/>
                <w:highlight w:val="none"/>
              </w:rPr>
              <w:t>★</w:t>
            </w:r>
            <w:r>
              <w:rPr>
                <w:rFonts w:hint="eastAsia" w:ascii="宋体" w:hAnsi="宋体" w:cs="宋体"/>
                <w:color w:val="auto"/>
                <w:kern w:val="0"/>
                <w:sz w:val="20"/>
                <w:szCs w:val="20"/>
                <w:highlight w:val="none"/>
              </w:rPr>
              <w:t>A020911视频设备</w:t>
            </w: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A02091107视频监控设备</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监视器</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14</w:t>
            </w:r>
          </w:p>
        </w:tc>
        <w:tc>
          <w:tcPr>
            <w:tcW w:w="11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A031210饮食炊事机械</w:t>
            </w: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《商用燃气灶具能效限定值及能效等级》（GB30531）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1" w:type="dxa"/>
            <w:vMerge w:val="restart"/>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15</w:t>
            </w:r>
          </w:p>
        </w:tc>
        <w:tc>
          <w:tcPr>
            <w:tcW w:w="1116" w:type="dxa"/>
            <w:vMerge w:val="restart"/>
            <w:vAlign w:val="center"/>
          </w:tcPr>
          <w:p>
            <w:pPr>
              <w:widowControl/>
              <w:jc w:val="center"/>
              <w:rPr>
                <w:rFonts w:hint="eastAsia" w:ascii="宋体" w:hAnsi="宋体" w:cs="宋体"/>
                <w:color w:val="auto"/>
                <w:kern w:val="0"/>
                <w:sz w:val="20"/>
                <w:szCs w:val="20"/>
                <w:highlight w:val="none"/>
              </w:rPr>
            </w:pPr>
            <w:r>
              <w:rPr>
                <w:rFonts w:hint="eastAsia" w:ascii="宋体" w:hAnsi="宋体" w:eastAsia="宋体" w:cs="宋体"/>
                <w:b/>
                <w:bCs/>
                <w:color w:val="auto"/>
                <w:szCs w:val="21"/>
                <w:highlight w:val="none"/>
              </w:rPr>
              <w:t>★</w:t>
            </w:r>
            <w:r>
              <w:rPr>
                <w:rFonts w:hint="eastAsia" w:ascii="宋体" w:hAnsi="宋体" w:cs="宋体"/>
                <w:color w:val="auto"/>
                <w:kern w:val="0"/>
                <w:sz w:val="20"/>
                <w:szCs w:val="20"/>
                <w:highlight w:val="none"/>
              </w:rPr>
              <w:t>A060805便器</w:t>
            </w: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坐便器</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《坐便器水效限定值及水效等级》（GB25502）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蹲便器</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《蹲便器用水效率限定值及用水效率等级》（GB30717）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小便器</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《小便器用水效率限定值及用水效率等级》（GB28377）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16</w:t>
            </w:r>
          </w:p>
        </w:tc>
        <w:tc>
          <w:tcPr>
            <w:tcW w:w="1116" w:type="dxa"/>
            <w:vAlign w:val="center"/>
          </w:tcPr>
          <w:p>
            <w:pPr>
              <w:widowControl/>
              <w:jc w:val="center"/>
              <w:rPr>
                <w:rFonts w:hint="eastAsia" w:ascii="宋体" w:hAnsi="宋体" w:cs="宋体"/>
                <w:color w:val="auto"/>
                <w:kern w:val="0"/>
                <w:sz w:val="20"/>
                <w:szCs w:val="20"/>
                <w:highlight w:val="none"/>
              </w:rPr>
            </w:pPr>
            <w:r>
              <w:rPr>
                <w:rFonts w:hint="eastAsia" w:ascii="宋体" w:hAnsi="宋体" w:eastAsia="宋体" w:cs="宋体"/>
                <w:b/>
                <w:bCs/>
                <w:color w:val="auto"/>
                <w:szCs w:val="21"/>
                <w:highlight w:val="none"/>
              </w:rPr>
              <w:t>★</w:t>
            </w:r>
            <w:r>
              <w:rPr>
                <w:rFonts w:hint="eastAsia" w:ascii="宋体" w:hAnsi="宋体" w:cs="宋体"/>
                <w:color w:val="auto"/>
                <w:kern w:val="0"/>
                <w:sz w:val="20"/>
                <w:szCs w:val="20"/>
                <w:highlight w:val="none"/>
              </w:rPr>
              <w:t>A060806水嘴</w:t>
            </w: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《水嘴用水效率限定值及用水效率等级》（GB 25501）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17</w:t>
            </w:r>
          </w:p>
        </w:tc>
        <w:tc>
          <w:tcPr>
            <w:tcW w:w="11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A060807便器冲洗阀</w:t>
            </w: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《便器冲洗阀用水效率限定值及用水效率等级》（GB28379）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18</w:t>
            </w:r>
          </w:p>
        </w:tc>
        <w:tc>
          <w:tcPr>
            <w:tcW w:w="11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A060810淋浴器</w:t>
            </w: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《淋浴器用水效率限定值及用水效率等级》（GB28378）</w:t>
            </w:r>
          </w:p>
        </w:tc>
      </w:tr>
    </w:tbl>
    <w:p>
      <w:pPr>
        <w:pStyle w:val="15"/>
        <w:spacing w:line="360" w:lineRule="auto"/>
        <w:ind w:firstLine="408" w:firstLineChars="200"/>
        <w:rPr>
          <w:rFonts w:hint="eastAsia" w:ascii="宋体" w:hAnsi="宋体"/>
          <w:color w:val="auto"/>
          <w:szCs w:val="21"/>
          <w:highlight w:val="none"/>
        </w:rPr>
      </w:pPr>
      <w:r>
        <w:rPr>
          <w:rFonts w:hint="eastAsia"/>
          <w:color w:val="auto"/>
          <w:spacing w:val="-3"/>
          <w:szCs w:val="21"/>
          <w:highlight w:val="none"/>
        </w:rPr>
        <w:t>注：</w:t>
      </w:r>
      <w:r>
        <w:rPr>
          <w:color w:val="auto"/>
          <w:spacing w:val="-3"/>
          <w:szCs w:val="21"/>
          <w:highlight w:val="none"/>
        </w:rPr>
        <w:t>1.</w:t>
      </w:r>
      <w:r>
        <w:rPr>
          <w:rFonts w:hint="eastAsia"/>
          <w:color w:val="auto"/>
          <w:spacing w:val="-3"/>
          <w:szCs w:val="21"/>
          <w:highlight w:val="none"/>
        </w:rPr>
        <w:t>节能产品认证应依据相关国家标准的最新版本，依据国家标准中二级能效（水效）</w:t>
      </w:r>
      <w:r>
        <w:rPr>
          <w:rFonts w:hint="eastAsia"/>
          <w:color w:val="auto"/>
          <w:szCs w:val="21"/>
          <w:highlight w:val="none"/>
        </w:rPr>
        <w:t>指标。</w:t>
      </w:r>
    </w:p>
    <w:p>
      <w:pPr>
        <w:ind w:firstLine="408" w:firstLineChars="200"/>
        <w:rPr>
          <w:rFonts w:ascii="Times New Roman" w:hAnsi="Times New Roman" w:eastAsia="宋体" w:cs="Times New Roman"/>
          <w:color w:val="auto"/>
          <w:spacing w:val="-3"/>
          <w:szCs w:val="21"/>
          <w:highlight w:val="none"/>
          <w:lang w:val="zh-CN"/>
        </w:rPr>
        <w:sectPr>
          <w:pgSz w:w="11906" w:h="16838"/>
          <w:pgMar w:top="1134" w:right="1134" w:bottom="1134" w:left="1354" w:header="720" w:footer="720" w:gutter="0"/>
          <w:pgNumType w:fmt="decimal"/>
          <w:cols w:space="720" w:num="1"/>
          <w:docGrid w:type="lines" w:linePitch="331" w:charSpace="0"/>
        </w:sectPr>
      </w:pPr>
      <w:r>
        <w:rPr>
          <w:rFonts w:hint="eastAsia" w:ascii="Times New Roman" w:hAnsi="Times New Roman" w:eastAsia="宋体" w:cs="Times New Roman"/>
          <w:color w:val="auto"/>
          <w:spacing w:val="-3"/>
          <w:szCs w:val="21"/>
          <w:highlight w:val="none"/>
          <w:lang w:val="zh-CN"/>
        </w:rPr>
        <w:t>2.“</w:t>
      </w:r>
      <w:r>
        <w:rPr>
          <w:rFonts w:hint="eastAsia" w:ascii="宋体" w:hAnsi="宋体" w:eastAsia="宋体" w:cs="宋体"/>
          <w:b/>
          <w:bCs/>
          <w:color w:val="auto"/>
          <w:szCs w:val="21"/>
          <w:highlight w:val="none"/>
        </w:rPr>
        <w:t>★</w:t>
      </w:r>
      <w:r>
        <w:rPr>
          <w:rFonts w:hint="eastAsia" w:ascii="Times New Roman" w:hAnsi="Times New Roman" w:eastAsia="宋体" w:cs="Times New Roman"/>
          <w:color w:val="auto"/>
          <w:spacing w:val="-3"/>
          <w:szCs w:val="21"/>
          <w:highlight w:val="none"/>
          <w:lang w:val="zh-CN"/>
        </w:rPr>
        <w:t>”标注的为政府强制采购产品</w:t>
      </w:r>
    </w:p>
    <w:p>
      <w:pPr>
        <w:keepNext/>
        <w:keepLines/>
        <w:spacing w:before="340" w:after="330" w:line="360" w:lineRule="auto"/>
        <w:jc w:val="center"/>
        <w:outlineLvl w:val="0"/>
        <w:rPr>
          <w:rFonts w:ascii="Times New Roman" w:hAnsi="Times New Roman" w:eastAsia="宋体" w:cs="Times New Roman"/>
          <w:b/>
          <w:bCs/>
          <w:color w:val="auto"/>
          <w:kern w:val="44"/>
          <w:sz w:val="44"/>
          <w:szCs w:val="44"/>
          <w:highlight w:val="none"/>
          <w:lang w:val="zh-CN"/>
        </w:rPr>
      </w:pPr>
      <w:bookmarkStart w:id="73" w:name="_Toc25569"/>
      <w:bookmarkStart w:id="74" w:name="_Toc9409"/>
      <w:bookmarkStart w:id="75" w:name="_Toc16363"/>
      <w:bookmarkStart w:id="76" w:name="_Toc382"/>
      <w:bookmarkStart w:id="77" w:name="_Toc10873"/>
      <w:bookmarkStart w:id="78" w:name="_Toc1222"/>
      <w:bookmarkStart w:id="79" w:name="_Toc2044"/>
      <w:r>
        <w:rPr>
          <w:rFonts w:hint="eastAsia" w:ascii="Cambria" w:hAnsi="Cambria" w:eastAsia="宋体" w:cs="Times New Roman"/>
          <w:b/>
          <w:color w:val="auto"/>
          <w:kern w:val="44"/>
          <w:sz w:val="32"/>
          <w:szCs w:val="32"/>
          <w:highlight w:val="none"/>
          <w:lang w:val="zh-CN"/>
        </w:rPr>
        <w:t>第三章 供应商须知</w:t>
      </w:r>
      <w:bookmarkEnd w:id="71"/>
      <w:bookmarkEnd w:id="72"/>
      <w:bookmarkEnd w:id="73"/>
      <w:bookmarkEnd w:id="74"/>
      <w:bookmarkEnd w:id="75"/>
      <w:bookmarkEnd w:id="76"/>
      <w:bookmarkEnd w:id="77"/>
      <w:bookmarkEnd w:id="78"/>
      <w:bookmarkEnd w:id="79"/>
    </w:p>
    <w:p>
      <w:pPr>
        <w:keepNext/>
        <w:keepLines/>
        <w:spacing w:before="260" w:after="260" w:line="416" w:lineRule="auto"/>
        <w:jc w:val="center"/>
        <w:outlineLvl w:val="1"/>
        <w:rPr>
          <w:rFonts w:hint="eastAsia" w:ascii="宋体" w:hAnsi="宋体" w:eastAsia="宋体" w:cs="Times New Roman"/>
          <w:b/>
          <w:color w:val="auto"/>
          <w:sz w:val="32"/>
          <w:szCs w:val="32"/>
          <w:highlight w:val="none"/>
        </w:rPr>
      </w:pPr>
      <w:bookmarkStart w:id="80" w:name="_Toc28658"/>
      <w:bookmarkStart w:id="81" w:name="_Toc80205923"/>
      <w:bookmarkStart w:id="82" w:name="_Toc10590"/>
      <w:r>
        <w:rPr>
          <w:rFonts w:hint="eastAsia" w:ascii="宋体" w:hAnsi="宋体" w:eastAsia="宋体" w:cs="Times New Roman"/>
          <w:bCs/>
          <w:color w:val="auto"/>
          <w:sz w:val="32"/>
          <w:szCs w:val="32"/>
          <w:highlight w:val="none"/>
          <w:lang w:val="zh-CN"/>
        </w:rPr>
        <w:t>第一节 供应商须知前附表</w:t>
      </w:r>
      <w:bookmarkEnd w:id="80"/>
      <w:bookmarkEnd w:id="81"/>
      <w:bookmarkEnd w:id="82"/>
    </w:p>
    <w:tbl>
      <w:tblPr>
        <w:tblStyle w:val="32"/>
        <w:tblW w:w="99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2382"/>
        <w:gridCol w:w="65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92" w:type="dxa"/>
          </w:tcPr>
          <w:p>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2382" w:type="dxa"/>
            <w:vAlign w:val="center"/>
          </w:tcPr>
          <w:p>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586" w:type="dxa"/>
          </w:tcPr>
          <w:p>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9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238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6586" w:type="dxa"/>
          </w:tcPr>
          <w:p>
            <w:pPr>
              <w:spacing w:line="400" w:lineRule="exact"/>
              <w:rPr>
                <w:rFonts w:hint="eastAsia" w:ascii="宋体" w:hAnsi="宋体" w:eastAsia="宋体" w:cs="宋体"/>
                <w:b/>
                <w:color w:val="auto"/>
                <w:szCs w:val="21"/>
                <w:highlight w:val="none"/>
              </w:rPr>
            </w:pPr>
            <w:r>
              <w:rPr>
                <w:rFonts w:hint="eastAsia" w:ascii="宋体" w:hAnsi="宋体" w:eastAsia="宋体" w:cs="Times New Roman"/>
                <w:color w:val="auto"/>
                <w:szCs w:val="21"/>
                <w:highlight w:val="none"/>
              </w:rPr>
              <w:t xml:space="preserve">供应商资格条件要求详见竞争性谈判公告。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238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是否接受联合体竞标</w:t>
            </w:r>
          </w:p>
        </w:tc>
        <w:tc>
          <w:tcPr>
            <w:tcW w:w="6586" w:type="dxa"/>
            <w:vAlign w:val="center"/>
          </w:tcPr>
          <w:p>
            <w:pPr>
              <w:spacing w:line="360" w:lineRule="auto"/>
              <w:rPr>
                <w:rFonts w:hint="eastAsia" w:ascii="宋体" w:hAnsi="宋体" w:eastAsia="宋体" w:cs="宋体"/>
                <w:color w:val="auto"/>
                <w:szCs w:val="21"/>
                <w:highlight w:val="none"/>
              </w:rPr>
            </w:pPr>
            <w:bookmarkStart w:id="83" w:name="PO_3000001871_PM007_1"/>
            <w:r>
              <w:rPr>
                <w:rFonts w:hint="eastAsia" w:ascii="宋体" w:hAnsi="宋体" w:eastAsia="宋体" w:cs="Times New Roman"/>
                <w:color w:val="auto"/>
                <w:szCs w:val="21"/>
                <w:highlight w:val="none"/>
              </w:rPr>
              <w:t>详见竞争性谈判公告</w:t>
            </w:r>
            <w:bookmarkEnd w:id="83"/>
            <w:r>
              <w:rPr>
                <w:rFonts w:hint="eastAsia" w:ascii="宋体" w:hAnsi="宋体" w:eastAsia="宋体" w:cs="Times New Roman"/>
                <w:color w:val="auto"/>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ascii="宋体" w:hAnsi="宋体" w:eastAsia="宋体" w:cs="宋体"/>
                <w:color w:val="auto"/>
                <w:szCs w:val="21"/>
                <w:highlight w:val="none"/>
              </w:rPr>
              <w:t>.2</w:t>
            </w:r>
          </w:p>
        </w:tc>
        <w:tc>
          <w:tcPr>
            <w:tcW w:w="238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rPr>
              <w:t>联合体竞标要求</w:t>
            </w:r>
          </w:p>
        </w:tc>
        <w:tc>
          <w:tcPr>
            <w:tcW w:w="6586" w:type="dxa"/>
            <w:vAlign w:val="center"/>
          </w:tcPr>
          <w:p>
            <w:pPr>
              <w:spacing w:line="360" w:lineRule="auto"/>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238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6586" w:type="dxa"/>
            <w:vAlign w:val="center"/>
          </w:tcPr>
          <w:p>
            <w:pPr>
              <w:spacing w:line="360" w:lineRule="auto"/>
              <w:jc w:val="left"/>
              <w:rPr>
                <w:rFonts w:hint="eastAsia" w:ascii="宋体" w:hAnsi="宋体" w:eastAsia="宋体" w:cs="Times New Roman"/>
                <w:color w:val="auto"/>
                <w:szCs w:val="21"/>
                <w:highlight w:val="none"/>
              </w:rPr>
            </w:pPr>
            <w:bookmarkStart w:id="84" w:name="PO_3000001871_PM044"/>
            <w:r>
              <w:rPr>
                <w:rFonts w:ascii="Segoe UI Symbol" w:hAnsi="Segoe UI Symbol" w:cs="Segoe UI Symbol"/>
                <w:color w:val="auto"/>
                <w:highlight w:val="none"/>
              </w:rPr>
              <w:t>☑</w:t>
            </w:r>
            <w:r>
              <w:rPr>
                <w:rFonts w:hint="eastAsia" w:ascii="宋体" w:hAnsi="宋体" w:eastAsia="宋体" w:cs="Times New Roman"/>
                <w:color w:val="auto"/>
                <w:szCs w:val="21"/>
                <w:highlight w:val="none"/>
              </w:rPr>
              <w:t>不允许分包</w:t>
            </w:r>
            <w:bookmarkEnd w:id="84"/>
          </w:p>
          <w:p>
            <w:pPr>
              <w:pStyle w:val="13"/>
              <w:spacing w:line="360" w:lineRule="auto"/>
              <w:rPr>
                <w:color w:val="auto"/>
                <w:highlight w:val="none"/>
                <w:lang w:val="en-US"/>
              </w:rPr>
            </w:pPr>
            <w:r>
              <w:rPr>
                <w:rFonts w:hint="eastAsia"/>
                <w:color w:val="auto"/>
                <w:highlight w:val="none"/>
                <w:lang w:val="en-US"/>
              </w:rPr>
              <w:t>□允许分包</w:t>
            </w:r>
          </w:p>
          <w:p>
            <w:pPr>
              <w:spacing w:line="360" w:lineRule="auto"/>
              <w:jc w:val="left"/>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分包内容：</w:t>
            </w:r>
            <w:r>
              <w:rPr>
                <w:rFonts w:hint="eastAsia" w:ascii="宋体" w:hAnsi="宋体" w:eastAsia="宋体" w:cs="Times New Roman"/>
                <w:color w:val="auto"/>
                <w:szCs w:val="21"/>
                <w:highlight w:val="none"/>
                <w:u w:val="single"/>
              </w:rPr>
              <w:t xml:space="preserve">                                     。</w:t>
            </w:r>
          </w:p>
          <w:p>
            <w:pPr>
              <w:spacing w:line="360" w:lineRule="auto"/>
              <w:jc w:val="left"/>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rPr>
              <w:t>分包金额或者比例：</w:t>
            </w:r>
            <w:r>
              <w:rPr>
                <w:rFonts w:hint="eastAsia" w:ascii="宋体" w:hAnsi="宋体" w:eastAsia="宋体" w:cs="Times New Roman"/>
                <w:color w:val="auto"/>
                <w:szCs w:val="21"/>
                <w:highlight w:val="none"/>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w:t>
            </w:r>
            <w:r>
              <w:rPr>
                <w:rFonts w:ascii="宋体" w:hAnsi="宋体" w:eastAsia="宋体" w:cs="宋体"/>
                <w:color w:val="auto"/>
                <w:szCs w:val="21"/>
                <w:highlight w:val="none"/>
              </w:rPr>
              <w:t>1</w:t>
            </w:r>
          </w:p>
        </w:tc>
        <w:tc>
          <w:tcPr>
            <w:tcW w:w="2382" w:type="dxa"/>
            <w:vAlign w:val="center"/>
          </w:tcPr>
          <w:p>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资格证明文件组成</w:t>
            </w:r>
          </w:p>
          <w:p>
            <w:pPr>
              <w:spacing w:line="360" w:lineRule="auto"/>
              <w:jc w:val="center"/>
              <w:rPr>
                <w:rFonts w:hint="eastAsia" w:ascii="宋体" w:hAnsi="宋体" w:eastAsia="宋体" w:cs="宋体"/>
                <w:color w:val="auto"/>
                <w:szCs w:val="21"/>
                <w:highlight w:val="none"/>
              </w:rPr>
            </w:pPr>
          </w:p>
        </w:tc>
        <w:tc>
          <w:tcPr>
            <w:tcW w:w="6586" w:type="dxa"/>
            <w:vAlign w:val="center"/>
          </w:tcPr>
          <w:p>
            <w:pPr>
              <w:spacing w:line="360"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1.崇左市政府采购供应商信用承诺函（格式后附）。</w:t>
            </w:r>
            <w:r>
              <w:rPr>
                <w:rFonts w:hint="eastAsia" w:ascii="宋体" w:hAnsi="宋体" w:eastAsia="宋体" w:cs="宋体"/>
                <w:b/>
                <w:bCs/>
                <w:color w:val="auto"/>
                <w:szCs w:val="21"/>
                <w:highlight w:val="none"/>
              </w:rPr>
              <w:t>（必须提供，否则响应文件按无效响应处理）</w:t>
            </w:r>
          </w:p>
          <w:p>
            <w:pPr>
              <w:spacing w:line="360"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2.</w:t>
            </w:r>
            <w:bookmarkStart w:id="85" w:name="OLE_LINK15"/>
            <w:r>
              <w:rPr>
                <w:rFonts w:hint="eastAsia" w:ascii="宋体" w:hAnsi="宋体" w:eastAsia="宋体" w:cs="宋体"/>
                <w:color w:val="auto"/>
                <w:szCs w:val="21"/>
                <w:highlight w:val="none"/>
              </w:rPr>
              <w:t>声明函</w:t>
            </w:r>
            <w:bookmarkEnd w:id="85"/>
            <w:bookmarkStart w:id="86" w:name="OLE_LINK55"/>
            <w:r>
              <w:rPr>
                <w:rFonts w:hint="eastAsia" w:ascii="宋体" w:hAnsi="宋体" w:eastAsia="宋体" w:cs="宋体"/>
                <w:color w:val="auto"/>
                <w:szCs w:val="21"/>
                <w:highlight w:val="none"/>
              </w:rPr>
              <w:t>（格式后附）</w:t>
            </w:r>
            <w:bookmarkEnd w:id="86"/>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w:t>
            </w:r>
            <w:bookmarkStart w:id="87" w:name="OLE_LINK29"/>
            <w:r>
              <w:rPr>
                <w:rFonts w:hint="eastAsia" w:ascii="宋体" w:hAnsi="宋体" w:eastAsia="宋体" w:cs="宋体"/>
                <w:b/>
                <w:bCs/>
                <w:color w:val="auto"/>
                <w:szCs w:val="21"/>
                <w:highlight w:val="none"/>
              </w:rPr>
              <w:t>必须提供，否则响应文件作无效响应处理</w:t>
            </w:r>
            <w:bookmarkEnd w:id="87"/>
            <w:r>
              <w:rPr>
                <w:rFonts w:hint="eastAsia" w:ascii="宋体" w:hAnsi="宋体" w:eastAsia="宋体" w:cs="宋体"/>
                <w:b/>
                <w:bCs/>
                <w:color w:val="auto"/>
                <w:szCs w:val="21"/>
                <w:highlight w:val="none"/>
              </w:rPr>
              <w:t>）</w:t>
            </w:r>
          </w:p>
          <w:p>
            <w:pPr>
              <w:keepNext w:val="0"/>
              <w:keepLines w:val="0"/>
              <w:widowControl/>
              <w:suppressLineNumbers w:val="0"/>
              <w:jc w:val="left"/>
              <w:rPr>
                <w:rFonts w:hint="default" w:eastAsia="宋体"/>
                <w:color w:val="auto"/>
                <w:lang w:val="en-US" w:eastAsia="zh-CN"/>
              </w:rPr>
            </w:pPr>
            <w:r>
              <w:rPr>
                <w:rFonts w:hint="eastAsia" w:ascii="宋体" w:hAnsi="宋体" w:eastAsia="宋体" w:cs="宋体"/>
                <w:color w:val="auto"/>
                <w:szCs w:val="21"/>
                <w:highlight w:val="none"/>
                <w:lang w:val="en-US" w:eastAsia="zh-CN"/>
              </w:rPr>
              <w:t>3.中小企业或监狱企业或残疾人福利单位声明函；</w:t>
            </w:r>
            <w:r>
              <w:rPr>
                <w:rFonts w:hint="eastAsia" w:ascii="宋体" w:hAnsi="宋体" w:eastAsia="宋体" w:cs="宋体"/>
                <w:color w:val="auto"/>
                <w:szCs w:val="21"/>
                <w:highlight w:val="none"/>
              </w:rPr>
              <w:t>（格式后附）</w:t>
            </w:r>
            <w:r>
              <w:rPr>
                <w:rFonts w:hint="eastAsia" w:ascii="宋体" w:hAnsi="宋体" w:eastAsia="宋体" w:cs="宋体"/>
                <w:color w:val="auto"/>
                <w:szCs w:val="21"/>
                <w:highlight w:val="none"/>
                <w:lang w:val="en-US" w:eastAsia="zh-CN"/>
              </w:rPr>
              <w:t>（</w:t>
            </w:r>
            <w:r>
              <w:rPr>
                <w:rFonts w:hint="eastAsia" w:ascii="宋体" w:hAnsi="宋体" w:eastAsia="宋体" w:cs="宋体"/>
                <w:b/>
                <w:bCs/>
                <w:color w:val="auto"/>
                <w:szCs w:val="21"/>
                <w:highlight w:val="none"/>
                <w:lang w:val="en-US" w:eastAsia="zh-CN"/>
              </w:rPr>
              <w:t>如有，请提供</w:t>
            </w:r>
            <w:r>
              <w:rPr>
                <w:rFonts w:hint="eastAsia" w:ascii="宋体" w:hAnsi="宋体" w:eastAsia="宋体" w:cs="宋体"/>
                <w:color w:val="auto"/>
                <w:szCs w:val="21"/>
                <w:highlight w:val="none"/>
                <w:lang w:val="en-US" w:eastAsia="zh-CN"/>
              </w:rPr>
              <w:t>）</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bookmarkStart w:id="88" w:name="OLE_LINK17"/>
            <w:r>
              <w:rPr>
                <w:rFonts w:hint="eastAsia" w:ascii="宋体" w:hAnsi="宋体" w:eastAsia="宋体" w:cs="宋体"/>
                <w:color w:val="auto"/>
                <w:szCs w:val="21"/>
                <w:highlight w:val="none"/>
              </w:rPr>
              <w:t>除谈判文件规定必须提供以外，供应商认为需要提供的其他证明材料</w:t>
            </w:r>
            <w:bookmarkEnd w:id="88"/>
            <w:r>
              <w:rPr>
                <w:rFonts w:hint="eastAsia" w:ascii="宋体" w:hAnsi="宋体" w:eastAsia="宋体" w:cs="宋体"/>
                <w:color w:val="auto"/>
                <w:szCs w:val="21"/>
                <w:highlight w:val="none"/>
              </w:rPr>
              <w:t>（格式自拟）。</w:t>
            </w:r>
          </w:p>
          <w:p>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w:t>
            </w:r>
          </w:p>
          <w:p>
            <w:pPr>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1.以上标明“必须提供”的材料属于复印件的扫描件的，必须加盖供应商公章，否则响应文件作无效响应处理。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restart"/>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ascii="宋体" w:hAnsi="宋体" w:eastAsia="宋体" w:cs="宋体"/>
                <w:color w:val="auto"/>
                <w:szCs w:val="21"/>
                <w:highlight w:val="none"/>
              </w:rPr>
              <w:t>1</w:t>
            </w:r>
            <w:r>
              <w:rPr>
                <w:rFonts w:hint="eastAsia" w:ascii="宋体" w:hAnsi="宋体" w:eastAsia="宋体" w:cs="宋体"/>
                <w:color w:val="auto"/>
                <w:szCs w:val="21"/>
                <w:highlight w:val="none"/>
              </w:rPr>
              <w:t>.2</w:t>
            </w:r>
          </w:p>
        </w:tc>
        <w:tc>
          <w:tcPr>
            <w:tcW w:w="2382" w:type="dxa"/>
            <w:vAlign w:val="center"/>
          </w:tcPr>
          <w:p>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商务文件组成</w:t>
            </w:r>
          </w:p>
        </w:tc>
        <w:tc>
          <w:tcPr>
            <w:tcW w:w="6586" w:type="dxa"/>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bookmarkStart w:id="89" w:name="OLE_LINK26"/>
            <w:r>
              <w:rPr>
                <w:rFonts w:hint="eastAsia" w:ascii="宋体" w:hAnsi="宋体" w:eastAsia="宋体" w:cs="宋体"/>
                <w:color w:val="auto"/>
                <w:szCs w:val="21"/>
                <w:highlight w:val="none"/>
              </w:rPr>
              <w:t>无串通竞标行为的承诺函</w:t>
            </w:r>
            <w:bookmarkEnd w:id="89"/>
            <w:r>
              <w:rPr>
                <w:rFonts w:hint="eastAsia" w:ascii="宋体" w:hAnsi="宋体" w:eastAsia="宋体" w:cs="宋体"/>
                <w:color w:val="auto"/>
                <w:szCs w:val="21"/>
                <w:highlight w:val="none"/>
              </w:rPr>
              <w:t>（格式后附）；（</w:t>
            </w:r>
            <w:r>
              <w:rPr>
                <w:rFonts w:hint="eastAsia" w:ascii="宋体" w:hAnsi="宋体" w:eastAsia="宋体" w:cs="宋体"/>
                <w:b/>
                <w:color w:val="auto"/>
                <w:szCs w:val="21"/>
                <w:highlight w:val="none"/>
              </w:rPr>
              <w:t>必须提供，否则响应文件作无效响应处理</w:t>
            </w:r>
            <w:r>
              <w:rPr>
                <w:rFonts w:hint="eastAsia" w:ascii="宋体" w:hAnsi="宋体" w:eastAsia="宋体" w:cs="宋体"/>
                <w:color w:val="auto"/>
                <w:szCs w:val="21"/>
                <w:highlight w:val="none"/>
              </w:rPr>
              <w:t>）</w:t>
            </w:r>
          </w:p>
          <w:p>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2.法定代表人身份证明及法定代表人有效身份证正反面复印件（格式后附）；（</w:t>
            </w:r>
            <w:r>
              <w:rPr>
                <w:rFonts w:hint="eastAsia" w:ascii="宋体" w:hAnsi="宋体" w:eastAsia="宋体" w:cs="宋体"/>
                <w:b/>
                <w:bCs/>
                <w:color w:val="auto"/>
                <w:szCs w:val="21"/>
                <w:highlight w:val="none"/>
              </w:rPr>
              <w:t>除自然人竞标外</w:t>
            </w:r>
            <w:r>
              <w:rPr>
                <w:rFonts w:hint="eastAsia" w:ascii="宋体" w:hAnsi="宋体" w:eastAsia="宋体" w:cs="宋体"/>
                <w:b/>
                <w:color w:val="auto"/>
                <w:szCs w:val="21"/>
                <w:highlight w:val="none"/>
              </w:rPr>
              <w:t>必须提供，否则响应文件作无效响应处理</w:t>
            </w:r>
            <w:r>
              <w:rPr>
                <w:rFonts w:hint="eastAsia" w:ascii="宋体" w:hAnsi="宋体" w:eastAsia="宋体" w:cs="宋体"/>
                <w:color w:val="auto"/>
                <w:szCs w:val="21"/>
                <w:highlight w:val="none"/>
              </w:rPr>
              <w:t>）</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3.法定代表人授权委托书及委托代理人有效身份证正反面复印件（格式后附）；（</w:t>
            </w:r>
            <w:r>
              <w:rPr>
                <w:rFonts w:hint="eastAsia" w:ascii="宋体" w:hAnsi="宋体" w:eastAsia="宋体" w:cs="宋体"/>
                <w:b/>
                <w:color w:val="auto"/>
                <w:szCs w:val="21"/>
                <w:highlight w:val="none"/>
              </w:rPr>
              <w:t>委托时必须提供，否则响应文件作无效响应处理</w:t>
            </w:r>
            <w:r>
              <w:rPr>
                <w:rFonts w:hint="eastAsia" w:ascii="宋体" w:hAnsi="宋体" w:eastAsia="宋体" w:cs="宋体"/>
                <w:color w:val="auto"/>
                <w:szCs w:val="21"/>
                <w:highlight w:val="none"/>
              </w:rPr>
              <w:t>）</w:t>
            </w:r>
          </w:p>
          <w:p>
            <w:pPr>
              <w:spacing w:line="360" w:lineRule="auto"/>
              <w:rPr>
                <w:rFonts w:hint="eastAsia" w:ascii="宋体" w:hAnsi="宋体" w:eastAsia="宋体" w:cs="宋体"/>
                <w:color w:val="auto"/>
                <w:szCs w:val="21"/>
                <w:highlight w:val="none"/>
              </w:rPr>
            </w:pPr>
            <w:r>
              <w:rPr>
                <w:rFonts w:ascii="宋体" w:hAnsi="宋体" w:eastAsia="宋体" w:cs="宋体"/>
                <w:color w:val="auto"/>
                <w:szCs w:val="21"/>
                <w:highlight w:val="none"/>
              </w:rPr>
              <w:t>4</w:t>
            </w:r>
            <w:r>
              <w:rPr>
                <w:rFonts w:hint="eastAsia" w:ascii="宋体" w:hAnsi="宋体" w:eastAsia="宋体" w:cs="宋体"/>
                <w:color w:val="auto"/>
                <w:szCs w:val="21"/>
                <w:highlight w:val="none"/>
              </w:rPr>
              <w:t>.商务条款偏离表（格式后附）；（</w:t>
            </w:r>
            <w:bookmarkStart w:id="90" w:name="OLE_LINK20"/>
            <w:r>
              <w:rPr>
                <w:rFonts w:hint="eastAsia" w:ascii="宋体" w:hAnsi="宋体" w:eastAsia="宋体" w:cs="宋体"/>
                <w:b/>
                <w:color w:val="auto"/>
                <w:szCs w:val="21"/>
                <w:highlight w:val="none"/>
              </w:rPr>
              <w:t>必须提供，否则响应文件作无效响应处理</w:t>
            </w:r>
            <w:bookmarkEnd w:id="90"/>
            <w:r>
              <w:rPr>
                <w:rFonts w:hint="eastAsia" w:ascii="宋体" w:hAnsi="宋体" w:eastAsia="宋体" w:cs="宋体"/>
                <w:color w:val="auto"/>
                <w:szCs w:val="21"/>
                <w:highlight w:val="none"/>
              </w:rPr>
              <w:t>）</w:t>
            </w:r>
          </w:p>
          <w:p>
            <w:pPr>
              <w:spacing w:line="360" w:lineRule="auto"/>
              <w:rPr>
                <w:rFonts w:hint="eastAsia" w:ascii="宋体" w:hAnsi="宋体" w:eastAsia="宋体" w:cs="宋体"/>
                <w:color w:val="auto"/>
                <w:szCs w:val="21"/>
                <w:highlight w:val="none"/>
              </w:rPr>
            </w:pPr>
            <w:r>
              <w:rPr>
                <w:rFonts w:ascii="宋体" w:hAnsi="宋体" w:eastAsia="宋体" w:cs="宋体"/>
                <w:color w:val="auto"/>
                <w:szCs w:val="21"/>
                <w:highlight w:val="none"/>
              </w:rPr>
              <w:t>5</w:t>
            </w:r>
            <w:r>
              <w:rPr>
                <w:rFonts w:hint="eastAsia" w:ascii="宋体" w:hAnsi="宋体" w:eastAsia="宋体" w:cs="宋体"/>
                <w:color w:val="auto"/>
                <w:szCs w:val="21"/>
                <w:highlight w:val="none"/>
              </w:rPr>
              <w:t>.供应商情况介绍（格式自拟）；</w:t>
            </w:r>
          </w:p>
          <w:p>
            <w:pPr>
              <w:spacing w:line="360" w:lineRule="auto"/>
              <w:rPr>
                <w:rFonts w:hint="eastAsia" w:ascii="宋体" w:hAnsi="宋体" w:eastAsia="宋体" w:cs="宋体"/>
                <w:b/>
                <w:bCs/>
                <w:color w:val="auto"/>
                <w:szCs w:val="21"/>
                <w:highlight w:val="none"/>
              </w:rPr>
            </w:pPr>
            <w:r>
              <w:rPr>
                <w:rFonts w:ascii="宋体" w:hAnsi="宋体" w:eastAsia="宋体" w:cs="宋体"/>
                <w:color w:val="auto"/>
                <w:szCs w:val="21"/>
                <w:highlight w:val="none"/>
              </w:rPr>
              <w:t>6</w:t>
            </w:r>
            <w:r>
              <w:rPr>
                <w:rFonts w:hint="eastAsia" w:ascii="宋体" w:hAnsi="宋体" w:eastAsia="宋体" w:cs="宋体"/>
                <w:color w:val="auto"/>
                <w:szCs w:val="21"/>
                <w:highlight w:val="none"/>
              </w:rPr>
              <w:t>.</w:t>
            </w:r>
            <w:bookmarkStart w:id="91" w:name="OLE_LINK18"/>
            <w:r>
              <w:rPr>
                <w:rFonts w:hint="eastAsia" w:ascii="宋体" w:hAnsi="宋体" w:eastAsia="宋体" w:cs="宋体"/>
                <w:color w:val="auto"/>
                <w:szCs w:val="21"/>
                <w:highlight w:val="none"/>
              </w:rPr>
              <w:t>对应采购需求的商务条款提供的其他文件资料</w:t>
            </w:r>
            <w:bookmarkEnd w:id="91"/>
            <w:r>
              <w:rPr>
                <w:rFonts w:hint="eastAsia" w:ascii="宋体" w:hAnsi="宋体" w:eastAsia="宋体" w:cs="宋体"/>
                <w:color w:val="auto"/>
                <w:szCs w:val="21"/>
                <w:highlight w:val="none"/>
              </w:rPr>
              <w:t>（格式自拟）；</w:t>
            </w:r>
            <w:r>
              <w:rPr>
                <w:rFonts w:hint="eastAsia" w:ascii="宋体" w:hAnsi="宋体" w:eastAsia="宋体" w:cs="宋体"/>
                <w:b/>
                <w:bCs/>
                <w:color w:val="auto"/>
                <w:szCs w:val="21"/>
                <w:highlight w:val="none"/>
              </w:rPr>
              <w:t>(</w:t>
            </w:r>
            <w:bookmarkStart w:id="92" w:name="OLE_LINK19"/>
            <w:r>
              <w:rPr>
                <w:rFonts w:hint="eastAsia" w:ascii="宋体" w:hAnsi="宋体" w:eastAsia="宋体" w:cs="宋体"/>
                <w:b/>
                <w:bCs/>
                <w:color w:val="auto"/>
                <w:szCs w:val="21"/>
                <w:highlight w:val="none"/>
              </w:rPr>
              <w:t>如有要求，必须提供</w:t>
            </w:r>
            <w:bookmarkEnd w:id="92"/>
            <w:r>
              <w:rPr>
                <w:rFonts w:hint="eastAsia" w:ascii="宋体" w:hAnsi="宋体" w:eastAsia="宋体" w:cs="宋体"/>
                <w:b/>
                <w:bCs/>
                <w:color w:val="auto"/>
                <w:szCs w:val="21"/>
                <w:highlight w:val="none"/>
              </w:rPr>
              <w:t>）</w:t>
            </w:r>
          </w:p>
          <w:p>
            <w:pPr>
              <w:spacing w:line="360" w:lineRule="auto"/>
              <w:rPr>
                <w:rFonts w:hint="eastAsia" w:ascii="宋体" w:hAnsi="宋体" w:eastAsia="宋体" w:cs="宋体"/>
                <w:color w:val="auto"/>
                <w:szCs w:val="21"/>
                <w:highlight w:val="none"/>
              </w:rPr>
            </w:pPr>
            <w:r>
              <w:rPr>
                <w:rFonts w:ascii="宋体" w:hAnsi="宋体" w:eastAsia="宋体" w:cs="宋体"/>
                <w:color w:val="auto"/>
                <w:szCs w:val="21"/>
                <w:highlight w:val="none"/>
              </w:rPr>
              <w:t>7</w:t>
            </w:r>
            <w:r>
              <w:rPr>
                <w:rFonts w:hint="eastAsia" w:ascii="宋体" w:hAnsi="宋体" w:eastAsia="宋体" w:cs="宋体"/>
                <w:color w:val="auto"/>
                <w:szCs w:val="21"/>
                <w:highlight w:val="none"/>
              </w:rPr>
              <w:t>.供应商认为需要提供的其他有关资料（格式自拟）。</w:t>
            </w:r>
          </w:p>
          <w:p>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注： </w:t>
            </w:r>
          </w:p>
          <w:p>
            <w:pPr>
              <w:snapToGrid w:val="0"/>
              <w:spacing w:line="360" w:lineRule="auto"/>
              <w:ind w:firstLine="413" w:firstLineChars="196"/>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1.法定代表人授权委托书必须由法定代表人及委托代理人签字，并加盖供应商公章，否则响应文件作无效响应处理。</w:t>
            </w:r>
          </w:p>
          <w:p>
            <w:pPr>
              <w:spacing w:line="360" w:lineRule="auto"/>
              <w:ind w:firstLine="413" w:firstLineChars="196"/>
              <w:rPr>
                <w:rFonts w:hint="eastAsia" w:ascii="宋体" w:hAnsi="宋体" w:eastAsia="宋体" w:cs="宋体"/>
                <w:b/>
                <w:color w:val="auto"/>
                <w:szCs w:val="21"/>
                <w:highlight w:val="none"/>
              </w:rPr>
            </w:pPr>
            <w:r>
              <w:rPr>
                <w:rFonts w:ascii="宋体" w:hAnsi="宋体" w:eastAsia="宋体" w:cs="宋体"/>
                <w:b/>
                <w:color w:val="auto"/>
                <w:szCs w:val="21"/>
                <w:highlight w:val="none"/>
              </w:rPr>
              <w:t>2</w:t>
            </w:r>
            <w:r>
              <w:rPr>
                <w:rFonts w:hint="eastAsia" w:ascii="宋体" w:hAnsi="宋体" w:eastAsia="宋体" w:cs="宋体"/>
                <w:b/>
                <w:color w:val="auto"/>
                <w:szCs w:val="21"/>
                <w:highlight w:val="none"/>
              </w:rPr>
              <w:t>.</w:t>
            </w:r>
            <w:bookmarkStart w:id="93" w:name="OLE_LINK52"/>
            <w:r>
              <w:rPr>
                <w:rFonts w:hint="eastAsia" w:ascii="宋体" w:hAnsi="宋体" w:eastAsia="宋体" w:cs="宋体"/>
                <w:b/>
                <w:color w:val="auto"/>
                <w:szCs w:val="21"/>
                <w:highlight w:val="none"/>
              </w:rPr>
              <w:t>以上标明“必须提供”的材料属于复印件的扫描件的，必须加盖供应商公章，否则响应文件作无效响应处理。</w:t>
            </w:r>
            <w:bookmarkEnd w:id="93"/>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pPr>
              <w:spacing w:line="360" w:lineRule="auto"/>
              <w:jc w:val="center"/>
              <w:rPr>
                <w:rFonts w:hint="eastAsia" w:ascii="宋体" w:hAnsi="宋体" w:eastAsia="宋体" w:cs="宋体"/>
                <w:color w:val="auto"/>
                <w:szCs w:val="21"/>
                <w:highlight w:val="none"/>
              </w:rPr>
            </w:pPr>
          </w:p>
        </w:tc>
        <w:tc>
          <w:tcPr>
            <w:tcW w:w="2382" w:type="dxa"/>
            <w:vAlign w:val="center"/>
          </w:tcPr>
          <w:p>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技术文件组成</w:t>
            </w:r>
          </w:p>
        </w:tc>
        <w:tc>
          <w:tcPr>
            <w:tcW w:w="6586" w:type="dxa"/>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1.技术需求偏离表（格式后附）；（</w:t>
            </w:r>
            <w:r>
              <w:rPr>
                <w:rFonts w:hint="eastAsia" w:ascii="宋体" w:hAnsi="宋体" w:eastAsia="宋体" w:cs="宋体"/>
                <w:b/>
                <w:color w:val="auto"/>
                <w:szCs w:val="21"/>
                <w:highlight w:val="none"/>
              </w:rPr>
              <w:t>必须提供，否则响应文件作无效响应处理</w:t>
            </w:r>
            <w:r>
              <w:rPr>
                <w:rFonts w:hint="eastAsia" w:ascii="宋体" w:hAnsi="宋体" w:eastAsia="宋体" w:cs="宋体"/>
                <w:color w:val="auto"/>
                <w:szCs w:val="21"/>
                <w:highlight w:val="none"/>
              </w:rPr>
              <w:t>）</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2.技术实施方案；（</w:t>
            </w:r>
            <w:r>
              <w:rPr>
                <w:rFonts w:hint="eastAsia" w:ascii="宋体" w:hAnsi="宋体" w:eastAsia="宋体" w:cs="宋体"/>
                <w:b/>
                <w:color w:val="auto"/>
                <w:szCs w:val="21"/>
                <w:highlight w:val="none"/>
              </w:rPr>
              <w:t>如有请提供，格式自拟</w:t>
            </w:r>
            <w:r>
              <w:rPr>
                <w:rFonts w:hint="eastAsia" w:ascii="宋体" w:hAnsi="宋体" w:eastAsia="宋体" w:cs="宋体"/>
                <w:color w:val="auto"/>
                <w:szCs w:val="21"/>
                <w:highlight w:val="none"/>
              </w:rPr>
              <w:t xml:space="preserve">） </w:t>
            </w:r>
          </w:p>
          <w:p>
            <w:pPr>
              <w:spacing w:line="360" w:lineRule="auto"/>
              <w:rPr>
                <w:rFonts w:hint="eastAsia" w:ascii="宋体" w:hAnsi="宋体" w:eastAsia="宋体" w:cs="宋体"/>
                <w:color w:val="auto"/>
                <w:szCs w:val="21"/>
                <w:highlight w:val="none"/>
              </w:rPr>
            </w:pPr>
            <w:r>
              <w:rPr>
                <w:rFonts w:hint="eastAsia" w:ascii="宋体" w:hAnsi="宋体" w:cs="宋体"/>
                <w:color w:val="auto"/>
                <w:sz w:val="20"/>
                <w:highlight w:val="none"/>
              </w:rPr>
              <w:t>3</w:t>
            </w:r>
            <w:r>
              <w:rPr>
                <w:rFonts w:hint="eastAsia" w:ascii="宋体" w:hAnsi="宋体" w:eastAsia="宋体" w:cs="宋体"/>
                <w:color w:val="auto"/>
                <w:szCs w:val="21"/>
                <w:highlight w:val="none"/>
              </w:rPr>
              <w:t>.</w:t>
            </w:r>
            <w:bookmarkStart w:id="94" w:name="OLE_LINK21"/>
            <w:r>
              <w:rPr>
                <w:rFonts w:hint="eastAsia" w:ascii="宋体" w:hAnsi="宋体" w:eastAsia="宋体" w:cs="宋体"/>
                <w:color w:val="auto"/>
                <w:szCs w:val="21"/>
                <w:highlight w:val="none"/>
              </w:rPr>
              <w:t>售后服务承诺函</w:t>
            </w:r>
            <w:bookmarkEnd w:id="94"/>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（必须提供，否则响应文件作无效响应处理）</w:t>
            </w:r>
            <w:r>
              <w:rPr>
                <w:rFonts w:hint="eastAsia" w:ascii="宋体" w:hAnsi="宋体" w:eastAsia="宋体" w:cs="宋体"/>
                <w:color w:val="auto"/>
                <w:szCs w:val="21"/>
                <w:highlight w:val="none"/>
              </w:rPr>
              <w:t xml:space="preserve"> </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bookmarkStart w:id="95" w:name="OLE_LINK22"/>
            <w:r>
              <w:rPr>
                <w:rFonts w:hint="eastAsia" w:ascii="宋体" w:hAnsi="宋体" w:eastAsia="宋体" w:cs="宋体"/>
                <w:color w:val="auto"/>
                <w:szCs w:val="21"/>
                <w:highlight w:val="none"/>
              </w:rPr>
              <w:t>对应采购需求的技术需求提供的其他文件资料</w:t>
            </w:r>
            <w:bookmarkEnd w:id="95"/>
            <w:r>
              <w:rPr>
                <w:rFonts w:hint="eastAsia" w:ascii="宋体" w:hAnsi="宋体" w:eastAsia="宋体" w:cs="宋体"/>
                <w:color w:val="auto"/>
                <w:szCs w:val="21"/>
                <w:highlight w:val="none"/>
              </w:rPr>
              <w:t>（格式自拟）；</w:t>
            </w:r>
            <w:r>
              <w:rPr>
                <w:rFonts w:hint="eastAsia" w:ascii="宋体" w:hAnsi="宋体" w:eastAsia="宋体" w:cs="宋体"/>
                <w:b/>
                <w:bCs/>
                <w:color w:val="auto"/>
                <w:szCs w:val="21"/>
                <w:highlight w:val="none"/>
              </w:rPr>
              <w:t>(</w:t>
            </w:r>
            <w:bookmarkStart w:id="96" w:name="OLE_LINK23"/>
            <w:r>
              <w:rPr>
                <w:rFonts w:hint="eastAsia" w:ascii="宋体" w:hAnsi="宋体" w:eastAsia="宋体" w:cs="宋体"/>
                <w:b/>
                <w:bCs/>
                <w:color w:val="auto"/>
                <w:szCs w:val="21"/>
                <w:highlight w:val="none"/>
              </w:rPr>
              <w:t>如有要求，必须提供</w:t>
            </w:r>
            <w:bookmarkEnd w:id="96"/>
            <w:r>
              <w:rPr>
                <w:rFonts w:hint="eastAsia" w:ascii="宋体" w:hAnsi="宋体" w:eastAsia="宋体" w:cs="宋体"/>
                <w:b/>
                <w:bCs/>
                <w:color w:val="auto"/>
                <w:szCs w:val="21"/>
                <w:highlight w:val="none"/>
              </w:rPr>
              <w:t>）</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5.供应商认为需要提供的其他有关资料（格式自拟）。</w:t>
            </w:r>
          </w:p>
          <w:p>
            <w:pPr>
              <w:spacing w:line="360" w:lineRule="auto"/>
              <w:rPr>
                <w:rFonts w:hint="eastAsia" w:ascii="宋体" w:hAnsi="宋体" w:eastAsia="宋体" w:cs="宋体"/>
                <w:color w:val="auto"/>
                <w:szCs w:val="21"/>
                <w:highlight w:val="none"/>
              </w:rPr>
            </w:pPr>
            <w:bookmarkStart w:id="97" w:name="OLE_LINK53"/>
            <w:r>
              <w:rPr>
                <w:rFonts w:hint="eastAsia" w:ascii="宋体" w:hAnsi="宋体" w:eastAsia="宋体" w:cs="宋体"/>
                <w:b/>
                <w:color w:val="auto"/>
                <w:szCs w:val="21"/>
                <w:highlight w:val="none"/>
              </w:rPr>
              <w:t>注：1.以上标明“必须提供”的材料属于复印件的扫描件的，必须加盖供应商公章，否则响应文件作无效响应处理。</w:t>
            </w:r>
            <w:bookmarkEnd w:id="97"/>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ascii="宋体" w:hAnsi="宋体" w:eastAsia="宋体" w:cs="宋体"/>
                <w:color w:val="auto"/>
                <w:szCs w:val="21"/>
                <w:highlight w:val="none"/>
              </w:rPr>
              <w:t>1</w:t>
            </w:r>
            <w:r>
              <w:rPr>
                <w:rFonts w:hint="eastAsia" w:ascii="宋体" w:hAnsi="宋体" w:eastAsia="宋体" w:cs="宋体"/>
                <w:color w:val="auto"/>
                <w:szCs w:val="21"/>
                <w:highlight w:val="none"/>
              </w:rPr>
              <w:t>.3</w:t>
            </w:r>
          </w:p>
        </w:tc>
        <w:tc>
          <w:tcPr>
            <w:tcW w:w="238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586" w:type="dxa"/>
            <w:vAlign w:val="center"/>
          </w:tcPr>
          <w:p>
            <w:pPr>
              <w:spacing w:line="360" w:lineRule="auto"/>
              <w:jc w:val="left"/>
              <w:rPr>
                <w:rFonts w:hint="eastAsia"/>
                <w:color w:val="auto"/>
              </w:rPr>
            </w:pPr>
            <w:r>
              <w:rPr>
                <w:rFonts w:hint="eastAsia"/>
                <w:color w:val="auto"/>
              </w:rPr>
              <w:t>1.</w:t>
            </w:r>
            <w:bookmarkStart w:id="98" w:name="OLE_LINK24"/>
            <w:r>
              <w:rPr>
                <w:rFonts w:hint="eastAsia"/>
                <w:color w:val="auto"/>
              </w:rPr>
              <w:t>响应函</w:t>
            </w:r>
            <w:bookmarkEnd w:id="98"/>
            <w:r>
              <w:rPr>
                <w:rFonts w:hint="eastAsia"/>
                <w:color w:val="auto"/>
              </w:rPr>
              <w:t>（格式后附）；（必须提供，否则响应文件作无效响应处理）</w:t>
            </w:r>
          </w:p>
          <w:p>
            <w:pPr>
              <w:spacing w:line="360" w:lineRule="auto"/>
              <w:jc w:val="left"/>
              <w:rPr>
                <w:rFonts w:hint="eastAsia"/>
                <w:color w:val="auto"/>
              </w:rPr>
            </w:pPr>
            <w:r>
              <w:rPr>
                <w:rFonts w:hint="eastAsia"/>
                <w:color w:val="auto"/>
              </w:rPr>
              <w:t>2.</w:t>
            </w:r>
            <w:bookmarkStart w:id="99" w:name="OLE_LINK25"/>
            <w:r>
              <w:rPr>
                <w:rFonts w:hint="eastAsia"/>
                <w:color w:val="auto"/>
              </w:rPr>
              <w:t>响应报价表</w:t>
            </w:r>
            <w:bookmarkEnd w:id="99"/>
            <w:r>
              <w:rPr>
                <w:rFonts w:hint="eastAsia"/>
                <w:color w:val="auto"/>
              </w:rPr>
              <w:t>（格式后附）；（</w:t>
            </w:r>
            <w:bookmarkStart w:id="100" w:name="OLE_LINK39"/>
            <w:r>
              <w:rPr>
                <w:rFonts w:hint="eastAsia"/>
                <w:color w:val="auto"/>
              </w:rPr>
              <w:t>必须提供，否则响应文件作无效响应处理</w:t>
            </w:r>
            <w:bookmarkEnd w:id="100"/>
            <w:r>
              <w:rPr>
                <w:rFonts w:hint="eastAsia"/>
                <w:color w:val="auto"/>
              </w:rPr>
              <w:t>）</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.供应商针对报价需要说明的其他文件和说明（格式自拟）。</w:t>
            </w:r>
          </w:p>
          <w:p>
            <w:pPr>
              <w:rPr>
                <w:rFonts w:hint="eastAsia"/>
                <w:color w:val="auto"/>
              </w:rPr>
            </w:pPr>
            <w:bookmarkStart w:id="101" w:name="OLE_LINK54"/>
            <w:r>
              <w:rPr>
                <w:rFonts w:hint="eastAsia" w:ascii="宋体" w:hAnsi="宋体" w:eastAsia="宋体" w:cs="宋体"/>
                <w:b/>
                <w:color w:val="auto"/>
                <w:szCs w:val="21"/>
                <w:highlight w:val="none"/>
              </w:rPr>
              <w:t>注：1.以上标明“必须提供”的材料属于复印件的扫描件的，必须加盖供应商公章，否则响应文件作无效响应处理。</w:t>
            </w:r>
            <w:bookmarkEnd w:id="101"/>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ascii="宋体" w:hAnsi="宋体" w:eastAsia="宋体" w:cs="宋体"/>
                <w:color w:val="auto"/>
                <w:szCs w:val="21"/>
                <w:highlight w:val="none"/>
              </w:rPr>
              <w:t>2</w:t>
            </w:r>
          </w:p>
        </w:tc>
        <w:tc>
          <w:tcPr>
            <w:tcW w:w="238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响应文件电子版要求</w:t>
            </w:r>
          </w:p>
        </w:tc>
        <w:tc>
          <w:tcPr>
            <w:tcW w:w="6586" w:type="dxa"/>
            <w:vAlign w:val="center"/>
          </w:tcPr>
          <w:p>
            <w:pPr>
              <w:pStyle w:val="13"/>
              <w:rPr>
                <w:rFonts w:hint="eastAsia" w:ascii="宋体" w:hAnsi="宋体" w:cs="宋体"/>
                <w:color w:val="auto"/>
                <w:szCs w:val="21"/>
                <w:highlight w:val="none"/>
              </w:rPr>
            </w:pPr>
            <w:r>
              <w:rPr>
                <w:rFonts w:hint="eastAsia" w:ascii="宋体" w:hAnsi="宋体" w:cs="宋体"/>
                <w:color w:val="auto"/>
                <w:szCs w:val="21"/>
                <w:highlight w:val="none"/>
              </w:rPr>
              <w:t>1.响应文件电子版要求：按照本</w:t>
            </w:r>
            <w:r>
              <w:rPr>
                <w:rFonts w:hint="eastAsia" w:ascii="宋体" w:hAnsi="宋体" w:cs="宋体"/>
                <w:color w:val="auto"/>
                <w:szCs w:val="21"/>
                <w:highlight w:val="none"/>
                <w:lang w:val="en-US"/>
              </w:rPr>
              <w:t>竞争性谈判</w:t>
            </w:r>
            <w:r>
              <w:rPr>
                <w:rFonts w:hint="eastAsia" w:ascii="宋体" w:hAnsi="宋体" w:cs="宋体"/>
                <w:color w:val="auto"/>
                <w:szCs w:val="21"/>
                <w:highlight w:val="none"/>
              </w:rPr>
              <w:t>文件“</w:t>
            </w:r>
            <w:r>
              <w:rPr>
                <w:rFonts w:hint="eastAsia" w:ascii="宋体" w:hAnsi="宋体"/>
                <w:color w:val="auto"/>
                <w:szCs w:val="21"/>
                <w:highlight w:val="none"/>
              </w:rPr>
              <w:t>第五章 响应文件格式</w:t>
            </w:r>
            <w:r>
              <w:rPr>
                <w:rFonts w:hint="eastAsia" w:ascii="宋体" w:hAnsi="宋体" w:cs="宋体"/>
                <w:color w:val="auto"/>
                <w:szCs w:val="21"/>
                <w:highlight w:val="none"/>
              </w:rPr>
              <w:t>”编写，第五章未附格式的，由供应商自行拟定。</w:t>
            </w:r>
          </w:p>
          <w:p>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Courier New"/>
                <w:color w:val="auto"/>
                <w:szCs w:val="21"/>
                <w:highlight w:val="none"/>
              </w:rPr>
              <w:t>.响应文件电子版密封方式：电子响应文件通过平台有效CA加密后在</w:t>
            </w:r>
            <w:r>
              <w:rPr>
                <w:rFonts w:hint="eastAsia" w:ascii="宋体" w:hAnsi="宋体" w:cs="宋体"/>
                <w:color w:val="auto"/>
                <w:szCs w:val="21"/>
                <w:highlight w:val="none"/>
              </w:rPr>
              <w:t>广西政府采购云平台</w:t>
            </w:r>
            <w:r>
              <w:rPr>
                <w:rFonts w:hint="eastAsia" w:ascii="宋体" w:hAnsi="宋体" w:eastAsia="宋体" w:cs="Courier New"/>
                <w:color w:val="auto"/>
                <w:szCs w:val="21"/>
                <w:highlight w:val="none"/>
              </w:rPr>
              <w:t>投送。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238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响应报价要求</w:t>
            </w:r>
          </w:p>
        </w:tc>
        <w:tc>
          <w:tcPr>
            <w:tcW w:w="6586" w:type="dxa"/>
            <w:vAlign w:val="center"/>
          </w:tcPr>
          <w:p>
            <w:pPr>
              <w:snapToGrid w:val="0"/>
              <w:spacing w:line="360" w:lineRule="auto"/>
              <w:jc w:val="left"/>
              <w:rPr>
                <w:color w:val="auto"/>
                <w:highlight w:val="none"/>
              </w:rPr>
            </w:pPr>
            <w:bookmarkStart w:id="102" w:name="OLE_LINK2"/>
            <w:r>
              <w:rPr>
                <w:rFonts w:hint="eastAsia"/>
                <w:color w:val="auto"/>
                <w:highlight w:val="none"/>
              </w:rPr>
              <w:t>响应报价必须包含满足本次竞标全部采购需求所应提供的</w:t>
            </w:r>
            <w:r>
              <w:rPr>
                <w:rFonts w:hint="eastAsia" w:ascii="宋体" w:hAnsi="宋体" w:cs="宋体"/>
                <w:color w:val="auto"/>
                <w:highlight w:val="none"/>
              </w:rPr>
              <w:t>货物（包括备品备件、专用工具等）的价格及其运输（含保险）、安装（如有）、调试、检验、技术服务、培训和采购文件要求提供的所有伴随服务、工程等费用和税费。</w:t>
            </w:r>
          </w:p>
          <w:bookmarkEnd w:id="102"/>
          <w:p>
            <w:pPr>
              <w:pStyle w:val="15"/>
              <w:rPr>
                <w:b/>
                <w:bCs/>
                <w:color w:val="auto"/>
                <w:highlight w:val="none"/>
              </w:rPr>
            </w:pPr>
            <w:r>
              <w:rPr>
                <w:rFonts w:ascii="Segoe UI Symbol" w:hAnsi="Segoe UI Symbol" w:cs="Segoe UI Symbol"/>
                <w:b/>
                <w:bCs/>
                <w:color w:val="auto"/>
                <w:highlight w:val="none"/>
              </w:rPr>
              <w:t>☑</w:t>
            </w:r>
            <w:r>
              <w:rPr>
                <w:rFonts w:hint="eastAsia"/>
                <w:b/>
                <w:bCs/>
                <w:color w:val="auto"/>
                <w:highlight w:val="none"/>
              </w:rPr>
              <w:t>响应报价包含验收费用</w:t>
            </w:r>
          </w:p>
          <w:p>
            <w:pPr>
              <w:pStyle w:val="15"/>
              <w:rPr>
                <w:color w:val="auto"/>
                <w:highlight w:val="none"/>
              </w:rPr>
            </w:pPr>
            <w:r>
              <w:rPr>
                <w:rFonts w:hint="eastAsia"/>
                <w:b/>
                <w:bCs/>
                <w:color w:val="auto"/>
                <w:highlight w:val="none"/>
              </w:rPr>
              <w:t>□响应报价不包含验收费用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w:t>
            </w:r>
            <w:r>
              <w:rPr>
                <w:rFonts w:ascii="宋体" w:hAnsi="宋体" w:eastAsia="宋体" w:cs="宋体"/>
                <w:color w:val="auto"/>
                <w:szCs w:val="21"/>
                <w:highlight w:val="none"/>
              </w:rPr>
              <w:t>2</w:t>
            </w:r>
          </w:p>
        </w:tc>
        <w:tc>
          <w:tcPr>
            <w:tcW w:w="238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586" w:type="dxa"/>
            <w:vAlign w:val="center"/>
          </w:tcPr>
          <w:p>
            <w:pPr>
              <w:tabs>
                <w:tab w:val="left" w:pos="720"/>
                <w:tab w:val="left" w:pos="840"/>
              </w:tabs>
              <w:snapToGrid w:val="0"/>
              <w:spacing w:after="50" w:line="360" w:lineRule="auto"/>
              <w:ind w:left="283" w:hanging="283" w:hangingChars="13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自首次响应文件提交截止之日起</w:t>
            </w:r>
            <w:r>
              <w:rPr>
                <w:rFonts w:ascii="宋体" w:hAnsi="宋体" w:eastAsia="宋体" w:cs="宋体"/>
                <w:color w:val="auto"/>
                <w:szCs w:val="21"/>
                <w:highlight w:val="none"/>
                <w:u w:val="single"/>
              </w:rPr>
              <w:t>60</w:t>
            </w:r>
            <w:r>
              <w:rPr>
                <w:rFonts w:hint="eastAsia" w:ascii="宋体" w:hAnsi="宋体" w:eastAsia="宋体" w:cs="宋体"/>
                <w:color w:val="auto"/>
                <w:szCs w:val="21"/>
                <w:highlight w:val="non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99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238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谈判保证金</w:t>
            </w:r>
          </w:p>
        </w:tc>
        <w:tc>
          <w:tcPr>
            <w:tcW w:w="6586" w:type="dxa"/>
            <w:vAlign w:val="center"/>
          </w:tcPr>
          <w:p>
            <w:pPr>
              <w:spacing w:line="360" w:lineRule="auto"/>
              <w:rPr>
                <w:rFonts w:hint="eastAsia" w:ascii="宋体" w:hAnsi="宋体" w:eastAsia="宋体" w:cs="Times New Roman"/>
                <w:color w:val="auto"/>
                <w:szCs w:val="21"/>
                <w:highlight w:val="none"/>
              </w:rPr>
            </w:pPr>
            <w:r>
              <w:rPr>
                <w:rFonts w:hint="eastAsia" w:ascii="宋体" w:hAnsi="宋体"/>
                <w:b/>
                <w:bCs/>
                <w:color w:val="auto"/>
                <w:szCs w:val="21"/>
                <w:highlight w:val="none"/>
              </w:rPr>
              <w:t>本项目不需要</w:t>
            </w:r>
            <w:r>
              <w:rPr>
                <w:rFonts w:hint="eastAsia" w:ascii="宋体" w:hAnsi="宋体" w:cs="宋体"/>
                <w:b/>
                <w:bCs/>
                <w:color w:val="auto"/>
                <w:szCs w:val="21"/>
                <w:highlight w:val="none"/>
              </w:rPr>
              <w:t>缴</w:t>
            </w:r>
            <w:r>
              <w:rPr>
                <w:rFonts w:hint="eastAsia" w:ascii="宋体" w:hAnsi="宋体" w:cs="宋体"/>
                <w:b/>
                <w:bCs/>
                <w:color w:val="auto"/>
                <w:kern w:val="0"/>
                <w:szCs w:val="21"/>
                <w:highlight w:val="none"/>
              </w:rPr>
              <w:t>纳谈判</w:t>
            </w:r>
            <w:r>
              <w:rPr>
                <w:rFonts w:hint="eastAsia" w:ascii="宋体" w:hAnsi="宋体"/>
                <w:b/>
                <w:bCs/>
                <w:color w:val="auto"/>
                <w:szCs w:val="21"/>
                <w:highlight w:val="none"/>
              </w:rPr>
              <w:t>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92" w:type="dxa"/>
            <w:vMerge w:val="restart"/>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238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首次响应文件提交截止时间</w:t>
            </w:r>
          </w:p>
        </w:tc>
        <w:tc>
          <w:tcPr>
            <w:tcW w:w="6586" w:type="dxa"/>
            <w:vAlign w:val="center"/>
          </w:tcPr>
          <w:p>
            <w:pPr>
              <w:snapToGrid w:val="0"/>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详见竞争性谈判公告。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92" w:type="dxa"/>
            <w:vMerge w:val="continue"/>
            <w:vAlign w:val="center"/>
          </w:tcPr>
          <w:p>
            <w:pPr>
              <w:spacing w:line="360" w:lineRule="auto"/>
              <w:jc w:val="center"/>
              <w:rPr>
                <w:rFonts w:hint="eastAsia" w:ascii="宋体" w:hAnsi="宋体" w:eastAsia="宋体" w:cs="宋体"/>
                <w:color w:val="auto"/>
                <w:szCs w:val="21"/>
                <w:highlight w:val="none"/>
              </w:rPr>
            </w:pPr>
          </w:p>
        </w:tc>
        <w:tc>
          <w:tcPr>
            <w:tcW w:w="238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首次响应文件开启时间</w:t>
            </w:r>
          </w:p>
        </w:tc>
        <w:tc>
          <w:tcPr>
            <w:tcW w:w="6586" w:type="dxa"/>
            <w:vAlign w:val="center"/>
          </w:tcPr>
          <w:p>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详见竞争性谈判公告。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92" w:type="dxa"/>
            <w:vMerge w:val="continue"/>
            <w:vAlign w:val="center"/>
          </w:tcPr>
          <w:p>
            <w:pPr>
              <w:spacing w:line="360" w:lineRule="auto"/>
              <w:jc w:val="center"/>
              <w:rPr>
                <w:rFonts w:hint="eastAsia" w:ascii="宋体" w:hAnsi="宋体" w:eastAsia="宋体" w:cs="宋体"/>
                <w:color w:val="auto"/>
                <w:szCs w:val="21"/>
                <w:highlight w:val="none"/>
              </w:rPr>
            </w:pPr>
          </w:p>
        </w:tc>
        <w:tc>
          <w:tcPr>
            <w:tcW w:w="238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首次响应文件提交地点</w:t>
            </w:r>
          </w:p>
        </w:tc>
        <w:tc>
          <w:tcPr>
            <w:tcW w:w="6586" w:type="dxa"/>
            <w:vAlign w:val="center"/>
          </w:tcPr>
          <w:p>
            <w:pPr>
              <w:snapToGrid w:val="0"/>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详见竞争性谈判公告。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9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238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6586" w:type="dxa"/>
            <w:vAlign w:val="center"/>
          </w:tcPr>
          <w:p>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rPr>
              <w:t>本项目不接受备份响应文件。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9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ascii="宋体" w:hAnsi="宋体" w:eastAsia="宋体" w:cs="宋体"/>
                <w:color w:val="auto"/>
                <w:szCs w:val="21"/>
                <w:highlight w:val="none"/>
              </w:rPr>
              <w:t>1</w:t>
            </w:r>
          </w:p>
        </w:tc>
        <w:tc>
          <w:tcPr>
            <w:tcW w:w="238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首次响应文件的补充、修改与撤回</w:t>
            </w:r>
          </w:p>
        </w:tc>
        <w:tc>
          <w:tcPr>
            <w:tcW w:w="6586" w:type="dxa"/>
            <w:vAlign w:val="center"/>
          </w:tcPr>
          <w:p>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w:t>
            </w:r>
            <w:r>
              <w:rPr>
                <w:rFonts w:hint="eastAsia" w:ascii="宋体" w:hAnsi="宋体"/>
                <w:bCs/>
                <w:color w:val="auto"/>
                <w:highlight w:val="none"/>
              </w:rPr>
              <w:t>供应商须知正文</w:t>
            </w:r>
            <w:r>
              <w:rPr>
                <w:rFonts w:hint="eastAsia" w:ascii="宋体" w:hAnsi="宋体" w:eastAsia="宋体" w:cs="宋体"/>
                <w:color w:val="auto"/>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Merge w:val="restart"/>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25</w:t>
            </w:r>
          </w:p>
        </w:tc>
        <w:tc>
          <w:tcPr>
            <w:tcW w:w="238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负偏离要求</w:t>
            </w:r>
          </w:p>
        </w:tc>
        <w:tc>
          <w:tcPr>
            <w:tcW w:w="6586" w:type="dxa"/>
            <w:vAlign w:val="center"/>
          </w:tcPr>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技术需求评审中允许负偏离的条款数为</w:t>
            </w:r>
            <w:r>
              <w:rPr>
                <w:rFonts w:hint="eastAsia" w:ascii="宋体" w:hAnsi="宋体" w:eastAsia="宋体" w:cs="宋体"/>
                <w:color w:val="auto"/>
                <w:szCs w:val="21"/>
                <w:highlight w:val="none"/>
                <w:u w:val="single"/>
              </w:rPr>
              <w:t xml:space="preserve"> 0 </w:t>
            </w:r>
            <w:r>
              <w:rPr>
                <w:rFonts w:hint="eastAsia" w:ascii="宋体" w:hAnsi="宋体" w:eastAsia="宋体" w:cs="宋体"/>
                <w:color w:val="auto"/>
                <w:szCs w:val="21"/>
                <w:highlight w:val="none"/>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pPr>
              <w:spacing w:line="360" w:lineRule="auto"/>
              <w:jc w:val="center"/>
              <w:rPr>
                <w:rFonts w:hint="eastAsia" w:ascii="宋体" w:hAnsi="宋体" w:eastAsia="宋体" w:cs="宋体"/>
                <w:color w:val="auto"/>
                <w:szCs w:val="21"/>
                <w:highlight w:val="none"/>
              </w:rPr>
            </w:pPr>
          </w:p>
        </w:tc>
        <w:tc>
          <w:tcPr>
            <w:tcW w:w="2382" w:type="dxa"/>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谈判的顺序</w:t>
            </w:r>
          </w:p>
          <w:p>
            <w:pPr>
              <w:spacing w:line="360" w:lineRule="auto"/>
              <w:jc w:val="center"/>
              <w:rPr>
                <w:rFonts w:hint="eastAsia" w:ascii="宋体" w:hAnsi="宋体" w:eastAsia="宋体" w:cs="宋体"/>
                <w:color w:val="auto"/>
                <w:szCs w:val="21"/>
                <w:highlight w:val="none"/>
              </w:rPr>
            </w:pPr>
          </w:p>
        </w:tc>
        <w:tc>
          <w:tcPr>
            <w:tcW w:w="6586" w:type="dxa"/>
            <w:vAlign w:val="center"/>
          </w:tcPr>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系统自动提取的顺序</w:t>
            </w:r>
          </w:p>
          <w:p>
            <w:pPr>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参与谈判前，谈判小组如有要求，供应商法定代表人或者委托代理人必须通过电脑摄像头向谈判小组出示本人有效证件原件</w:t>
            </w:r>
            <w:r>
              <w:rPr>
                <w:rFonts w:ascii="宋体" w:hAnsi="宋体" w:eastAsia="宋体" w:cs="宋体"/>
                <w:b/>
                <w:color w:val="auto"/>
                <w:szCs w:val="21"/>
                <w:highlight w:val="none"/>
              </w:rPr>
              <w:t>[</w:t>
            </w:r>
            <w:r>
              <w:rPr>
                <w:rFonts w:hint="eastAsia" w:ascii="宋体" w:hAnsi="宋体" w:eastAsia="宋体" w:cs="宋体"/>
                <w:b/>
                <w:color w:val="auto"/>
                <w:szCs w:val="21"/>
                <w:highlight w:val="none"/>
              </w:rPr>
              <w:t>有效证件可以是身份证（含临时身份证明）、机动车驾驶证、社会保障卡或者护照的其中一项]，若参与谈判的委托代理人不是响应文件中授权的委托代理人时，必须同时出示有效的法定代表人授权委托书原件。如无法核实谈判对象有效身份证明的，谈判小组将拒绝其谈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pPr>
              <w:spacing w:line="360" w:lineRule="auto"/>
              <w:jc w:val="center"/>
              <w:rPr>
                <w:rFonts w:hint="eastAsia" w:ascii="宋体" w:hAnsi="宋体" w:eastAsia="宋体" w:cs="宋体"/>
                <w:color w:val="auto"/>
                <w:szCs w:val="21"/>
                <w:highlight w:val="none"/>
              </w:rPr>
            </w:pPr>
          </w:p>
        </w:tc>
        <w:tc>
          <w:tcPr>
            <w:tcW w:w="238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评审方法</w:t>
            </w:r>
          </w:p>
        </w:tc>
        <w:tc>
          <w:tcPr>
            <w:tcW w:w="6586" w:type="dxa"/>
            <w:vAlign w:val="center"/>
          </w:tcPr>
          <w:p>
            <w:pPr>
              <w:snapToGrid w:val="0"/>
              <w:spacing w:line="360" w:lineRule="auto"/>
              <w:rPr>
                <w:rFonts w:hint="eastAsia" w:ascii="宋体" w:hAnsi="宋体" w:eastAsia="宋体" w:cs="宋体"/>
                <w:color w:val="auto"/>
                <w:szCs w:val="21"/>
                <w:highlight w:val="none"/>
              </w:rPr>
            </w:pPr>
            <w:r>
              <w:rPr>
                <w:rFonts w:hint="eastAsia"/>
                <w:color w:val="auto"/>
                <w:highlight w:val="none"/>
              </w:rPr>
              <w:t>本项目采用最低评标价法。最低评标价法是指响应文件满足竞争性谈判文件全部实质性要求且评</w:t>
            </w:r>
            <w:r>
              <w:rPr>
                <w:rFonts w:hint="eastAsia" w:ascii="宋体" w:hAnsi="宋体" w:eastAsia="宋体" w:cs="宋体"/>
                <w:color w:val="auto"/>
                <w:szCs w:val="21"/>
                <w:highlight w:val="none"/>
              </w:rPr>
              <w:t>审价</w:t>
            </w:r>
            <w:r>
              <w:rPr>
                <w:rFonts w:hint="eastAsia"/>
                <w:color w:val="auto"/>
                <w:highlight w:val="none"/>
              </w:rPr>
              <w:t>最低的供应商为成交候选人的评审方法。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pPr>
              <w:spacing w:line="360" w:lineRule="auto"/>
              <w:jc w:val="center"/>
              <w:rPr>
                <w:rFonts w:hint="eastAsia" w:ascii="宋体" w:hAnsi="宋体" w:eastAsia="宋体" w:cs="宋体"/>
                <w:color w:val="auto"/>
                <w:szCs w:val="21"/>
                <w:highlight w:val="none"/>
              </w:rPr>
            </w:pPr>
          </w:p>
        </w:tc>
        <w:tc>
          <w:tcPr>
            <w:tcW w:w="238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评审价相同时成交原则</w:t>
            </w:r>
          </w:p>
        </w:tc>
        <w:tc>
          <w:tcPr>
            <w:tcW w:w="6586" w:type="dxa"/>
            <w:vAlign w:val="center"/>
          </w:tcPr>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评审价相同时，按照最后报价由低到高顺序依次推荐；最后报价相同时，按以下原则确定成交候选人的顺序：</w:t>
            </w:r>
          </w:p>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依次按节能、环保产品累计项数多的优先、带“▲”的实质性要求正偏离项数多的优先、均无正偏离或者正偏离项数一致时负偏离项数少的优先、质量保证期长优先、交付使用期短优先、故障响应时间短优先的顺序排列。</w:t>
            </w:r>
          </w:p>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□由谈判小组推荐代表随机抽取。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hint="eastAsia" w:ascii="宋体" w:hAnsi="宋体" w:eastAsia="宋体" w:cs="宋体"/>
                <w:color w:val="auto"/>
                <w:szCs w:val="21"/>
                <w:highlight w:val="none"/>
              </w:rPr>
            </w:pPr>
            <w:r>
              <w:rPr>
                <w:rFonts w:ascii="宋体" w:hAnsi="宋体" w:eastAsia="宋体" w:cs="宋体"/>
                <w:color w:val="auto"/>
                <w:szCs w:val="21"/>
                <w:highlight w:val="none"/>
              </w:rPr>
              <w:t>2</w:t>
            </w:r>
            <w:r>
              <w:rPr>
                <w:rFonts w:hint="eastAsia" w:ascii="宋体" w:hAnsi="宋体" w:eastAsia="宋体" w:cs="宋体"/>
                <w:color w:val="auto"/>
                <w:szCs w:val="21"/>
                <w:highlight w:val="none"/>
              </w:rPr>
              <w:t>7</w:t>
            </w:r>
          </w:p>
        </w:tc>
        <w:tc>
          <w:tcPr>
            <w:tcW w:w="238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586" w:type="dxa"/>
            <w:vAlign w:val="center"/>
          </w:tcPr>
          <w:p>
            <w:pPr>
              <w:snapToGrid w:val="0"/>
              <w:spacing w:line="360" w:lineRule="auto"/>
              <w:rPr>
                <w:rFonts w:hint="eastAsia"/>
                <w:color w:val="auto"/>
              </w:rPr>
            </w:pPr>
            <w:r>
              <w:rPr>
                <w:rFonts w:hint="eastAsia" w:ascii="宋体" w:hAnsi="宋体" w:eastAsia="宋体" w:cs="宋体"/>
                <w:color w:val="auto"/>
                <w:szCs w:val="21"/>
                <w:highlight w:val="none"/>
              </w:rPr>
              <w:t>本项目不需要缴纳履约保证金。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hint="eastAsia" w:ascii="宋体" w:hAnsi="宋体" w:eastAsia="宋体" w:cs="宋体"/>
                <w:color w:val="auto"/>
                <w:szCs w:val="21"/>
                <w:highlight w:val="none"/>
              </w:rPr>
            </w:pPr>
            <w:r>
              <w:rPr>
                <w:rFonts w:ascii="宋体" w:hAnsi="宋体" w:eastAsia="宋体" w:cs="宋体"/>
                <w:color w:val="auto"/>
                <w:szCs w:val="21"/>
                <w:highlight w:val="none"/>
              </w:rPr>
              <w:t>2</w:t>
            </w:r>
            <w:r>
              <w:rPr>
                <w:rFonts w:hint="eastAsia" w:ascii="宋体" w:hAnsi="宋体" w:eastAsia="宋体" w:cs="宋体"/>
                <w:color w:val="auto"/>
                <w:szCs w:val="21"/>
                <w:highlight w:val="none"/>
              </w:rPr>
              <w:t>8</w:t>
            </w:r>
            <w:r>
              <w:rPr>
                <w:rFonts w:ascii="宋体" w:hAnsi="宋体" w:eastAsia="宋体" w:cs="宋体"/>
                <w:color w:val="auto"/>
                <w:szCs w:val="21"/>
                <w:highlight w:val="none"/>
              </w:rPr>
              <w:t>.</w:t>
            </w:r>
            <w:r>
              <w:rPr>
                <w:rFonts w:hint="eastAsia" w:ascii="宋体" w:hAnsi="宋体" w:eastAsia="宋体" w:cs="宋体"/>
                <w:color w:val="auto"/>
                <w:szCs w:val="21"/>
                <w:highlight w:val="none"/>
              </w:rPr>
              <w:t>5</w:t>
            </w:r>
          </w:p>
        </w:tc>
        <w:tc>
          <w:tcPr>
            <w:tcW w:w="238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rPr>
              <w:t>签订合同携带的材料</w:t>
            </w:r>
          </w:p>
        </w:tc>
        <w:tc>
          <w:tcPr>
            <w:tcW w:w="6586" w:type="dxa"/>
            <w:vAlign w:val="center"/>
          </w:tcPr>
          <w:p>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使用的有效CA证书加盖单位电子公章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restart"/>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30</w:t>
            </w:r>
            <w:r>
              <w:rPr>
                <w:rFonts w:ascii="宋体" w:hAnsi="宋体" w:eastAsia="宋体" w:cs="宋体"/>
                <w:color w:val="auto"/>
                <w:szCs w:val="21"/>
                <w:highlight w:val="none"/>
              </w:rPr>
              <w:t>.2</w:t>
            </w:r>
          </w:p>
        </w:tc>
        <w:tc>
          <w:tcPr>
            <w:tcW w:w="2382" w:type="dxa"/>
            <w:vAlign w:val="center"/>
          </w:tcPr>
          <w:p>
            <w:pPr>
              <w:spacing w:line="380" w:lineRule="exact"/>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接收质疑函方式</w:t>
            </w:r>
          </w:p>
        </w:tc>
        <w:tc>
          <w:tcPr>
            <w:tcW w:w="6586" w:type="dxa"/>
            <w:vAlign w:val="center"/>
          </w:tcPr>
          <w:p>
            <w:pPr>
              <w:snapToGrid w:val="0"/>
              <w:spacing w:line="38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以书面形式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pPr>
              <w:spacing w:line="360" w:lineRule="auto"/>
              <w:jc w:val="center"/>
              <w:rPr>
                <w:rFonts w:hint="eastAsia" w:ascii="宋体" w:hAnsi="宋体" w:eastAsia="宋体" w:cs="宋体"/>
                <w:color w:val="auto"/>
                <w:szCs w:val="21"/>
                <w:highlight w:val="none"/>
              </w:rPr>
            </w:pPr>
          </w:p>
        </w:tc>
        <w:tc>
          <w:tcPr>
            <w:tcW w:w="2382" w:type="dxa"/>
            <w:vAlign w:val="center"/>
          </w:tcPr>
          <w:p>
            <w:pPr>
              <w:spacing w:line="380" w:lineRule="exact"/>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质疑联系部门及联系方式</w:t>
            </w:r>
          </w:p>
        </w:tc>
        <w:tc>
          <w:tcPr>
            <w:tcW w:w="6586" w:type="dxa"/>
            <w:vAlign w:val="center"/>
          </w:tcPr>
          <w:p>
            <w:pPr>
              <w:numPr>
                <w:ilvl w:val="0"/>
                <w:numId w:val="1"/>
              </w:numPr>
              <w:snapToGrid w:val="0"/>
              <w:spacing w:line="380" w:lineRule="exact"/>
              <w:rPr>
                <w:rFonts w:hint="eastAsia" w:ascii="宋体" w:hAnsi="宋体" w:eastAsia="宋体" w:cs="宋体"/>
                <w:color w:val="auto"/>
                <w:szCs w:val="21"/>
              </w:rPr>
            </w:pPr>
            <w:r>
              <w:rPr>
                <w:rFonts w:hint="eastAsia"/>
                <w:color w:val="auto"/>
                <w:szCs w:val="21"/>
                <w:highlight w:val="none"/>
              </w:rPr>
              <w:t>名称：</w:t>
            </w:r>
            <w:r>
              <w:rPr>
                <w:rFonts w:hint="eastAsia" w:ascii="宋体" w:hAnsi="宋体" w:eastAsia="宋体" w:cs="宋体"/>
                <w:color w:val="auto"/>
                <w:szCs w:val="21"/>
              </w:rPr>
              <w:t>崇左市公安局</w:t>
            </w:r>
            <w:r>
              <w:rPr>
                <w:rFonts w:hint="eastAsia"/>
                <w:color w:val="auto"/>
                <w:szCs w:val="21"/>
                <w:highlight w:val="none"/>
              </w:rPr>
              <w:t>（采购人）</w:t>
            </w:r>
          </w:p>
          <w:p>
            <w:pPr>
              <w:spacing w:line="380" w:lineRule="exact"/>
              <w:rPr>
                <w:rFonts w:hint="eastAsia"/>
                <w:color w:val="auto"/>
              </w:rPr>
            </w:pPr>
            <w:r>
              <w:rPr>
                <w:rFonts w:hint="eastAsia" w:ascii="宋体" w:hAnsi="宋体" w:eastAsia="宋体" w:cs="宋体"/>
                <w:color w:val="auto"/>
                <w:szCs w:val="21"/>
              </w:rPr>
              <w:t>联系方式：</w:t>
            </w:r>
            <w:r>
              <w:rPr>
                <w:rFonts w:hint="eastAsia" w:ascii="宋体" w:hAnsi="宋体" w:eastAsia="宋体" w:cs="宋体"/>
                <w:color w:val="auto"/>
                <w:szCs w:val="21"/>
                <w:lang w:val="en-US" w:eastAsia="zh-CN"/>
              </w:rPr>
              <w:t xml:space="preserve"> 0771-7966013</w:t>
            </w:r>
          </w:p>
          <w:p>
            <w:pPr>
              <w:spacing w:line="380" w:lineRule="exact"/>
              <w:rPr>
                <w:rFonts w:hint="eastAsia" w:ascii="宋体" w:hAnsi="宋体" w:eastAsia="宋体" w:cs="宋体"/>
                <w:color w:val="auto"/>
                <w:szCs w:val="21"/>
                <w:lang w:val="en-US" w:eastAsia="zh-CN"/>
              </w:rPr>
            </w:pPr>
            <w:r>
              <w:rPr>
                <w:rFonts w:hint="eastAsia" w:ascii="宋体" w:hAnsi="宋体" w:eastAsia="宋体" w:cs="宋体"/>
                <w:color w:val="auto"/>
                <w:szCs w:val="21"/>
              </w:rPr>
              <w:t>地  址：</w:t>
            </w:r>
            <w:r>
              <w:rPr>
                <w:rFonts w:hint="eastAsia" w:ascii="宋体" w:hAnsi="宋体" w:eastAsia="宋体" w:cs="宋体"/>
                <w:color w:val="auto"/>
                <w:szCs w:val="21"/>
                <w:lang w:val="en-US" w:eastAsia="zh-CN"/>
              </w:rPr>
              <w:t>崇左市江州区石景林路8号</w:t>
            </w:r>
          </w:p>
          <w:p>
            <w:pPr>
              <w:snapToGrid w:val="0"/>
              <w:spacing w:line="380" w:lineRule="exact"/>
              <w:rPr>
                <w:rFonts w:hint="eastAsia"/>
                <w:color w:val="auto"/>
                <w:szCs w:val="21"/>
                <w:highlight w:val="none"/>
              </w:rPr>
            </w:pPr>
            <w:r>
              <w:rPr>
                <w:rFonts w:hint="eastAsia"/>
                <w:color w:val="auto"/>
                <w:szCs w:val="21"/>
                <w:highlight w:val="none"/>
              </w:rPr>
              <w:t>（2）名称：广西</w:t>
            </w:r>
            <w:r>
              <w:rPr>
                <w:rFonts w:hint="eastAsia"/>
                <w:color w:val="auto"/>
                <w:szCs w:val="21"/>
                <w:highlight w:val="none"/>
                <w:lang w:val="en-US" w:eastAsia="zh-CN"/>
              </w:rPr>
              <w:t>华晟</w:t>
            </w:r>
            <w:r>
              <w:rPr>
                <w:rFonts w:hint="eastAsia"/>
                <w:color w:val="auto"/>
                <w:szCs w:val="21"/>
                <w:highlight w:val="none"/>
              </w:rPr>
              <w:t>招标</w:t>
            </w:r>
            <w:r>
              <w:rPr>
                <w:rFonts w:hint="eastAsia"/>
                <w:color w:val="auto"/>
                <w:szCs w:val="21"/>
                <w:highlight w:val="none"/>
                <w:lang w:val="en-US" w:eastAsia="zh-CN"/>
              </w:rPr>
              <w:t>代理</w:t>
            </w:r>
            <w:r>
              <w:rPr>
                <w:rFonts w:hint="eastAsia"/>
                <w:color w:val="auto"/>
                <w:szCs w:val="21"/>
                <w:highlight w:val="none"/>
              </w:rPr>
              <w:t>有限公司（采购代理机构）</w:t>
            </w:r>
          </w:p>
          <w:p>
            <w:pPr>
              <w:snapToGrid w:val="0"/>
              <w:spacing w:line="380" w:lineRule="exact"/>
              <w:rPr>
                <w:rFonts w:hint="default" w:eastAsiaTheme="minorEastAsia"/>
                <w:color w:val="auto"/>
                <w:szCs w:val="21"/>
                <w:highlight w:val="none"/>
                <w:lang w:val="en-US" w:eastAsia="zh-CN"/>
              </w:rPr>
            </w:pPr>
            <w:r>
              <w:rPr>
                <w:rFonts w:hint="eastAsia"/>
                <w:color w:val="auto"/>
                <w:szCs w:val="21"/>
                <w:highlight w:val="none"/>
              </w:rPr>
              <w:t>联系电话：</w:t>
            </w:r>
            <w:r>
              <w:rPr>
                <w:rFonts w:hint="eastAsia"/>
                <w:color w:val="auto"/>
                <w:szCs w:val="21"/>
                <w:highlight w:val="none"/>
                <w:lang w:eastAsia="zh-CN"/>
              </w:rPr>
              <w:t>0771-</w:t>
            </w:r>
            <w:r>
              <w:rPr>
                <w:rFonts w:hint="eastAsia"/>
                <w:color w:val="auto"/>
                <w:szCs w:val="21"/>
                <w:highlight w:val="none"/>
                <w:lang w:val="en-US" w:eastAsia="zh-CN"/>
              </w:rPr>
              <w:t>7963762</w:t>
            </w:r>
          </w:p>
          <w:p>
            <w:pPr>
              <w:snapToGrid w:val="0"/>
              <w:spacing w:line="380" w:lineRule="exact"/>
              <w:rPr>
                <w:rFonts w:hint="eastAsia" w:ascii="宋体" w:hAnsi="宋体" w:cs="Times New Roman"/>
                <w:color w:val="auto"/>
                <w:szCs w:val="21"/>
                <w:highlight w:val="none"/>
              </w:rPr>
            </w:pPr>
            <w:r>
              <w:rPr>
                <w:color w:val="auto"/>
                <w:szCs w:val="21"/>
                <w:highlight w:val="none"/>
              </w:rPr>
              <w:t>通讯地址</w:t>
            </w:r>
            <w:r>
              <w:rPr>
                <w:rFonts w:hint="eastAsia" w:cs="Helvetica"/>
                <w:color w:val="auto"/>
                <w:szCs w:val="21"/>
                <w:highlight w:val="none"/>
              </w:rPr>
              <w:t>：</w:t>
            </w:r>
            <w:r>
              <w:rPr>
                <w:rFonts w:hint="eastAsia" w:ascii="宋体" w:hAnsi="宋体" w:cs="宋体"/>
                <w:color w:val="auto"/>
                <w:highlight w:val="none"/>
              </w:rPr>
              <w:t>崇左市城南八路万隆商务领寓三楼31</w:t>
            </w:r>
            <w:r>
              <w:rPr>
                <w:rFonts w:hint="eastAsia" w:ascii="宋体" w:hAnsi="宋体" w:cs="宋体"/>
                <w:color w:val="auto"/>
                <w:highlight w:val="none"/>
                <w:lang w:val="en-US" w:eastAsia="zh-CN"/>
              </w:rPr>
              <w:t>2</w:t>
            </w:r>
            <w:r>
              <w:rPr>
                <w:rFonts w:hint="eastAsia" w:ascii="宋体" w:hAnsi="宋体" w:cs="宋体"/>
                <w:color w:val="auto"/>
                <w:highlight w:val="none"/>
              </w:rPr>
              <w:t>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pPr>
              <w:spacing w:line="360" w:lineRule="auto"/>
              <w:jc w:val="center"/>
              <w:rPr>
                <w:rFonts w:hint="eastAsia" w:ascii="宋体" w:hAnsi="宋体" w:eastAsia="宋体" w:cs="宋体"/>
                <w:color w:val="auto"/>
                <w:szCs w:val="21"/>
                <w:highlight w:val="none"/>
              </w:rPr>
            </w:pPr>
          </w:p>
        </w:tc>
        <w:tc>
          <w:tcPr>
            <w:tcW w:w="2382" w:type="dxa"/>
            <w:vAlign w:val="center"/>
          </w:tcPr>
          <w:p>
            <w:pPr>
              <w:spacing w:line="380" w:lineRule="exact"/>
              <w:jc w:val="center"/>
              <w:rPr>
                <w:rFonts w:hint="eastAsia" w:ascii="宋体" w:hAnsi="宋体" w:eastAsia="宋体" w:cs="Times New Roman"/>
                <w:color w:val="auto"/>
                <w:szCs w:val="21"/>
                <w:highlight w:val="none"/>
              </w:rPr>
            </w:pPr>
            <w:r>
              <w:rPr>
                <w:rFonts w:hint="eastAsia" w:ascii="Times New Roman" w:hAnsi="宋体" w:eastAsia="宋体" w:cs="Times New Roman"/>
                <w:color w:val="auto"/>
                <w:szCs w:val="24"/>
                <w:highlight w:val="none"/>
              </w:rPr>
              <w:t>现场提交质疑办理业务时间</w:t>
            </w:r>
          </w:p>
        </w:tc>
        <w:tc>
          <w:tcPr>
            <w:tcW w:w="6586" w:type="dxa"/>
            <w:vAlign w:val="center"/>
          </w:tcPr>
          <w:p>
            <w:pPr>
              <w:snapToGrid w:val="0"/>
              <w:spacing w:line="380" w:lineRule="exact"/>
              <w:rPr>
                <w:rFonts w:hint="eastAsia" w:ascii="宋体" w:hAnsi="宋体" w:eastAsia="宋体" w:cs="Times New Roman"/>
                <w:color w:val="auto"/>
                <w:szCs w:val="21"/>
                <w:highlight w:val="none"/>
              </w:rPr>
            </w:pPr>
            <w:r>
              <w:rPr>
                <w:rFonts w:hint="eastAsia" w:ascii="Times New Roman" w:hAnsi="宋体" w:eastAsia="宋体" w:cs="Times New Roman"/>
                <w:color w:val="auto"/>
                <w:szCs w:val="24"/>
                <w:highlight w:val="none"/>
              </w:rPr>
              <w:t>质疑期内每个工作日</w:t>
            </w:r>
            <w:r>
              <w:rPr>
                <w:rFonts w:hint="eastAsia" w:ascii="宋体" w:hAnsi="宋体" w:eastAsia="宋体" w:cs="宋体"/>
                <w:color w:val="auto"/>
                <w:highlight w:val="none"/>
              </w:rPr>
              <w:t>（北京时间）上午</w:t>
            </w:r>
            <w:r>
              <w:rPr>
                <w:rFonts w:hint="eastAsia" w:ascii="宋体" w:hAnsi="宋体" w:eastAsia="宋体" w:cs="宋体"/>
                <w:color w:val="auto"/>
                <w:highlight w:val="none"/>
                <w:u w:val="single"/>
              </w:rPr>
              <w:t>8</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12</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分，下午</w:t>
            </w:r>
            <w:r>
              <w:rPr>
                <w:rFonts w:hint="eastAsia" w:ascii="宋体" w:hAnsi="宋体" w:eastAsia="宋体" w:cs="宋体"/>
                <w:color w:val="auto"/>
                <w:highlight w:val="none"/>
                <w:u w:val="single"/>
              </w:rPr>
              <w:t>15</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18</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r>
              <w:rPr>
                <w:rFonts w:hint="eastAsia" w:ascii="Calibri"/>
                <w:color w:val="auto"/>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hint="eastAsia" w:ascii="宋体" w:hAnsi="宋体" w:eastAsia="宋体" w:cs="宋体"/>
                <w:color w:val="auto"/>
                <w:szCs w:val="21"/>
                <w:highlight w:val="none"/>
              </w:rPr>
            </w:pPr>
            <w:r>
              <w:rPr>
                <w:rFonts w:ascii="宋体" w:hAnsi="宋体" w:eastAsia="宋体" w:cs="宋体"/>
                <w:color w:val="auto"/>
                <w:szCs w:val="21"/>
                <w:highlight w:val="none"/>
              </w:rPr>
              <w:t>3</w:t>
            </w:r>
            <w:r>
              <w:rPr>
                <w:rFonts w:hint="eastAsia" w:ascii="宋体" w:hAnsi="宋体" w:eastAsia="宋体" w:cs="宋体"/>
                <w:color w:val="auto"/>
                <w:szCs w:val="21"/>
                <w:highlight w:val="none"/>
              </w:rPr>
              <w:t>2</w:t>
            </w:r>
          </w:p>
        </w:tc>
        <w:tc>
          <w:tcPr>
            <w:tcW w:w="238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采购代理服务费</w:t>
            </w:r>
          </w:p>
        </w:tc>
        <w:tc>
          <w:tcPr>
            <w:tcW w:w="6586" w:type="dxa"/>
            <w:vAlign w:val="center"/>
          </w:tcPr>
          <w:p>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 是否收取采购代理服务费：</w:t>
            </w:r>
          </w:p>
          <w:p>
            <w:pPr>
              <w:snapToGrid w:val="0"/>
              <w:spacing w:line="360" w:lineRule="auto"/>
              <w:rPr>
                <w:rFonts w:hint="eastAsia" w:ascii="宋体" w:hAnsi="宋体" w:eastAsia="宋体" w:cs="宋体"/>
                <w:color w:val="auto"/>
                <w:kern w:val="0"/>
                <w:szCs w:val="21"/>
                <w:highlight w:val="none"/>
              </w:rPr>
            </w:pPr>
            <w:r>
              <w:rPr>
                <w:rFonts w:ascii="Segoe UI Symbol" w:hAnsi="Segoe UI Symbol" w:eastAsia="宋体" w:cs="Segoe UI Symbol"/>
                <w:color w:val="auto"/>
                <w:kern w:val="0"/>
                <w:szCs w:val="21"/>
                <w:highlight w:val="none"/>
              </w:rPr>
              <w:t>☑</w:t>
            </w:r>
            <w:r>
              <w:rPr>
                <w:rFonts w:hint="eastAsia" w:ascii="宋体" w:hAnsi="宋体" w:eastAsia="宋体" w:cs="宋体"/>
                <w:color w:val="auto"/>
                <w:kern w:val="0"/>
                <w:szCs w:val="21"/>
                <w:highlight w:val="none"/>
              </w:rPr>
              <w:t>是    □ 否</w:t>
            </w:r>
          </w:p>
          <w:p>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2.采购代理服务费支付方式：</w:t>
            </w:r>
          </w:p>
          <w:p>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本项目采购代理服务费由</w:t>
            </w:r>
            <w:r>
              <w:rPr>
                <w:rFonts w:hint="eastAsia" w:ascii="宋体" w:hAnsi="宋体" w:eastAsia="宋体" w:cs="宋体"/>
                <w:color w:val="auto"/>
                <w:kern w:val="0"/>
                <w:szCs w:val="21"/>
                <w:highlight w:val="none"/>
                <w:u w:val="single"/>
              </w:rPr>
              <w:t>成交供应商</w:t>
            </w:r>
            <w:r>
              <w:rPr>
                <w:rFonts w:hint="eastAsia" w:ascii="宋体" w:hAnsi="宋体" w:eastAsia="宋体" w:cs="宋体"/>
                <w:color w:val="auto"/>
                <w:kern w:val="0"/>
                <w:szCs w:val="21"/>
                <w:highlight w:val="none"/>
              </w:rPr>
              <w:t>在签订合同前，</w:t>
            </w:r>
            <w:r>
              <w:rPr>
                <w:rFonts w:hint="eastAsia" w:ascii="宋体" w:hAnsi="宋体" w:eastAsia="宋体" w:cs="宋体"/>
                <w:color w:val="auto"/>
                <w:highlight w:val="none"/>
              </w:rPr>
              <w:t>以银行转账、电汇等方式</w:t>
            </w:r>
            <w:r>
              <w:rPr>
                <w:rFonts w:hint="eastAsia" w:ascii="宋体" w:hAnsi="宋体" w:eastAsia="宋体" w:cs="宋体"/>
                <w:color w:val="auto"/>
                <w:kern w:val="0"/>
                <w:szCs w:val="21"/>
                <w:highlight w:val="none"/>
              </w:rPr>
              <w:t>一次性向采购代理机构支付。</w:t>
            </w:r>
          </w:p>
          <w:p>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3.采购代理费收取标准：</w:t>
            </w:r>
          </w:p>
          <w:p>
            <w:pPr>
              <w:snapToGrid w:val="0"/>
              <w:spacing w:line="360" w:lineRule="auto"/>
              <w:rPr>
                <w:rFonts w:hint="eastAsia" w:ascii="宋体" w:hAnsi="宋体" w:eastAsia="宋体" w:cs="宋体"/>
                <w:color w:val="auto"/>
                <w:kern w:val="0"/>
                <w:szCs w:val="21"/>
                <w:highlight w:val="none"/>
              </w:rPr>
            </w:pPr>
            <w:bookmarkStart w:id="103" w:name="OLE_LINK36"/>
            <w:r>
              <w:rPr>
                <w:rFonts w:hint="eastAsia"/>
                <w:color w:val="auto"/>
                <w:sz w:val="21"/>
                <w:szCs w:val="21"/>
                <w:lang w:val="en-US" w:eastAsia="zh-CN"/>
              </w:rPr>
              <w:t>本项目代理服务费按分标固定收费。本分标代理服务费贰仟伍佰元整（￥2500.00）</w:t>
            </w:r>
            <w:r>
              <w:rPr>
                <w:rFonts w:hint="eastAsia" w:ascii="宋体" w:hAnsi="宋体" w:eastAsia="宋体" w:cs="宋体"/>
                <w:color w:val="auto"/>
                <w:kern w:val="0"/>
                <w:szCs w:val="21"/>
                <w:highlight w:val="none"/>
              </w:rPr>
              <w:t>。</w:t>
            </w:r>
          </w:p>
          <w:bookmarkEnd w:id="103"/>
          <w:p>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 采购代理服务费收取银行账户的信息</w:t>
            </w:r>
          </w:p>
          <w:p>
            <w:pPr>
              <w:snapToGrid w:val="0"/>
              <w:spacing w:line="360" w:lineRule="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账户名称：</w:t>
            </w:r>
            <w:r>
              <w:rPr>
                <w:rFonts w:hint="eastAsia" w:ascii="宋体" w:hAnsi="宋体" w:eastAsia="宋体" w:cs="宋体"/>
                <w:color w:val="auto"/>
                <w:kern w:val="0"/>
                <w:szCs w:val="21"/>
                <w:highlight w:val="none"/>
                <w:lang w:eastAsia="zh-CN"/>
              </w:rPr>
              <w:t>广西华晟招标代理有限公司</w:t>
            </w:r>
          </w:p>
          <w:p>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开户银行：</w:t>
            </w:r>
            <w:r>
              <w:rPr>
                <w:rFonts w:hint="eastAsia" w:ascii="宋体" w:hAnsi="宋体" w:eastAsia="宋体" w:cs="宋体"/>
                <w:color w:val="auto"/>
                <w:kern w:val="0"/>
                <w:szCs w:val="21"/>
                <w:highlight w:val="none"/>
                <w:lang w:eastAsia="zh-CN"/>
              </w:rPr>
              <w:t>广西北部湾银行股份有限公司崇左分行</w:t>
            </w:r>
          </w:p>
          <w:p>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银行账号：</w:t>
            </w:r>
            <w:r>
              <w:rPr>
                <w:rFonts w:hint="eastAsia" w:ascii="宋体" w:hAnsi="宋体" w:eastAsia="宋体" w:cs="宋体"/>
                <w:color w:val="auto"/>
                <w:kern w:val="0"/>
                <w:szCs w:val="21"/>
                <w:highlight w:val="none"/>
                <w:lang w:eastAsia="zh-CN"/>
              </w:rPr>
              <w:t>8050 0445 0500 001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r>
              <w:rPr>
                <w:rFonts w:ascii="宋体" w:hAnsi="宋体" w:eastAsia="宋体" w:cs="宋体"/>
                <w:color w:val="auto"/>
                <w:szCs w:val="21"/>
                <w:highlight w:val="none"/>
              </w:rPr>
              <w:t>.1</w:t>
            </w:r>
          </w:p>
        </w:tc>
        <w:tc>
          <w:tcPr>
            <w:tcW w:w="2382" w:type="dxa"/>
            <w:vAlign w:val="center"/>
          </w:tcPr>
          <w:p>
            <w:pPr>
              <w:spacing w:line="360" w:lineRule="auto"/>
              <w:jc w:val="center"/>
              <w:rPr>
                <w:rFonts w:hint="eastAsia" w:ascii="宋体" w:hAnsi="宋体" w:eastAsia="宋体" w:cs="宋体"/>
                <w:color w:val="auto"/>
                <w:szCs w:val="21"/>
                <w:highlight w:val="none"/>
              </w:rPr>
            </w:pPr>
            <w:r>
              <w:rPr>
                <w:rFonts w:hint="eastAsia" w:ascii="Times New Roman" w:hAnsi="宋体" w:eastAsia="宋体" w:cs="Times New Roman"/>
                <w:color w:val="auto"/>
                <w:szCs w:val="24"/>
                <w:highlight w:val="none"/>
              </w:rPr>
              <w:t>解释</w:t>
            </w:r>
          </w:p>
        </w:tc>
        <w:tc>
          <w:tcPr>
            <w:tcW w:w="6586" w:type="dxa"/>
            <w:vAlign w:val="center"/>
          </w:tcPr>
          <w:p>
            <w:pPr>
              <w:tabs>
                <w:tab w:val="left" w:pos="1080"/>
              </w:tabs>
              <w:spacing w:line="360" w:lineRule="auto"/>
              <w:rPr>
                <w:rFonts w:hint="eastAsia"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解释：</w:t>
            </w:r>
            <w:r>
              <w:rPr>
                <w:rFonts w:ascii="宋体" w:hAnsi="宋体" w:eastAsia="宋体" w:cs="Times New Roman"/>
                <w:color w:val="auto"/>
                <w:kern w:val="0"/>
                <w:szCs w:val="21"/>
                <w:highlight w:val="none"/>
              </w:rPr>
              <w:t>构成本</w:t>
            </w:r>
            <w:r>
              <w:rPr>
                <w:rFonts w:hint="eastAsia" w:ascii="宋体" w:hAnsi="宋体" w:eastAsia="宋体" w:cs="Times New Roman"/>
                <w:color w:val="auto"/>
                <w:kern w:val="0"/>
                <w:szCs w:val="21"/>
                <w:highlight w:val="none"/>
              </w:rPr>
              <w:t>谈判文件</w:t>
            </w:r>
            <w:r>
              <w:rPr>
                <w:rFonts w:ascii="宋体" w:hAnsi="宋体" w:eastAsia="宋体" w:cs="Times New Roman"/>
                <w:color w:val="auto"/>
                <w:kern w:val="0"/>
                <w:szCs w:val="21"/>
                <w:highlight w:val="none"/>
              </w:rPr>
              <w:t>的各个组成文件应互为解释，互为说明；除</w:t>
            </w:r>
            <w:r>
              <w:rPr>
                <w:rFonts w:hint="eastAsia" w:ascii="宋体" w:hAnsi="宋体" w:eastAsia="宋体" w:cs="Times New Roman"/>
                <w:color w:val="auto"/>
                <w:kern w:val="0"/>
                <w:szCs w:val="21"/>
                <w:highlight w:val="none"/>
              </w:rPr>
              <w:t>谈判文件</w:t>
            </w:r>
            <w:r>
              <w:rPr>
                <w:rFonts w:ascii="宋体" w:hAnsi="宋体" w:eastAsia="宋体" w:cs="Times New Roman"/>
                <w:color w:val="auto"/>
                <w:kern w:val="0"/>
                <w:szCs w:val="21"/>
                <w:highlight w:val="none"/>
              </w:rPr>
              <w:t>中有特别规定外，仅适用于</w:t>
            </w:r>
            <w:r>
              <w:rPr>
                <w:rFonts w:hint="eastAsia" w:ascii="宋体" w:hAnsi="宋体" w:eastAsia="宋体" w:cs="Times New Roman"/>
                <w:color w:val="auto"/>
                <w:kern w:val="0"/>
                <w:szCs w:val="21"/>
                <w:highlight w:val="none"/>
              </w:rPr>
              <w:t>竞标</w:t>
            </w:r>
            <w:r>
              <w:rPr>
                <w:rFonts w:ascii="宋体" w:hAnsi="宋体" w:eastAsia="宋体" w:cs="Times New Roman"/>
                <w:color w:val="auto"/>
                <w:kern w:val="0"/>
                <w:szCs w:val="21"/>
                <w:highlight w:val="none"/>
              </w:rPr>
              <w:t>阶段的规定，按</w:t>
            </w:r>
            <w:r>
              <w:rPr>
                <w:rFonts w:hint="eastAsia" w:ascii="宋体" w:hAnsi="宋体" w:eastAsia="宋体" w:cs="Times New Roman"/>
                <w:color w:val="auto"/>
                <w:kern w:val="0"/>
                <w:szCs w:val="21"/>
                <w:highlight w:val="none"/>
              </w:rPr>
              <w:t>更正公告（澄清公告）</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竞争性谈判</w:t>
            </w:r>
            <w:r>
              <w:rPr>
                <w:rFonts w:ascii="宋体" w:hAnsi="宋体" w:eastAsia="宋体" w:cs="Times New Roman"/>
                <w:color w:val="auto"/>
                <w:kern w:val="0"/>
                <w:szCs w:val="21"/>
                <w:highlight w:val="none"/>
              </w:rPr>
              <w:t>公告、</w:t>
            </w:r>
            <w:r>
              <w:rPr>
                <w:rFonts w:hint="eastAsia" w:ascii="宋体" w:hAnsi="宋体" w:eastAsia="宋体" w:cs="Times New Roman"/>
                <w:color w:val="auto"/>
                <w:kern w:val="0"/>
                <w:szCs w:val="21"/>
                <w:highlight w:val="none"/>
              </w:rPr>
              <w:t>采购需求</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供应商</w:t>
            </w:r>
            <w:r>
              <w:rPr>
                <w:rFonts w:ascii="宋体" w:hAnsi="宋体" w:eastAsia="宋体" w:cs="Times New Roman"/>
                <w:color w:val="auto"/>
                <w:kern w:val="0"/>
                <w:szCs w:val="21"/>
                <w:highlight w:val="none"/>
              </w:rPr>
              <w:t>须知</w:t>
            </w:r>
            <w:r>
              <w:rPr>
                <w:rFonts w:hint="eastAsia" w:ascii="宋体" w:hAnsi="宋体" w:eastAsia="宋体" w:cs="Times New Roman"/>
                <w:color w:val="auto"/>
                <w:kern w:val="0"/>
                <w:szCs w:val="21"/>
                <w:highlight w:val="none"/>
              </w:rPr>
              <w:t>、</w:t>
            </w:r>
            <w:r>
              <w:rPr>
                <w:rFonts w:hint="eastAsia" w:ascii="Times New Roman" w:hAnsi="Times New Roman" w:eastAsia="宋体" w:cs="Times New Roman"/>
                <w:bCs/>
                <w:color w:val="auto"/>
                <w:kern w:val="44"/>
                <w:szCs w:val="44"/>
                <w:highlight w:val="none"/>
                <w:lang w:val="zh-CN"/>
              </w:rPr>
              <w:t>评审程序、评审方法和成交标准</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响应</w:t>
            </w:r>
            <w:r>
              <w:rPr>
                <w:rFonts w:ascii="宋体" w:hAnsi="宋体" w:eastAsia="宋体" w:cs="Times New Roman"/>
                <w:color w:val="auto"/>
                <w:kern w:val="0"/>
                <w:szCs w:val="21"/>
                <w:highlight w:val="none"/>
              </w:rPr>
              <w:t>文件格式</w:t>
            </w:r>
            <w:r>
              <w:rPr>
                <w:rFonts w:hint="eastAsia" w:ascii="宋体" w:hAnsi="宋体" w:eastAsia="宋体" w:cs="Times New Roman"/>
                <w:color w:val="auto"/>
                <w:kern w:val="0"/>
                <w:szCs w:val="21"/>
                <w:highlight w:val="none"/>
              </w:rPr>
              <w:t>、合同文本</w:t>
            </w:r>
            <w:r>
              <w:rPr>
                <w:rFonts w:ascii="宋体" w:hAnsi="宋体" w:eastAsia="宋体" w:cs="Times New Roman"/>
                <w:color w:val="auto"/>
                <w:kern w:val="0"/>
                <w:szCs w:val="21"/>
                <w:highlight w:val="none"/>
              </w:rPr>
              <w:t>的先后顺序解释；同一组成文件中就同一事项的规定或者约定不一致的，以编排顺序在后者为准；同一组成文件不同版本之间有不一致的，以形成时间在后者为准；</w:t>
            </w:r>
            <w:r>
              <w:rPr>
                <w:rFonts w:hint="eastAsia" w:ascii="宋体" w:hAnsi="宋体" w:eastAsia="宋体" w:cs="Times New Roman"/>
                <w:color w:val="auto"/>
                <w:kern w:val="0"/>
                <w:szCs w:val="21"/>
                <w:highlight w:val="none"/>
              </w:rPr>
              <w:t>更正公告（澄清公告）</w:t>
            </w:r>
            <w:r>
              <w:rPr>
                <w:rFonts w:ascii="宋体" w:hAnsi="宋体" w:eastAsia="宋体" w:cs="Times New Roman"/>
                <w:color w:val="auto"/>
                <w:kern w:val="0"/>
                <w:szCs w:val="21"/>
                <w:highlight w:val="none"/>
              </w:rPr>
              <w:t>与同步更新的</w:t>
            </w:r>
            <w:r>
              <w:rPr>
                <w:rFonts w:hint="eastAsia" w:ascii="宋体" w:hAnsi="宋体" w:eastAsia="宋体" w:cs="Times New Roman"/>
                <w:color w:val="auto"/>
                <w:kern w:val="0"/>
                <w:szCs w:val="21"/>
                <w:highlight w:val="none"/>
              </w:rPr>
              <w:t>谈判文件</w:t>
            </w:r>
            <w:r>
              <w:rPr>
                <w:rFonts w:ascii="宋体" w:hAnsi="宋体" w:eastAsia="宋体" w:cs="Times New Roman"/>
                <w:color w:val="auto"/>
                <w:kern w:val="0"/>
                <w:szCs w:val="21"/>
                <w:highlight w:val="none"/>
              </w:rPr>
              <w:t>不一致时以</w:t>
            </w:r>
            <w:r>
              <w:rPr>
                <w:rFonts w:hint="eastAsia" w:ascii="宋体" w:hAnsi="宋体" w:eastAsia="宋体" w:cs="Times New Roman"/>
                <w:color w:val="auto"/>
                <w:kern w:val="0"/>
                <w:szCs w:val="21"/>
                <w:highlight w:val="none"/>
              </w:rPr>
              <w:t>更正公告（澄清公告）</w:t>
            </w:r>
            <w:r>
              <w:rPr>
                <w:rFonts w:ascii="宋体" w:hAnsi="宋体" w:eastAsia="宋体" w:cs="Times New Roman"/>
                <w:color w:val="auto"/>
                <w:kern w:val="0"/>
                <w:szCs w:val="21"/>
                <w:highlight w:val="none"/>
              </w:rPr>
              <w:t>为准。按本款前述规定仍不能形成结论的，</w:t>
            </w:r>
            <w:r>
              <w:rPr>
                <w:rFonts w:ascii="宋体" w:hAnsi="宋体" w:eastAsia="宋体" w:cs="Times New Roman"/>
                <w:b/>
                <w:color w:val="auto"/>
                <w:kern w:val="0"/>
                <w:szCs w:val="21"/>
                <w:highlight w:val="none"/>
              </w:rPr>
              <w:t>由</w:t>
            </w:r>
            <w:r>
              <w:rPr>
                <w:rFonts w:hint="eastAsia" w:ascii="宋体" w:hAnsi="宋体" w:eastAsia="宋体" w:cs="Times New Roman"/>
                <w:b/>
                <w:color w:val="auto"/>
                <w:kern w:val="0"/>
                <w:szCs w:val="21"/>
                <w:highlight w:val="none"/>
              </w:rPr>
              <w:t>采购</w:t>
            </w:r>
            <w:r>
              <w:rPr>
                <w:rFonts w:ascii="宋体" w:hAnsi="宋体" w:eastAsia="宋体" w:cs="Times New Roman"/>
                <w:b/>
                <w:color w:val="auto"/>
                <w:kern w:val="0"/>
                <w:szCs w:val="21"/>
                <w:highlight w:val="none"/>
              </w:rPr>
              <w:t>人</w:t>
            </w:r>
            <w:r>
              <w:rPr>
                <w:rFonts w:hint="eastAsia" w:ascii="宋体" w:hAnsi="宋体" w:eastAsia="宋体" w:cs="Times New Roman"/>
                <w:b/>
                <w:color w:val="auto"/>
                <w:kern w:val="0"/>
                <w:szCs w:val="21"/>
                <w:highlight w:val="none"/>
              </w:rPr>
              <w:t>或者采购代理机构</w:t>
            </w:r>
            <w:r>
              <w:rPr>
                <w:rFonts w:ascii="宋体" w:hAnsi="宋体" w:eastAsia="宋体" w:cs="Times New Roman"/>
                <w:b/>
                <w:color w:val="auto"/>
                <w:kern w:val="0"/>
                <w:szCs w:val="21"/>
                <w:highlight w:val="none"/>
              </w:rPr>
              <w:t>负责解释。</w:t>
            </w:r>
          </w:p>
          <w:p>
            <w:pPr>
              <w:tabs>
                <w:tab w:val="left" w:pos="1080"/>
              </w:tabs>
              <w:spacing w:line="360" w:lineRule="auto"/>
              <w:rPr>
                <w:rFonts w:hint="eastAsia" w:ascii="宋体" w:hAnsi="宋体" w:eastAsia="宋体" w:cs="Times New Roman"/>
                <w:color w:val="auto"/>
                <w:kern w:val="0"/>
                <w:szCs w:val="21"/>
                <w:highlight w:val="none"/>
              </w:rPr>
            </w:pPr>
            <w:r>
              <w:rPr>
                <w:rFonts w:hint="eastAsia" w:ascii="宋体" w:hAnsi="宋体" w:eastAsia="宋体" w:cs="Times New Roman"/>
                <w:b/>
                <w:color w:val="auto"/>
                <w:kern w:val="0"/>
                <w:szCs w:val="21"/>
                <w:highlight w:val="none"/>
              </w:rPr>
              <w:t>法律责任：</w:t>
            </w:r>
          </w:p>
          <w:p>
            <w:pPr>
              <w:tabs>
                <w:tab w:val="left" w:pos="1080"/>
              </w:tabs>
              <w:spacing w:line="360" w:lineRule="auto"/>
              <w:rPr>
                <w:rFonts w:hint="eastAsia" w:ascii="宋体" w:hAnsi="宋体" w:eastAsia="宋体" w:cs="宋体"/>
                <w:color w:val="auto"/>
                <w:szCs w:val="24"/>
                <w:highlight w:val="none"/>
              </w:rPr>
            </w:pPr>
            <w:r>
              <w:rPr>
                <w:rFonts w:hint="eastAsia" w:ascii="宋体" w:hAnsi="宋体" w:eastAsia="宋体" w:cs="Times New Roman"/>
                <w:color w:val="auto"/>
                <w:kern w:val="0"/>
                <w:szCs w:val="21"/>
                <w:highlight w:val="none"/>
              </w:rPr>
              <w:t>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r>
              <w:rPr>
                <w:rFonts w:ascii="宋体" w:hAnsi="宋体" w:eastAsia="宋体" w:cs="宋体"/>
                <w:color w:val="auto"/>
                <w:szCs w:val="21"/>
                <w:highlight w:val="none"/>
              </w:rPr>
              <w:t>.2</w:t>
            </w:r>
          </w:p>
        </w:tc>
        <w:tc>
          <w:tcPr>
            <w:tcW w:w="238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586" w:type="dxa"/>
            <w:vAlign w:val="center"/>
          </w:tcPr>
          <w:p>
            <w:pPr>
              <w:pStyle w:val="13"/>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本竞争性谈判文件中描述供应商的“公章”是指根据我国对公章的管理规定，用供应商法定主体行为名称制作的实物印章或供应商通过指定电子化政府采购平台办理数字证书（CA认证）获得的以法定主体行为名称制作的电子印章。除本竞争性谈判文件有特殊规定外，供应商的财务章、部门章、分公司章、工会章、合同章、投标专用章、业务专用章及银行的转账章、现金收讫章、现金付讫章等其他形式印章均不能代替公章。</w:t>
            </w:r>
          </w:p>
          <w:p>
            <w:pPr>
              <w:pStyle w:val="13"/>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2.本竞争性谈判文件中描述供应商的“签字”是指供应商通过指定电子化政府采购平台办理数字证书（CA认证）获得的以供应商法定代表人或者委托代理人姓名制作的电子印章或手写签字。</w:t>
            </w:r>
          </w:p>
          <w:p>
            <w:pPr>
              <w:pStyle w:val="13"/>
              <w:tabs>
                <w:tab w:val="center" w:pos="4153"/>
                <w:tab w:val="right" w:pos="8306"/>
              </w:tabs>
              <w:spacing w:line="360" w:lineRule="auto"/>
              <w:ind w:firstLine="420" w:firstLineChars="200"/>
              <w:rPr>
                <w:rFonts w:hint="eastAsia" w:ascii="宋体" w:hAnsi="宋体" w:cs="宋体"/>
                <w:color w:val="auto"/>
                <w:szCs w:val="21"/>
                <w:highlight w:val="none"/>
                <w:lang w:val="en-US"/>
              </w:rPr>
            </w:pPr>
            <w:r>
              <w:rPr>
                <w:rFonts w:hint="eastAsia" w:ascii="宋体" w:hAnsi="宋体" w:cs="宋体"/>
                <w:color w:val="auto"/>
                <w:szCs w:val="21"/>
                <w:highlight w:val="none"/>
                <w:lang w:val="en-US"/>
              </w:rPr>
              <w:t>3.本竞争性谈判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pPr>
              <w:pStyle w:val="13"/>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rPr>
              <w:t>4</w:t>
            </w:r>
            <w:r>
              <w:rPr>
                <w:rFonts w:hint="eastAsia" w:ascii="宋体" w:hAnsi="宋体" w:cs="宋体"/>
                <w:color w:val="auto"/>
                <w:szCs w:val="21"/>
                <w:highlight w:val="none"/>
              </w:rPr>
              <w:t>.供应商为其他组织或者自然人时，本竞争性谈判文件规定的法定代表人指负责人或者自然人。本竞争性谈判文件所称负责人是指参加竞标的其他组织营业执照上的负责人，本竞争性谈判文件所称自然人指参与竞标的自然人本人。</w:t>
            </w:r>
          </w:p>
          <w:p>
            <w:pPr>
              <w:pStyle w:val="13"/>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rPr>
              <w:t>5</w:t>
            </w:r>
            <w:r>
              <w:rPr>
                <w:rFonts w:hint="eastAsia" w:ascii="宋体" w:hAnsi="宋体" w:cs="宋体"/>
                <w:color w:val="auto"/>
                <w:szCs w:val="21"/>
                <w:highlight w:val="none"/>
              </w:rPr>
              <w:t>.自然人竞标的，竞争性谈判文件规定盖公章处由自然人摁手指指印。</w:t>
            </w:r>
          </w:p>
          <w:p>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 xml:space="preserve">    6.本竞争性谈判文件所称的“以上”“以下”“以内”“届满”，包括本数；所称的“不满”“超过”“以外”，不包括本数。</w:t>
            </w:r>
          </w:p>
        </w:tc>
      </w:tr>
    </w:tbl>
    <w:p>
      <w:pPr>
        <w:keepNext/>
        <w:keepLines/>
        <w:spacing w:before="260" w:after="260" w:line="420" w:lineRule="exact"/>
        <w:jc w:val="center"/>
        <w:outlineLvl w:val="1"/>
        <w:rPr>
          <w:rFonts w:hint="eastAsia" w:ascii="宋体" w:hAnsi="宋体" w:eastAsia="宋体" w:cs="Times New Roman"/>
          <w:bCs/>
          <w:color w:val="auto"/>
          <w:sz w:val="32"/>
          <w:szCs w:val="32"/>
          <w:highlight w:val="none"/>
          <w:lang w:val="zh-CN"/>
        </w:rPr>
      </w:pPr>
      <w:r>
        <w:rPr>
          <w:rFonts w:ascii="宋体" w:hAnsi="宋体" w:eastAsia="宋体" w:cs="Times New Roman"/>
          <w:bCs/>
          <w:color w:val="auto"/>
          <w:sz w:val="32"/>
          <w:szCs w:val="32"/>
          <w:highlight w:val="none"/>
          <w:lang w:val="zh-CN"/>
        </w:rPr>
        <w:br w:type="page"/>
      </w:r>
      <w:bookmarkStart w:id="104" w:name="_Toc29286"/>
      <w:bookmarkStart w:id="105" w:name="_Toc20165"/>
      <w:bookmarkStart w:id="106" w:name="_Toc80205924"/>
      <w:r>
        <w:rPr>
          <w:rFonts w:hint="eastAsia" w:ascii="宋体" w:hAnsi="宋体" w:eastAsia="宋体" w:cs="Times New Roman"/>
          <w:bCs/>
          <w:color w:val="auto"/>
          <w:sz w:val="32"/>
          <w:szCs w:val="32"/>
          <w:highlight w:val="none"/>
          <w:lang w:val="zh-CN"/>
        </w:rPr>
        <w:t>第二节 供应商须知正文</w:t>
      </w:r>
      <w:bookmarkEnd w:id="104"/>
      <w:bookmarkEnd w:id="105"/>
      <w:bookmarkEnd w:id="106"/>
    </w:p>
    <w:p>
      <w:pPr>
        <w:keepNext/>
        <w:keepLines/>
        <w:spacing w:line="360" w:lineRule="auto"/>
        <w:ind w:firstLine="640" w:firstLineChars="200"/>
        <w:outlineLvl w:val="2"/>
        <w:rPr>
          <w:rFonts w:hint="eastAsia" w:ascii="宋体" w:hAnsi="宋体" w:eastAsia="宋体" w:cs="Times New Roman"/>
          <w:bCs/>
          <w:color w:val="auto"/>
          <w:sz w:val="32"/>
          <w:szCs w:val="32"/>
          <w:highlight w:val="none"/>
          <w:lang w:val="zh-CN"/>
        </w:rPr>
      </w:pPr>
      <w:bookmarkStart w:id="107" w:name="_Toc27704"/>
      <w:bookmarkStart w:id="108" w:name="_Toc18711"/>
      <w:bookmarkStart w:id="109" w:name="_Toc80205925"/>
      <w:r>
        <w:rPr>
          <w:rFonts w:hint="eastAsia" w:ascii="宋体" w:hAnsi="宋体" w:eastAsia="宋体" w:cs="Times New Roman"/>
          <w:bCs/>
          <w:color w:val="auto"/>
          <w:sz w:val="32"/>
          <w:szCs w:val="32"/>
          <w:highlight w:val="none"/>
          <w:lang w:val="zh-CN"/>
        </w:rPr>
        <w:t>一、总则</w:t>
      </w:r>
      <w:bookmarkEnd w:id="107"/>
      <w:bookmarkEnd w:id="108"/>
      <w:bookmarkEnd w:id="109"/>
    </w:p>
    <w:p>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1.适用范围</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本竞争性谈判文件（以下简称谈判文件）适用于本项目的所有采购程序和环节（法律、法规另有规定的，从其规定）。</w:t>
      </w:r>
    </w:p>
    <w:p>
      <w:pPr>
        <w:spacing w:line="360" w:lineRule="auto"/>
        <w:ind w:firstLine="482" w:firstLineChars="200"/>
        <w:rPr>
          <w:rFonts w:hint="eastAsia" w:ascii="宋体" w:hAnsi="宋体" w:eastAsia="宋体" w:cs="宋体"/>
          <w:color w:val="auto"/>
          <w:szCs w:val="21"/>
          <w:highlight w:val="none"/>
        </w:rPr>
      </w:pPr>
      <w:r>
        <w:rPr>
          <w:rFonts w:hint="eastAsia" w:ascii="黑体" w:hAnsi="黑体" w:eastAsia="黑体" w:cs="宋体"/>
          <w:b/>
          <w:bCs/>
          <w:color w:val="auto"/>
          <w:sz w:val="24"/>
          <w:szCs w:val="24"/>
          <w:highlight w:val="none"/>
        </w:rPr>
        <w:t>2.定义</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2.1“采购人”是指依法进行采购的国家机关、事业单位、团体组织。</w:t>
      </w:r>
    </w:p>
    <w:p>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2.2“采购代理机构”是指政府采购集中采购机构和集中采购机构以外的采购代理机构。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2.4“货物”是指各种形态和种类的物品，包括原材料、燃料、设备、产品等。</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2.5“竞标”是指按照本项目竞争性谈判公告规定的方式供应商获取谈判文件、提交响应文件并希望获得标的的行为。</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2.6“售后服务” 是指包含但不限于供应商须承担的备品备件、包装、运输、装卸、保险、货到就位以及安装、调试、培训、保修和其他类似的义务。</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2.7“书面形式”是指合同书、信件和数据电文（包括电报、电传、传真、电子数据交换和电子邮件）等可以有形地表现所载内容的形式。</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2.8“响应文件”</w:t>
      </w:r>
      <w:r>
        <w:rPr>
          <w:rFonts w:hint="eastAsia" w:ascii="宋体" w:hAnsi="宋体" w:eastAsia="宋体" w:cs="宋体"/>
          <w:color w:val="auto"/>
          <w:spacing w:val="-6"/>
          <w:szCs w:val="21"/>
          <w:highlight w:val="none"/>
        </w:rPr>
        <w:t>是指：供应商根据本文件要求，编制包含报价、技术和货物等所有内容的文件。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 “实质性要求”是指竞争性谈判文件中已经指明不满足则响应文件作无效响应处理的条款，或者不能负偏离的条款，或者采购需求中带“▲”的条款。</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2.10“正偏离”，是指响应文件对谈判文件“采购需求”中有关条款作出优于条款要求并有利于采购人的响应情形；</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2.11“负偏离”，是指响应文件对谈判文件“采购需求”中有关条款作出的响应不满足条款要求，导致采购人要求不能得到满足的情形。</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2.12“允许负偏离的条款”是指采购需求中的不属于“实质性要求”的条款。</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2.13“首次报价”是指供应商提交的首次响应文件中的竞标报价。</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2.14“评审价”是指供应商提交的最后报价并经修正和政策功能价格扣除后的价格。</w:t>
      </w:r>
    </w:p>
    <w:p>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3.供应商的资格条件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4.谈判费用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供应商应承担参与本次采购活动有关的所有费用，包括但不限于、勘查现场、编制和提交响应文件、参加谈判与应答、签订合同等，不论竞标结果如何，均应自行承担。</w:t>
      </w:r>
    </w:p>
    <w:p>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5.联合体竞标</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Times New Roman"/>
          <w:color w:val="auto"/>
          <w:szCs w:val="24"/>
          <w:highlight w:val="none"/>
        </w:rPr>
        <w:t>如接受联合体竞标，</w:t>
      </w:r>
      <w:r>
        <w:rPr>
          <w:rFonts w:hint="eastAsia" w:ascii="宋体" w:hAnsi="宋体" w:eastAsia="宋体" w:cs="宋体"/>
          <w:color w:val="auto"/>
          <w:szCs w:val="21"/>
          <w:highlight w:val="none"/>
        </w:rPr>
        <w:t>联合体竞标要求详见“供应商须知前附表”。</w:t>
      </w:r>
    </w:p>
    <w:p>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宋体"/>
          <w:color w:val="auto"/>
          <w:szCs w:val="21"/>
          <w:highlight w:val="none"/>
        </w:rPr>
        <w:t>5.3根据《政府采购促进中小企业发展管理办法》（财库[2020]46号）第九条及 《广西壮族自治区财政厅关于贯彻落实政府采购支持中小企业发展政策的通知》（桂财采〔2022〕31号）规定，接受大中型企业与小微企业组成联合体的采购项目，对于联合协议约定小微企业的合同份额占到合同总金额 30%以上的，采购人、采购代理机构应当对联合体的报价给予 4%-6%的扣除，用扣除后的价格参加评审。组成联合体的小微企业与联合体内其他企业、分包企业之间存在直接控股、管理关系的，不享受价格扣除优惠政策</w:t>
      </w:r>
      <w:r>
        <w:rPr>
          <w:rFonts w:ascii="宋体" w:hAnsi="宋体" w:eastAsia="宋体" w:cs="Times New Roman"/>
          <w:bCs/>
          <w:color w:val="auto"/>
          <w:szCs w:val="21"/>
          <w:highlight w:val="none"/>
        </w:rPr>
        <w:t>。</w:t>
      </w:r>
    </w:p>
    <w:p>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 xml:space="preserve">6.转包与分包             </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rPr>
        <w:t>6.1本项目不允许转包。</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6.2本项目是否允许分包详见“供应商须知前附表”，本项目不允许违法分包。</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6.3根据《政府采购促进中小企业发展管理办法》（财库[2020]46号）第九条及 《广西壮族自治区财政厅关于贯彻落实政府采购支持中小企业发展政策的通知》（桂财采〔2022〕31号）规定，允许大中型企业向一家或者多家小微企业分包的采购项目，对于分包意向协议约定小微企业的合同份额占到合同总金额 30%以上的，采购人、采购代理机构应当对大中型企业的报价给予4%-6%的扣除，用扣除后的价格参加评审。接受分包的小微企业与分包企业之间存在直接控股、管理关系的，不享受价格扣除优惠政策</w:t>
      </w:r>
      <w:r>
        <w:rPr>
          <w:rFonts w:ascii="宋体" w:hAnsi="宋体" w:eastAsia="宋体" w:cs="Times New Roman"/>
          <w:bCs/>
          <w:color w:val="auto"/>
          <w:szCs w:val="21"/>
          <w:highlight w:val="none"/>
        </w:rPr>
        <w:t>。</w:t>
      </w:r>
    </w:p>
    <w:p>
      <w:pPr>
        <w:spacing w:line="360" w:lineRule="auto"/>
        <w:ind w:firstLine="482" w:firstLineChars="200"/>
        <w:rPr>
          <w:rFonts w:hint="eastAsia" w:ascii="黑体" w:hAnsi="黑体" w:eastAsia="黑体" w:cs="宋体"/>
          <w:b/>
          <w:bCs/>
          <w:color w:val="auto"/>
          <w:sz w:val="24"/>
          <w:szCs w:val="24"/>
          <w:highlight w:val="none"/>
        </w:rPr>
      </w:pPr>
      <w:bookmarkStart w:id="110" w:name="_Toc254970673"/>
      <w:bookmarkStart w:id="111" w:name="_Toc254970532"/>
      <w:r>
        <w:rPr>
          <w:rFonts w:hint="eastAsia" w:ascii="黑体" w:hAnsi="黑体" w:eastAsia="黑体" w:cs="宋体"/>
          <w:b/>
          <w:bCs/>
          <w:color w:val="auto"/>
          <w:sz w:val="24"/>
          <w:szCs w:val="24"/>
          <w:highlight w:val="none"/>
        </w:rPr>
        <w:t>7.特别说明</w:t>
      </w:r>
      <w:bookmarkEnd w:id="110"/>
      <w:bookmarkEnd w:id="111"/>
    </w:p>
    <w:p>
      <w:pPr>
        <w:spacing w:line="360" w:lineRule="auto"/>
        <w:ind w:firstLine="420" w:firstLineChars="200"/>
        <w:rPr>
          <w:rFonts w:hint="eastAsia" w:ascii="宋体" w:hAnsi="宋体" w:eastAsia="宋体" w:cs="宋体"/>
          <w:color w:val="auto"/>
          <w:szCs w:val="21"/>
          <w:highlight w:val="none"/>
        </w:rPr>
      </w:pPr>
      <w:bookmarkStart w:id="112" w:name="_8.1提供相同品牌产品且通过资格审查、符合性审查的不同投标人参加同一合"/>
      <w:bookmarkEnd w:id="112"/>
      <w:r>
        <w:rPr>
          <w:rFonts w:hint="eastAsia" w:ascii="宋体" w:hAnsi="宋体" w:eastAsia="宋体" w:cs="宋体"/>
          <w:color w:val="auto"/>
          <w:szCs w:val="21"/>
          <w:highlight w:val="none"/>
        </w:rPr>
        <w:t>7.1如果本谈判文件要求提供供应商或制造商的资格、信誉、荣誉、业绩与企业认证等材料的，资格、信誉、荣誉、业绩与企业认证等必须为供应商或者制造商所拥有或自身获得 。</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7.2供应商应仔细阅读谈判文件的所有内容，按照谈判文件的要求提交响应文件，并对所提供的全部资料的真实性承担法律责任。</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虚假材料,其响应文件作无效处理，并报监管部门查处；签订合同后发现的,成交供应商须依照《中华人民共和国消费者权益保护法》规定赔偿采购人，且民事赔偿并不免除违法供应商的行政与刑事责任。</w:t>
      </w:r>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7.4在政府采购活动中，采购人员及相关人员与供应商有下列利害关系之一的，应当回避：</w:t>
      </w:r>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（1）参加采购活动前3年内与供应商存在劳动关系；</w:t>
      </w:r>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（2）参加采购活动前3年内担任供应商的董事、监事；</w:t>
      </w:r>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（3）参加采购活动前3年内是供应商的控股股东或者实际控制人；</w:t>
      </w:r>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（4）与供应商的法定代表人或者负责人有夫妻、直系血亲、三代以内旁系血亲或者近姻亲关系；</w:t>
      </w:r>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（5）与供应商有其他可能影响政府采购活动公平、公正进行的关系。</w:t>
      </w:r>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7.5有下列情形之一的视为供应商相互串通竞标，响应文件将被视为无效：</w:t>
      </w:r>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（1）不同供应商的响应文件由同一单位或者个人编制；或不同供应商报名的IP地址一致的；</w:t>
      </w:r>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（2）不同供应商委托同一单位或者个人办理竞标事宜；</w:t>
      </w:r>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（3）不同的供应商的响应文件载明的项目管理员为同一个人；</w:t>
      </w:r>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（4）不同供应商的响应文件异常一致或者报价呈规律性差异；</w:t>
      </w:r>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（5）不同供应商的响应文件相互混装。</w:t>
      </w:r>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7.6供应商有下列情形之一的，属于恶意串通行为</w:t>
      </w:r>
      <w:bookmarkStart w:id="113" w:name="_Hlk54682620"/>
      <w:r>
        <w:rPr>
          <w:rFonts w:hint="eastAsia" w:ascii="宋体" w:hAnsi="宋体" w:eastAsia="宋体" w:cs="宋体"/>
          <w:b/>
          <w:bCs/>
          <w:color w:val="auto"/>
          <w:szCs w:val="21"/>
          <w:highlight w:val="none"/>
        </w:rPr>
        <w:t>，将报同级监督管理部门</w:t>
      </w:r>
      <w:bookmarkEnd w:id="113"/>
      <w:r>
        <w:rPr>
          <w:rFonts w:hint="eastAsia" w:ascii="宋体" w:hAnsi="宋体" w:eastAsia="宋体" w:cs="宋体"/>
          <w:b/>
          <w:bCs/>
          <w:color w:val="auto"/>
          <w:szCs w:val="21"/>
          <w:highlight w:val="none"/>
        </w:rPr>
        <w:t>：</w:t>
      </w:r>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（1）供应商直接或者间接从采购人或者采购代理机构处获得其他供应商的相关信息并修改其响应文件；</w:t>
      </w:r>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（2）供应商按照采购人或者采购代理机构的授意撤换、修改响应文件；</w:t>
      </w:r>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（3）供应商之间协商报价、技术方案等响应文件的实质性内容；</w:t>
      </w:r>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（4）属于同一集团、协会、商会等组织成员的供应商按照该组织要求协同参加政府采购活动；</w:t>
      </w:r>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（5）供应商之间事先约定一致抬高或者压低报价,或者在政府采购活动中事先约定轮流以高价位或者低价位成交,或者事先约定由某一特定供应商成交,然后再参加竞标；</w:t>
      </w:r>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（6）供应商之间商定部分供应商放弃参加政府采购活动或者放弃成交；</w:t>
      </w:r>
    </w:p>
    <w:p>
      <w:pPr>
        <w:spacing w:line="360" w:lineRule="auto"/>
        <w:ind w:firstLine="42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（7）供应商与采购人或者采购代理机构之间、供应商相互之间，为谋求特定供应商成交或者排斥其他供应商的其他串通行为。</w:t>
      </w:r>
      <w:bookmarkStart w:id="114" w:name="_Toc254970534"/>
      <w:bookmarkStart w:id="115" w:name="_Toc254970675"/>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4"/>
          <w:highlight w:val="none"/>
        </w:rPr>
        <w:t>7.7</w:t>
      </w:r>
      <w:r>
        <w:rPr>
          <w:rFonts w:hint="eastAsia" w:ascii="宋体" w:hAnsi="宋体" w:eastAsia="宋体" w:cs="宋体"/>
          <w:b/>
          <w:bCs/>
          <w:color w:val="auto"/>
          <w:szCs w:val="21"/>
          <w:highlight w:val="none"/>
        </w:rPr>
        <w:t>单一产品采购项目，提供相同品牌产品的不同供应商参加同一合同项下竞标的，以其中通过资格审查、符合性审查、谈判且最后报价最低的参加评审；最后报价相同的，由采购人或者采购人委托谈判小组按照竞争性谈判文件规定的方式确定一个参加评审的供应商，竞争性谈判文件未规定的采取随机抽取方式确定，</w:t>
      </w:r>
      <w:r>
        <w:rPr>
          <w:rFonts w:hint="eastAsia" w:ascii="宋体" w:hAnsi="宋体" w:eastAsia="宋体" w:cs="宋体"/>
          <w:b/>
          <w:bCs/>
          <w:color w:val="auto"/>
          <w:kern w:val="0"/>
          <w:szCs w:val="21"/>
          <w:highlight w:val="none"/>
        </w:rPr>
        <w:t>其他竞标无效</w:t>
      </w:r>
      <w:r>
        <w:rPr>
          <w:rFonts w:hint="eastAsia" w:ascii="宋体" w:hAnsi="宋体" w:eastAsia="宋体" w:cs="宋体"/>
          <w:b/>
          <w:bCs/>
          <w:color w:val="auto"/>
          <w:szCs w:val="21"/>
          <w:highlight w:val="none"/>
        </w:rPr>
        <w:t>。</w:t>
      </w:r>
    </w:p>
    <w:p>
      <w:pPr>
        <w:spacing w:line="360" w:lineRule="auto"/>
        <w:ind w:firstLine="422" w:firstLineChars="200"/>
        <w:rPr>
          <w:rFonts w:hint="eastAsia" w:ascii="宋体" w:hAnsi="宋体" w:eastAsia="宋体" w:cs="宋体"/>
          <w:b/>
          <w:bCs/>
          <w:color w:val="auto"/>
          <w:highlight w:val="none"/>
        </w:rPr>
      </w:pPr>
      <w:r>
        <w:rPr>
          <w:rFonts w:hint="eastAsia" w:ascii="宋体" w:hAnsi="宋体" w:eastAsia="宋体" w:cs="宋体"/>
          <w:b/>
          <w:bCs/>
          <w:color w:val="auto"/>
          <w:szCs w:val="21"/>
          <w:highlight w:val="none"/>
        </w:rPr>
        <w:t>非单一产品采购项目，多家供应商提供的核心产品品牌相同的，按前款规定处理。</w:t>
      </w:r>
    </w:p>
    <w:p>
      <w:pPr>
        <w:keepNext/>
        <w:keepLines/>
        <w:spacing w:line="360" w:lineRule="auto"/>
        <w:ind w:firstLine="640" w:firstLineChars="200"/>
        <w:outlineLvl w:val="2"/>
        <w:rPr>
          <w:rFonts w:hint="eastAsia" w:ascii="宋体" w:hAnsi="宋体" w:eastAsia="宋体" w:cs="Times New Roman"/>
          <w:color w:val="auto"/>
          <w:sz w:val="32"/>
          <w:szCs w:val="32"/>
          <w:highlight w:val="none"/>
          <w:lang w:val="zh-CN"/>
        </w:rPr>
      </w:pPr>
      <w:bookmarkStart w:id="116" w:name="_Toc80205926"/>
      <w:bookmarkStart w:id="117" w:name="_Toc10931"/>
      <w:bookmarkStart w:id="118" w:name="_Toc30516"/>
      <w:r>
        <w:rPr>
          <w:rFonts w:hint="eastAsia" w:ascii="宋体" w:hAnsi="宋体" w:eastAsia="宋体" w:cs="Times New Roman"/>
          <w:color w:val="auto"/>
          <w:sz w:val="32"/>
          <w:szCs w:val="32"/>
          <w:highlight w:val="none"/>
          <w:lang w:val="zh-CN"/>
        </w:rPr>
        <w:t>二、谈判文件</w:t>
      </w:r>
      <w:bookmarkEnd w:id="114"/>
      <w:bookmarkEnd w:id="115"/>
      <w:bookmarkEnd w:id="116"/>
      <w:bookmarkEnd w:id="117"/>
      <w:bookmarkEnd w:id="118"/>
    </w:p>
    <w:p>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8.谈判文件的构成</w:t>
      </w:r>
    </w:p>
    <w:p>
      <w:pPr>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第一章 竞争性谈判公告；</w:t>
      </w:r>
    </w:p>
    <w:p>
      <w:pPr>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第二章 采购需求；</w:t>
      </w:r>
    </w:p>
    <w:p>
      <w:pPr>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第三章 供应商须知； </w:t>
      </w:r>
    </w:p>
    <w:p>
      <w:pPr>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第四章 评审程序、评审方法和成交标准；</w:t>
      </w:r>
    </w:p>
    <w:p>
      <w:pPr>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第五章 响应文件格式；</w:t>
      </w:r>
    </w:p>
    <w:p>
      <w:pPr>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第六章 合同文本；</w:t>
      </w:r>
    </w:p>
    <w:p>
      <w:pPr>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第七章 质疑、投诉材料格式。</w:t>
      </w:r>
    </w:p>
    <w:p>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9.供应商的询问</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供应商应认真阅读谈判文件的采购需求，如供应商对谈判文件有疑问的，如要求采购人作出澄清或者修改的，供应商尽应在</w:t>
      </w:r>
      <w:r>
        <w:rPr>
          <w:rFonts w:ascii="宋体" w:hAnsi="宋体" w:eastAsia="宋体" w:cs="Times New Roman"/>
          <w:color w:val="auto"/>
          <w:szCs w:val="21"/>
          <w:highlight w:val="none"/>
        </w:rPr>
        <w:t>提交首次响应文件截止之日前</w:t>
      </w:r>
      <w:r>
        <w:rPr>
          <w:rFonts w:hint="eastAsia" w:ascii="宋体" w:hAnsi="宋体" w:eastAsia="宋体" w:cs="Times New Roman"/>
          <w:color w:val="auto"/>
          <w:szCs w:val="21"/>
          <w:highlight w:val="none"/>
        </w:rPr>
        <w:t>，以书面形式向</w:t>
      </w:r>
      <w:r>
        <w:rPr>
          <w:rFonts w:ascii="宋体" w:hAnsi="宋体" w:eastAsia="宋体" w:cs="Times New Roman"/>
          <w:color w:val="auto"/>
          <w:szCs w:val="21"/>
          <w:highlight w:val="none"/>
        </w:rPr>
        <w:t>采购人、采购代理机构</w:t>
      </w:r>
      <w:r>
        <w:rPr>
          <w:rFonts w:hint="eastAsia" w:ascii="宋体" w:hAnsi="宋体" w:eastAsia="宋体" w:cs="Times New Roman"/>
          <w:color w:val="auto"/>
          <w:szCs w:val="21"/>
          <w:highlight w:val="none"/>
        </w:rPr>
        <w:t>提出。</w:t>
      </w:r>
    </w:p>
    <w:p>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10.谈判文件的澄清和修改</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10.1已获取谈判文件的潜在供应商，若有问题需要澄清，应于应标截止时间前，以书面形式向采购代理机构提出，采购代理机构与采购人研究后，对认为有必要回答的问题，按照本章10.3的内容处理。</w:t>
      </w:r>
    </w:p>
    <w:p>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谈判文件进行必要的澄清或者修改，但不得改变采购标的和资格条件。澄清或者修改应当在原公告发布媒体上发布澄清公告。澄清或者修改的内容为谈判文件的组成部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在提交首次响应文件截止之日3个工作日前，以书面形式（目前为网上公告和系统短信等形式）通知所有接收谈判文件的供应商，不足</w:t>
      </w:r>
      <w:bookmarkStart w:id="119" w:name="OLE_LINK16"/>
      <w:r>
        <w:rPr>
          <w:rFonts w:hint="eastAsia" w:ascii="宋体" w:hAnsi="宋体" w:eastAsia="宋体" w:cs="宋体"/>
          <w:color w:val="auto"/>
          <w:szCs w:val="21"/>
          <w:highlight w:val="none"/>
        </w:rPr>
        <w:t>3个工作日</w:t>
      </w:r>
      <w:bookmarkEnd w:id="119"/>
      <w:r>
        <w:rPr>
          <w:rFonts w:hint="eastAsia" w:ascii="宋体" w:hAnsi="宋体" w:eastAsia="宋体" w:cs="宋体"/>
          <w:color w:val="auto"/>
          <w:szCs w:val="21"/>
          <w:highlight w:val="none"/>
        </w:rPr>
        <w:t>的，应当顺延提交首次响应文件截止之日。澄清或者更正公告在竞争性谈判公告发布媒体上发布，一经发布，视作已以书面形式通知所有接收谈判文件的潜在供应商，不再另行通知，所有潜在供应商应密切关注竞争性谈判公告发布媒体，因未能及时获知，由此产生的后果均应自行承担。</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szCs w:val="24"/>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10.5  采购人和采购代理机构可以视采购具体情况，变更提交首次响应文件截止时间和竞谈时间，将变更时间将在“竞争性谈判公告”中“七、其他补充事宜</w:t>
      </w:r>
      <w:r>
        <w:rPr>
          <w:rFonts w:hint="eastAsia" w:ascii="宋体" w:hAnsi="宋体" w:eastAsia="宋体" w:cs="宋体"/>
          <w:color w:val="auto"/>
          <w:kern w:val="0"/>
          <w:szCs w:val="21"/>
          <w:highlight w:val="none"/>
        </w:rPr>
        <w:t>（二）</w:t>
      </w:r>
      <w:r>
        <w:rPr>
          <w:rFonts w:hint="eastAsia" w:ascii="宋体" w:hAnsi="宋体" w:eastAsia="宋体" w:cs="宋体"/>
          <w:color w:val="auto"/>
          <w:szCs w:val="24"/>
          <w:highlight w:val="none"/>
        </w:rPr>
        <w:t>网上查询地址”规定的政府采购信息发布媒体上发布更正公告。</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b/>
          <w:color w:val="auto"/>
          <w:kern w:val="0"/>
          <w:szCs w:val="21"/>
          <w:highlight w:val="none"/>
        </w:rPr>
        <w:t>响应文件未按谈判文件的澄清、修改的内容编制，又不符合实质性要求的，其响应文件作无效处理。</w:t>
      </w:r>
    </w:p>
    <w:p>
      <w:pPr>
        <w:keepNext/>
        <w:keepLines/>
        <w:spacing w:line="360" w:lineRule="auto"/>
        <w:outlineLvl w:val="2"/>
        <w:rPr>
          <w:rFonts w:hint="eastAsia" w:ascii="宋体" w:hAnsi="宋体" w:eastAsia="宋体" w:cs="Times New Roman"/>
          <w:color w:val="auto"/>
          <w:sz w:val="32"/>
          <w:szCs w:val="32"/>
          <w:highlight w:val="none"/>
          <w:lang w:val="zh-CN"/>
        </w:rPr>
      </w:pPr>
      <w:r>
        <w:rPr>
          <w:rFonts w:hint="eastAsia" w:ascii="宋体" w:hAnsi="宋体" w:eastAsia="宋体" w:cs="Times New Roman"/>
          <w:color w:val="auto"/>
          <w:sz w:val="32"/>
          <w:szCs w:val="32"/>
          <w:highlight w:val="none"/>
          <w:lang w:val="zh-CN"/>
        </w:rPr>
        <w:t xml:space="preserve"> </w:t>
      </w:r>
      <w:bookmarkStart w:id="120" w:name="_Toc80205927"/>
      <w:bookmarkStart w:id="121" w:name="_Toc12627"/>
      <w:bookmarkStart w:id="122" w:name="_Toc11107"/>
      <w:r>
        <w:rPr>
          <w:rFonts w:hint="eastAsia" w:ascii="宋体" w:hAnsi="宋体" w:eastAsia="宋体" w:cs="Times New Roman"/>
          <w:color w:val="auto"/>
          <w:sz w:val="32"/>
          <w:szCs w:val="32"/>
          <w:highlight w:val="none"/>
          <w:lang w:val="zh-CN"/>
        </w:rPr>
        <w:t>三、响应文件的编制</w:t>
      </w:r>
      <w:bookmarkEnd w:id="120"/>
      <w:bookmarkEnd w:id="121"/>
      <w:bookmarkEnd w:id="122"/>
    </w:p>
    <w:p>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11.响应文件的编制原则</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供应商必须按照谈判文件的要求编制响应文件，并对其提交的响应文件的真实性、合法性承担法律责任。响应文件必须对谈判文件作出实质性响应。</w:t>
      </w:r>
    </w:p>
    <w:p>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12.响应文件的组成</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12.1响应文件由资格证明文件、报价文件、商务和技术文件三部分组成。</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ascii="宋体" w:hAnsi="宋体" w:eastAsia="宋体" w:cs="宋体"/>
          <w:color w:val="auto"/>
          <w:szCs w:val="21"/>
          <w:highlight w:val="none"/>
        </w:rPr>
        <w:t>2.1.1</w:t>
      </w:r>
      <w:r>
        <w:rPr>
          <w:rFonts w:hint="eastAsia" w:ascii="宋体" w:hAnsi="宋体" w:eastAsia="宋体" w:cs="宋体"/>
          <w:color w:val="auto"/>
          <w:szCs w:val="21"/>
          <w:highlight w:val="none"/>
        </w:rPr>
        <w:t>资格证明文件：详见供应商须知前附表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12.1.2商务技术文件：详见供应商须知前附表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ascii="宋体" w:hAnsi="宋体" w:eastAsia="宋体" w:cs="宋体"/>
          <w:color w:val="auto"/>
          <w:szCs w:val="21"/>
          <w:highlight w:val="none"/>
        </w:rPr>
        <w:t>2.1.</w:t>
      </w:r>
      <w:r>
        <w:rPr>
          <w:rFonts w:hint="eastAsia" w:ascii="宋体" w:hAnsi="宋体" w:eastAsia="宋体" w:cs="宋体"/>
          <w:color w:val="auto"/>
          <w:szCs w:val="21"/>
          <w:highlight w:val="none"/>
        </w:rPr>
        <w:t>3报价文件：详见供应商须知前附表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ascii="宋体" w:hAnsi="宋体" w:eastAsia="宋体" w:cs="宋体"/>
          <w:color w:val="auto"/>
          <w:szCs w:val="21"/>
          <w:highlight w:val="none"/>
        </w:rPr>
        <w:t>2</w:t>
      </w:r>
      <w:r>
        <w:rPr>
          <w:rFonts w:hint="eastAsia" w:ascii="宋体" w:hAnsi="宋体" w:eastAsia="宋体" w:cs="宋体"/>
          <w:color w:val="auto"/>
          <w:szCs w:val="21"/>
          <w:highlight w:val="none"/>
        </w:rPr>
        <w:t>响应文件电子版：详见供应商须知前附表</w:t>
      </w:r>
    </w:p>
    <w:p>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13.计量单位</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谈判文件已有明确规定的，使用谈判文件规定的计量单位；谈判文件没有规定的，应采用中华人民共和国法定计量单位，货币种类为人民币，否则视同未响应。</w:t>
      </w:r>
    </w:p>
    <w:p>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14.竞标的风险</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供应商没有按照谈判文件要求提供全部资料，或者供应商没有对谈判文件在各方面作出实质性响应可能导致其响应无效，是供应商应当考虑的风险。</w:t>
      </w:r>
    </w:p>
    <w:p>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15.响应报价要求和构成</w:t>
      </w:r>
    </w:p>
    <w:p>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15.1响应报价应按“第五章 响应文件格式”中“响应报价表”格式填写。</w:t>
      </w:r>
    </w:p>
    <w:p>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15.3.1供应商的响应报价应符合以下要求，否则响应文件作无效响应处理：</w:t>
      </w:r>
    </w:p>
    <w:p>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（1）供应商必须就“采购需求”中所竞标的项目的全部内容分别作完整唯一总价报价，不得存在漏项报价；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（2）供应商必须就所竞标的项目的单项内容作唯一报价。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15.3.2响应报价（包含首次报价、最后报价）超过所竞标项目规定的采购预算金额或者最高限价的（如本项目公布了最高限价），其响应文件将作无效处理。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123" w:name="_Hlk42592874"/>
      <w:r>
        <w:rPr>
          <w:rFonts w:hint="eastAsia" w:ascii="宋体" w:hAnsi="宋体" w:eastAsia="宋体" w:cs="宋体"/>
          <w:color w:val="auto"/>
          <w:szCs w:val="21"/>
          <w:highlight w:val="none"/>
        </w:rPr>
        <w:t>响应报价（包含首次报价、最后报价）超过分项采购预算金额或者最高限价的（如本项目公布了最高限价），其响应文件将作无效处理。</w:t>
      </w:r>
    </w:p>
    <w:bookmarkEnd w:id="123"/>
    <w:p>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16.竞标有效期</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17.谈判保证金：本项目不收取谈判保证金。</w:t>
      </w:r>
    </w:p>
    <w:p>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18.响应文件编制的要求</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18.1各供应商在编制响应文件时请按照谈判文件“第五章 响应文件格式”规定的格式进行，混乱的编排导致响应文件被误读或谈判小组查找不到有效文件是供应商的风险。不完整、编排混乱导致响应文件被误读、漏读或者查找不到相关内容的，</w:t>
      </w:r>
      <w:r>
        <w:rPr>
          <w:rFonts w:hint="eastAsia" w:ascii="宋体" w:hAnsi="宋体" w:eastAsia="宋体" w:cs="宋体"/>
          <w:color w:val="auto"/>
          <w:szCs w:val="24"/>
          <w:highlight w:val="none"/>
        </w:rPr>
        <w:t>由此引发的</w:t>
      </w:r>
      <w:r>
        <w:rPr>
          <w:rFonts w:hint="eastAsia" w:ascii="宋体" w:hAnsi="宋体" w:eastAsia="宋体" w:cs="宋体"/>
          <w:color w:val="auto"/>
          <w:szCs w:val="21"/>
          <w:highlight w:val="none"/>
        </w:rPr>
        <w:t>后果由供应商承担。</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18.2响应文件应按资格证明、报价分别编制，商务技术文件合并编制，本谈判只接收电子版响应文件，要求见本章“12.2响应文件电子版要求”。</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124" w:name="_Hlk65832699"/>
      <w:r>
        <w:rPr>
          <w:rFonts w:hint="eastAsia" w:ascii="宋体" w:hAnsi="宋体" w:eastAsia="宋体" w:cs="宋体"/>
          <w:color w:val="auto"/>
          <w:szCs w:val="21"/>
          <w:highlight w:val="none"/>
        </w:rPr>
        <w:t>3</w:t>
      </w:r>
      <w:r>
        <w:rPr>
          <w:rFonts w:hint="eastAsia" w:ascii="宋体" w:hAnsi="宋体" w:eastAsia="宋体" w:cs="Times New Roman"/>
          <w:color w:val="auto"/>
          <w:szCs w:val="21"/>
          <w:highlight w:val="none"/>
        </w:rPr>
        <w:t>响应文件须由供应商按</w:t>
      </w:r>
      <w:r>
        <w:rPr>
          <w:rFonts w:hint="eastAsia" w:ascii="宋体" w:hAnsi="宋体" w:eastAsia="宋体" w:cs="仿宋_GB2312"/>
          <w:color w:val="auto"/>
          <w:kern w:val="0"/>
          <w:szCs w:val="21"/>
          <w:highlight w:val="none"/>
          <w:lang w:val="zh-CN"/>
        </w:rPr>
        <w:t>“</w:t>
      </w:r>
      <w:r>
        <w:rPr>
          <w:rFonts w:hint="eastAsia" w:ascii="宋体" w:hAnsi="宋体" w:eastAsia="宋体" w:cs="Times New Roman"/>
          <w:color w:val="auto"/>
          <w:szCs w:val="21"/>
          <w:highlight w:val="none"/>
        </w:rPr>
        <w:t>第五章 响应文件格式</w:t>
      </w:r>
      <w:r>
        <w:rPr>
          <w:rFonts w:hint="eastAsia" w:ascii="宋体" w:hAnsi="宋体" w:eastAsia="宋体" w:cs="仿宋_GB2312"/>
          <w:color w:val="auto"/>
          <w:kern w:val="0"/>
          <w:szCs w:val="21"/>
          <w:highlight w:val="none"/>
          <w:lang w:val="zh-CN"/>
        </w:rPr>
        <w:t>”</w:t>
      </w:r>
      <w:r>
        <w:rPr>
          <w:rFonts w:hint="eastAsia" w:ascii="宋体" w:hAnsi="宋体" w:eastAsia="宋体" w:cs="Times New Roman"/>
          <w:color w:val="auto"/>
          <w:szCs w:val="21"/>
          <w:highlight w:val="none"/>
        </w:rPr>
        <w:t>要求</w:t>
      </w:r>
      <w:r>
        <w:rPr>
          <w:rFonts w:hint="eastAsia" w:ascii="宋体" w:hAnsi="宋体" w:eastAsia="宋体" w:cs="仿宋_GB2312"/>
          <w:color w:val="auto"/>
          <w:szCs w:val="21"/>
          <w:highlight w:val="none"/>
        </w:rPr>
        <w:t>进行签署、盖章</w:t>
      </w:r>
      <w:bookmarkEnd w:id="124"/>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否则其响应文件作无效响应处理。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18.4响应文件中标注的供应商名称应与营业执照（事业单位法人证书、执业许可证、自然人身份证）及公章一致，</w:t>
      </w:r>
      <w:r>
        <w:rPr>
          <w:rFonts w:hint="eastAsia" w:ascii="宋体" w:hAnsi="宋体" w:eastAsia="宋体" w:cs="宋体"/>
          <w:b/>
          <w:bCs/>
          <w:color w:val="auto"/>
          <w:szCs w:val="21"/>
          <w:highlight w:val="none"/>
        </w:rPr>
        <w:t>否则其响应文件作无效响应处理</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18.5响应文件应避免涂改、行间插字或者删除。</w:t>
      </w:r>
    </w:p>
    <w:p>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19.响应文件的密封和标记</w:t>
      </w:r>
    </w:p>
    <w:p>
      <w:pPr>
        <w:spacing w:line="360" w:lineRule="auto"/>
        <w:ind w:firstLine="420" w:firstLineChars="200"/>
        <w:rPr>
          <w:rFonts w:hint="eastAsia"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19.1供应商进行电子交易应安装客户端软件—“</w:t>
      </w:r>
      <w:r>
        <w:rPr>
          <w:rFonts w:hint="eastAsia" w:ascii="宋体" w:hAnsi="宋体" w:cs="宋体"/>
          <w:color w:val="auto"/>
          <w:szCs w:val="21"/>
          <w:highlight w:val="none"/>
        </w:rPr>
        <w:t>广西政府采购云平台新版客户端</w:t>
      </w:r>
      <w:r>
        <w:rPr>
          <w:rFonts w:hint="eastAsia" w:ascii="宋体" w:hAnsi="宋体" w:eastAsia="宋体" w:cs="仿宋_GB2312"/>
          <w:color w:val="auto"/>
          <w:kern w:val="0"/>
          <w:szCs w:val="21"/>
          <w:highlight w:val="none"/>
          <w:lang w:val="zh-CN"/>
        </w:rPr>
        <w:t>”，并按照谈判文件和电子交易平台的要求编制并加密响应文件。供应商未按规定加密的响应文件，电子交易平台将拒收并提示。</w:t>
      </w:r>
    </w:p>
    <w:p>
      <w:pPr>
        <w:spacing w:line="360" w:lineRule="auto"/>
        <w:ind w:firstLine="420" w:firstLineChars="200"/>
        <w:rPr>
          <w:rFonts w:hint="eastAsia"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19.2使用“</w:t>
      </w:r>
      <w:r>
        <w:rPr>
          <w:rFonts w:hint="eastAsia" w:ascii="宋体" w:hAnsi="宋体" w:cs="宋体"/>
          <w:color w:val="auto"/>
          <w:szCs w:val="21"/>
          <w:highlight w:val="none"/>
        </w:rPr>
        <w:t>广西政府采购云平台</w:t>
      </w:r>
      <w:r>
        <w:rPr>
          <w:rFonts w:hint="eastAsia" w:ascii="宋体" w:hAnsi="宋体" w:eastAsia="宋体" w:cs="仿宋_GB2312"/>
          <w:color w:val="auto"/>
          <w:kern w:val="0"/>
          <w:szCs w:val="21"/>
          <w:highlight w:val="none"/>
          <w:lang w:val="zh-CN"/>
        </w:rPr>
        <w:t>电子交易客户端”需要提前申领CA数字证书。</w:t>
      </w:r>
    </w:p>
    <w:p>
      <w:pPr>
        <w:spacing w:line="360" w:lineRule="auto"/>
        <w:ind w:firstLine="420" w:firstLineChars="200"/>
        <w:rPr>
          <w:rFonts w:hint="eastAsia"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19.3为确保网上操作合法、有效和安全，供应商应当在响应文件提交截止时间前完成在“</w:t>
      </w:r>
      <w:r>
        <w:rPr>
          <w:rFonts w:hint="eastAsia" w:ascii="宋体" w:hAnsi="宋体" w:cs="宋体"/>
          <w:color w:val="auto"/>
          <w:szCs w:val="21"/>
          <w:highlight w:val="none"/>
        </w:rPr>
        <w:t>广西政府采购云平台</w:t>
      </w:r>
      <w:r>
        <w:rPr>
          <w:rFonts w:hint="eastAsia" w:ascii="宋体" w:hAnsi="宋体" w:eastAsia="宋体" w:cs="仿宋_GB2312"/>
          <w:color w:val="auto"/>
          <w:kern w:val="0"/>
          <w:szCs w:val="21"/>
          <w:highlight w:val="none"/>
          <w:lang w:val="zh-CN"/>
        </w:rPr>
        <w:t>”的身份认证，确保在电子交易过程中能够对相关数据电文进行加密和使用电子签名。</w:t>
      </w:r>
    </w:p>
    <w:p>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20.响应文件的提交</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20.1供应商必须在“供应商须知前附表”规定的时间和地点提交响应文件。</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rPr>
        <w:t>20</w:t>
      </w:r>
      <w:r>
        <w:rPr>
          <w:rFonts w:hint="eastAsia" w:ascii="宋体" w:hAnsi="宋体" w:eastAsia="宋体" w:cs="Times New Roman"/>
          <w:color w:val="auto"/>
          <w:szCs w:val="21"/>
          <w:highlight w:val="none"/>
        </w:rPr>
        <w:t>.2 在响应文件提交截止时间以后，不能补充、修改响应文件。</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20.3 在提交“最后报价”后，供应商不能退出谈判。</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20.5 采购机构不可视情况延长提交响应文件的截止时间。</w:t>
      </w:r>
    </w:p>
    <w:p>
      <w:pPr>
        <w:spacing w:line="360" w:lineRule="auto"/>
        <w:ind w:firstLine="420" w:firstLineChars="200"/>
        <w:rPr>
          <w:rFonts w:hint="eastAsia" w:ascii="黑体" w:hAnsi="黑体" w:eastAsia="黑体" w:cs="Times New Roman"/>
          <w:color w:val="auto"/>
          <w:sz w:val="24"/>
          <w:szCs w:val="24"/>
          <w:highlight w:val="none"/>
        </w:rPr>
      </w:pPr>
      <w:r>
        <w:rPr>
          <w:rFonts w:hint="eastAsia" w:ascii="宋体" w:hAnsi="宋体" w:eastAsia="宋体" w:cs="Times New Roman"/>
          <w:color w:val="auto"/>
          <w:szCs w:val="21"/>
          <w:highlight w:val="none"/>
        </w:rPr>
        <w:t>20.6备份响应文件。</w:t>
      </w:r>
      <w:r>
        <w:rPr>
          <w:rFonts w:hint="eastAsia" w:ascii="Times New Roman" w:hAnsi="宋体" w:eastAsia="宋体" w:cs="Times New Roman"/>
          <w:bCs/>
          <w:color w:val="auto"/>
          <w:szCs w:val="21"/>
          <w:highlight w:val="none"/>
        </w:rPr>
        <w:t>详见“供应商须知前附表”。</w:t>
      </w:r>
    </w:p>
    <w:p>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21.首次响应文件的补充、修改与撤回</w:t>
      </w:r>
    </w:p>
    <w:p>
      <w:pPr>
        <w:adjustRightInd w:val="0"/>
        <w:spacing w:line="360" w:lineRule="auto"/>
        <w:ind w:firstLine="420" w:firstLineChars="200"/>
        <w:rPr>
          <w:rFonts w:hint="eastAsia" w:ascii="宋体" w:hAnsi="宋体" w:eastAsia="宋体" w:cs="仿宋_GB2312"/>
          <w:color w:val="auto"/>
          <w:kern w:val="0"/>
          <w:szCs w:val="21"/>
          <w:highlight w:val="none"/>
        </w:rPr>
      </w:pPr>
      <w:r>
        <w:rPr>
          <w:rFonts w:hint="eastAsia" w:ascii="宋体" w:hAnsi="宋体" w:eastAsia="宋体" w:cs="仿宋_GB2312"/>
          <w:color w:val="auto"/>
          <w:kern w:val="0"/>
          <w:szCs w:val="21"/>
          <w:highlight w:val="none"/>
        </w:rPr>
        <w:t>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文件提交截止时间后提交的响应文件，电子交易平台将拒收。</w:t>
      </w:r>
    </w:p>
    <w:p>
      <w:pPr>
        <w:spacing w:line="360" w:lineRule="auto"/>
        <w:ind w:firstLine="482" w:firstLineChars="200"/>
        <w:rPr>
          <w:rFonts w:hint="eastAsia" w:ascii="黑体" w:hAnsi="黑体" w:eastAsia="黑体" w:cs="宋体"/>
          <w:b/>
          <w:bCs/>
          <w:color w:val="auto"/>
          <w:sz w:val="24"/>
          <w:szCs w:val="24"/>
          <w:highlight w:val="none"/>
        </w:rPr>
      </w:pPr>
      <w:bookmarkStart w:id="125" w:name="_Hlk45702405"/>
      <w:r>
        <w:rPr>
          <w:rFonts w:hint="eastAsia" w:ascii="黑体" w:hAnsi="黑体" w:eastAsia="黑体" w:cs="宋体"/>
          <w:b/>
          <w:bCs/>
          <w:color w:val="auto"/>
          <w:sz w:val="24"/>
          <w:szCs w:val="24"/>
          <w:highlight w:val="none"/>
        </w:rPr>
        <w:t>22. 截止时间后的撤回</w:t>
      </w:r>
    </w:p>
    <w:bookmarkEnd w:id="125"/>
    <w:p>
      <w:pPr>
        <w:pStyle w:val="15"/>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供应商在首次响应文件提交截止时间后向采购人、采购代理机构书面申请撤回响应文件。</w:t>
      </w:r>
    </w:p>
    <w:p>
      <w:pPr>
        <w:keepNext/>
        <w:keepLines/>
        <w:spacing w:line="360" w:lineRule="auto"/>
        <w:ind w:firstLine="640" w:firstLineChars="200"/>
        <w:outlineLvl w:val="2"/>
        <w:rPr>
          <w:rFonts w:hint="eastAsia" w:ascii="宋体" w:hAnsi="宋体" w:eastAsia="宋体" w:cs="Times New Roman"/>
          <w:color w:val="auto"/>
          <w:sz w:val="32"/>
          <w:szCs w:val="32"/>
          <w:highlight w:val="none"/>
          <w:lang w:val="zh-CN"/>
        </w:rPr>
      </w:pPr>
      <w:r>
        <w:rPr>
          <w:rFonts w:hint="eastAsia" w:ascii="宋体" w:hAnsi="宋体" w:eastAsia="宋体" w:cs="Times New Roman"/>
          <w:color w:val="auto"/>
          <w:sz w:val="32"/>
          <w:szCs w:val="32"/>
          <w:highlight w:val="none"/>
          <w:lang w:val="zh-CN"/>
        </w:rPr>
        <w:t xml:space="preserve">  </w:t>
      </w:r>
      <w:bookmarkStart w:id="126" w:name="_Toc29978"/>
      <w:bookmarkStart w:id="127" w:name="_Toc80205928"/>
      <w:bookmarkStart w:id="128" w:name="_Toc8836"/>
      <w:r>
        <w:rPr>
          <w:rFonts w:hint="eastAsia" w:ascii="宋体" w:hAnsi="宋体" w:eastAsia="宋体" w:cs="Times New Roman"/>
          <w:color w:val="auto"/>
          <w:sz w:val="32"/>
          <w:szCs w:val="32"/>
          <w:highlight w:val="none"/>
          <w:lang w:val="zh-CN"/>
        </w:rPr>
        <w:t>四、评审及谈判</w:t>
      </w:r>
      <w:bookmarkEnd w:id="126"/>
      <w:bookmarkEnd w:id="127"/>
      <w:bookmarkEnd w:id="128"/>
    </w:p>
    <w:p>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23.谈判小组成立</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23.1谈判小组由采购人代表和评审专家共3人以上单数组成，其中评审专家人数不得少于谈判小组成员总数的2/3。采购人代表不得以评审专家身份参加本部门或者本单位采购项目的评审。采购代理机构人员不得参加本机构代理的采购项目的评审。达到公开招标数额标准的货物或者货物采购项目，或者达到公开招标规模标准的政府采购工程，经批准采用竞争性谈判方式采购的，谈判小组由5人以上单数组成。</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23.2评审专家应当从政府采购评审专家库内相关专业的专家名单中随机抽取。</w:t>
      </w:r>
    </w:p>
    <w:p>
      <w:pPr>
        <w:spacing w:line="360" w:lineRule="auto"/>
        <w:ind w:firstLine="482" w:firstLineChars="200"/>
        <w:rPr>
          <w:rFonts w:hint="eastAsia" w:ascii="黑体" w:hAnsi="黑体" w:eastAsia="黑体" w:cs="宋体"/>
          <w:b/>
          <w:bCs/>
          <w:color w:val="auto"/>
          <w:sz w:val="24"/>
          <w:szCs w:val="24"/>
          <w:highlight w:val="none"/>
        </w:rPr>
      </w:pPr>
      <w:r>
        <w:rPr>
          <w:rFonts w:ascii="黑体" w:hAnsi="黑体" w:eastAsia="黑体" w:cs="宋体"/>
          <w:b/>
          <w:bCs/>
          <w:color w:val="auto"/>
          <w:sz w:val="24"/>
          <w:szCs w:val="24"/>
          <w:highlight w:val="none"/>
        </w:rPr>
        <w:t>2</w:t>
      </w:r>
      <w:r>
        <w:rPr>
          <w:rFonts w:hint="eastAsia" w:ascii="黑体" w:hAnsi="黑体" w:eastAsia="黑体" w:cs="宋体"/>
          <w:b/>
          <w:bCs/>
          <w:color w:val="auto"/>
          <w:sz w:val="24"/>
          <w:szCs w:val="24"/>
          <w:highlight w:val="none"/>
        </w:rPr>
        <w:t>4</w:t>
      </w:r>
      <w:r>
        <w:rPr>
          <w:rFonts w:ascii="黑体" w:hAnsi="黑体" w:eastAsia="黑体" w:cs="宋体"/>
          <w:b/>
          <w:bCs/>
          <w:color w:val="auto"/>
          <w:sz w:val="24"/>
          <w:szCs w:val="24"/>
          <w:highlight w:val="none"/>
        </w:rPr>
        <w:t>.</w:t>
      </w:r>
      <w:r>
        <w:rPr>
          <w:rFonts w:hint="eastAsia" w:ascii="黑体" w:hAnsi="黑体" w:eastAsia="黑体" w:cs="宋体"/>
          <w:b/>
          <w:bCs/>
          <w:color w:val="auto"/>
          <w:sz w:val="24"/>
          <w:szCs w:val="24"/>
          <w:highlight w:val="none"/>
        </w:rPr>
        <w:t>首次响应文件的开启</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24.1首次响应文件由谈判小组或者采购代理机构在“供应商须知前附表”规定的时间开启。</w:t>
      </w:r>
    </w:p>
    <w:p>
      <w:pPr>
        <w:spacing w:line="360" w:lineRule="auto"/>
        <w:ind w:firstLine="400" w:firstLineChars="200"/>
        <w:rPr>
          <w:rFonts w:hint="eastAsia" w:ascii="宋体" w:hAnsi="宋体" w:eastAsia="宋体" w:cs="宋体"/>
          <w:bCs/>
          <w:color w:val="auto"/>
          <w:kern w:val="0"/>
          <w:sz w:val="20"/>
          <w:szCs w:val="21"/>
          <w:highlight w:val="none"/>
          <w:lang w:val="zh-CN"/>
        </w:rPr>
      </w:pPr>
      <w:r>
        <w:rPr>
          <w:rFonts w:hint="eastAsia" w:ascii="宋体" w:hAnsi="宋体" w:eastAsia="宋体" w:cs="宋体"/>
          <w:color w:val="auto"/>
          <w:kern w:val="0"/>
          <w:sz w:val="20"/>
          <w:szCs w:val="21"/>
          <w:highlight w:val="none"/>
          <w:lang w:val="zh-CN"/>
        </w:rPr>
        <w:t>2</w:t>
      </w:r>
      <w:r>
        <w:rPr>
          <w:rFonts w:hint="eastAsia" w:ascii="宋体" w:hAnsi="宋体" w:eastAsia="宋体" w:cs="宋体"/>
          <w:color w:val="auto"/>
          <w:kern w:val="0"/>
          <w:sz w:val="20"/>
          <w:szCs w:val="21"/>
          <w:highlight w:val="none"/>
        </w:rPr>
        <w:t>4</w:t>
      </w:r>
      <w:r>
        <w:rPr>
          <w:rFonts w:hint="eastAsia" w:ascii="宋体" w:hAnsi="宋体" w:eastAsia="宋体" w:cs="宋体"/>
          <w:color w:val="auto"/>
          <w:kern w:val="0"/>
          <w:sz w:val="20"/>
          <w:szCs w:val="21"/>
          <w:highlight w:val="none"/>
          <w:lang w:val="zh-CN"/>
        </w:rPr>
        <w:t xml:space="preserve">.2 </w:t>
      </w:r>
      <w:r>
        <w:rPr>
          <w:rFonts w:hint="eastAsia" w:ascii="宋体" w:hAnsi="宋体" w:eastAsia="宋体" w:cs="宋体"/>
          <w:bCs/>
          <w:color w:val="auto"/>
          <w:kern w:val="0"/>
          <w:sz w:val="20"/>
          <w:szCs w:val="21"/>
          <w:highlight w:val="none"/>
          <w:lang w:val="zh-CN"/>
        </w:rPr>
        <w:t>响应文件解密</w:t>
      </w:r>
    </w:p>
    <w:p>
      <w:pPr>
        <w:snapToGrid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bCs/>
          <w:color w:val="auto"/>
          <w:kern w:val="0"/>
          <w:szCs w:val="21"/>
          <w:highlight w:val="none"/>
          <w:lang w:val="zh-CN"/>
        </w:rPr>
        <w:t>采购代理机构将在“供应商须知前附表”规定的时</w:t>
      </w:r>
      <w:r>
        <w:rPr>
          <w:rFonts w:hint="eastAsia" w:ascii="宋体" w:hAnsi="宋体" w:eastAsia="宋体" w:cs="宋体"/>
          <w:color w:val="auto"/>
          <w:kern w:val="0"/>
          <w:szCs w:val="21"/>
          <w:highlight w:val="none"/>
          <w:lang w:val="zh-CN"/>
        </w:rPr>
        <w:t>间通过电子交易平台组织响应文件开启，采购机构依托电子交易平台发起开始解密指令，供应商的法定代表人或其委托代理人</w:t>
      </w:r>
      <w:r>
        <w:rPr>
          <w:rFonts w:hint="eastAsia" w:ascii="宋体" w:hAnsi="宋体" w:eastAsia="宋体" w:cs="宋体"/>
          <w:b/>
          <w:color w:val="auto"/>
          <w:kern w:val="0"/>
          <w:szCs w:val="21"/>
          <w:highlight w:val="none"/>
          <w:lang w:val="zh-CN"/>
        </w:rPr>
        <w:t>须携带加密时所用的CA锁按平台提示和采购文件的规定登录到广西政府采购云平台电子开标大厅签到并在发起解密指令之时起在</w:t>
      </w:r>
      <w:r>
        <w:rPr>
          <w:rFonts w:hint="eastAsia" w:ascii="宋体" w:hAnsi="宋体" w:eastAsia="宋体" w:cs="宋体"/>
          <w:b/>
          <w:color w:val="auto"/>
          <w:kern w:val="0"/>
          <w:szCs w:val="21"/>
          <w:highlight w:val="none"/>
        </w:rPr>
        <w:t>规定的时间内</w:t>
      </w:r>
      <w:r>
        <w:rPr>
          <w:rFonts w:hint="eastAsia" w:ascii="宋体" w:hAnsi="宋体" w:eastAsia="宋体" w:cs="宋体"/>
          <w:b/>
          <w:color w:val="auto"/>
          <w:kern w:val="0"/>
          <w:szCs w:val="21"/>
          <w:highlight w:val="none"/>
          <w:lang w:val="zh-CN"/>
        </w:rPr>
        <w:t>完成对电子响应文件在线解密</w:t>
      </w: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1"/>
          <w:szCs w:val="21"/>
          <w:highlight w:val="none"/>
        </w:rPr>
        <w:t>响应文件未按时</w:t>
      </w:r>
      <w:r>
        <w:rPr>
          <w:rFonts w:hint="eastAsia" w:ascii="宋体" w:hAnsi="宋体" w:eastAsia="宋体" w:cs="宋体"/>
          <w:color w:val="auto"/>
          <w:kern w:val="0"/>
          <w:szCs w:val="21"/>
          <w:highlight w:val="none"/>
          <w:lang w:val="zh-CN"/>
        </w:rPr>
        <w:t>解密的，</w:t>
      </w:r>
      <w:r>
        <w:rPr>
          <w:rFonts w:hint="eastAsia" w:ascii="宋体" w:hAnsi="宋体" w:eastAsia="宋体" w:cs="宋体"/>
          <w:b/>
          <w:color w:val="auto"/>
          <w:kern w:val="0"/>
          <w:szCs w:val="21"/>
          <w:highlight w:val="none"/>
          <w:lang w:val="zh-CN"/>
        </w:rPr>
        <w:t>视为响应文件无效。</w:t>
      </w:r>
      <w:r>
        <w:rPr>
          <w:rFonts w:hint="eastAsia" w:ascii="宋体" w:hAnsi="宋体" w:eastAsia="宋体" w:cs="宋体"/>
          <w:color w:val="auto"/>
          <w:kern w:val="0"/>
          <w:szCs w:val="21"/>
          <w:highlight w:val="none"/>
          <w:lang w:val="zh-CN"/>
        </w:rPr>
        <w:t>（解密</w:t>
      </w:r>
      <w:r>
        <w:rPr>
          <w:rFonts w:hint="eastAsia" w:ascii="宋体" w:hAnsi="宋体" w:eastAsia="宋体" w:cs="宋体"/>
          <w:bCs/>
          <w:color w:val="auto"/>
          <w:kern w:val="0"/>
          <w:szCs w:val="21"/>
          <w:highlight w:val="none"/>
          <w:lang w:val="zh-CN"/>
        </w:rPr>
        <w:t>异常情况处理：详见本章</w:t>
      </w:r>
      <w:r>
        <w:rPr>
          <w:rFonts w:hint="eastAsia" w:ascii="宋体" w:hAnsi="宋体" w:eastAsia="宋体" w:cs="宋体"/>
          <w:color w:val="auto"/>
          <w:kern w:val="0"/>
          <w:szCs w:val="21"/>
          <w:highlight w:val="none"/>
          <w:lang w:val="zh-CN"/>
        </w:rPr>
        <w:t>2</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zh-CN"/>
        </w:rPr>
        <w:t>.3 电子交易活动的中止。）</w:t>
      </w:r>
    </w:p>
    <w:p>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如</w:t>
      </w:r>
      <w:r>
        <w:rPr>
          <w:rFonts w:hint="eastAsia" w:ascii="宋体" w:hAnsi="宋体" w:eastAsia="宋体" w:cs="宋体"/>
          <w:bCs/>
          <w:color w:val="auto"/>
          <w:kern w:val="0"/>
          <w:szCs w:val="21"/>
          <w:highlight w:val="none"/>
          <w:lang w:val="zh-CN"/>
        </w:rPr>
        <w:t>供应商成功解密响应文件，但未在“</w:t>
      </w:r>
      <w:r>
        <w:rPr>
          <w:rFonts w:hint="eastAsia" w:ascii="宋体" w:hAnsi="宋体" w:cs="宋体"/>
          <w:color w:val="auto"/>
          <w:szCs w:val="21"/>
          <w:highlight w:val="none"/>
        </w:rPr>
        <w:t>广西政府采购云平台</w:t>
      </w:r>
      <w:r>
        <w:rPr>
          <w:rFonts w:hint="eastAsia" w:ascii="宋体" w:hAnsi="宋体" w:eastAsia="宋体" w:cs="宋体"/>
          <w:bCs/>
          <w:color w:val="auto"/>
          <w:kern w:val="0"/>
          <w:szCs w:val="21"/>
          <w:highlight w:val="none"/>
          <w:lang w:val="zh-CN"/>
        </w:rPr>
        <w:t>”电子开标大厅参加谈判的，视同认可谈判过程和结果，</w:t>
      </w:r>
      <w:r>
        <w:rPr>
          <w:rFonts w:hint="eastAsia" w:ascii="宋体" w:hAnsi="宋体" w:eastAsia="宋体" w:cs="宋体"/>
          <w:color w:val="auto"/>
          <w:kern w:val="0"/>
          <w:szCs w:val="21"/>
          <w:highlight w:val="none"/>
          <w:lang w:val="zh-CN"/>
        </w:rPr>
        <w:t>由此产生的后果由供应商自行负责。 参与谈判的供应商不足3家的，不得谈判。</w:t>
      </w:r>
    </w:p>
    <w:p>
      <w:pPr>
        <w:spacing w:line="360" w:lineRule="auto"/>
        <w:ind w:firstLine="422" w:firstLineChars="200"/>
        <w:rPr>
          <w:rFonts w:hint="eastAsia" w:ascii="宋体" w:hAnsi="宋体" w:eastAsia="宋体" w:cs="宋体"/>
          <w:b/>
          <w:bCs/>
          <w:color w:val="auto"/>
          <w:szCs w:val="21"/>
          <w:highlight w:val="none"/>
        </w:rPr>
      </w:pPr>
      <w:r>
        <w:rPr>
          <w:rFonts w:ascii="宋体" w:hAnsi="宋体" w:eastAsia="宋体" w:cs="宋体"/>
          <w:b/>
          <w:bCs/>
          <w:color w:val="auto"/>
          <w:szCs w:val="21"/>
          <w:highlight w:val="none"/>
        </w:rPr>
        <w:t>2</w:t>
      </w:r>
      <w:r>
        <w:rPr>
          <w:rFonts w:hint="eastAsia" w:ascii="宋体" w:hAnsi="宋体" w:eastAsia="宋体" w:cs="宋体"/>
          <w:b/>
          <w:bCs/>
          <w:color w:val="auto"/>
          <w:szCs w:val="21"/>
          <w:highlight w:val="none"/>
        </w:rPr>
        <w:t>5.评审程序、评审方法和成交标准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w:t>
      </w:r>
      <w:r>
        <w:rPr>
          <w:rFonts w:hint="eastAsia" w:ascii="宋体" w:hAnsi="宋体" w:eastAsia="宋体" w:cs="宋体"/>
          <w:color w:val="auto"/>
          <w:highlight w:val="none"/>
        </w:rPr>
        <w:t>本项目的评审方法详见“供应商须知前附表”。</w:t>
      </w:r>
      <w:r>
        <w:rPr>
          <w:rFonts w:hint="eastAsia" w:ascii="宋体" w:hAnsi="宋体" w:eastAsia="宋体" w:cs="宋体"/>
          <w:color w:val="auto"/>
          <w:szCs w:val="21"/>
          <w:highlight w:val="none"/>
        </w:rPr>
        <w:t>谈判小组按照“第四章 评审程序、评审方法和成交标准”规定的方法、评审因素、标准和程序对响应文件进行评审。</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25.2 采购需求负偏离要求及谈判顺序详见 “供应商须知前附表”。</w:t>
      </w:r>
    </w:p>
    <w:p>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25.3电子交易活动的中止。采购过程中出现以下情形，导致电子交易平台无法正常运行，或者无法保证电子交易的公平、公正和安全时，采购机构可中止电子交易活动：</w:t>
      </w:r>
    </w:p>
    <w:p>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（1）电子交易平台发生故障而无法登录访问的； </w:t>
      </w:r>
    </w:p>
    <w:p>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（2）电子交易平台应用或数据库出现错误，不能进行正常操作的；</w:t>
      </w:r>
    </w:p>
    <w:p>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（3）电子交易平台发现严重安全漏洞，有潜在泄密危险的；</w:t>
      </w:r>
    </w:p>
    <w:p>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（4）病毒发作导致不能进行正常操作的； </w:t>
      </w:r>
    </w:p>
    <w:p>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（5）其他无法保证电子交易的公平、公正和安全的情况。</w:t>
      </w:r>
    </w:p>
    <w:p>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25.4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pPr>
        <w:keepNext/>
        <w:keepLines/>
        <w:spacing w:line="360" w:lineRule="auto"/>
        <w:ind w:firstLine="640" w:firstLineChars="200"/>
        <w:outlineLvl w:val="2"/>
        <w:rPr>
          <w:rFonts w:hint="eastAsia" w:ascii="宋体" w:hAnsi="宋体" w:eastAsia="宋体" w:cs="Times New Roman"/>
          <w:color w:val="auto"/>
          <w:sz w:val="32"/>
          <w:szCs w:val="32"/>
          <w:highlight w:val="none"/>
          <w:lang w:val="zh-CN"/>
        </w:rPr>
      </w:pPr>
      <w:r>
        <w:rPr>
          <w:rFonts w:hint="eastAsia" w:ascii="宋体" w:hAnsi="宋体" w:eastAsia="宋体" w:cs="Times New Roman"/>
          <w:color w:val="auto"/>
          <w:sz w:val="32"/>
          <w:szCs w:val="32"/>
          <w:highlight w:val="none"/>
          <w:lang w:val="zh-CN"/>
        </w:rPr>
        <w:t xml:space="preserve">  </w:t>
      </w:r>
      <w:bookmarkStart w:id="129" w:name="_Toc27003"/>
      <w:bookmarkStart w:id="130" w:name="_Toc29707"/>
      <w:bookmarkStart w:id="131" w:name="_Toc80205929"/>
      <w:r>
        <w:rPr>
          <w:rFonts w:hint="eastAsia" w:ascii="宋体" w:hAnsi="宋体" w:eastAsia="宋体" w:cs="Times New Roman"/>
          <w:color w:val="auto"/>
          <w:sz w:val="32"/>
          <w:szCs w:val="32"/>
          <w:highlight w:val="none"/>
          <w:lang w:val="zh-CN"/>
        </w:rPr>
        <w:t>五、成交及合同</w:t>
      </w:r>
      <w:bookmarkEnd w:id="129"/>
      <w:bookmarkEnd w:id="130"/>
      <w:bookmarkEnd w:id="131"/>
    </w:p>
    <w:p>
      <w:pPr>
        <w:spacing w:line="360" w:lineRule="auto"/>
        <w:ind w:firstLine="482" w:firstLineChars="200"/>
        <w:rPr>
          <w:rFonts w:hint="eastAsia" w:ascii="黑体" w:hAnsi="黑体" w:eastAsia="黑体" w:cs="宋体"/>
          <w:b/>
          <w:bCs/>
          <w:color w:val="auto"/>
          <w:sz w:val="24"/>
          <w:szCs w:val="24"/>
          <w:highlight w:val="none"/>
        </w:rPr>
      </w:pPr>
      <w:r>
        <w:rPr>
          <w:rFonts w:ascii="黑体" w:hAnsi="黑体" w:eastAsia="黑体" w:cs="宋体"/>
          <w:b/>
          <w:bCs/>
          <w:color w:val="auto"/>
          <w:sz w:val="24"/>
          <w:szCs w:val="24"/>
          <w:highlight w:val="none"/>
        </w:rPr>
        <w:t>2</w:t>
      </w:r>
      <w:r>
        <w:rPr>
          <w:rFonts w:hint="eastAsia" w:ascii="黑体" w:hAnsi="黑体" w:eastAsia="黑体" w:cs="宋体"/>
          <w:b/>
          <w:bCs/>
          <w:color w:val="auto"/>
          <w:sz w:val="24"/>
          <w:szCs w:val="24"/>
          <w:highlight w:val="none"/>
        </w:rPr>
        <w:t>6.确定成交供应商及结果公告</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26.1确定成交供应商。采购代理机构应当在评审结束后2个工作日内将评审报告送采购人确认。采购人应当在收到评审报告后</w:t>
      </w:r>
      <w:r>
        <w:rPr>
          <w:rFonts w:ascii="宋体" w:hAnsi="宋体" w:eastAsia="宋体" w:cs="宋体"/>
          <w:color w:val="auto"/>
          <w:szCs w:val="21"/>
          <w:highlight w:val="none"/>
        </w:rPr>
        <w:t>2</w:t>
      </w:r>
      <w:r>
        <w:rPr>
          <w:rFonts w:hint="eastAsia" w:ascii="宋体" w:hAnsi="宋体" w:eastAsia="宋体" w:cs="宋体"/>
          <w:color w:val="auto"/>
          <w:szCs w:val="21"/>
          <w:highlight w:val="none"/>
        </w:rPr>
        <w:t>个工作日内，将评审报告提出的排名第一的成交候选人确定为成交供应商，也可以书面授权谈判小组直接确定成交供应商。采购人逾期未确定成交供应商且不提出异议的，视为确定评审报告提出的排名第一的成交候选人为成交供应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26.2成交通知及成交结果公告。采购代理机构应当在</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供应商确定后2个工作日内，在省级以上财政部门指定的媒体上公告成交结果，同时向成交供应商发出成交通知书。</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26.3采购人或者采购代理机构发出成交通知书前，应当对成交供应商信用进行查询核实，对列入失信被执行人、重大税收违法失信主体、政府采购严重违法失信行为记录名单及其他不符合《中华人民共和国政府采购法》第二十二条规定条件的供应商，取消其成交资格，并依法确定排名第二的成交候选人为成交供应商。排名第二的成交候选人因上述规定的同样原因被取消成交资格的，采购人可以依法确定排名第三的成交候选人为成交供应商，以此类推。以上信息查询记录及相关证据与谈判文件一并保存。</w:t>
      </w:r>
      <w:bookmarkStart w:id="132" w:name="_Hlk66782294"/>
      <w:r>
        <w:rPr>
          <w:rFonts w:hint="eastAsia" w:ascii="宋体" w:hAnsi="宋体" w:eastAsia="宋体" w:cs="宋体"/>
          <w:color w:val="auto"/>
          <w:szCs w:val="21"/>
          <w:highlight w:val="none"/>
        </w:rPr>
        <w:t>成交供应商享受《政府采购促进中小企业发展管理办法》（财库〔2020〕46号）规定的中小企业扶持政策的，采购人、采购代理机构应当随成交结果公开成交供应商的《中小企业声明函》。</w:t>
      </w:r>
      <w:bookmarkEnd w:id="132"/>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26.5排名第一的成交候选人放弃成交，采购人可以按照评审报告推荐的成交候选人名单排序，依法确定下一候选人为成交</w:t>
      </w:r>
      <w:r>
        <w:rPr>
          <w:rFonts w:hint="eastAsia" w:ascii="宋体" w:hAnsi="宋体" w:eastAsia="宋体" w:cs="宋体"/>
          <w:color w:val="auto"/>
          <w:szCs w:val="21"/>
          <w:highlight w:val="none"/>
        </w:rPr>
        <w:t>供应商</w:t>
      </w:r>
      <w:r>
        <w:rPr>
          <w:rFonts w:hint="eastAsia" w:ascii="宋体" w:hAnsi="宋体" w:eastAsia="宋体" w:cs="宋体"/>
          <w:bCs/>
          <w:color w:val="auto"/>
          <w:szCs w:val="21"/>
          <w:highlight w:val="none"/>
        </w:rPr>
        <w:t>，也可以重新开展政府采购活动。</w:t>
      </w:r>
    </w:p>
    <w:p>
      <w:pPr>
        <w:spacing w:line="360" w:lineRule="auto"/>
        <w:ind w:firstLine="482" w:firstLineChars="200"/>
        <w:rPr>
          <w:rFonts w:hint="eastAsia" w:ascii="黑体" w:hAnsi="黑体" w:eastAsia="黑体" w:cs="宋体"/>
          <w:b/>
          <w:bCs/>
          <w:color w:val="auto"/>
          <w:sz w:val="24"/>
          <w:szCs w:val="24"/>
          <w:highlight w:val="none"/>
        </w:rPr>
      </w:pPr>
      <w:r>
        <w:rPr>
          <w:rFonts w:ascii="黑体" w:hAnsi="黑体" w:eastAsia="黑体" w:cs="宋体"/>
          <w:b/>
          <w:bCs/>
          <w:color w:val="auto"/>
          <w:sz w:val="24"/>
          <w:szCs w:val="24"/>
          <w:highlight w:val="none"/>
        </w:rPr>
        <w:t>2</w:t>
      </w:r>
      <w:r>
        <w:rPr>
          <w:rFonts w:hint="eastAsia" w:ascii="黑体" w:hAnsi="黑体" w:eastAsia="黑体" w:cs="宋体"/>
          <w:b/>
          <w:bCs/>
          <w:color w:val="auto"/>
          <w:sz w:val="24"/>
          <w:szCs w:val="24"/>
          <w:highlight w:val="none"/>
        </w:rPr>
        <w:t>7.履约保证金：本项目不收取履约保证金。</w:t>
      </w:r>
    </w:p>
    <w:p>
      <w:pPr>
        <w:spacing w:line="360" w:lineRule="auto"/>
        <w:ind w:firstLine="482" w:firstLineChars="200"/>
        <w:rPr>
          <w:rFonts w:hint="eastAsia" w:ascii="黑体" w:hAnsi="黑体" w:eastAsia="黑体" w:cs="宋体"/>
          <w:b/>
          <w:bCs/>
          <w:color w:val="auto"/>
          <w:sz w:val="24"/>
          <w:szCs w:val="24"/>
          <w:highlight w:val="none"/>
        </w:rPr>
      </w:pPr>
      <w:r>
        <w:rPr>
          <w:rFonts w:ascii="黑体" w:hAnsi="黑体" w:eastAsia="黑体" w:cs="宋体"/>
          <w:b/>
          <w:bCs/>
          <w:color w:val="auto"/>
          <w:sz w:val="24"/>
          <w:szCs w:val="24"/>
          <w:highlight w:val="none"/>
        </w:rPr>
        <w:t>2</w:t>
      </w:r>
      <w:r>
        <w:rPr>
          <w:rFonts w:hint="eastAsia" w:ascii="黑体" w:hAnsi="黑体" w:eastAsia="黑体" w:cs="宋体"/>
          <w:b/>
          <w:bCs/>
          <w:color w:val="auto"/>
          <w:sz w:val="24"/>
          <w:szCs w:val="24"/>
          <w:highlight w:val="none"/>
        </w:rPr>
        <w:t>8.签订合同</w:t>
      </w:r>
    </w:p>
    <w:p>
      <w:pPr>
        <w:adjustRightInd w:val="0"/>
        <w:snapToGrid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rPr>
        <w:t>28.1采购人与成交供应商应当在成交通知书规定的时间内，按照谈判文件确定的合同文本以及采购标的、货物技术、采购金额、采购数量、技术和货物要求等事项签订政府采购合同。</w:t>
      </w:r>
      <w:r>
        <w:rPr>
          <w:rFonts w:hint="eastAsia" w:ascii="宋体" w:hAnsi="宋体" w:eastAsia="宋体" w:cs="宋体"/>
          <w:color w:val="auto"/>
          <w:kern w:val="0"/>
          <w:szCs w:val="21"/>
          <w:highlight w:val="none"/>
          <w:lang w:val="zh-CN"/>
        </w:rPr>
        <w:t>如成交供应商为联合体的，由联合体成员各方法定代表人或其授权代表与采购人代表签订合同。</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28.2采购人不得向成交供应商提出超出谈判文件以外的任何要求作为签订合同的条件，不得与成交供应商订立背离谈判文件确定的合同文本以及采购标的、货物技术、采购金额、采购数量、技术和货物要求等实质性内容的协议。</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28.3成交供应商拒绝签订政府采购合同的，采购人可以按照评审报告推荐的成交候选人名单排序，依法确定下一候选人为成交供应商，也可以重新开展采购活动。拒绝签订政府采购合同的成交供应商不得参加对该项目重新开展的采购活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28.4如签订合同并生效后，供应商无故拒绝或延期，除按照合同条款处理外，列入不良行为记录，并给予通报。</w:t>
      </w:r>
    </w:p>
    <w:p>
      <w:pPr>
        <w:spacing w:line="360" w:lineRule="auto"/>
        <w:ind w:firstLine="420" w:firstLineChars="200"/>
        <w:rPr>
          <w:rFonts w:hint="eastAsia" w:ascii="宋体" w:hAnsi="宋体" w:eastAsia="宋体" w:cs="宋体"/>
          <w:b/>
          <w:bCs/>
          <w:i/>
          <w:iCs/>
          <w:color w:val="auto"/>
          <w:szCs w:val="21"/>
          <w:highlight w:val="none"/>
        </w:rPr>
      </w:pPr>
      <w:r>
        <w:rPr>
          <w:rFonts w:hint="eastAsia" w:ascii="宋体" w:hAnsi="宋体" w:eastAsia="宋体" w:cs="宋体"/>
          <w:color w:val="auto"/>
          <w:kern w:val="0"/>
          <w:szCs w:val="21"/>
          <w:highlight w:val="none"/>
        </w:rPr>
        <w:t>28.5采购合同由采购人与成交供应商根据谈判文件、响应文件等内容通过政府采购电子交易平台在线签订，自动备案，在线签订须携带的材料见“</w:t>
      </w:r>
      <w:r>
        <w:rPr>
          <w:rFonts w:hint="eastAsia" w:ascii="宋体" w:hAnsi="宋体" w:eastAsia="宋体" w:cs="宋体"/>
          <w:color w:val="auto"/>
          <w:kern w:val="0"/>
          <w:sz w:val="24"/>
          <w:szCs w:val="20"/>
          <w:highlight w:val="none"/>
        </w:rPr>
        <w:t xml:space="preserve"> </w:t>
      </w:r>
      <w:r>
        <w:rPr>
          <w:rFonts w:hint="eastAsia" w:ascii="宋体" w:hAnsi="宋体" w:eastAsia="宋体" w:cs="宋体"/>
          <w:color w:val="auto"/>
          <w:kern w:val="0"/>
          <w:szCs w:val="21"/>
          <w:highlight w:val="none"/>
        </w:rPr>
        <w:t>供应商须知前附表”。</w:t>
      </w:r>
    </w:p>
    <w:p>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29.政府采购合同公告</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pPr>
        <w:spacing w:line="360" w:lineRule="auto"/>
        <w:ind w:firstLine="482" w:firstLineChars="200"/>
        <w:rPr>
          <w:rFonts w:hint="eastAsia" w:ascii="黑体" w:hAnsi="黑体" w:eastAsia="黑体" w:cs="宋体"/>
          <w:b/>
          <w:bCs/>
          <w:color w:val="auto"/>
          <w:sz w:val="24"/>
          <w:szCs w:val="24"/>
          <w:highlight w:val="none"/>
        </w:rPr>
      </w:pPr>
      <w:r>
        <w:rPr>
          <w:rFonts w:ascii="黑体" w:hAnsi="黑体" w:eastAsia="黑体" w:cs="宋体"/>
          <w:b/>
          <w:bCs/>
          <w:color w:val="auto"/>
          <w:sz w:val="24"/>
          <w:szCs w:val="24"/>
          <w:highlight w:val="none"/>
        </w:rPr>
        <w:t>3</w:t>
      </w:r>
      <w:r>
        <w:rPr>
          <w:rFonts w:hint="eastAsia" w:ascii="黑体" w:hAnsi="黑体" w:eastAsia="黑体" w:cs="宋体"/>
          <w:b/>
          <w:bCs/>
          <w:color w:val="auto"/>
          <w:sz w:val="24"/>
          <w:szCs w:val="24"/>
          <w:highlight w:val="none"/>
        </w:rPr>
        <w:t>0. 询问、质疑和投诉</w:t>
      </w:r>
    </w:p>
    <w:p>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30.1供应商对政府采购活动事项有疑问的，可以向采购人或者采购代理机构提出询问，采购人或者采购代理机构应当在3个工作日内对供应商依法提出的询问作出答复。</w:t>
      </w:r>
    </w:p>
    <w:p>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4"/>
          <w:highlight w:val="none"/>
        </w:rPr>
        <w:t>30.2供应商认为谈判文件、采购过程或者成交结果使自己的合法权益受到损害的，应当在知道或者应知其权益受到损害之日起7个工作日内，以书面形式向采购人或者采购代理机构提出质疑，</w:t>
      </w:r>
      <w:r>
        <w:rPr>
          <w:rFonts w:hint="eastAsia" w:ascii="宋体" w:hAnsi="宋体" w:eastAsia="宋体" w:cs="宋体"/>
          <w:color w:val="auto"/>
          <w:szCs w:val="24"/>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szCs w:val="24"/>
          <w:highlight w:val="none"/>
        </w:rPr>
        <w:t>。</w:t>
      </w:r>
      <w:r>
        <w:rPr>
          <w:rFonts w:hint="eastAsia" w:ascii="宋体" w:hAnsi="宋体" w:eastAsia="宋体" w:cs="宋体"/>
          <w:b/>
          <w:color w:val="auto"/>
          <w:szCs w:val="21"/>
          <w:highlight w:val="none"/>
        </w:rPr>
        <w:t xml:space="preserve">具体质疑起算时间及处理方式如下： </w:t>
      </w:r>
    </w:p>
    <w:p>
      <w:pPr>
        <w:spacing w:line="360" w:lineRule="auto"/>
        <w:ind w:firstLine="420" w:firstLineChars="200"/>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（1）潜在供应商依法获取采购文件后，认为采购文件使自己的权益受到损害的，应当在竞争性谈判文件公告期限届满之日起7个工作日内提出质疑。</w:t>
      </w:r>
      <w:r>
        <w:rPr>
          <w:rFonts w:hint="eastAsia" w:ascii="宋体" w:hAnsi="宋体" w:eastAsia="宋体" w:cs="宋体"/>
          <w:color w:val="auto"/>
          <w:szCs w:val="24"/>
          <w:highlight w:val="none"/>
        </w:rPr>
        <w:t>委托代理协议无特殊约定的，</w:t>
      </w:r>
      <w:r>
        <w:rPr>
          <w:rFonts w:hint="eastAsia" w:ascii="宋体" w:hAnsi="宋体" w:eastAsia="宋体" w:cs="宋体"/>
          <w:bCs/>
          <w:color w:val="auto"/>
          <w:szCs w:val="24"/>
          <w:highlight w:val="none"/>
        </w:rPr>
        <w:t>对竞争性谈判文件中采购需求（含资格要求、采购预算和评分办法）的质疑由采购人受理并负责答复；对竞争性谈判文件中的采购执行程序的质疑由采购代理机构受理并负责答复。</w:t>
      </w:r>
    </w:p>
    <w:p>
      <w:pPr>
        <w:spacing w:line="360" w:lineRule="auto"/>
        <w:ind w:firstLine="420" w:firstLineChars="200"/>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2）供应商认为采购过程使自己的权益受到损害的，应当在各采购程序环节结束之日起7个工作日内提出质疑。对采购过程中资格审查、符合性审查等具体评审情况的质疑应向采购人或者采购代理机构提出，由采购人或者采购代理机构受理并负责答复；对采购过程中采购执行程序的质疑由采购代理机构受理并负责答复。</w:t>
      </w:r>
    </w:p>
    <w:p>
      <w:pPr>
        <w:spacing w:line="360" w:lineRule="auto"/>
        <w:ind w:firstLine="420" w:firstLineChars="200"/>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（3）供应商认为成交结果使自己的权益受到损害的，应当在成交结果公告期限届满之日起7个工作日内提出质疑，由采购人受理并负责答复。</w:t>
      </w:r>
    </w:p>
    <w:p>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30.3供应商提出的询问或者质疑超出采购人对采购代理机构委托授权范围的，采购代理机构应当告知供应商向采购人提出。政府采购评审专家应当配合采购人或者采购代理机构答复供应商的询问和质疑。</w:t>
      </w:r>
    </w:p>
    <w:p>
      <w:pPr>
        <w:spacing w:line="360" w:lineRule="auto"/>
        <w:ind w:firstLine="422" w:firstLineChars="200"/>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30.4 供应商提出质疑应当提交质疑函和必要的证明材料，针对同一采购程序环节的质疑必须在法定质疑期内一次性提出。质疑函应当包括下列内容（质疑函格式后附）：</w:t>
      </w:r>
    </w:p>
    <w:p>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（1）供应商的姓名或者名称、地址、邮编、联系人及联系电话；</w:t>
      </w:r>
    </w:p>
    <w:p>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（2）质疑项目的名称、编号；</w:t>
      </w:r>
    </w:p>
    <w:p>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（3）具体、明确的质疑事项和与质疑事项相关的请求；</w:t>
      </w:r>
    </w:p>
    <w:p>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（4）事实依据；</w:t>
      </w:r>
    </w:p>
    <w:p>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（5）必要的法律依据；</w:t>
      </w:r>
    </w:p>
    <w:p>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（6）提出质疑的日期。</w:t>
      </w:r>
    </w:p>
    <w:p>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供应商为自然人的，应当由本人签字；供应商为法人或者其他组织的，应当由法定代表人、主要负责人，或者其委托代理人签字或者盖章，并加盖公章。</w:t>
      </w:r>
    </w:p>
    <w:p>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30.5采购人、采购代理机构认为供应商质疑不成立，或者成立但未对成交结果构成影响的，继续开展采购活动；认为供应商质疑成立且影响或者可能影响成交结果的，按照下列情况处理：</w:t>
      </w:r>
    </w:p>
    <w:p>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（一）对采购文件提出的质疑，依法通过澄清或者修改可以继续开展采购活动的，澄清或者修改采购文件后继续开展采购活动；否则应当修改采购文件后重新开展采购活动。</w:t>
      </w:r>
    </w:p>
    <w:p>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（二）对采购过程或者成交结果提出的质疑，合格供应商符合法定数量时，可以从合格的成交候选人中另行确定成交供应商的，应当依法另行确定成交供应商；否则应当重新开展采购活动。</w:t>
      </w:r>
    </w:p>
    <w:p>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质疑答复导致成交结果改变的，采购人或者采购代理机构应当将有关情况书面报告本级财政部门。</w:t>
      </w:r>
    </w:p>
    <w:p>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30.6投诉的权利。质疑供应商对采购人或采购代理机构的答复不满意，或者采购人或采购代理机构未在规定时间内作出答复的，可以在答复期满后15个工作日内向《政府采购质疑和投诉办法》（财政部令第94号）第六条规定的财政部门提起投诉（投诉书格式后附）。</w:t>
      </w:r>
    </w:p>
    <w:p>
      <w:pPr>
        <w:keepNext/>
        <w:keepLines/>
        <w:spacing w:line="360" w:lineRule="auto"/>
        <w:ind w:firstLine="643" w:firstLineChars="200"/>
        <w:outlineLvl w:val="2"/>
        <w:rPr>
          <w:rFonts w:hint="eastAsia" w:ascii="宋体" w:hAnsi="宋体" w:eastAsia="宋体" w:cs="Times New Roman"/>
          <w:bCs/>
          <w:color w:val="auto"/>
          <w:sz w:val="32"/>
          <w:szCs w:val="32"/>
          <w:highlight w:val="none"/>
          <w:lang w:val="zh-CN"/>
        </w:rPr>
      </w:pPr>
      <w:bookmarkStart w:id="133" w:name="_Toc80205930"/>
      <w:bookmarkStart w:id="134" w:name="_Toc6502"/>
      <w:bookmarkStart w:id="135" w:name="_Toc25772"/>
      <w:r>
        <w:rPr>
          <w:rFonts w:hint="eastAsia" w:ascii="宋体" w:hAnsi="宋体" w:eastAsia="宋体" w:cs="Times New Roman"/>
          <w:b/>
          <w:bCs/>
          <w:color w:val="auto"/>
          <w:sz w:val="32"/>
          <w:szCs w:val="32"/>
          <w:highlight w:val="none"/>
          <w:lang w:val="zh-CN"/>
        </w:rPr>
        <w:t>六</w:t>
      </w:r>
      <w:r>
        <w:rPr>
          <w:rFonts w:hint="eastAsia" w:ascii="宋体" w:hAnsi="宋体" w:eastAsia="宋体" w:cs="Times New Roman"/>
          <w:bCs/>
          <w:color w:val="auto"/>
          <w:sz w:val="32"/>
          <w:szCs w:val="32"/>
          <w:highlight w:val="none"/>
          <w:lang w:val="zh-CN"/>
        </w:rPr>
        <w:t>、验收</w:t>
      </w:r>
      <w:bookmarkEnd w:id="133"/>
      <w:bookmarkEnd w:id="134"/>
      <w:bookmarkEnd w:id="135"/>
    </w:p>
    <w:p>
      <w:pPr>
        <w:tabs>
          <w:tab w:val="left" w:pos="0"/>
        </w:tabs>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31.验收</w:t>
      </w:r>
    </w:p>
    <w:p>
      <w:pPr>
        <w:tabs>
          <w:tab w:val="left" w:pos="0"/>
        </w:tabs>
        <w:spacing w:line="360" w:lineRule="auto"/>
        <w:ind w:firstLine="420" w:firstLineChars="200"/>
        <w:rPr>
          <w:rFonts w:hint="eastAsia" w:ascii="宋体" w:hAnsi="宋体" w:eastAsia="宋体" w:cs="Helvetica"/>
          <w:color w:val="auto"/>
          <w:kern w:val="0"/>
          <w:szCs w:val="21"/>
          <w:highlight w:val="none"/>
        </w:rPr>
      </w:pPr>
      <w:r>
        <w:rPr>
          <w:rFonts w:hint="eastAsia" w:ascii="宋体" w:hAnsi="宋体" w:eastAsia="宋体" w:cs="Helvetica"/>
          <w:color w:val="auto"/>
          <w:kern w:val="0"/>
          <w:szCs w:val="21"/>
          <w:highlight w:val="none"/>
        </w:rPr>
        <w:t>31.1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20" w:firstLineChars="200"/>
        <w:rPr>
          <w:rFonts w:hint="eastAsia" w:ascii="宋体" w:hAnsi="宋体" w:eastAsia="宋体" w:cs="Helvetica"/>
          <w:color w:val="auto"/>
          <w:kern w:val="0"/>
          <w:szCs w:val="21"/>
          <w:highlight w:val="none"/>
        </w:rPr>
      </w:pPr>
      <w:r>
        <w:rPr>
          <w:rFonts w:hint="eastAsia" w:ascii="宋体" w:hAnsi="宋体" w:eastAsia="宋体" w:cs="Helvetica"/>
          <w:color w:val="auto"/>
          <w:kern w:val="0"/>
          <w:szCs w:val="21"/>
          <w:highlight w:val="none"/>
        </w:rPr>
        <w:t>31.2采购人可以邀请参加本项目的其他供应商或者第三方机构参与验收。参与验收的供应商或者第三方机构的意见作为验收书的参考资料一并存档。</w:t>
      </w:r>
    </w:p>
    <w:p>
      <w:pPr>
        <w:tabs>
          <w:tab w:val="left" w:pos="0"/>
        </w:tabs>
        <w:spacing w:line="360" w:lineRule="auto"/>
        <w:ind w:firstLine="420" w:firstLineChars="200"/>
        <w:rPr>
          <w:rFonts w:hint="eastAsia" w:ascii="宋体" w:hAnsi="宋体" w:eastAsia="宋体" w:cs="Helvetica"/>
          <w:color w:val="auto"/>
          <w:kern w:val="0"/>
          <w:szCs w:val="21"/>
          <w:highlight w:val="none"/>
        </w:rPr>
      </w:pPr>
      <w:r>
        <w:rPr>
          <w:rFonts w:hint="eastAsia" w:ascii="宋体" w:hAnsi="宋体" w:eastAsia="宋体" w:cs="Helvetica"/>
          <w:color w:val="auto"/>
          <w:kern w:val="0"/>
          <w:szCs w:val="21"/>
          <w:highlight w:val="none"/>
        </w:rPr>
        <w:t>31.3严格按照采购合同开展履约验收。采购人成立验收小组，按照采购合同的约定对供应商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条件挂钩。履约验收的各项资料应当存档备查。</w:t>
      </w:r>
    </w:p>
    <w:p>
      <w:pPr>
        <w:tabs>
          <w:tab w:val="left" w:pos="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Helvetica"/>
          <w:color w:val="auto"/>
          <w:kern w:val="0"/>
          <w:szCs w:val="21"/>
          <w:highlight w:val="none"/>
        </w:rPr>
        <w:t>31.4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pPr>
        <w:keepNext/>
        <w:keepLines/>
        <w:spacing w:line="360" w:lineRule="auto"/>
        <w:ind w:firstLine="640" w:firstLineChars="200"/>
        <w:outlineLvl w:val="2"/>
        <w:rPr>
          <w:rFonts w:hint="eastAsia" w:ascii="宋体" w:hAnsi="宋体" w:eastAsia="宋体" w:cs="Times New Roman"/>
          <w:color w:val="auto"/>
          <w:sz w:val="32"/>
          <w:szCs w:val="32"/>
          <w:highlight w:val="none"/>
          <w:lang w:val="zh-CN"/>
        </w:rPr>
      </w:pPr>
      <w:r>
        <w:rPr>
          <w:rFonts w:hint="eastAsia" w:ascii="宋体" w:hAnsi="宋体" w:eastAsia="宋体" w:cs="Times New Roman"/>
          <w:color w:val="auto"/>
          <w:sz w:val="32"/>
          <w:szCs w:val="32"/>
          <w:highlight w:val="none"/>
          <w:lang w:val="zh-CN"/>
        </w:rPr>
        <w:t xml:space="preserve">  </w:t>
      </w:r>
      <w:bookmarkStart w:id="136" w:name="_Toc1379"/>
      <w:bookmarkStart w:id="137" w:name="_Toc15842"/>
      <w:bookmarkStart w:id="138" w:name="_Toc80205931"/>
      <w:r>
        <w:rPr>
          <w:rFonts w:hint="eastAsia" w:ascii="宋体" w:hAnsi="宋体" w:eastAsia="宋体" w:cs="Times New Roman"/>
          <w:color w:val="auto"/>
          <w:sz w:val="32"/>
          <w:szCs w:val="32"/>
          <w:highlight w:val="none"/>
          <w:lang w:val="zh-CN"/>
        </w:rPr>
        <w:t>七、其他事项</w:t>
      </w:r>
      <w:bookmarkEnd w:id="136"/>
      <w:bookmarkEnd w:id="137"/>
      <w:bookmarkEnd w:id="138"/>
    </w:p>
    <w:p>
      <w:pPr>
        <w:spacing w:line="360" w:lineRule="auto"/>
        <w:ind w:firstLine="482" w:firstLineChars="200"/>
        <w:rPr>
          <w:rFonts w:hint="eastAsia" w:ascii="黑体" w:hAnsi="黑体" w:eastAsia="黑体" w:cs="宋体"/>
          <w:b/>
          <w:bCs/>
          <w:color w:val="auto"/>
          <w:sz w:val="24"/>
          <w:szCs w:val="24"/>
          <w:highlight w:val="none"/>
        </w:rPr>
      </w:pPr>
      <w:r>
        <w:rPr>
          <w:rFonts w:ascii="黑体" w:hAnsi="黑体" w:eastAsia="黑体" w:cs="宋体"/>
          <w:b/>
          <w:bCs/>
          <w:color w:val="auto"/>
          <w:sz w:val="24"/>
          <w:szCs w:val="24"/>
          <w:highlight w:val="none"/>
        </w:rPr>
        <w:t>3</w:t>
      </w:r>
      <w:r>
        <w:rPr>
          <w:rFonts w:hint="eastAsia" w:ascii="黑体" w:hAnsi="黑体" w:eastAsia="黑体" w:cs="宋体"/>
          <w:b/>
          <w:bCs/>
          <w:color w:val="auto"/>
          <w:sz w:val="24"/>
          <w:szCs w:val="24"/>
          <w:highlight w:val="none"/>
        </w:rPr>
        <w:t>2.采购代理服务费</w:t>
      </w:r>
    </w:p>
    <w:p>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32.1采购代理服务费收费标准及缴费账户详见“供应商须知前附表”。</w:t>
      </w:r>
    </w:p>
    <w:p>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33</w:t>
      </w:r>
      <w:r>
        <w:rPr>
          <w:rFonts w:ascii="黑体" w:hAnsi="黑体" w:eastAsia="黑体" w:cs="宋体"/>
          <w:b/>
          <w:bCs/>
          <w:color w:val="auto"/>
          <w:sz w:val="24"/>
          <w:szCs w:val="24"/>
          <w:highlight w:val="none"/>
        </w:rPr>
        <w:t>.需要补充的其他内容</w:t>
      </w:r>
    </w:p>
    <w:p>
      <w:pPr>
        <w:spacing w:line="360" w:lineRule="auto"/>
        <w:ind w:firstLine="420" w:firstLineChars="200"/>
        <w:contextualSpacing/>
        <w:rPr>
          <w:rFonts w:hint="eastAsia"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3</w:t>
      </w:r>
      <w:r>
        <w:rPr>
          <w:rFonts w:hint="eastAsia" w:ascii="宋体" w:hAnsi="宋体" w:eastAsia="宋体" w:cs="Times New Roman"/>
          <w:color w:val="auto"/>
          <w:kern w:val="0"/>
          <w:szCs w:val="21"/>
          <w:highlight w:val="none"/>
        </w:rPr>
        <w:t>3</w:t>
      </w:r>
      <w:r>
        <w:rPr>
          <w:rFonts w:ascii="宋体" w:hAnsi="宋体" w:eastAsia="宋体" w:cs="Times New Roman"/>
          <w:color w:val="auto"/>
          <w:kern w:val="0"/>
          <w:szCs w:val="21"/>
          <w:highlight w:val="none"/>
          <w:lang w:val="zh-CN"/>
        </w:rPr>
        <w:t>.1</w:t>
      </w:r>
      <w:r>
        <w:rPr>
          <w:rFonts w:hint="eastAsia" w:ascii="宋体" w:hAnsi="宋体" w:eastAsia="宋体" w:cs="宋体"/>
          <w:color w:val="auto"/>
          <w:kern w:val="0"/>
          <w:szCs w:val="21"/>
          <w:highlight w:val="none"/>
          <w:lang w:val="zh-CN"/>
        </w:rPr>
        <w:t>本谈判文件解释规则详见</w:t>
      </w:r>
      <w:r>
        <w:rPr>
          <w:rFonts w:hint="eastAsia" w:ascii="宋体" w:hAnsi="宋体" w:eastAsia="宋体" w:cs="Times New Roman"/>
          <w:color w:val="auto"/>
          <w:kern w:val="0"/>
          <w:szCs w:val="21"/>
          <w:highlight w:val="none"/>
          <w:lang w:val="zh-CN"/>
        </w:rPr>
        <w:t>“供应商须知前附表”。</w:t>
      </w:r>
    </w:p>
    <w:p>
      <w:pPr>
        <w:spacing w:line="360" w:lineRule="auto"/>
        <w:ind w:firstLine="420" w:firstLineChars="200"/>
        <w:contextualSpacing/>
        <w:rPr>
          <w:rFonts w:hint="eastAsia" w:ascii="Times New Roman" w:hAnsi="宋体" w:eastAsia="宋体" w:cs="Times New Roman"/>
          <w:color w:val="auto"/>
          <w:szCs w:val="24"/>
          <w:highlight w:val="none"/>
        </w:rPr>
      </w:pPr>
      <w:r>
        <w:rPr>
          <w:rFonts w:ascii="宋体" w:hAnsi="宋体" w:eastAsia="宋体" w:cs="宋体"/>
          <w:color w:val="auto"/>
          <w:kern w:val="0"/>
          <w:szCs w:val="21"/>
          <w:highlight w:val="none"/>
        </w:rPr>
        <w:t>3</w:t>
      </w:r>
      <w:r>
        <w:rPr>
          <w:rFonts w:hint="eastAsia" w:ascii="宋体" w:hAnsi="宋体" w:eastAsia="宋体" w:cs="宋体"/>
          <w:color w:val="auto"/>
          <w:kern w:val="0"/>
          <w:szCs w:val="21"/>
          <w:highlight w:val="none"/>
        </w:rPr>
        <w:t>3</w:t>
      </w:r>
      <w:r>
        <w:rPr>
          <w:rFonts w:ascii="宋体" w:hAnsi="宋体" w:eastAsia="宋体" w:cs="宋体"/>
          <w:color w:val="auto"/>
          <w:kern w:val="0"/>
          <w:szCs w:val="21"/>
          <w:highlight w:val="none"/>
        </w:rPr>
        <w:t>.2</w:t>
      </w:r>
      <w:r>
        <w:rPr>
          <w:rFonts w:hint="eastAsia" w:ascii="宋体" w:hAnsi="宋体" w:eastAsia="宋体" w:cs="宋体"/>
          <w:color w:val="auto"/>
          <w:kern w:val="0"/>
          <w:szCs w:val="21"/>
          <w:highlight w:val="none"/>
        </w:rPr>
        <w:t xml:space="preserve"> 其他事</w:t>
      </w:r>
      <w:r>
        <w:rPr>
          <w:rFonts w:hint="eastAsia" w:ascii="Times New Roman" w:hAnsi="宋体" w:eastAsia="宋体" w:cs="Times New Roman"/>
          <w:color w:val="auto"/>
          <w:szCs w:val="24"/>
          <w:highlight w:val="none"/>
        </w:rPr>
        <w:t>项详见“供应商须知前附表”。</w:t>
      </w:r>
    </w:p>
    <w:p>
      <w:pPr>
        <w:spacing w:line="360" w:lineRule="auto"/>
        <w:ind w:firstLine="420" w:firstLineChars="200"/>
        <w:contextualSpacing/>
        <w:rPr>
          <w:rFonts w:hint="eastAsia" w:hAnsi="宋体" w:cs="宋体"/>
          <w:color w:val="auto"/>
          <w:highlight w:val="none"/>
        </w:rPr>
      </w:pPr>
      <w:r>
        <w:rPr>
          <w:rFonts w:hint="eastAsia" w:ascii="宋体" w:hAnsi="宋体" w:eastAsia="宋体" w:cs="Times New Roman"/>
          <w:color w:val="auto"/>
          <w:kern w:val="0"/>
          <w:szCs w:val="21"/>
          <w:highlight w:val="none"/>
          <w:lang w:val="zh-CN"/>
        </w:rPr>
        <w:t>3</w:t>
      </w:r>
      <w:r>
        <w:rPr>
          <w:rFonts w:hint="eastAsia" w:ascii="宋体" w:hAnsi="宋体" w:eastAsia="宋体" w:cs="Times New Roman"/>
          <w:color w:val="auto"/>
          <w:kern w:val="0"/>
          <w:szCs w:val="21"/>
          <w:highlight w:val="none"/>
        </w:rPr>
        <w:t>3</w:t>
      </w:r>
      <w:r>
        <w:rPr>
          <w:rFonts w:ascii="宋体" w:hAnsi="宋体" w:eastAsia="宋体" w:cs="Times New Roman"/>
          <w:color w:val="auto"/>
          <w:kern w:val="0"/>
          <w:szCs w:val="21"/>
          <w:highlight w:val="none"/>
          <w:lang w:val="zh-CN"/>
        </w:rPr>
        <w:t>.3</w:t>
      </w:r>
      <w:bookmarkStart w:id="139" w:name="_Hlk65857140"/>
      <w:r>
        <w:rPr>
          <w:rFonts w:hint="eastAsia" w:ascii="宋体" w:hAnsi="宋体" w:eastAsia="宋体" w:cs="Times New Roman"/>
          <w:color w:val="auto"/>
          <w:kern w:val="0"/>
          <w:szCs w:val="21"/>
          <w:highlight w:val="none"/>
          <w:lang w:val="zh-CN"/>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r>
        <w:rPr>
          <w:rFonts w:hint="eastAsia" w:hAnsi="宋体" w:cs="宋体"/>
          <w:color w:val="auto"/>
          <w:highlight w:val="none"/>
        </w:rPr>
        <w:t>在政府采购活动中，供应商提供的货物由中小企业制造，即货物由中小企业生产且使用该中小企业商号或者注册商标，不对其中涉及的工程承建商和服务的承接商作出要求的，享受本文件规定的中小企业扶持政策。</w:t>
      </w:r>
    </w:p>
    <w:p>
      <w:pPr>
        <w:pStyle w:val="20"/>
        <w:spacing w:after="0" w:line="360" w:lineRule="auto"/>
        <w:ind w:firstLine="420" w:firstLineChars="200"/>
        <w:rPr>
          <w:rFonts w:hint="eastAsia" w:hAnsi="宋体"/>
          <w:color w:val="auto"/>
          <w:sz w:val="21"/>
          <w:highlight w:val="none"/>
        </w:rPr>
      </w:pPr>
      <w:r>
        <w:rPr>
          <w:rFonts w:hint="eastAsia" w:hAnsi="宋体" w:cs="宋体"/>
          <w:color w:val="auto"/>
          <w:sz w:val="21"/>
          <w:highlight w:val="none"/>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pPr>
        <w:spacing w:line="360" w:lineRule="auto"/>
        <w:ind w:firstLine="420" w:firstLineChars="200"/>
        <w:textAlignment w:val="center"/>
        <w:rPr>
          <w:rFonts w:hint="eastAsia"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依据本文件规定享受扶持政策获得政府采购合同的，小微企业不得将合同分包给大中型企业，中型企业不得将合同分包给大型企业。</w:t>
      </w:r>
      <w:bookmarkEnd w:id="139"/>
    </w:p>
    <w:p>
      <w:pPr>
        <w:spacing w:line="360" w:lineRule="auto"/>
        <w:ind w:firstLine="480" w:firstLineChars="200"/>
        <w:rPr>
          <w:rFonts w:hint="eastAsia" w:ascii="宋体" w:hAnsi="宋体" w:cs="宋体"/>
          <w:b/>
          <w:bCs/>
          <w:color w:val="auto"/>
          <w:sz w:val="24"/>
          <w:highlight w:val="none"/>
        </w:rPr>
      </w:pPr>
      <w:r>
        <w:rPr>
          <w:rFonts w:hint="eastAsia" w:ascii="宋体" w:hAnsi="宋体" w:eastAsia="宋体" w:cs="宋体"/>
          <w:color w:val="auto"/>
          <w:sz w:val="24"/>
          <w:szCs w:val="24"/>
          <w:highlight w:val="none"/>
        </w:rPr>
        <w:t xml:space="preserve">34. </w:t>
      </w:r>
      <w:r>
        <w:rPr>
          <w:rFonts w:hint="eastAsia" w:ascii="宋体" w:hAnsi="宋体" w:cs="宋体"/>
          <w:b/>
          <w:bCs/>
          <w:color w:val="auto"/>
          <w:sz w:val="24"/>
          <w:highlight w:val="none"/>
        </w:rPr>
        <w:t>崇左市线上“政采贷”政策告知函</w:t>
      </w:r>
    </w:p>
    <w:p>
      <w:pPr>
        <w:spacing w:line="580" w:lineRule="exact"/>
        <w:jc w:val="center"/>
        <w:rPr>
          <w:rFonts w:hint="eastAsia" w:ascii="宋体" w:hAnsi="宋体" w:cs="宋体"/>
          <w:color w:val="auto"/>
          <w:sz w:val="44"/>
          <w:szCs w:val="44"/>
          <w:highlight w:val="none"/>
        </w:rPr>
      </w:pPr>
    </w:p>
    <w:p>
      <w:pPr>
        <w:rPr>
          <w:color w:val="auto"/>
          <w:highlight w:val="none"/>
        </w:rPr>
      </w:pPr>
    </w:p>
    <w:p>
      <w:pPr>
        <w:spacing w:line="580" w:lineRule="exact"/>
        <w:jc w:val="center"/>
        <w:rPr>
          <w:rFonts w:ascii="方正小标宋_GBK" w:eastAsia="方正小标宋_GBK"/>
          <w:color w:val="auto"/>
          <w:sz w:val="44"/>
          <w:szCs w:val="44"/>
          <w:highlight w:val="none"/>
        </w:rPr>
      </w:pPr>
      <w:r>
        <w:rPr>
          <w:rFonts w:hint="eastAsia" w:ascii="方正小标宋_GBK" w:eastAsia="方正小标宋_GBK"/>
          <w:color w:val="auto"/>
          <w:sz w:val="44"/>
          <w:szCs w:val="44"/>
          <w:highlight w:val="none"/>
        </w:rPr>
        <w:t>崇左市线上“政采贷”政策告知函</w:t>
      </w:r>
    </w:p>
    <w:p>
      <w:pPr>
        <w:spacing w:line="580" w:lineRule="exact"/>
        <w:ind w:firstLine="420" w:firstLineChars="200"/>
        <w:rPr>
          <w:color w:val="auto"/>
          <w:szCs w:val="32"/>
          <w:highlight w:val="none"/>
        </w:rPr>
      </w:pPr>
    </w:p>
    <w:p>
      <w:pPr>
        <w:spacing w:line="580" w:lineRule="exact"/>
        <w:rPr>
          <w:rFonts w:hint="eastAsia" w:ascii="宋体" w:hAnsi="宋体" w:eastAsia="宋体" w:cs="宋体"/>
          <w:color w:val="auto"/>
          <w:szCs w:val="32"/>
          <w:highlight w:val="none"/>
        </w:rPr>
      </w:pPr>
      <w:r>
        <w:rPr>
          <w:rFonts w:hint="eastAsia" w:ascii="宋体" w:hAnsi="宋体" w:eastAsia="宋体" w:cs="宋体"/>
          <w:color w:val="auto"/>
          <w:szCs w:val="32"/>
          <w:highlight w:val="none"/>
        </w:rPr>
        <w:t>各供应商：</w:t>
      </w:r>
    </w:p>
    <w:p>
      <w:pPr>
        <w:spacing w:line="580" w:lineRule="exact"/>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欢迎贵公司参与崇左市政府采购活动！</w:t>
      </w:r>
    </w:p>
    <w:p>
      <w:pPr>
        <w:spacing w:line="580" w:lineRule="exact"/>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pPr>
        <w:spacing w:line="580" w:lineRule="exact"/>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相关金融产品和银行业金融机构联系方式，可在中征应收账款融资服务平台查询（网址：</w:t>
      </w:r>
      <w:r>
        <w:rPr>
          <w:color w:val="auto"/>
          <w:highlight w:val="none"/>
        </w:rPr>
        <w:fldChar w:fldCharType="begin"/>
      </w:r>
      <w:r>
        <w:rPr>
          <w:color w:val="auto"/>
          <w:highlight w:val="none"/>
        </w:rPr>
        <w:instrText xml:space="preserve"> HYPERLINK "https://www.crcrfsp.com/" </w:instrText>
      </w:r>
      <w:r>
        <w:rPr>
          <w:color w:val="auto"/>
          <w:highlight w:val="none"/>
        </w:rPr>
        <w:fldChar w:fldCharType="separate"/>
      </w:r>
      <w:r>
        <w:rPr>
          <w:rStyle w:val="38"/>
          <w:rFonts w:hint="eastAsia" w:ascii="宋体" w:hAnsi="宋体" w:eastAsia="宋体" w:cs="宋体"/>
          <w:color w:val="auto"/>
          <w:szCs w:val="32"/>
          <w:highlight w:val="none"/>
        </w:rPr>
        <w:t>https://www.crcrfsp.com/</w:t>
      </w:r>
      <w:r>
        <w:rPr>
          <w:rStyle w:val="38"/>
          <w:rFonts w:hint="eastAsia" w:ascii="宋体" w:hAnsi="宋体" w:eastAsia="宋体" w:cs="宋体"/>
          <w:color w:val="auto"/>
          <w:szCs w:val="32"/>
          <w:highlight w:val="none"/>
        </w:rPr>
        <w:fldChar w:fldCharType="end"/>
      </w:r>
      <w:r>
        <w:rPr>
          <w:rFonts w:hint="eastAsia" w:ascii="宋体" w:hAnsi="宋体" w:eastAsia="宋体" w:cs="宋体"/>
          <w:color w:val="auto"/>
          <w:szCs w:val="32"/>
          <w:highlight w:val="none"/>
        </w:rPr>
        <w:t>，客服电话：400-009-0001）。</w:t>
      </w:r>
    </w:p>
    <w:p>
      <w:pPr>
        <w:pStyle w:val="98"/>
        <w:ind w:firstLine="0" w:firstLineChars="0"/>
        <w:rPr>
          <w:rFonts w:hint="eastAsia" w:ascii="黑体" w:hAnsi="黑体" w:eastAsia="黑体" w:cs="黑体"/>
          <w:color w:val="auto"/>
          <w:sz w:val="32"/>
          <w:szCs w:val="32"/>
          <w:highlight w:val="none"/>
        </w:rPr>
      </w:pPr>
    </w:p>
    <w:p>
      <w:pPr>
        <w:pStyle w:val="98"/>
        <w:ind w:firstLine="0" w:firstLineChars="0"/>
        <w:rPr>
          <w:rFonts w:hint="eastAsia" w:ascii="黑体" w:hAnsi="黑体" w:eastAsia="黑体" w:cs="黑体"/>
          <w:color w:val="auto"/>
          <w:sz w:val="32"/>
          <w:szCs w:val="32"/>
          <w:highlight w:val="none"/>
        </w:rPr>
      </w:pPr>
    </w:p>
    <w:p>
      <w:pPr>
        <w:pStyle w:val="98"/>
        <w:ind w:firstLine="0" w:firstLineChars="0"/>
        <w:rPr>
          <w:rFonts w:hint="eastAsia" w:ascii="黑体" w:hAnsi="黑体" w:eastAsia="黑体" w:cs="黑体"/>
          <w:color w:val="auto"/>
          <w:sz w:val="32"/>
          <w:szCs w:val="32"/>
          <w:highlight w:val="none"/>
        </w:rPr>
      </w:pPr>
    </w:p>
    <w:p>
      <w:pPr>
        <w:pStyle w:val="98"/>
        <w:ind w:firstLine="0" w:firstLineChars="0"/>
        <w:rPr>
          <w:rFonts w:hint="eastAsia" w:ascii="黑体" w:hAnsi="黑体" w:eastAsia="黑体" w:cs="黑体"/>
          <w:color w:val="auto"/>
          <w:sz w:val="32"/>
          <w:szCs w:val="32"/>
          <w:highlight w:val="none"/>
        </w:rPr>
      </w:pPr>
    </w:p>
    <w:p>
      <w:pPr>
        <w:pStyle w:val="98"/>
        <w:ind w:firstLine="0" w:firstLineChars="0"/>
        <w:rPr>
          <w:rFonts w:hint="eastAsia" w:ascii="黑体" w:hAnsi="黑体" w:eastAsia="黑体" w:cs="黑体"/>
          <w:color w:val="auto"/>
          <w:sz w:val="32"/>
          <w:szCs w:val="32"/>
          <w:highlight w:val="none"/>
        </w:rPr>
      </w:pPr>
    </w:p>
    <w:p>
      <w:pPr>
        <w:pStyle w:val="98"/>
        <w:ind w:firstLine="0" w:firstLineChars="0"/>
        <w:rPr>
          <w:rFonts w:hint="eastAsia" w:ascii="黑体" w:hAnsi="黑体" w:eastAsia="黑体" w:cs="黑体"/>
          <w:color w:val="auto"/>
          <w:sz w:val="32"/>
          <w:szCs w:val="32"/>
          <w:highlight w:val="none"/>
        </w:rPr>
      </w:pPr>
    </w:p>
    <w:p>
      <w:pPr>
        <w:pStyle w:val="98"/>
        <w:ind w:firstLine="0" w:firstLineChars="0"/>
        <w:rPr>
          <w:rFonts w:hint="eastAsia" w:ascii="黑体" w:hAnsi="黑体" w:eastAsia="黑体" w:cs="黑体"/>
          <w:color w:val="auto"/>
          <w:sz w:val="32"/>
          <w:szCs w:val="32"/>
          <w:highlight w:val="none"/>
        </w:rPr>
      </w:pPr>
    </w:p>
    <w:p>
      <w:pPr>
        <w:pStyle w:val="98"/>
        <w:ind w:firstLine="0" w:firstLineChars="0"/>
        <w:rPr>
          <w:rFonts w:hint="eastAsia" w:ascii="黑体" w:hAnsi="黑体" w:eastAsia="黑体" w:cs="黑体"/>
          <w:color w:val="auto"/>
          <w:sz w:val="32"/>
          <w:szCs w:val="32"/>
          <w:highlight w:val="none"/>
        </w:rPr>
      </w:pPr>
    </w:p>
    <w:p>
      <w:pPr>
        <w:pStyle w:val="98"/>
        <w:ind w:firstLine="0" w:firstLineChars="0"/>
        <w:rPr>
          <w:color w:val="auto"/>
          <w:highlight w:val="none"/>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rPr>
        <w:t>1：</w:t>
      </w:r>
    </w:p>
    <w:p>
      <w:pPr>
        <w:spacing w:line="600" w:lineRule="exact"/>
        <w:jc w:val="center"/>
        <w:rPr>
          <w:rFonts w:hint="eastAsia" w:ascii="黑体" w:hAnsi="黑体" w:eastAsia="黑体" w:cs="黑体"/>
          <w:color w:val="auto"/>
          <w:sz w:val="44"/>
          <w:szCs w:val="44"/>
          <w:highlight w:val="none"/>
        </w:rPr>
      </w:pPr>
      <w:r>
        <w:rPr>
          <w:rFonts w:hint="eastAsia" w:ascii="方正小标宋_GBK" w:eastAsia="方正小标宋_GBK"/>
          <w:color w:val="auto"/>
          <w:sz w:val="44"/>
          <w:szCs w:val="44"/>
          <w:highlight w:val="none"/>
        </w:rPr>
        <w:t>崇左市线上“政采贷”业务流程图</w:t>
      </w:r>
    </w:p>
    <w:p>
      <w:pPr>
        <w:jc w:val="center"/>
        <w:rPr>
          <w:color w:val="auto"/>
          <w:highlight w:val="none"/>
        </w:rPr>
      </w:pPr>
      <w:r>
        <w:rPr>
          <w:rFonts w:hint="eastAsia" w:eastAsia="仿宋_GB2312"/>
          <w:color w:val="auto"/>
          <w:highlight w:val="none"/>
        </w:rPr>
        <w:drawing>
          <wp:inline distT="0" distB="0" distL="114300" distR="114300">
            <wp:extent cx="4926965" cy="7002780"/>
            <wp:effectExtent l="0" t="0" r="6985" b="7620"/>
            <wp:docPr id="1" name="图片 1"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流程图1011"/>
                    <pic:cNvPicPr>
                      <a:picLocks noChangeAspect="1"/>
                    </pic:cNvPicPr>
                  </pic:nvPicPr>
                  <pic:blipFill>
                    <a:blip r:embed="rId16" cstate="print"/>
                    <a:stretch>
                      <a:fillRect/>
                    </a:stretch>
                  </pic:blipFill>
                  <pic:spPr>
                    <a:xfrm>
                      <a:off x="0" y="0"/>
                      <a:ext cx="4926965" cy="7002780"/>
                    </a:xfrm>
                    <a:prstGeom prst="rect">
                      <a:avLst/>
                    </a:prstGeom>
                    <a:noFill/>
                    <a:ln>
                      <a:noFill/>
                    </a:ln>
                  </pic:spPr>
                </pic:pic>
              </a:graphicData>
            </a:graphic>
          </wp:inline>
        </w:drawing>
      </w:r>
    </w:p>
    <w:p>
      <w:pPr>
        <w:widowControl/>
        <w:ind w:firstLine="420" w:firstLineChars="200"/>
        <w:rPr>
          <w:color w:val="auto"/>
          <w:highlight w:val="none"/>
        </w:rPr>
      </w:pPr>
    </w:p>
    <w:p>
      <w:pPr>
        <w:widowControl/>
        <w:spacing w:line="720" w:lineRule="exact"/>
        <w:jc w:val="left"/>
        <w:rPr>
          <w:rFonts w:hint="eastAsia" w:ascii="黑体" w:hAnsi="黑体" w:eastAsia="黑体" w:cs="黑体"/>
          <w:color w:val="auto"/>
          <w:sz w:val="32"/>
          <w:szCs w:val="32"/>
          <w:highlight w:val="none"/>
          <w:lang w:val="zh-CN"/>
        </w:rPr>
      </w:pPr>
    </w:p>
    <w:p>
      <w:pPr>
        <w:widowControl/>
        <w:spacing w:line="720" w:lineRule="exact"/>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rPr>
        <w:t>2</w:t>
      </w:r>
    </w:p>
    <w:p>
      <w:pPr>
        <w:pStyle w:val="98"/>
        <w:ind w:firstLine="480"/>
        <w:rPr>
          <w:color w:val="auto"/>
          <w:highlight w:val="none"/>
        </w:rPr>
      </w:pPr>
    </w:p>
    <w:p>
      <w:pPr>
        <w:pStyle w:val="98"/>
        <w:ind w:firstLine="720"/>
        <w:jc w:val="center"/>
        <w:rPr>
          <w:rFonts w:hint="eastAsia" w:ascii="方正小标宋_GBK" w:hAnsi="方正小标宋_GBK" w:eastAsia="方正小标宋_GBK" w:cs="方正小标宋_GBK"/>
          <w:color w:val="auto"/>
          <w:sz w:val="36"/>
          <w:szCs w:val="36"/>
          <w:highlight w:val="none"/>
        </w:rPr>
      </w:pPr>
      <w:r>
        <w:rPr>
          <w:rFonts w:hint="eastAsia" w:ascii="方正小标宋_GBK" w:hAnsi="方正小标宋_GBK" w:eastAsia="方正小标宋_GBK" w:cs="方正小标宋_GBK"/>
          <w:color w:val="auto"/>
          <w:sz w:val="36"/>
          <w:szCs w:val="36"/>
          <w:highlight w:val="none"/>
        </w:rPr>
        <w:t>崇左市金融机构线上“政采贷”业务办理联络表</w:t>
      </w:r>
    </w:p>
    <w:tbl>
      <w:tblPr>
        <w:tblStyle w:val="32"/>
        <w:tblW w:w="8314" w:type="dxa"/>
        <w:jc w:val="center"/>
        <w:tblLayout w:type="fixed"/>
        <w:tblCellMar>
          <w:top w:w="0" w:type="dxa"/>
          <w:left w:w="108" w:type="dxa"/>
          <w:bottom w:w="0" w:type="dxa"/>
          <w:right w:w="108" w:type="dxa"/>
        </w:tblCellMar>
      </w:tblPr>
      <w:tblGrid>
        <w:gridCol w:w="2674"/>
        <w:gridCol w:w="3515"/>
        <w:gridCol w:w="2125"/>
      </w:tblGrid>
      <w:tr>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rPr>
              <w:t>金融机构名称</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rPr>
              <w:t>地址</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宋体" w:hAnsi="宋体" w:eastAsia="宋体" w:cs="宋体"/>
                <w:b/>
                <w:bCs/>
                <w:color w:val="auto"/>
                <w:sz w:val="28"/>
                <w:szCs w:val="28"/>
                <w:highlight w:val="none"/>
              </w:rPr>
            </w:pPr>
            <w:r>
              <w:rPr>
                <w:rFonts w:hint="eastAsia" w:eastAsia="宋体" w:cs="宋体"/>
                <w:b/>
                <w:bCs/>
                <w:color w:val="auto"/>
                <w:kern w:val="0"/>
                <w:sz w:val="28"/>
                <w:szCs w:val="28"/>
                <w:highlight w:val="none"/>
              </w:rPr>
              <w:t>业务</w:t>
            </w:r>
            <w:r>
              <w:rPr>
                <w:rFonts w:hint="eastAsia" w:ascii="宋体" w:hAnsi="宋体" w:eastAsia="宋体" w:cs="宋体"/>
                <w:b/>
                <w:bCs/>
                <w:color w:val="auto"/>
                <w:kern w:val="0"/>
                <w:sz w:val="28"/>
                <w:szCs w:val="28"/>
                <w:highlight w:val="none"/>
              </w:rPr>
              <w:t>咨询电话</w:t>
            </w:r>
          </w:p>
        </w:tc>
      </w:tr>
      <w:tr>
        <w:tblPrEx>
          <w:tblCellMar>
            <w:top w:w="0" w:type="dxa"/>
            <w:left w:w="108" w:type="dxa"/>
            <w:bottom w:w="0" w:type="dxa"/>
            <w:right w:w="108" w:type="dxa"/>
          </w:tblCellMar>
        </w:tblPrEx>
        <w:trPr>
          <w:trHeight w:val="36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eastAsia="宋体" w:cs="宋体"/>
                <w:color w:val="auto"/>
                <w:szCs w:val="21"/>
                <w:highlight w:val="none"/>
              </w:rPr>
            </w:pPr>
            <w:r>
              <w:rPr>
                <w:rFonts w:hint="eastAsia" w:eastAsia="宋体" w:cs="宋体"/>
                <w:b/>
                <w:bCs/>
                <w:color w:val="auto"/>
                <w:szCs w:val="21"/>
                <w:highlight w:val="none"/>
              </w:rPr>
              <w:t>崇左市本级及江州区</w:t>
            </w:r>
          </w:p>
        </w:tc>
      </w:tr>
      <w:tr>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工商银行崇左分行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0771-7820436 0771-7820439</w:t>
            </w:r>
          </w:p>
        </w:tc>
      </w:tr>
      <w:tr>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农业银行崇左分行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江州区友谊大道26号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0771-7917212</w:t>
            </w:r>
          </w:p>
        </w:tc>
      </w:tr>
      <w:tr>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农业银行江州支行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0771-7917054</w:t>
            </w:r>
          </w:p>
        </w:tc>
      </w:tr>
      <w:tr>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0771-7831103</w:t>
            </w:r>
          </w:p>
        </w:tc>
      </w:tr>
      <w:tr>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中国银行崇左分行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0771-7928650 0771-7920613</w:t>
            </w:r>
          </w:p>
        </w:tc>
      </w:tr>
      <w:tr>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崇左农商行授信审批部</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崇左市城西路109号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0771-7925660</w:t>
            </w:r>
          </w:p>
        </w:tc>
      </w:tr>
      <w:tr>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0771-7968699</w:t>
            </w:r>
          </w:p>
        </w:tc>
      </w:tr>
      <w:tr>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0771-7916636</w:t>
            </w:r>
          </w:p>
        </w:tc>
      </w:tr>
      <w:tr>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0771-7988895</w:t>
            </w:r>
          </w:p>
        </w:tc>
      </w:tr>
      <w:tr>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0771-7960855</w:t>
            </w:r>
          </w:p>
        </w:tc>
      </w:tr>
      <w:tr>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0771-7821126</w:t>
            </w:r>
          </w:p>
        </w:tc>
      </w:tr>
      <w:tr>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0771-7831866</w:t>
            </w:r>
          </w:p>
        </w:tc>
      </w:tr>
      <w:tr>
        <w:tblPrEx>
          <w:tblCellMar>
            <w:top w:w="0" w:type="dxa"/>
            <w:left w:w="108" w:type="dxa"/>
            <w:bottom w:w="0" w:type="dxa"/>
            <w:right w:w="108" w:type="dxa"/>
          </w:tblCellMar>
        </w:tblPrEx>
        <w:trPr>
          <w:trHeight w:val="350"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扶绥县</w:t>
            </w:r>
          </w:p>
        </w:tc>
      </w:tr>
      <w:tr>
        <w:tblPrEx>
          <w:tblCellMar>
            <w:top w:w="0" w:type="dxa"/>
            <w:left w:w="108" w:type="dxa"/>
            <w:bottom w:w="0" w:type="dxa"/>
            <w:right w:w="108" w:type="dxa"/>
          </w:tblCellMar>
        </w:tblPrEx>
        <w:trPr>
          <w:trHeight w:val="38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工商银行扶绥县支行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0771-7535612</w:t>
            </w:r>
          </w:p>
        </w:tc>
      </w:tr>
      <w:tr>
        <w:tblPrEx>
          <w:tblCellMar>
            <w:top w:w="0" w:type="dxa"/>
            <w:left w:w="108" w:type="dxa"/>
            <w:bottom w:w="0" w:type="dxa"/>
            <w:right w:w="108" w:type="dxa"/>
          </w:tblCellMar>
        </w:tblPrEx>
        <w:trPr>
          <w:trHeight w:val="44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农业银行扶绥县支行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0771-7917330</w:t>
            </w:r>
          </w:p>
        </w:tc>
      </w:tr>
      <w:tr>
        <w:tblPrEx>
          <w:tblCellMar>
            <w:top w:w="0" w:type="dxa"/>
            <w:left w:w="108" w:type="dxa"/>
            <w:bottom w:w="0" w:type="dxa"/>
            <w:right w:w="108" w:type="dxa"/>
          </w:tblCellMar>
        </w:tblPrEx>
        <w:trPr>
          <w:trHeight w:val="74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建行扶绥支行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扶绥县南密路6号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0771-7516511 0771-7531157</w:t>
            </w:r>
          </w:p>
        </w:tc>
      </w:tr>
      <w:tr>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建行扶绥空港支行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0771-7525822</w:t>
            </w:r>
          </w:p>
        </w:tc>
      </w:tr>
      <w:tr>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中国银行扶绥支行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扶绥县-扶绥大道16号山水城市广场一层商铺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0771-5025887</w:t>
            </w:r>
          </w:p>
        </w:tc>
      </w:tr>
      <w:tr>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0771-7533041</w:t>
            </w:r>
          </w:p>
        </w:tc>
      </w:tr>
      <w:tr>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扶绥县松江路138号中国邮政储蓄银行扶绥县支行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0771-7536178 0771-7536177</w:t>
            </w:r>
          </w:p>
        </w:tc>
      </w:tr>
      <w:tr>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桂林银行崇左扶绥支行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0771-7661101</w:t>
            </w:r>
          </w:p>
        </w:tc>
      </w:tr>
      <w:tr>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0771-7500768</w:t>
            </w:r>
          </w:p>
        </w:tc>
      </w:tr>
      <w:tr>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0771-7525678</w:t>
            </w:r>
          </w:p>
        </w:tc>
      </w:tr>
      <w:tr>
        <w:tblPrEx>
          <w:tblCellMar>
            <w:top w:w="0" w:type="dxa"/>
            <w:left w:w="108" w:type="dxa"/>
            <w:bottom w:w="0" w:type="dxa"/>
            <w:right w:w="108" w:type="dxa"/>
          </w:tblCellMar>
        </w:tblPrEx>
        <w:trPr>
          <w:trHeight w:val="47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宁明县</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36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工商银行宁明县支行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宁明县城中镇兴远街70号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0771-8620729</w:t>
            </w:r>
          </w:p>
        </w:tc>
      </w:tr>
      <w:tr>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农业银行宁明县支行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0771-7917093</w:t>
            </w:r>
          </w:p>
        </w:tc>
      </w:tr>
      <w:tr>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建行宁明支行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after="90" w:line="23" w:lineRule="atLeast"/>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0771-8629006</w:t>
            </w:r>
          </w:p>
        </w:tc>
      </w:tr>
      <w:tr>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0771-8628166</w:t>
            </w:r>
          </w:p>
        </w:tc>
      </w:tr>
      <w:tr>
        <w:tblPrEx>
          <w:tblCellMar>
            <w:top w:w="0" w:type="dxa"/>
            <w:left w:w="108" w:type="dxa"/>
            <w:bottom w:w="0" w:type="dxa"/>
            <w:right w:w="108" w:type="dxa"/>
          </w:tblCellMar>
        </w:tblPrEx>
        <w:trPr>
          <w:trHeight w:val="43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桂林银行崇左宁明支行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0771-8630787</w:t>
            </w:r>
          </w:p>
        </w:tc>
      </w:tr>
      <w:tr>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0771-8622237</w:t>
            </w:r>
          </w:p>
        </w:tc>
      </w:tr>
      <w:tr>
        <w:tblPrEx>
          <w:tblCellMar>
            <w:top w:w="0" w:type="dxa"/>
            <w:left w:w="108" w:type="dxa"/>
            <w:bottom w:w="0" w:type="dxa"/>
            <w:right w:w="108" w:type="dxa"/>
          </w:tblCellMar>
        </w:tblPrEx>
        <w:trPr>
          <w:trHeight w:val="377"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大新县</w:t>
            </w:r>
          </w:p>
        </w:tc>
      </w:tr>
      <w:tr>
        <w:tblPrEx>
          <w:tblCellMar>
            <w:top w:w="0" w:type="dxa"/>
            <w:left w:w="108" w:type="dxa"/>
            <w:bottom w:w="0" w:type="dxa"/>
            <w:right w:w="108" w:type="dxa"/>
          </w:tblCellMar>
        </w:tblPrEx>
        <w:trPr>
          <w:trHeight w:val="391"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工商银行大新县支行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大新县桃城镇民生街98号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0771-3628078</w:t>
            </w:r>
          </w:p>
        </w:tc>
      </w:tr>
      <w:tr>
        <w:tblPrEx>
          <w:tblCellMar>
            <w:top w:w="0" w:type="dxa"/>
            <w:left w:w="108" w:type="dxa"/>
            <w:bottom w:w="0" w:type="dxa"/>
            <w:right w:w="108" w:type="dxa"/>
          </w:tblCellMar>
        </w:tblPrEx>
        <w:trPr>
          <w:trHeight w:val="45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农业银行大新县支行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0771-</w:t>
            </w:r>
            <w:r>
              <w:rPr>
                <w:rFonts w:hint="eastAsia" w:ascii="宋体" w:hAnsi="宋体" w:eastAsia="宋体" w:cs="宋体"/>
                <w:color w:val="auto"/>
                <w:szCs w:val="21"/>
                <w:highlight w:val="none"/>
              </w:rPr>
              <w:t>7917015</w:t>
            </w:r>
          </w:p>
        </w:tc>
      </w:tr>
      <w:tr>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建行大新支行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大新县民生街7号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0771-3689766</w:t>
            </w:r>
          </w:p>
        </w:tc>
      </w:tr>
      <w:tr>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大新县城养利路131号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0771-3623887</w:t>
            </w:r>
          </w:p>
        </w:tc>
      </w:tr>
      <w:tr>
        <w:tblPrEx>
          <w:tblCellMar>
            <w:top w:w="0" w:type="dxa"/>
            <w:left w:w="108" w:type="dxa"/>
            <w:bottom w:w="0" w:type="dxa"/>
            <w:right w:w="108" w:type="dxa"/>
          </w:tblCellMar>
        </w:tblPrEx>
        <w:trPr>
          <w:trHeight w:val="6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桂林银行崇左大新支行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0771-3621996</w:t>
            </w:r>
          </w:p>
        </w:tc>
      </w:tr>
      <w:tr>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0771-3628366</w:t>
            </w:r>
          </w:p>
        </w:tc>
      </w:tr>
      <w:tr>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大新县桃城镇德天大道74-1号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0771-3698002</w:t>
            </w:r>
          </w:p>
        </w:tc>
      </w:tr>
      <w:tr>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大新县桃城镇伦那路8号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0771-3626199</w:t>
            </w:r>
          </w:p>
        </w:tc>
      </w:tr>
      <w:tr>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龙州县</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2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工商银行龙州县支行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龙州县龙江街60号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0771-8868619</w:t>
            </w:r>
          </w:p>
        </w:tc>
      </w:tr>
      <w:tr>
        <w:tblPrEx>
          <w:tblCellMar>
            <w:top w:w="0" w:type="dxa"/>
            <w:left w:w="108" w:type="dxa"/>
            <w:bottom w:w="0" w:type="dxa"/>
            <w:right w:w="108" w:type="dxa"/>
          </w:tblCellMar>
        </w:tblPrEx>
        <w:trPr>
          <w:trHeight w:val="544"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农业银行龙州县支行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0771-8812504</w:t>
            </w:r>
          </w:p>
        </w:tc>
      </w:tr>
      <w:tr>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建行龙州支行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0771-8820525</w:t>
            </w:r>
          </w:p>
        </w:tc>
      </w:tr>
      <w:tr>
        <w:tblPrEx>
          <w:tblCellMar>
            <w:top w:w="0" w:type="dxa"/>
            <w:left w:w="108" w:type="dxa"/>
            <w:bottom w:w="0" w:type="dxa"/>
            <w:right w:w="108" w:type="dxa"/>
          </w:tblCellMar>
        </w:tblPrEx>
        <w:trPr>
          <w:trHeight w:val="41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龙州农商行公司机构金融</w:t>
            </w:r>
            <w:r>
              <w:rPr>
                <w:rFonts w:hint="eastAsia" w:eastAsia="宋体" w:cs="宋体"/>
                <w:color w:val="auto"/>
                <w:szCs w:val="21"/>
                <w:highlight w:val="none"/>
              </w:rPr>
              <w:t>部</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0771-8813013</w:t>
            </w:r>
          </w:p>
        </w:tc>
      </w:tr>
      <w:tr>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龙州县龙州镇同顾大道1号同顾·中央公园20栋10号—13号房</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0771-8871021</w:t>
            </w:r>
          </w:p>
        </w:tc>
      </w:tr>
      <w:tr>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0771-8811533</w:t>
            </w:r>
          </w:p>
        </w:tc>
      </w:tr>
      <w:tr>
        <w:tblPrEx>
          <w:tblCellMar>
            <w:top w:w="0" w:type="dxa"/>
            <w:left w:w="108" w:type="dxa"/>
            <w:bottom w:w="0" w:type="dxa"/>
            <w:right w:w="108" w:type="dxa"/>
          </w:tblCellMar>
        </w:tblPrEx>
        <w:trPr>
          <w:trHeight w:val="48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天等县</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工商银行天等县支行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天等县天等镇朝阳东路054号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0771-3532211</w:t>
            </w:r>
          </w:p>
        </w:tc>
      </w:tr>
      <w:tr>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农业银行天等县支行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0771-7917046</w:t>
            </w:r>
          </w:p>
        </w:tc>
      </w:tr>
      <w:tr>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0771-3521361</w:t>
            </w:r>
          </w:p>
        </w:tc>
      </w:tr>
      <w:tr>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0771-3522157</w:t>
            </w:r>
          </w:p>
        </w:tc>
      </w:tr>
      <w:tr>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0771-3528688</w:t>
            </w:r>
          </w:p>
        </w:tc>
      </w:tr>
      <w:tr>
        <w:tblPrEx>
          <w:tblCellMar>
            <w:top w:w="0" w:type="dxa"/>
            <w:left w:w="108" w:type="dxa"/>
            <w:bottom w:w="0" w:type="dxa"/>
            <w:right w:w="108" w:type="dxa"/>
          </w:tblCellMar>
        </w:tblPrEx>
        <w:trPr>
          <w:trHeight w:val="33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凭祥市</w:t>
            </w:r>
          </w:p>
        </w:tc>
      </w:tr>
      <w:tr>
        <w:tblPrEx>
          <w:tblCellMar>
            <w:top w:w="0" w:type="dxa"/>
            <w:left w:w="108" w:type="dxa"/>
            <w:bottom w:w="0" w:type="dxa"/>
            <w:right w:w="108" w:type="dxa"/>
          </w:tblCellMar>
        </w:tblPrEx>
        <w:trPr>
          <w:trHeight w:val="44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工商银行凭祥分行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凭祥市新华路5号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0771-8529259</w:t>
            </w:r>
          </w:p>
        </w:tc>
      </w:tr>
      <w:tr>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农业银行凭祥支行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0771-7917258</w:t>
            </w:r>
          </w:p>
        </w:tc>
      </w:tr>
      <w:tr>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凭祥市屏山路138号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0771-85250680771-8536852</w:t>
            </w:r>
          </w:p>
        </w:tc>
      </w:tr>
      <w:tr>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建行凭祥中区支行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凭祥市金象大道香格里拉3幢3-01至3-03号商铺</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0771-8551161</w:t>
            </w:r>
          </w:p>
        </w:tc>
      </w:tr>
      <w:tr>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建行凭祥浦寨支行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凭祥市浦寨商业城万泰一楼8-9号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0771-8561665</w:t>
            </w:r>
          </w:p>
        </w:tc>
      </w:tr>
      <w:tr>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中国银行凭祥支行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凭祥市-北环路112号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0771-8520356</w:t>
            </w:r>
          </w:p>
        </w:tc>
      </w:tr>
      <w:tr>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0771-8535667</w:t>
            </w:r>
          </w:p>
        </w:tc>
      </w:tr>
      <w:tr>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0771-8520550</w:t>
            </w:r>
          </w:p>
        </w:tc>
      </w:tr>
      <w:tr>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0771-8556667</w:t>
            </w:r>
          </w:p>
        </w:tc>
      </w:tr>
    </w:tbl>
    <w:p>
      <w:pPr>
        <w:jc w:val="left"/>
        <w:rPr>
          <w:rFonts w:hint="eastAsia" w:ascii="宋体" w:hAnsi="宋体" w:eastAsia="宋体" w:cs="宋体"/>
          <w:color w:val="auto"/>
          <w:szCs w:val="21"/>
          <w:highlight w:val="none"/>
        </w:rPr>
      </w:pPr>
    </w:p>
    <w:p>
      <w:pPr>
        <w:jc w:val="left"/>
        <w:rPr>
          <w:rFonts w:hint="eastAsia" w:ascii="宋体" w:hAnsi="宋体" w:eastAsia="宋体" w:cs="宋体"/>
          <w:color w:val="auto"/>
          <w:szCs w:val="21"/>
          <w:highlight w:val="none"/>
        </w:rPr>
      </w:pPr>
    </w:p>
    <w:p>
      <w:pPr>
        <w:pStyle w:val="98"/>
        <w:ind w:firstLine="480"/>
        <w:rPr>
          <w:color w:val="auto"/>
          <w:highlight w:val="none"/>
        </w:rPr>
      </w:pPr>
    </w:p>
    <w:p>
      <w:pPr>
        <w:spacing w:line="360" w:lineRule="auto"/>
        <w:ind w:firstLine="420" w:firstLineChars="200"/>
        <w:rPr>
          <w:rFonts w:hint="eastAsia" w:ascii="宋体" w:hAnsi="宋体" w:cs="宋体"/>
          <w:color w:val="auto"/>
          <w:szCs w:val="21"/>
          <w:highlight w:val="none"/>
        </w:rPr>
      </w:pPr>
    </w:p>
    <w:p>
      <w:pPr>
        <w:spacing w:line="360" w:lineRule="auto"/>
        <w:ind w:firstLine="402" w:firstLineChars="200"/>
        <w:contextualSpacing/>
        <w:rPr>
          <w:rFonts w:hint="eastAsia" w:ascii="宋体" w:hAnsi="宋体" w:eastAsia="宋体" w:cs="Times New Roman"/>
          <w:b/>
          <w:color w:val="auto"/>
          <w:kern w:val="0"/>
          <w:sz w:val="20"/>
          <w:szCs w:val="21"/>
          <w:highlight w:val="none"/>
        </w:rPr>
      </w:pPr>
    </w:p>
    <w:p>
      <w:pPr>
        <w:spacing w:line="240" w:lineRule="auto"/>
        <w:rPr>
          <w:rFonts w:hint="eastAsia" w:ascii="宋体" w:hAnsi="宋体" w:eastAsia="宋体" w:cs="Times New Roman"/>
          <w:b/>
          <w:color w:val="auto"/>
          <w:kern w:val="0"/>
          <w:sz w:val="20"/>
          <w:szCs w:val="21"/>
          <w:highlight w:val="none"/>
        </w:rPr>
      </w:pPr>
      <w:r>
        <w:rPr>
          <w:rFonts w:ascii="宋体" w:hAnsi="宋体" w:eastAsia="宋体" w:cs="Times New Roman"/>
          <w:b/>
          <w:color w:val="auto"/>
          <w:kern w:val="0"/>
          <w:sz w:val="20"/>
          <w:szCs w:val="21"/>
          <w:highlight w:val="none"/>
        </w:rPr>
        <w:br w:type="page"/>
      </w:r>
    </w:p>
    <w:p>
      <w:pPr>
        <w:pStyle w:val="3"/>
        <w:spacing w:line="360" w:lineRule="auto"/>
        <w:ind w:firstLine="1325" w:firstLineChars="300"/>
        <w:rPr>
          <w:color w:val="auto"/>
          <w:highlight w:val="none"/>
        </w:rPr>
      </w:pPr>
      <w:bookmarkStart w:id="140" w:name="_Toc17139"/>
      <w:bookmarkStart w:id="141" w:name="_Toc11174"/>
      <w:bookmarkStart w:id="142" w:name="_Toc80205932"/>
      <w:bookmarkStart w:id="143" w:name="_Toc23199"/>
      <w:r>
        <w:rPr>
          <w:rFonts w:hint="eastAsia"/>
          <w:color w:val="auto"/>
          <w:highlight w:val="none"/>
        </w:rPr>
        <w:t>第四章 评审程序、评审方法和成交标准</w:t>
      </w:r>
      <w:bookmarkEnd w:id="140"/>
      <w:bookmarkEnd w:id="141"/>
      <w:bookmarkEnd w:id="142"/>
      <w:bookmarkEnd w:id="143"/>
    </w:p>
    <w:p>
      <w:pPr>
        <w:keepNext/>
        <w:keepLines/>
        <w:spacing w:line="360" w:lineRule="auto"/>
        <w:ind w:firstLine="640" w:firstLineChars="200"/>
        <w:jc w:val="center"/>
        <w:outlineLvl w:val="1"/>
        <w:rPr>
          <w:rFonts w:hint="eastAsia" w:ascii="宋体" w:hAnsi="宋体" w:eastAsia="宋体" w:cs="Times New Roman"/>
          <w:bCs/>
          <w:color w:val="auto"/>
          <w:sz w:val="32"/>
          <w:szCs w:val="32"/>
          <w:highlight w:val="none"/>
          <w:lang w:val="zh-CN"/>
        </w:rPr>
      </w:pPr>
      <w:bookmarkStart w:id="144" w:name="_Toc80205933"/>
      <w:bookmarkStart w:id="145" w:name="_Toc10464"/>
      <w:bookmarkStart w:id="146" w:name="_Toc18230"/>
      <w:r>
        <w:rPr>
          <w:rFonts w:hint="eastAsia" w:ascii="宋体" w:hAnsi="宋体" w:eastAsia="宋体" w:cs="Times New Roman"/>
          <w:bCs/>
          <w:color w:val="auto"/>
          <w:sz w:val="32"/>
          <w:szCs w:val="32"/>
          <w:highlight w:val="none"/>
          <w:lang w:val="zh-CN"/>
        </w:rPr>
        <w:t>第一节 评审程序和评审方法</w:t>
      </w:r>
      <w:bookmarkEnd w:id="144"/>
      <w:bookmarkEnd w:id="145"/>
      <w:bookmarkEnd w:id="146"/>
    </w:p>
    <w:p>
      <w:pPr>
        <w:spacing w:line="360" w:lineRule="auto"/>
        <w:ind w:firstLine="482" w:firstLineChars="200"/>
        <w:rPr>
          <w:rFonts w:hint="eastAsia" w:ascii="黑体" w:hAnsi="黑体" w:eastAsia="黑体" w:cs="宋体"/>
          <w:b/>
          <w:bCs/>
          <w:color w:val="auto"/>
          <w:sz w:val="24"/>
          <w:szCs w:val="24"/>
          <w:highlight w:val="none"/>
        </w:rPr>
      </w:pPr>
      <w:r>
        <w:rPr>
          <w:rFonts w:ascii="黑体" w:hAnsi="黑体" w:eastAsia="黑体" w:cs="宋体"/>
          <w:b/>
          <w:bCs/>
          <w:color w:val="auto"/>
          <w:sz w:val="24"/>
          <w:szCs w:val="24"/>
          <w:highlight w:val="none"/>
        </w:rPr>
        <w:t>1</w:t>
      </w:r>
      <w:r>
        <w:rPr>
          <w:rFonts w:hint="eastAsia" w:ascii="黑体" w:hAnsi="黑体" w:eastAsia="黑体" w:cs="宋体"/>
          <w:b/>
          <w:bCs/>
          <w:color w:val="auto"/>
          <w:sz w:val="24"/>
          <w:szCs w:val="24"/>
          <w:highlight w:val="none"/>
        </w:rPr>
        <w:t>.确认谈判文件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由谈判小组确认谈判文件。</w:t>
      </w:r>
    </w:p>
    <w:p>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2.资格审查</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2.1响应文件开启后，谈判小组依法对供应商的资格证明文件进行审查。</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注：采购人代表或者采购代理机构在资格审查结束前，对供应商进行信用查询。</w:t>
      </w:r>
    </w:p>
    <w:p>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w:t>
      </w:r>
      <w:r>
        <w:rPr>
          <w:rFonts w:hint="eastAsia" w:ascii="宋体" w:hAnsi="宋体" w:cs="宋体"/>
          <w:color w:val="auto"/>
          <w:szCs w:val="21"/>
          <w:highlight w:val="none"/>
        </w:rPr>
        <w:t>广西政府采购云平台</w:t>
      </w:r>
      <w:r>
        <w:rPr>
          <w:rFonts w:hint="eastAsia" w:ascii="宋体" w:hAnsi="宋体" w:eastAsia="宋体" w:cs="宋体"/>
          <w:color w:val="auto"/>
          <w:szCs w:val="21"/>
          <w:highlight w:val="none"/>
        </w:rPr>
        <w:t>“信用中国”网站(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宋体" w:hAnsi="宋体" w:eastAsia="宋体" w:cs="宋体"/>
          <w:color w:val="auto"/>
          <w:szCs w:val="21"/>
          <w:highlight w:val="none"/>
          <w:u w:val="single"/>
        </w:rPr>
        <w:t>www.creditchina.gov.cn</w:t>
      </w:r>
      <w:r>
        <w:rPr>
          <w:rFonts w:hint="eastAsia" w:ascii="宋体" w:hAnsi="宋体" w:eastAsia="宋体" w:cs="宋体"/>
          <w:color w:val="auto"/>
          <w:szCs w:val="21"/>
          <w:highlight w:val="none"/>
          <w:u w:val="single"/>
        </w:rPr>
        <w:fldChar w:fldCharType="end"/>
      </w:r>
      <w:r>
        <w:rPr>
          <w:rFonts w:hint="eastAsia" w:ascii="宋体" w:hAnsi="宋体" w:eastAsia="宋体" w:cs="宋体"/>
          <w:color w:val="auto"/>
          <w:szCs w:val="21"/>
          <w:highlight w:val="none"/>
        </w:rPr>
        <w:t>)、中国政府采购网(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hint="eastAsia" w:ascii="宋体" w:hAnsi="宋体" w:eastAsia="宋体" w:cs="宋体"/>
          <w:color w:val="auto"/>
          <w:szCs w:val="21"/>
          <w:highlight w:val="none"/>
          <w:u w:val="single"/>
        </w:rPr>
        <w:t>www.ccgp.gov.cn</w:t>
      </w:r>
      <w:r>
        <w:rPr>
          <w:rFonts w:hint="eastAsia" w:ascii="宋体" w:hAnsi="宋体" w:eastAsia="宋体" w:cs="宋体"/>
          <w:color w:val="auto"/>
          <w:szCs w:val="21"/>
          <w:highlight w:val="none"/>
          <w:u w:val="single"/>
        </w:rPr>
        <w:fldChar w:fldCharType="end"/>
      </w:r>
      <w:r>
        <w:rPr>
          <w:rFonts w:hint="eastAsia" w:ascii="宋体" w:hAnsi="宋体" w:eastAsia="宋体" w:cs="宋体"/>
          <w:color w:val="auto"/>
          <w:szCs w:val="21"/>
          <w:highlight w:val="none"/>
        </w:rPr>
        <w:t>)链接入口。</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查询记录和证据留存方式：在查询网站中直接打印查询记录，截图另存为电子文档作为评审资料保存。</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2.2资格审查标准为本谈判文件中载明对供应商资格要求的条件。资格审查采用合格制，凡符合谈判文件规定的供应商资格要求的响应文件均通过资格审查。</w:t>
      </w:r>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2.3供应商有下列情形之一的，资格审查不通过，其响应文件作无效响应处理：</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（1）不具备谈判文件中规定的资格要求的；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pPr>
        <w:spacing w:line="360" w:lineRule="auto"/>
        <w:ind w:firstLine="420" w:firstLineChars="200"/>
        <w:rPr>
          <w:rFonts w:hint="eastAsia" w:ascii="宋体" w:hAnsi="宋体" w:eastAsia="宋体" w:cs="宋体"/>
          <w:color w:val="auto"/>
          <w:szCs w:val="21"/>
          <w:highlight w:val="none"/>
        </w:rPr>
      </w:pPr>
      <w:bookmarkStart w:id="147"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147"/>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3.符合性审查</w:t>
      </w:r>
    </w:p>
    <w:p>
      <w:pPr>
        <w:spacing w:line="360" w:lineRule="auto"/>
        <w:ind w:firstLine="420" w:firstLineChars="200"/>
        <w:rPr>
          <w:rFonts w:hint="eastAsia" w:ascii="宋体" w:hAnsi="宋体" w:eastAsia="宋体" w:cs="宋体"/>
          <w:color w:val="auto"/>
          <w:szCs w:val="21"/>
          <w:highlight w:val="none"/>
        </w:rPr>
      </w:pPr>
      <w:bookmarkStart w:id="148" w:name="_Hlk42528882"/>
      <w:r>
        <w:rPr>
          <w:rFonts w:hint="eastAsia" w:ascii="宋体" w:hAnsi="宋体" w:eastAsia="宋体" w:cs="宋体"/>
          <w:color w:val="auto"/>
          <w:szCs w:val="21"/>
          <w:highlight w:val="none"/>
        </w:rPr>
        <w:t>3.1由谈判小组对通过资格审查的合格供应商的响应文件的响应报价、商务、技术等实质性要求进行符合性审查，以确定其是否满足谈判文件的实质性要求。</w:t>
      </w:r>
    </w:p>
    <w:bookmarkEnd w:id="148"/>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谈判小组要求供应商澄清、说明或者更正响应文件应当以电子澄清函形式作出。供应商的澄清、说明或者更正应当以电子回函形式按照谈判小组的要求作出明确的澄清、说明或者更正，未按谈判小组的要求作出明确澄清、说明或者更正的供应商的响应文件将按照有利于采购人的原则由谈判小组进行判定。供应商的澄清、说明或者更正必须加盖公章</w:t>
      </w:r>
      <w:r>
        <w:rPr>
          <w:rFonts w:hint="eastAsia" w:ascii="宋体" w:hAnsi="宋体" w:eastAsia="宋体" w:cs="宋体"/>
          <w:color w:val="auto"/>
          <w:spacing w:val="-6"/>
          <w:szCs w:val="21"/>
          <w:highlight w:val="none"/>
        </w:rPr>
        <w:t>。供应商为自然人的，必须由本人签字并附身份证明。</w:t>
      </w:r>
    </w:p>
    <w:p>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（1）响应文件中响应报价表内容与响应文件中相应内容不一致的，以响应报价表为准；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（3）单价金额小数点或者百分比有明显错位的，以响应报价表的总价为准，并修改单价；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同时出现两种以上不一致的，按照以上（1）-（4）规定的顺序逐条进行修正。修正后的报价经供应商确认后产生约束力，供应商不确认的，其响应文件作无效响应处理。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在评审时，如发现下列情形之一的，将被视为响应文件无效处理：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1）响应文件未按谈判文件要求签署、盖章；</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4）商务条款中标“▲”的条款发生负偏离的或者允许负偏离的条款数超过“供应商须知前附表”规定项数的或者标明实质性的要求发生负偏离；</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5）未对竞标有效期作出响应或者响应文件承诺的竞标有效期不满足谈判文件要求；</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6）响应文件的实质性内容未使用中文表述、使用计量单位不符合谈判文件要求；</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7）响应文件中的文件资料因填写不齐全或者内容虚假或者出现其他情形而导致被谈判小组认定无效；</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9）属于“供应商须知正文”第7.5条情形；</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10）技术需求允许负偏离的条款数超过“供应商须知前附表”规定项数；</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11）虚假竞标，或者出现其他情形而导致被谈判小组认定无效；</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12）竞标技术方案不明确，谈判文件未允许但响应文件中存在一个或者一个以上备选（替代）竞标方案；</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13）响应文件标注的项目名称或者项目编号与竞争性谈判文件标注的项目名称或者项目编号不一致的；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14）未响应谈判文件实质性要求；</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ascii="宋体" w:hAnsi="宋体" w:eastAsia="宋体" w:cs="宋体"/>
          <w:color w:val="auto"/>
          <w:szCs w:val="21"/>
          <w:highlight w:val="none"/>
        </w:rPr>
        <w:t>5</w:t>
      </w:r>
      <w:r>
        <w:rPr>
          <w:rFonts w:hint="eastAsia" w:ascii="宋体" w:hAnsi="宋体" w:eastAsia="宋体" w:cs="宋体"/>
          <w:color w:val="auto"/>
          <w:szCs w:val="21"/>
          <w:highlight w:val="none"/>
        </w:rPr>
        <w:t>）法律、法规和谈判文件规定的其他无效情形。</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响应文件未提供“供应商须知前附表” 报价文件中规定的“响应报价表”；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2）未采用人民币报价或者未按照谈判文件标明的币种报价；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项目进行报价或者存在漏项报价；供应商未就所竞标项目的单项内容作唯一报价；供应商未就所竞标项目的全部内容作唯一总价报价；供应商响应文件中存在有选择、有条件报价的（谈判文件允许有备选方案或者其他约定的除外）；</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4）响应报价（包含首次报价、最后报价）超过所竞标项目规定的采购预算金额或者最高限价的（如本项目公布了最高限价）；</w:t>
      </w:r>
      <w:bookmarkStart w:id="149" w:name="_Hlk42596405"/>
      <w:r>
        <w:rPr>
          <w:rFonts w:hint="eastAsia" w:ascii="宋体" w:hAnsi="宋体" w:eastAsia="宋体" w:cs="宋体"/>
          <w:color w:val="auto"/>
          <w:szCs w:val="21"/>
          <w:highlight w:val="none"/>
        </w:rPr>
        <w:t>响应报价（包含首次报价、最后报价）</w:t>
      </w:r>
      <w:bookmarkEnd w:id="149"/>
      <w:bookmarkStart w:id="150" w:name="_Hlk42596276"/>
      <w:r>
        <w:rPr>
          <w:rFonts w:hint="eastAsia" w:ascii="宋体" w:hAnsi="宋体" w:eastAsia="宋体" w:cs="宋体"/>
          <w:color w:val="auto"/>
          <w:szCs w:val="21"/>
          <w:highlight w:val="none"/>
        </w:rPr>
        <w:t>超过谈判文件分项采购预算金额或者最高限价的</w:t>
      </w:r>
      <w:bookmarkEnd w:id="150"/>
      <w:r>
        <w:rPr>
          <w:rFonts w:hint="eastAsia" w:ascii="宋体" w:hAnsi="宋体" w:eastAsia="宋体" w:cs="宋体"/>
          <w:color w:val="auto"/>
          <w:szCs w:val="21"/>
          <w:highlight w:val="none"/>
        </w:rPr>
        <w:t>（如本项目公布了最高限价）；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项目规定的采购预算金额或者最高限价（如本项目公布了最高限价）；或者经供应商确认修正后响应报价（包含首次报价、最后报价）超过谈判文件分项采购预算金额或者最高限价的（如本项目公布了最高限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6）响应文件响应的标的数量及单位与竞争性谈判文件要求实质性不一致的。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谈判小组对响应文件进行评审，未实质性响应谈判文件的响应文件作无效处理。谈判小组应当将资格和符合性不通过的情况告知有关供应商。谈判小组从符合谈判文件规定的相应资格条件的供应商名单中确定不少于3家的供应商参加谈判。</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3.7通过符合性审查的合格供应商不足3家的，不得进入谈判环节，应当重新开展采购活动。</w:t>
      </w:r>
    </w:p>
    <w:p>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4.谈判程序</w:t>
      </w:r>
    </w:p>
    <w:p>
      <w:pPr>
        <w:spacing w:line="360" w:lineRule="auto"/>
        <w:ind w:firstLine="420" w:firstLineChars="200"/>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rPr>
        <w:t>4.1谈判小组按照“供应商须知前附表”</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确定的</w:t>
      </w:r>
      <w:r>
        <w:rPr>
          <w:rFonts w:hint="eastAsia" w:ascii="宋体" w:hAnsi="宋体" w:eastAsia="宋体" w:cs="宋体"/>
          <w:color w:val="auto"/>
          <w:szCs w:val="21"/>
          <w:highlight w:val="none"/>
        </w:rPr>
        <w:t>顺序，集中与单一供应商分别进行谈判，并给予所有参加谈判的供应商平等的谈判机会。符合谈判资格的供应商必须在接到谈判通知后规定时间内参加谈判，未在规定时间内参加谈判的视同放弃参加谈判权利，</w:t>
      </w:r>
      <w:r>
        <w:rPr>
          <w:rFonts w:hint="eastAsia" w:ascii="宋体" w:hAnsi="宋体" w:eastAsia="宋体" w:cs="宋体"/>
          <w:b/>
          <w:color w:val="auto"/>
          <w:szCs w:val="21"/>
          <w:highlight w:val="none"/>
        </w:rPr>
        <w:t>其响应文件作无效响应处理。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谈判过程中，谈判小组可以根据谈判文件和谈判情况实质性变动采购需求中的技术、货物要求以及合同草案条款，但不得变动谈判文件中的其他内容。实质性变动的内容，须经采购人代表确认。可能实质性变动的内容为采购需求中的技术、货物要求以及合同草案条款。</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4.3对谈判文件作出的实质性变动是谈判文件的有效组成部分，由谈判小组及时以电子澄清函形式同时通知所有参加谈判的供应商。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谈判文件的变动情况和谈判小组的要求以回函的形式重新提交响应文件，并加盖供应商公章。供应商为自然人的，必须由本人签字并附身份证明。参加谈判的供应商未在规定时间内重新提交响应文件的，视同退出谈判。</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4.5谈判中，</w:t>
      </w:r>
      <w:r>
        <w:rPr>
          <w:rFonts w:hint="eastAsia" w:ascii="宋体" w:hAnsi="宋体" w:eastAsia="宋体" w:cs="宋体"/>
          <w:color w:val="auto"/>
          <w:spacing w:val="-6"/>
          <w:szCs w:val="21"/>
          <w:highlight w:val="none"/>
        </w:rPr>
        <w:t>谈判的任何一方不得透露与谈判有关的其他供应商的技术资料、价格和其他信息。</w:t>
      </w:r>
    </w:p>
    <w:p>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4.6谈判小组应对谈判过程和重要谈判内容进行记录，作为评审报告一部分，谈判小组在记录上签字确认。</w:t>
      </w:r>
      <w:r>
        <w:rPr>
          <w:rFonts w:hint="eastAsia" w:ascii="宋体" w:hAnsi="宋体" w:eastAsia="宋体" w:cs="宋体"/>
          <w:b/>
          <w:color w:val="auto"/>
          <w:szCs w:val="24"/>
          <w:highlight w:val="none"/>
        </w:rPr>
        <w:t>主要内容包括：</w:t>
      </w:r>
    </w:p>
    <w:p>
      <w:pPr>
        <w:adjustRightInd w:val="0"/>
        <w:spacing w:line="360" w:lineRule="auto"/>
        <w:ind w:firstLine="396"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（1）按照相关规定进行公示的，公示情况说明；</w:t>
      </w:r>
    </w:p>
    <w:p>
      <w:pPr>
        <w:adjustRightInd w:val="0"/>
        <w:spacing w:line="360" w:lineRule="auto"/>
        <w:ind w:firstLine="396"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（2）谈判日期和地点，谈判人员名单；</w:t>
      </w:r>
    </w:p>
    <w:p>
      <w:pPr>
        <w:adjustRightInd w:val="0"/>
        <w:spacing w:line="360" w:lineRule="auto"/>
        <w:ind w:firstLine="396"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（3）合同主要条款及价格商定情况。</w:t>
      </w:r>
    </w:p>
    <w:p>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4.7谈判过程中重新提交的响应文件，供应商可以在开启前补充、修改。</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4.8对谈判过程提交的响应文件进行有效性、完整性和响应程度审查，通过审查的合格供应商不足3家的，采购人或者采购代理机构应当重新开展采购活动。</w:t>
      </w:r>
    </w:p>
    <w:p>
      <w:pPr>
        <w:spacing w:line="360" w:lineRule="auto"/>
        <w:ind w:firstLine="482" w:firstLineChars="200"/>
        <w:rPr>
          <w:rFonts w:hint="eastAsia" w:ascii="宋体" w:hAnsi="宋体" w:eastAsia="宋体" w:cs="宋体"/>
          <w:color w:val="auto"/>
          <w:szCs w:val="21"/>
          <w:highlight w:val="none"/>
        </w:rPr>
      </w:pPr>
      <w:r>
        <w:rPr>
          <w:rFonts w:hint="eastAsia" w:ascii="黑体" w:hAnsi="黑体" w:eastAsia="黑体" w:cs="宋体"/>
          <w:b/>
          <w:bCs/>
          <w:color w:val="auto"/>
          <w:sz w:val="24"/>
          <w:szCs w:val="24"/>
          <w:highlight w:val="none"/>
        </w:rPr>
        <w:t>5</w:t>
      </w:r>
      <w:r>
        <w:rPr>
          <w:rFonts w:ascii="黑体" w:hAnsi="黑体" w:eastAsia="黑体" w:cs="宋体"/>
          <w:b/>
          <w:bCs/>
          <w:color w:val="auto"/>
          <w:sz w:val="24"/>
          <w:szCs w:val="24"/>
          <w:highlight w:val="none"/>
        </w:rPr>
        <w:t>.</w:t>
      </w:r>
      <w:r>
        <w:rPr>
          <w:rFonts w:hint="eastAsia" w:ascii="黑体" w:hAnsi="黑体" w:eastAsia="黑体" w:cs="宋体"/>
          <w:b/>
          <w:bCs/>
          <w:color w:val="auto"/>
          <w:sz w:val="24"/>
          <w:szCs w:val="24"/>
          <w:highlight w:val="none"/>
        </w:rPr>
        <w:t xml:space="preserve"> 最后报价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5.1谈判文件能够详细列明采购标的的技术、货物要求的，谈判结束后，由谈判小组要求所有继续参加谈判的供应商在规定时间内密封提交最后报价，提交最后报价的供应商不得少于3家，否则必须重新采购。</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谈判文件不能详细列明采购标的的技术、货物要求，需经谈判由供应商提供最后设计方案或者解决方案的，谈判结束后，由谈判小组按照少数服从多数的原则投票推荐3家以上供应商的设计方案或者解决方案，并要求其在规定时间内在广西政府采购云平台远程不见面开标大厅响应最后报价。</w:t>
      </w:r>
    </w:p>
    <w:p>
      <w:pPr>
        <w:spacing w:line="360" w:lineRule="auto"/>
        <w:ind w:firstLine="420" w:firstLineChars="200"/>
        <w:rPr>
          <w:rFonts w:hint="eastAsia" w:ascii="宋体" w:hAnsi="宋体" w:eastAsia="宋体" w:cs="宋体"/>
          <w:color w:val="auto"/>
          <w:sz w:val="18"/>
          <w:szCs w:val="18"/>
          <w:highlight w:val="none"/>
        </w:rPr>
      </w:pPr>
      <w:r>
        <w:rPr>
          <w:rFonts w:hint="eastAsia" w:ascii="宋体" w:hAnsi="宋体" w:eastAsia="宋体" w:cs="宋体"/>
          <w:color w:val="auto"/>
          <w:szCs w:val="21"/>
          <w:highlight w:val="none"/>
        </w:rPr>
        <w:t>5.3 最后报价是供应商响应文件的有效组成部分。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5.4已经提交响应文件的供应商，在提交最后报价之前，可以根据谈判情况退出谈判，退出谈判的供应商的响应文件作无效响应处理。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w:t>
      </w:r>
      <w:r>
        <w:rPr>
          <w:rFonts w:hint="eastAsia" w:ascii="宋体" w:hAnsi="宋体" w:eastAsia="宋体" w:cs="宋体"/>
          <w:b/>
          <w:color w:val="auto"/>
          <w:szCs w:val="21"/>
          <w:highlight w:val="none"/>
        </w:rPr>
        <w:t>，视同放弃报价权利退出谈判。</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5.6最终响应文件的报价出现前后不一致的，按照本章第3.4条的规定修正。 </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5.7修正后的最后报价出现下列情形的，作无效响应处理：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项目规定的采购预算金额或者最高限价的（如本项目公布了最高限价）（全流程电子化评标多轮报价设置了上线控制价，即预算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5.8经供应商确认修正后的最后报价作为评审及签订合同的依据。</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5.9供应商出现最后报价作无效响应处理或者响应文件作无效处理时，谈判小组应当告知有关供应商。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5.10最后报价结束后，谈判小组不得再与供应商进行任何形式的商谈。</w:t>
      </w:r>
    </w:p>
    <w:p>
      <w:pPr>
        <w:spacing w:line="420" w:lineRule="exact"/>
        <w:ind w:firstLine="422" w:firstLineChars="200"/>
        <w:jc w:val="left"/>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rPr>
        <w:t>注：</w:t>
      </w:r>
      <w:r>
        <w:rPr>
          <w:rFonts w:hint="eastAsia" w:ascii="宋体" w:hAnsi="宋体" w:eastAsia="宋体" w:cs="宋体"/>
          <w:b/>
          <w:bCs/>
          <w:color w:val="auto"/>
          <w:highlight w:val="none"/>
        </w:rPr>
        <w:t>如谈判小组要求提供最后报价附件的，需按规定的时间提供。最后报价有时间限制，供应商可参照竞争性谈判文件“第五章 响应文件格式”的最后报价表提前准备，以免耽误最后报价</w:t>
      </w:r>
      <w:r>
        <w:rPr>
          <w:rFonts w:hint="eastAsia" w:ascii="宋体" w:hAnsi="宋体" w:eastAsia="宋体" w:cs="宋体"/>
          <w:b/>
          <w:bCs/>
          <w:color w:val="auto"/>
          <w:szCs w:val="21"/>
          <w:highlight w:val="none"/>
          <w:lang w:val="zh-CN"/>
        </w:rPr>
        <w:t>。</w:t>
      </w:r>
    </w:p>
    <w:p>
      <w:pPr>
        <w:keepNext w:val="0"/>
        <w:keepLines w:val="0"/>
        <w:widowControl/>
        <w:suppressLineNumbers w:val="0"/>
        <w:ind w:firstLine="422" w:firstLineChars="200"/>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6.</w:t>
      </w:r>
      <w:bookmarkStart w:id="151" w:name="OLE_LINK47"/>
      <w:r>
        <w:rPr>
          <w:rFonts w:hint="eastAsia" w:ascii="宋体" w:hAnsi="宋体" w:eastAsia="宋体" w:cs="宋体"/>
          <w:b/>
          <w:bCs/>
          <w:color w:val="auto"/>
          <w:sz w:val="21"/>
          <w:szCs w:val="21"/>
          <w:highlight w:val="none"/>
          <w:lang w:val="en-US" w:eastAsia="zh-CN"/>
        </w:rPr>
        <w:t>最后报价政府采购政策性扣除</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6.1评审价为供应商的最后报价进行政策性扣除后的价格，评审价只是作为评审时使用。最终成交供应商的成交金额等于最后报价（如有修正，以确认修正后的最后报价为准）。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6.2按照《政府采购促进中小企业发展管理办法》（财库〔2020〕46号）及《广西壮族自治区财政厅关于贯彻落实政府采购支持中小企业发展政策的通知》（桂财采〔2022〕31号）的规定，</w:t>
      </w:r>
      <w:r>
        <w:rPr>
          <w:rFonts w:hint="eastAsia" w:ascii="宋体" w:hAnsi="宋体" w:eastAsia="宋体" w:cs="宋体"/>
          <w:color w:val="auto"/>
          <w:highlight w:val="none"/>
        </w:rPr>
        <w:t>供应商在其</w:t>
      </w:r>
      <w:r>
        <w:rPr>
          <w:rFonts w:hint="eastAsia" w:ascii="宋体" w:hAnsi="宋体" w:eastAsia="宋体" w:cs="宋体"/>
          <w:color w:val="auto"/>
          <w:szCs w:val="21"/>
          <w:highlight w:val="none"/>
        </w:rPr>
        <w:t>响应文件中提供《中小企业声明函》，且其提供的货物全部由符合政策要求的小型、微型企业制造，即货物由小型、微型企业生产且使用该小型、微型企业商号或者注册商标，对其最后报价给予20%的扣除。</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6.4按照《关于促进残疾人就业政府采购政策的通知》（财库〔2017〕141号）的规定，残疾人福利性单位视同小型、微型企业，享受预留份额、评审中价格扣除等</w:t>
      </w:r>
      <w:r>
        <w:rPr>
          <w:rFonts w:hint="eastAsia" w:ascii="宋体" w:hAnsi="宋体" w:eastAsia="宋体" w:cs="宋体"/>
          <w:color w:val="auto"/>
          <w:highlight w:val="none"/>
        </w:rPr>
        <w:t>促进中小企业发展的政府采购政策。残疾人福利性单位参加政府采购活动时，应当提供该通知规定的《残疾人福利性单位声明函》，并对声明的真实性负责。残疾人福利性单位属于小型、微型企业的，不重复享受政策。</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6.5政策性扣除计算方法。</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供应商被评定为监狱企业或者残疾人福利性单位或者其</w:t>
      </w:r>
      <w:r>
        <w:rPr>
          <w:rFonts w:hint="eastAsia" w:ascii="宋体" w:hAnsi="宋体" w:eastAsia="宋体" w:cs="宋体"/>
          <w:color w:val="auto"/>
          <w:szCs w:val="21"/>
          <w:highlight w:val="none"/>
        </w:rPr>
        <w:t>提供的货物全部由符合政策要求的小型、微型企业制造，即货物由小型、微型企业生产且使用该小型、微型企业商号或者注册商标的</w:t>
      </w:r>
      <w:r>
        <w:rPr>
          <w:rFonts w:hint="eastAsia" w:ascii="宋体" w:hAnsi="宋体" w:eastAsia="宋体" w:cs="宋体"/>
          <w:color w:val="auto"/>
          <w:highlight w:val="none"/>
        </w:rPr>
        <w:t>，该供应商的最后报价给予20%的扣除，扣除后的价格为评审价，即评审价=最后报价×（1-20%）；</w:t>
      </w:r>
      <w:r>
        <w:rPr>
          <w:rFonts w:hint="eastAsia" w:ascii="宋体" w:hAnsi="宋体" w:eastAsia="宋体" w:cs="宋体"/>
          <w:color w:val="auto"/>
          <w:szCs w:val="21"/>
          <w:highlight w:val="none"/>
        </w:rPr>
        <w:t>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30%以上的，对联合体或者大中型企业的报价给予6%的扣除，用扣除后的价格参加评审，</w:t>
      </w:r>
      <w:r>
        <w:rPr>
          <w:rFonts w:hint="eastAsia" w:ascii="宋体" w:hAnsi="宋体" w:eastAsia="宋体" w:cs="宋体"/>
          <w:color w:val="auto"/>
          <w:highlight w:val="none"/>
        </w:rPr>
        <w:t>扣除后的价格为评审价，即评审价=最后报价×（1-</w:t>
      </w:r>
      <w:r>
        <w:rPr>
          <w:rFonts w:hint="eastAsia" w:ascii="宋体" w:hAnsi="宋体" w:eastAsia="宋体" w:cs="宋体"/>
          <w:color w:val="auto"/>
          <w:szCs w:val="21"/>
          <w:highlight w:val="none"/>
        </w:rPr>
        <w:t>6%</w:t>
      </w:r>
      <w:r>
        <w:rPr>
          <w:rFonts w:hint="eastAsia" w:ascii="宋体" w:hAnsi="宋体" w:eastAsia="宋体" w:cs="宋体"/>
          <w:color w:val="auto"/>
          <w:highlight w:val="none"/>
        </w:rPr>
        <w:t>）。</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6.6除上述情况外，评审价＝最后报价。</w:t>
      </w:r>
    </w:p>
    <w:bookmarkEnd w:id="151"/>
    <w:p>
      <w:pPr>
        <w:spacing w:line="360" w:lineRule="auto"/>
        <w:ind w:firstLine="420" w:firstLineChars="200"/>
        <w:rPr>
          <w:rFonts w:hint="eastAsia" w:ascii="宋体" w:hAnsi="宋体" w:eastAsia="宋体" w:cs="宋体"/>
          <w:color w:val="auto"/>
          <w:szCs w:val="21"/>
          <w:highlight w:val="none"/>
        </w:rPr>
      </w:pPr>
    </w:p>
    <w:p>
      <w:pPr>
        <w:keepNext/>
        <w:keepLines/>
        <w:spacing w:line="360" w:lineRule="auto"/>
        <w:ind w:firstLine="640" w:firstLineChars="200"/>
        <w:jc w:val="center"/>
        <w:outlineLvl w:val="1"/>
        <w:rPr>
          <w:rFonts w:hint="eastAsia" w:ascii="宋体" w:hAnsi="宋体" w:eastAsia="宋体" w:cs="Times New Roman"/>
          <w:bCs/>
          <w:color w:val="auto"/>
          <w:sz w:val="32"/>
          <w:szCs w:val="32"/>
          <w:highlight w:val="none"/>
          <w:lang w:val="zh-CN"/>
        </w:rPr>
      </w:pPr>
      <w:bookmarkStart w:id="152" w:name="_Toc17730"/>
      <w:bookmarkStart w:id="153" w:name="_Toc80205934"/>
      <w:bookmarkStart w:id="154" w:name="_Toc5389"/>
      <w:r>
        <w:rPr>
          <w:rFonts w:hint="eastAsia" w:ascii="宋体" w:hAnsi="宋体" w:eastAsia="宋体" w:cs="Times New Roman"/>
          <w:bCs/>
          <w:color w:val="auto"/>
          <w:sz w:val="32"/>
          <w:szCs w:val="32"/>
          <w:highlight w:val="none"/>
          <w:lang w:val="zh-CN"/>
        </w:rPr>
        <w:t>第二节 评审原则</w:t>
      </w:r>
      <w:bookmarkEnd w:id="152"/>
      <w:bookmarkEnd w:id="153"/>
      <w:bookmarkEnd w:id="154"/>
    </w:p>
    <w:p>
      <w:pPr>
        <w:spacing w:line="360" w:lineRule="auto"/>
        <w:ind w:firstLine="480" w:firstLineChars="200"/>
        <w:jc w:val="left"/>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1.评审原则</w:t>
      </w:r>
    </w:p>
    <w:p>
      <w:pPr>
        <w:spacing w:line="360" w:lineRule="auto"/>
        <w:ind w:firstLine="42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1.1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pPr>
        <w:spacing w:line="360" w:lineRule="auto"/>
        <w:ind w:firstLine="42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1.2根据《政府采购非招标采购方式管理办法》（财政部令第74号）第二十一条规定，</w:t>
      </w:r>
      <w:r>
        <w:rPr>
          <w:rFonts w:hint="eastAsia" w:ascii="宋体" w:hAnsi="宋体" w:eastAsia="宋体" w:cs="宋体"/>
          <w:color w:val="auto"/>
          <w:kern w:val="0"/>
          <w:szCs w:val="21"/>
          <w:highlight w:val="none"/>
        </w:rPr>
        <w:t>除资格性审查认定错误和价格计算错误外，采购人或者采购代理机构不得以任何理由组织重新评审。采购人、采购代理机构发现谈判小组未按照竞争性谈判文件规定的评定成交的标准进行评审的，应当重新开展采购活动，并同时书面报告本级财政部门</w:t>
      </w:r>
      <w:r>
        <w:rPr>
          <w:rFonts w:hint="eastAsia" w:ascii="宋体" w:hAnsi="宋体" w:eastAsia="宋体" w:cs="宋体"/>
          <w:color w:val="auto"/>
          <w:szCs w:val="24"/>
          <w:highlight w:val="none"/>
        </w:rPr>
        <w:t>。</w:t>
      </w:r>
      <w:bookmarkStart w:id="155" w:name="_Toc321836413"/>
      <w:bookmarkStart w:id="156" w:name="_Toc432194885"/>
      <w:bookmarkStart w:id="157" w:name="_Toc432106535"/>
    </w:p>
    <w:bookmarkEnd w:id="155"/>
    <w:bookmarkEnd w:id="156"/>
    <w:bookmarkEnd w:id="157"/>
    <w:p>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1.3谈判小组发现竞争性谈判文件存在歧义、重大缺陷导致评审工作无法进行，或者竞争性谈判文件内容违反国家有关规定的，要停止评审工作并向采购人或采购代理机构书面说明情况，采购人或采购代理机构应当修改竞争性谈判文件后重新组织采购活动；发现供应商提供虚假材料、串通等违法违规行为的，要及时向采购人或采购代理机构报告。</w:t>
      </w:r>
    </w:p>
    <w:p>
      <w:pPr>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2.终止竞争性谈判采购活动</w:t>
      </w:r>
    </w:p>
    <w:p>
      <w:pPr>
        <w:spacing w:line="360" w:lineRule="auto"/>
        <w:ind w:firstLine="42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出现下列情形之一的，采购人或者采购代理机构应当终止竞争性谈判采购活动，发布项目终止公告并说明原因，重新开展采购活动：</w:t>
      </w:r>
    </w:p>
    <w:p>
      <w:pPr>
        <w:spacing w:line="360" w:lineRule="auto"/>
        <w:ind w:firstLine="42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（1）因情况变化，不再符合规定的竞争性谈判采购方式适用情形的； </w:t>
      </w:r>
    </w:p>
    <w:p>
      <w:pPr>
        <w:spacing w:line="360" w:lineRule="auto"/>
        <w:ind w:firstLine="42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（2）出现影响采购公正的违法、违规行为的；</w:t>
      </w:r>
    </w:p>
    <w:p>
      <w:pPr>
        <w:spacing w:line="360" w:lineRule="auto"/>
        <w:ind w:firstLine="42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（3）在采购过程中符合竞争要求的供应商或者报价未超过采购预算的供应商不足3家的，但《政府采购非招标采购方式管理办法》第二十七条第二款规定的情形除外。</w:t>
      </w:r>
    </w:p>
    <w:p>
      <w:pPr>
        <w:keepNext/>
        <w:keepLines/>
        <w:spacing w:line="360" w:lineRule="auto"/>
        <w:ind w:firstLine="640" w:firstLineChars="200"/>
        <w:jc w:val="center"/>
        <w:outlineLvl w:val="1"/>
        <w:rPr>
          <w:rFonts w:hint="eastAsia" w:ascii="宋体" w:hAnsi="宋体" w:eastAsia="宋体" w:cs="Times New Roman"/>
          <w:bCs/>
          <w:color w:val="auto"/>
          <w:sz w:val="32"/>
          <w:szCs w:val="32"/>
          <w:highlight w:val="none"/>
          <w:lang w:val="zh-CN"/>
        </w:rPr>
      </w:pPr>
      <w:bookmarkStart w:id="158" w:name="_Toc9627"/>
      <w:bookmarkStart w:id="159" w:name="_Toc16039"/>
      <w:bookmarkStart w:id="160" w:name="_Toc80205935"/>
      <w:r>
        <w:rPr>
          <w:rFonts w:hint="eastAsia" w:ascii="宋体" w:hAnsi="宋体" w:eastAsia="宋体" w:cs="Times New Roman"/>
          <w:bCs/>
          <w:color w:val="auto"/>
          <w:sz w:val="32"/>
          <w:szCs w:val="32"/>
          <w:highlight w:val="none"/>
          <w:lang w:val="zh-CN"/>
        </w:rPr>
        <w:t>第三节 评审报告</w:t>
      </w:r>
      <w:bookmarkEnd w:id="158"/>
      <w:bookmarkEnd w:id="159"/>
      <w:bookmarkEnd w:id="160"/>
    </w:p>
    <w:p>
      <w:pPr>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1.成交标准</w:t>
      </w:r>
    </w:p>
    <w:p>
      <w:pPr>
        <w:spacing w:line="360" w:lineRule="auto"/>
        <w:ind w:firstLine="420" w:firstLineChars="200"/>
        <w:rPr>
          <w:rFonts w:hint="eastAsia" w:ascii="宋体" w:hAnsi="宋体" w:eastAsia="宋体" w:cs="宋体"/>
          <w:color w:val="auto"/>
          <w:sz w:val="24"/>
          <w:szCs w:val="24"/>
          <w:highlight w:val="none"/>
        </w:rPr>
      </w:pPr>
      <w:r>
        <w:rPr>
          <w:rFonts w:hint="eastAsia" w:ascii="宋体" w:hAnsi="宋体" w:eastAsia="宋体" w:cs="宋体"/>
          <w:color w:val="auto"/>
          <w:szCs w:val="24"/>
          <w:highlight w:val="none"/>
        </w:rPr>
        <w:t>谈判小组应当从质量和货物均能满足谈判文件实质性响应要求的供应商中，按照评审价由低到高的顺序提出3名以上成交候选人（评审价相同时，按照最后报价由低到高顺序依次推荐；最后报价相同时，由谈判小组按“供应商须知前附表”第25条规定的顺序推荐）,并在线编写电子评审报告。</w:t>
      </w:r>
    </w:p>
    <w:p>
      <w:pPr>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2.评标争议</w:t>
      </w:r>
      <w:r>
        <w:rPr>
          <w:rFonts w:ascii="黑体" w:hAnsi="黑体" w:eastAsia="黑体" w:cs="宋体"/>
          <w:color w:val="auto"/>
          <w:sz w:val="24"/>
          <w:szCs w:val="32"/>
          <w:highlight w:val="none"/>
        </w:rPr>
        <w:t>事项</w:t>
      </w:r>
      <w:r>
        <w:rPr>
          <w:rFonts w:hint="eastAsia" w:ascii="黑体" w:hAnsi="黑体" w:eastAsia="黑体" w:cs="宋体"/>
          <w:color w:val="auto"/>
          <w:sz w:val="24"/>
          <w:szCs w:val="32"/>
          <w:highlight w:val="none"/>
        </w:rPr>
        <w:t>处理</w:t>
      </w:r>
    </w:p>
    <w:p>
      <w:pPr>
        <w:adjustRightInd w:val="0"/>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谈判小组</w:t>
      </w:r>
      <w:r>
        <w:rPr>
          <w:rFonts w:ascii="宋体" w:hAnsi="宋体" w:eastAsia="宋体" w:cs="宋体"/>
          <w:color w:val="auto"/>
          <w:szCs w:val="24"/>
          <w:highlight w:val="none"/>
        </w:rPr>
        <w:t>成员对需要共同认定的事项存在争议的，应当按照少数服从多数的原则作出结论。持不同意见的</w:t>
      </w:r>
      <w:r>
        <w:rPr>
          <w:rFonts w:hint="eastAsia" w:ascii="宋体" w:hAnsi="宋体" w:eastAsia="宋体" w:cs="宋体"/>
          <w:color w:val="auto"/>
          <w:szCs w:val="24"/>
          <w:highlight w:val="none"/>
        </w:rPr>
        <w:t>谈判小组</w:t>
      </w:r>
      <w:r>
        <w:rPr>
          <w:rFonts w:ascii="宋体" w:hAnsi="宋体" w:eastAsia="宋体" w:cs="宋体"/>
          <w:color w:val="auto"/>
          <w:szCs w:val="24"/>
          <w:highlight w:val="none"/>
        </w:rPr>
        <w:t>成员应当在评</w:t>
      </w:r>
      <w:r>
        <w:rPr>
          <w:rFonts w:hint="eastAsia" w:ascii="宋体" w:hAnsi="宋体" w:eastAsia="宋体" w:cs="宋体"/>
          <w:color w:val="auto"/>
          <w:szCs w:val="24"/>
          <w:highlight w:val="none"/>
        </w:rPr>
        <w:t>审</w:t>
      </w:r>
      <w:r>
        <w:rPr>
          <w:rFonts w:ascii="宋体" w:hAnsi="宋体" w:eastAsia="宋体" w:cs="宋体"/>
          <w:color w:val="auto"/>
          <w:szCs w:val="24"/>
          <w:highlight w:val="none"/>
        </w:rPr>
        <w:t>报告上签署不同意见及理由，否则视为同意评</w:t>
      </w:r>
      <w:r>
        <w:rPr>
          <w:rFonts w:hint="eastAsia" w:ascii="宋体" w:hAnsi="宋体" w:eastAsia="宋体" w:cs="宋体"/>
          <w:color w:val="auto"/>
          <w:szCs w:val="24"/>
          <w:highlight w:val="none"/>
        </w:rPr>
        <w:t>审</w:t>
      </w:r>
      <w:r>
        <w:rPr>
          <w:rFonts w:ascii="宋体" w:hAnsi="宋体" w:eastAsia="宋体" w:cs="宋体"/>
          <w:color w:val="auto"/>
          <w:szCs w:val="24"/>
          <w:highlight w:val="none"/>
        </w:rPr>
        <w:t>报告。</w:t>
      </w:r>
    </w:p>
    <w:p>
      <w:pPr>
        <w:keepNext/>
        <w:keepLines/>
        <w:spacing w:line="360" w:lineRule="auto"/>
        <w:ind w:firstLine="640" w:firstLineChars="200"/>
        <w:jc w:val="center"/>
        <w:outlineLvl w:val="1"/>
        <w:rPr>
          <w:rFonts w:hint="eastAsia" w:ascii="宋体" w:hAnsi="宋体" w:eastAsia="宋体" w:cs="Times New Roman"/>
          <w:bCs/>
          <w:color w:val="auto"/>
          <w:sz w:val="32"/>
          <w:szCs w:val="32"/>
          <w:highlight w:val="none"/>
          <w:lang w:val="zh-CN"/>
        </w:rPr>
      </w:pPr>
      <w:bookmarkStart w:id="161" w:name="_Toc80205936"/>
      <w:bookmarkStart w:id="162" w:name="_Toc17221"/>
      <w:bookmarkStart w:id="163" w:name="_Toc27241"/>
      <w:r>
        <w:rPr>
          <w:rFonts w:hint="eastAsia" w:ascii="宋体" w:hAnsi="宋体" w:eastAsia="宋体" w:cs="Times New Roman"/>
          <w:bCs/>
          <w:color w:val="auto"/>
          <w:sz w:val="32"/>
          <w:szCs w:val="32"/>
          <w:highlight w:val="none"/>
          <w:lang w:val="zh-CN"/>
        </w:rPr>
        <w:t>第四节 评审过程的保密与录像</w:t>
      </w:r>
      <w:bookmarkEnd w:id="161"/>
      <w:bookmarkEnd w:id="162"/>
      <w:bookmarkEnd w:id="163"/>
    </w:p>
    <w:p>
      <w:pPr>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1.保密。</w:t>
      </w:r>
    </w:p>
    <w:p>
      <w:pPr>
        <w:widowControl/>
        <w:spacing w:line="360" w:lineRule="auto"/>
        <w:ind w:firstLine="420" w:firstLineChars="200"/>
        <w:rPr>
          <w:rFonts w:hint="eastAsia" w:ascii="宋体" w:hAnsi="宋体" w:eastAsia="宋体" w:cs="宋体"/>
          <w:color w:val="auto"/>
          <w:szCs w:val="24"/>
          <w:highlight w:val="none"/>
        </w:rPr>
      </w:pPr>
      <w:r>
        <w:rPr>
          <w:rFonts w:ascii="宋体" w:hAnsi="宋体" w:eastAsia="宋体" w:cs="宋体"/>
          <w:color w:val="auto"/>
          <w:szCs w:val="24"/>
          <w:highlight w:val="none"/>
        </w:rPr>
        <w:t>评审活动在严格保密的情况下进行。评审过程中凡是与采购响应文件评审和比较、中标成交供应商推荐等评审有关的情况，以及涉及国家秘密和商业秘密等信息，</w:t>
      </w:r>
      <w:r>
        <w:rPr>
          <w:rFonts w:hint="eastAsia" w:ascii="宋体" w:hAnsi="宋体" w:eastAsia="宋体" w:cs="宋体"/>
          <w:color w:val="auto"/>
          <w:szCs w:val="24"/>
          <w:highlight w:val="none"/>
        </w:rPr>
        <w:t>谈判小组</w:t>
      </w:r>
      <w:r>
        <w:rPr>
          <w:rFonts w:ascii="宋体" w:hAnsi="宋体" w:eastAsia="宋体" w:cs="宋体"/>
          <w:color w:val="auto"/>
          <w:szCs w:val="24"/>
          <w:highlight w:val="none"/>
        </w:rPr>
        <w:t>成员、采购人和采购机构工作人员、相关监督人员等与评审有关的人员应当予以保密。</w:t>
      </w:r>
    </w:p>
    <w:p>
      <w:pPr>
        <w:widowControl/>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2.录音录像。</w:t>
      </w:r>
    </w:p>
    <w:p>
      <w:pPr>
        <w:spacing w:line="360" w:lineRule="auto"/>
        <w:ind w:firstLine="420" w:firstLineChars="200"/>
        <w:rPr>
          <w:rFonts w:ascii="Times New Roman" w:hAnsi="Times New Roman" w:eastAsia="宋体" w:cs="Times New Roman"/>
          <w:color w:val="auto"/>
          <w:szCs w:val="24"/>
          <w:highlight w:val="none"/>
        </w:rPr>
      </w:pPr>
      <w:r>
        <w:rPr>
          <w:rFonts w:hint="eastAsia" w:ascii="宋体" w:hAnsi="宋体" w:eastAsia="宋体" w:cs="宋体"/>
          <w:color w:val="auto"/>
          <w:szCs w:val="24"/>
          <w:highlight w:val="none"/>
        </w:rPr>
        <w:t>采购代理机构对评审工作现场及操作屏幕进行全过程录音录像，录音录像资料作为采购项目文件随其他文件一并存档。</w:t>
      </w:r>
      <w:r>
        <w:rPr>
          <w:rFonts w:ascii="Times New Roman" w:hAnsi="Times New Roman" w:eastAsia="宋体" w:cs="Times New Roman"/>
          <w:color w:val="auto"/>
          <w:szCs w:val="24"/>
          <w:highlight w:val="none"/>
        </w:rPr>
        <w:br w:type="page"/>
      </w:r>
    </w:p>
    <w:p>
      <w:pPr>
        <w:keepNext/>
        <w:keepLines/>
        <w:spacing w:before="260" w:after="260" w:line="416" w:lineRule="auto"/>
        <w:jc w:val="center"/>
        <w:outlineLvl w:val="1"/>
        <w:rPr>
          <w:rFonts w:ascii="Cambria" w:hAnsi="Cambria" w:eastAsia="宋体" w:cs="Times New Roman"/>
          <w:b/>
          <w:bCs/>
          <w:color w:val="auto"/>
          <w:sz w:val="32"/>
          <w:szCs w:val="32"/>
          <w:highlight w:val="none"/>
          <w:lang w:val="zh-CN"/>
        </w:rPr>
      </w:pPr>
    </w:p>
    <w:p>
      <w:pPr>
        <w:keepNext/>
        <w:keepLines/>
        <w:spacing w:before="260" w:after="260" w:line="416" w:lineRule="auto"/>
        <w:jc w:val="center"/>
        <w:outlineLvl w:val="1"/>
        <w:rPr>
          <w:rFonts w:ascii="Cambria" w:hAnsi="Cambria" w:eastAsia="宋体" w:cs="Times New Roman"/>
          <w:b/>
          <w:bCs/>
          <w:color w:val="auto"/>
          <w:sz w:val="32"/>
          <w:szCs w:val="32"/>
          <w:highlight w:val="none"/>
          <w:lang w:val="zh-CN"/>
        </w:rPr>
      </w:pPr>
    </w:p>
    <w:p>
      <w:pPr>
        <w:keepNext/>
        <w:keepLines/>
        <w:spacing w:before="260" w:after="260" w:line="416" w:lineRule="auto"/>
        <w:jc w:val="center"/>
        <w:outlineLvl w:val="1"/>
        <w:rPr>
          <w:rFonts w:ascii="Cambria" w:hAnsi="Cambria" w:eastAsia="宋体" w:cs="Times New Roman"/>
          <w:b/>
          <w:bCs/>
          <w:color w:val="auto"/>
          <w:sz w:val="32"/>
          <w:szCs w:val="32"/>
          <w:highlight w:val="none"/>
          <w:lang w:val="zh-CN"/>
        </w:rPr>
      </w:pPr>
    </w:p>
    <w:p>
      <w:pPr>
        <w:keepNext/>
        <w:keepLines/>
        <w:spacing w:before="260" w:after="260" w:line="416" w:lineRule="auto"/>
        <w:jc w:val="center"/>
        <w:outlineLvl w:val="1"/>
        <w:rPr>
          <w:rFonts w:ascii="Cambria" w:hAnsi="Cambria" w:eastAsia="宋体" w:cs="Times New Roman"/>
          <w:b/>
          <w:bCs/>
          <w:color w:val="auto"/>
          <w:sz w:val="32"/>
          <w:szCs w:val="32"/>
          <w:highlight w:val="none"/>
          <w:lang w:val="zh-CN"/>
        </w:rPr>
      </w:pPr>
    </w:p>
    <w:p>
      <w:pPr>
        <w:keepNext/>
        <w:keepLines/>
        <w:spacing w:before="260" w:after="260" w:line="416" w:lineRule="auto"/>
        <w:jc w:val="center"/>
        <w:outlineLvl w:val="1"/>
        <w:rPr>
          <w:rFonts w:ascii="Cambria" w:hAnsi="Cambria" w:eastAsia="宋体" w:cs="Times New Roman"/>
          <w:b/>
          <w:bCs/>
          <w:color w:val="auto"/>
          <w:sz w:val="32"/>
          <w:szCs w:val="32"/>
          <w:highlight w:val="none"/>
          <w:lang w:val="zh-CN"/>
        </w:rPr>
      </w:pPr>
    </w:p>
    <w:p>
      <w:pPr>
        <w:keepNext/>
        <w:keepLines/>
        <w:spacing w:before="340" w:after="330" w:line="578" w:lineRule="auto"/>
        <w:jc w:val="center"/>
        <w:outlineLvl w:val="0"/>
        <w:rPr>
          <w:rFonts w:ascii="Times New Roman" w:hAnsi="Times New Roman" w:eastAsia="宋体" w:cs="Times New Roman"/>
          <w:b/>
          <w:bCs/>
          <w:color w:val="auto"/>
          <w:kern w:val="44"/>
          <w:sz w:val="44"/>
          <w:szCs w:val="44"/>
          <w:highlight w:val="none"/>
          <w:lang w:val="zh-CN"/>
        </w:rPr>
      </w:pPr>
      <w:bookmarkStart w:id="164" w:name="_Toc80205937"/>
      <w:bookmarkStart w:id="165" w:name="_Toc25678"/>
      <w:bookmarkStart w:id="166" w:name="_Toc30615"/>
      <w:bookmarkStart w:id="167" w:name="_Toc28917"/>
      <w:bookmarkStart w:id="168" w:name="_Toc9300"/>
      <w:bookmarkStart w:id="169" w:name="_Toc71"/>
      <w:bookmarkStart w:id="170" w:name="_Toc21666"/>
      <w:bookmarkStart w:id="171" w:name="_Toc916"/>
      <w:bookmarkStart w:id="172" w:name="_Toc4187"/>
      <w:r>
        <w:rPr>
          <w:rFonts w:hint="eastAsia" w:ascii="Times New Roman" w:hAnsi="Times New Roman" w:eastAsia="宋体" w:cs="Times New Roman"/>
          <w:b/>
          <w:bCs/>
          <w:color w:val="auto"/>
          <w:kern w:val="44"/>
          <w:sz w:val="44"/>
          <w:szCs w:val="44"/>
          <w:highlight w:val="none"/>
          <w:lang w:val="zh-CN"/>
        </w:rPr>
        <w:t>第五章 响应文件格式</w:t>
      </w:r>
      <w:bookmarkEnd w:id="164"/>
      <w:r>
        <w:rPr>
          <w:rFonts w:ascii="Times New Roman" w:hAnsi="Times New Roman" w:eastAsia="宋体" w:cs="Times New Roman"/>
          <w:b/>
          <w:bCs/>
          <w:color w:val="auto"/>
          <w:kern w:val="44"/>
          <w:sz w:val="44"/>
          <w:szCs w:val="44"/>
          <w:highlight w:val="none"/>
          <w:lang w:val="zh-CN"/>
        </w:rPr>
        <w:br w:type="page"/>
      </w:r>
      <w:bookmarkEnd w:id="165"/>
      <w:bookmarkEnd w:id="166"/>
      <w:bookmarkEnd w:id="167"/>
      <w:bookmarkEnd w:id="168"/>
      <w:bookmarkEnd w:id="169"/>
      <w:bookmarkEnd w:id="170"/>
      <w:bookmarkEnd w:id="171"/>
      <w:bookmarkEnd w:id="172"/>
    </w:p>
    <w:p>
      <w:pPr>
        <w:spacing w:line="240" w:lineRule="atLeast"/>
        <w:rPr>
          <w:rFonts w:hint="eastAsia" w:ascii="宋体" w:hAnsi="宋体" w:eastAsia="宋体" w:cs="Times New Roman"/>
          <w:b/>
          <w:bCs/>
          <w:color w:val="auto"/>
          <w:szCs w:val="24"/>
          <w:highlight w:val="none"/>
        </w:rPr>
      </w:pPr>
    </w:p>
    <w:p>
      <w:pPr>
        <w:snapToGrid w:val="0"/>
        <w:spacing w:before="120" w:beforeLines="50" w:after="50" w:line="360" w:lineRule="auto"/>
        <w:jc w:val="center"/>
        <w:outlineLvl w:val="1"/>
        <w:rPr>
          <w:rFonts w:hint="eastAsia" w:ascii="宋体" w:hAnsi="宋体" w:eastAsia="宋体" w:cs="Times New Roman"/>
          <w:bCs/>
          <w:color w:val="auto"/>
          <w:sz w:val="32"/>
          <w:szCs w:val="32"/>
          <w:highlight w:val="none"/>
        </w:rPr>
      </w:pPr>
      <w:bookmarkStart w:id="173" w:name="_Toc17254"/>
      <w:bookmarkStart w:id="174" w:name="_Toc80205939"/>
      <w:bookmarkStart w:id="175" w:name="_Toc10486"/>
      <w:r>
        <w:rPr>
          <w:rFonts w:hint="eastAsia" w:ascii="宋体" w:hAnsi="宋体" w:eastAsia="宋体" w:cs="Times New Roman"/>
          <w:bCs/>
          <w:color w:val="auto"/>
          <w:sz w:val="32"/>
          <w:szCs w:val="32"/>
          <w:highlight w:val="none"/>
        </w:rPr>
        <w:t>第一节 资格证明文件格式</w:t>
      </w:r>
      <w:bookmarkEnd w:id="173"/>
      <w:bookmarkEnd w:id="174"/>
      <w:bookmarkEnd w:id="175"/>
    </w:p>
    <w:p>
      <w:pPr>
        <w:pStyle w:val="2"/>
        <w:rPr>
          <w:rFonts w:hint="eastAsia" w:ascii="宋体" w:hAnsi="宋体" w:cs="宋体"/>
          <w:b/>
          <w:bCs/>
          <w:color w:val="auto"/>
          <w:sz w:val="28"/>
          <w:szCs w:val="28"/>
          <w:highlight w:val="none"/>
        </w:rPr>
      </w:pPr>
    </w:p>
    <w:p>
      <w:pPr>
        <w:pStyle w:val="2"/>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1.资格证明文件封面的格式（参照此格式自拟）：</w:t>
      </w:r>
    </w:p>
    <w:p>
      <w:pPr>
        <w:snapToGrid w:val="0"/>
        <w:spacing w:before="120" w:beforeLines="50" w:after="5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                                                   </w:t>
      </w:r>
    </w:p>
    <w:p>
      <w:pPr>
        <w:snapToGrid w:val="0"/>
        <w:spacing w:before="120" w:beforeLines="50" w:after="50"/>
        <w:ind w:firstLine="5760" w:firstLineChars="2400"/>
        <w:rPr>
          <w:rFonts w:hint="eastAsia" w:ascii="宋体" w:hAnsi="宋体" w:eastAsia="宋体" w:cs="Times New Roman"/>
          <w:bCs/>
          <w:color w:val="auto"/>
          <w:sz w:val="32"/>
          <w:szCs w:val="20"/>
          <w:highlight w:val="none"/>
        </w:rPr>
      </w:pPr>
      <w:r>
        <w:rPr>
          <w:rFonts w:hint="eastAsia" w:ascii="宋体" w:hAnsi="宋体" w:eastAsia="宋体" w:cs="Times New Roman"/>
          <w:color w:val="auto"/>
          <w:sz w:val="24"/>
          <w:szCs w:val="24"/>
          <w:highlight w:val="none"/>
        </w:rPr>
        <w:t xml:space="preserve"> </w:t>
      </w:r>
      <w:r>
        <w:rPr>
          <w:rFonts w:hint="eastAsia" w:ascii="宋体" w:hAnsi="宋体" w:eastAsia="宋体" w:cs="Times New Roman"/>
          <w:bCs/>
          <w:color w:val="auto"/>
          <w:szCs w:val="24"/>
          <w:highlight w:val="none"/>
        </w:rPr>
        <w:t>全流程电子文件</w:t>
      </w:r>
    </w:p>
    <w:p>
      <w:pPr>
        <w:snapToGrid w:val="0"/>
        <w:spacing w:before="120" w:beforeLines="50" w:after="50"/>
        <w:rPr>
          <w:rFonts w:hint="eastAsia" w:ascii="宋体" w:hAnsi="宋体" w:eastAsia="宋体" w:cs="Times New Roman"/>
          <w:color w:val="auto"/>
          <w:sz w:val="24"/>
          <w:szCs w:val="20"/>
          <w:highlight w:val="none"/>
        </w:rPr>
      </w:pPr>
    </w:p>
    <w:p>
      <w:pPr>
        <w:snapToGrid w:val="0"/>
        <w:spacing w:before="120" w:beforeLines="50" w:after="50"/>
        <w:rPr>
          <w:rFonts w:hint="eastAsia" w:ascii="宋体" w:hAnsi="宋体" w:eastAsia="宋体" w:cs="Times New Roman"/>
          <w:color w:val="auto"/>
          <w:sz w:val="24"/>
          <w:szCs w:val="20"/>
          <w:highlight w:val="none"/>
        </w:rPr>
      </w:pPr>
    </w:p>
    <w:p>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  格  证  明  文  件</w:t>
      </w:r>
    </w:p>
    <w:p>
      <w:pPr>
        <w:snapToGrid w:val="0"/>
        <w:spacing w:before="120" w:beforeLines="50" w:after="50"/>
        <w:rPr>
          <w:rFonts w:hint="eastAsia" w:ascii="宋体" w:hAnsi="宋体" w:eastAsia="宋体" w:cs="Times New Roman"/>
          <w:bCs/>
          <w:color w:val="auto"/>
          <w:sz w:val="24"/>
          <w:szCs w:val="20"/>
          <w:highlight w:val="none"/>
        </w:rPr>
      </w:pPr>
    </w:p>
    <w:p>
      <w:pPr>
        <w:snapToGrid w:val="0"/>
        <w:spacing w:before="120" w:beforeLines="50" w:after="50"/>
        <w:rPr>
          <w:rFonts w:hint="eastAsia" w:ascii="宋体" w:hAnsi="宋体" w:eastAsia="宋体" w:cs="Times New Roman"/>
          <w:bCs/>
          <w:color w:val="auto"/>
          <w:sz w:val="24"/>
          <w:szCs w:val="20"/>
          <w:highlight w:val="none"/>
        </w:rPr>
      </w:pPr>
    </w:p>
    <w:p>
      <w:pPr>
        <w:snapToGrid w:val="0"/>
        <w:spacing w:before="120" w:beforeLines="50" w:after="50"/>
        <w:rPr>
          <w:rFonts w:hint="eastAsia" w:ascii="宋体" w:hAnsi="宋体" w:eastAsia="宋体" w:cs="Times New Roman"/>
          <w:bCs/>
          <w:color w:val="auto"/>
          <w:sz w:val="24"/>
          <w:szCs w:val="20"/>
          <w:highlight w:val="none"/>
        </w:rPr>
      </w:pPr>
    </w:p>
    <w:p>
      <w:pPr>
        <w:snapToGrid w:val="0"/>
        <w:spacing w:before="120" w:beforeLines="50" w:after="50"/>
        <w:rPr>
          <w:rFonts w:hint="eastAsia" w:ascii="宋体" w:hAnsi="宋体" w:eastAsia="宋体" w:cs="Times New Roman"/>
          <w:bCs/>
          <w:color w:val="auto"/>
          <w:sz w:val="24"/>
          <w:szCs w:val="20"/>
          <w:highlight w:val="none"/>
        </w:rPr>
      </w:pPr>
    </w:p>
    <w:p>
      <w:pPr>
        <w:snapToGrid w:val="0"/>
        <w:spacing w:before="120" w:beforeLines="50" w:after="50"/>
        <w:rPr>
          <w:rFonts w:hint="eastAsia" w:ascii="宋体" w:hAnsi="宋体" w:eastAsia="宋体" w:cs="Times New Roman"/>
          <w:bCs/>
          <w:color w:val="auto"/>
          <w:sz w:val="24"/>
          <w:szCs w:val="20"/>
          <w:highlight w:val="none"/>
        </w:rPr>
      </w:pPr>
    </w:p>
    <w:p>
      <w:pPr>
        <w:snapToGrid w:val="0"/>
        <w:spacing w:before="120" w:beforeLines="50" w:after="50"/>
        <w:ind w:firstLine="640" w:firstLineChars="200"/>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 xml:space="preserve">项目名称： </w:t>
      </w:r>
    </w:p>
    <w:p>
      <w:pPr>
        <w:snapToGrid w:val="0"/>
        <w:spacing w:before="120" w:beforeLines="50" w:after="50"/>
        <w:ind w:firstLine="720" w:firstLineChars="225"/>
        <w:rPr>
          <w:rFonts w:hint="eastAsia" w:ascii="宋体" w:hAnsi="宋体" w:eastAsia="宋体" w:cs="仿宋_GB2312"/>
          <w:bCs/>
          <w:color w:val="auto"/>
          <w:sz w:val="32"/>
          <w:szCs w:val="32"/>
          <w:highlight w:val="none"/>
        </w:rPr>
      </w:pPr>
    </w:p>
    <w:p>
      <w:pPr>
        <w:snapToGrid w:val="0"/>
        <w:spacing w:before="120" w:beforeLines="50" w:after="50"/>
        <w:ind w:firstLine="720" w:firstLineChars="225"/>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 xml:space="preserve">项目编号： </w:t>
      </w:r>
    </w:p>
    <w:p>
      <w:pPr>
        <w:snapToGrid w:val="0"/>
        <w:spacing w:before="120" w:beforeLines="50" w:after="50"/>
        <w:ind w:firstLine="720" w:firstLineChars="225"/>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 xml:space="preserve"> </w:t>
      </w:r>
    </w:p>
    <w:p>
      <w:pPr>
        <w:snapToGrid w:val="0"/>
        <w:spacing w:before="120" w:beforeLines="50" w:after="50"/>
        <w:ind w:firstLine="720" w:firstLineChars="225"/>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所竞分标（如有则填写，无分标时填写“无”或者留空）：</w:t>
      </w:r>
    </w:p>
    <w:p>
      <w:pPr>
        <w:snapToGrid w:val="0"/>
        <w:spacing w:before="120" w:beforeLines="50" w:after="50"/>
        <w:ind w:firstLine="720" w:firstLineChars="225"/>
        <w:rPr>
          <w:rFonts w:hint="eastAsia" w:ascii="宋体" w:hAnsi="宋体" w:eastAsia="宋体" w:cs="仿宋_GB2312"/>
          <w:bCs/>
          <w:color w:val="auto"/>
          <w:sz w:val="32"/>
          <w:szCs w:val="32"/>
          <w:highlight w:val="none"/>
        </w:rPr>
      </w:pPr>
    </w:p>
    <w:p>
      <w:pPr>
        <w:snapToGrid w:val="0"/>
        <w:spacing w:before="50" w:after="50"/>
        <w:ind w:firstLine="720" w:firstLineChars="225"/>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供应商名称：</w:t>
      </w:r>
    </w:p>
    <w:p>
      <w:pPr>
        <w:snapToGrid w:val="0"/>
        <w:spacing w:before="50" w:after="50"/>
        <w:ind w:firstLine="720" w:firstLineChars="225"/>
        <w:rPr>
          <w:rFonts w:hint="eastAsia" w:ascii="宋体" w:hAnsi="宋体" w:eastAsia="宋体" w:cs="仿宋_GB2312"/>
          <w:bCs/>
          <w:color w:val="auto"/>
          <w:sz w:val="32"/>
          <w:szCs w:val="32"/>
          <w:highlight w:val="none"/>
        </w:rPr>
      </w:pPr>
    </w:p>
    <w:p>
      <w:pPr>
        <w:snapToGrid w:val="0"/>
        <w:spacing w:before="50" w:after="50"/>
        <w:ind w:firstLine="720" w:firstLineChars="225"/>
        <w:rPr>
          <w:rFonts w:hint="eastAsia" w:ascii="宋体" w:hAnsi="宋体" w:eastAsia="宋体" w:cs="仿宋_GB2312"/>
          <w:bCs/>
          <w:color w:val="auto"/>
          <w:sz w:val="32"/>
          <w:szCs w:val="32"/>
          <w:highlight w:val="none"/>
        </w:rPr>
      </w:pPr>
    </w:p>
    <w:p>
      <w:pPr>
        <w:snapToGrid w:val="0"/>
        <w:spacing w:before="50" w:after="50"/>
        <w:ind w:firstLine="720" w:firstLineChars="225"/>
        <w:rPr>
          <w:rFonts w:hint="eastAsia" w:ascii="宋体" w:hAnsi="宋体" w:eastAsia="宋体" w:cs="仿宋_GB2312"/>
          <w:bCs/>
          <w:color w:val="auto"/>
          <w:sz w:val="32"/>
          <w:szCs w:val="32"/>
          <w:highlight w:val="none"/>
        </w:rPr>
      </w:pPr>
    </w:p>
    <w:p>
      <w:pPr>
        <w:snapToGrid w:val="0"/>
        <w:spacing w:before="50" w:after="50"/>
        <w:ind w:firstLine="1280" w:firstLineChars="400"/>
        <w:rPr>
          <w:rFonts w:hint="eastAsia" w:ascii="宋体" w:hAnsi="宋体" w:eastAsia="宋体" w:cs="仿宋_GB2312"/>
          <w:bCs/>
          <w:color w:val="auto"/>
          <w:sz w:val="32"/>
          <w:szCs w:val="32"/>
          <w:highlight w:val="none"/>
        </w:rPr>
      </w:pPr>
    </w:p>
    <w:p>
      <w:pPr>
        <w:snapToGrid w:val="0"/>
        <w:spacing w:before="120" w:beforeLines="50" w:after="50"/>
        <w:jc w:val="center"/>
        <w:rPr>
          <w:rFonts w:hint="eastAsia" w:ascii="宋体" w:hAnsi="宋体" w:eastAsia="宋体" w:cs="仿宋_GB2312"/>
          <w:color w:val="auto"/>
          <w:sz w:val="32"/>
          <w:szCs w:val="32"/>
          <w:highlight w:val="none"/>
        </w:rPr>
      </w:pPr>
      <w:r>
        <w:rPr>
          <w:rFonts w:hint="eastAsia" w:ascii="宋体" w:hAnsi="宋体" w:eastAsia="宋体" w:cs="仿宋_GB2312"/>
          <w:color w:val="auto"/>
          <w:sz w:val="32"/>
          <w:szCs w:val="32"/>
          <w:highlight w:val="none"/>
        </w:rPr>
        <w:t>年    月    日</w:t>
      </w:r>
    </w:p>
    <w:p>
      <w:pPr>
        <w:snapToGrid w:val="0"/>
        <w:spacing w:before="120" w:beforeLines="50" w:after="50" w:line="360" w:lineRule="auto"/>
        <w:ind w:left="142"/>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2.资格证明文件目录</w:t>
      </w:r>
    </w:p>
    <w:p>
      <w:pPr>
        <w:spacing w:line="360" w:lineRule="auto"/>
        <w:ind w:firstLine="560" w:firstLineChars="200"/>
        <w:contextualSpacing/>
        <w:jc w:val="left"/>
        <w:rPr>
          <w:rFonts w:hint="eastAsia" w:ascii="仿宋_GB2312" w:hAnsi="仿宋" w:eastAsia="仿宋_GB2312" w:cs="仿宋_GB2312"/>
          <w:color w:val="auto"/>
          <w:kern w:val="0"/>
          <w:sz w:val="24"/>
          <w:szCs w:val="24"/>
          <w:highlight w:val="none"/>
        </w:rPr>
      </w:pPr>
      <w:r>
        <w:rPr>
          <w:rFonts w:hint="eastAsia" w:ascii="宋体" w:hAnsi="宋体" w:eastAsia="宋体" w:cs="宋体"/>
          <w:color w:val="auto"/>
          <w:sz w:val="28"/>
          <w:szCs w:val="28"/>
          <w:highlight w:val="none"/>
        </w:rPr>
        <w:t>根据竞争性谈判文件规定及供应商提供的材料自行编写目录（部分格式后附）。</w:t>
      </w:r>
      <w:r>
        <w:rPr>
          <w:rFonts w:hint="eastAsia" w:ascii="仿宋_GB2312" w:hAnsi="仿宋" w:eastAsia="仿宋_GB2312" w:cs="仿宋_GB2312"/>
          <w:color w:val="auto"/>
          <w:kern w:val="0"/>
          <w:sz w:val="24"/>
          <w:szCs w:val="24"/>
          <w:highlight w:val="none"/>
        </w:rPr>
        <w:br w:type="page"/>
      </w:r>
    </w:p>
    <w:p>
      <w:pPr>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 xml:space="preserve">3.崇左市政府采购供应商信用承诺函格式： </w:t>
      </w:r>
    </w:p>
    <w:p>
      <w:pPr>
        <w:widowControl/>
        <w:spacing w:line="440" w:lineRule="exact"/>
        <w:jc w:val="center"/>
        <w:rPr>
          <w:rFonts w:hint="eastAsia" w:ascii="宋体" w:hAnsi="宋体" w:cs="宋体"/>
          <w:color w:val="auto"/>
          <w:kern w:val="0"/>
          <w:sz w:val="32"/>
          <w:szCs w:val="32"/>
          <w:highlight w:val="none"/>
          <w:lang w:bidi="ar"/>
        </w:rPr>
      </w:pPr>
    </w:p>
    <w:p>
      <w:pPr>
        <w:widowControl/>
        <w:spacing w:line="440" w:lineRule="exact"/>
        <w:jc w:val="center"/>
        <w:rPr>
          <w:rFonts w:hint="eastAsia" w:ascii="宋体" w:hAnsi="宋体" w:cs="宋体"/>
          <w:color w:val="auto"/>
          <w:sz w:val="28"/>
          <w:szCs w:val="28"/>
          <w:highlight w:val="none"/>
        </w:rPr>
      </w:pPr>
      <w:r>
        <w:rPr>
          <w:rFonts w:hint="eastAsia" w:ascii="宋体" w:hAnsi="宋体" w:cs="宋体"/>
          <w:color w:val="auto"/>
          <w:kern w:val="0"/>
          <w:sz w:val="32"/>
          <w:szCs w:val="32"/>
          <w:highlight w:val="none"/>
          <w:lang w:bidi="ar"/>
        </w:rPr>
        <w:t>崇左市政府采购供应商信用承诺函</w:t>
      </w:r>
    </w:p>
    <w:p>
      <w:pPr>
        <w:widowControl/>
        <w:spacing w:line="440" w:lineRule="exact"/>
        <w:jc w:val="left"/>
        <w:rPr>
          <w:rFonts w:hint="eastAsia" w:ascii="宋体" w:hAnsi="宋体" w:cs="宋体"/>
          <w:color w:val="auto"/>
          <w:kern w:val="0"/>
          <w:sz w:val="28"/>
          <w:szCs w:val="28"/>
          <w:highlight w:val="none"/>
          <w:lang w:bidi="ar"/>
        </w:rPr>
      </w:pPr>
    </w:p>
    <w:p>
      <w:pPr>
        <w:widowControl/>
        <w:spacing w:line="440" w:lineRule="exact"/>
        <w:rPr>
          <w:rFonts w:hint="eastAsia" w:ascii="宋体" w:hAnsi="宋体" w:cs="宋体"/>
          <w:color w:val="auto"/>
          <w:sz w:val="22"/>
          <w:highlight w:val="none"/>
          <w:u w:val="single"/>
        </w:rPr>
      </w:pPr>
      <w:r>
        <w:rPr>
          <w:rFonts w:hint="eastAsia" w:ascii="宋体" w:hAnsi="宋体" w:cs="宋体"/>
          <w:color w:val="auto"/>
          <w:kern w:val="0"/>
          <w:sz w:val="22"/>
          <w:highlight w:val="none"/>
          <w:lang w:bidi="ar"/>
        </w:rPr>
        <w:t>致</w:t>
      </w:r>
      <w:r>
        <w:rPr>
          <w:rFonts w:hint="eastAsia" w:ascii="宋体" w:hAnsi="宋体" w:cs="宋体"/>
          <w:color w:val="auto"/>
          <w:kern w:val="0"/>
          <w:sz w:val="22"/>
          <w:highlight w:val="none"/>
          <w:u w:val="single"/>
          <w:lang w:bidi="ar"/>
        </w:rPr>
        <w:t>（采购代理机构名称）</w:t>
      </w:r>
      <w:r>
        <w:rPr>
          <w:rFonts w:hint="eastAsia" w:ascii="宋体" w:hAnsi="宋体" w:cs="宋体"/>
          <w:color w:val="auto"/>
          <w:kern w:val="0"/>
          <w:sz w:val="22"/>
          <w:highlight w:val="none"/>
          <w:lang w:bidi="ar"/>
        </w:rPr>
        <w:t>:</w:t>
      </w:r>
    </w:p>
    <w:p>
      <w:pPr>
        <w:widowControl/>
        <w:spacing w:line="440" w:lineRule="exact"/>
        <w:ind w:firstLine="440" w:firstLineChars="200"/>
        <w:rPr>
          <w:rFonts w:hint="eastAsia" w:ascii="宋体" w:hAnsi="宋体" w:cs="宋体"/>
          <w:color w:val="auto"/>
          <w:spacing w:val="-6"/>
          <w:sz w:val="22"/>
          <w:highlight w:val="none"/>
        </w:rPr>
      </w:pPr>
      <w:r>
        <w:rPr>
          <w:rFonts w:hint="eastAsia" w:ascii="宋体" w:hAnsi="宋体" w:cs="宋体"/>
          <w:color w:val="auto"/>
          <w:kern w:val="0"/>
          <w:sz w:val="22"/>
          <w:highlight w:val="none"/>
          <w:lang w:bidi="ar"/>
        </w:rPr>
        <w:t>我方自愿参加</w:t>
      </w:r>
      <w:r>
        <w:rPr>
          <w:rFonts w:hint="eastAsia" w:ascii="宋体" w:hAnsi="宋体" w:cs="宋体"/>
          <w:color w:val="auto"/>
          <w:kern w:val="0"/>
          <w:sz w:val="22"/>
          <w:highlight w:val="none"/>
          <w:u w:val="single"/>
          <w:lang w:bidi="ar"/>
        </w:rPr>
        <w:t xml:space="preserve"> （项目名称） </w:t>
      </w:r>
      <w:r>
        <w:rPr>
          <w:rFonts w:hint="eastAsia" w:ascii="宋体" w:hAnsi="宋体" w:cs="宋体"/>
          <w:color w:val="auto"/>
          <w:kern w:val="0"/>
          <w:sz w:val="22"/>
          <w:highlight w:val="none"/>
          <w:lang w:bidi="ar"/>
        </w:rPr>
        <w:t>项目</w:t>
      </w:r>
      <w:r>
        <w:rPr>
          <w:rFonts w:hint="eastAsia" w:ascii="宋体" w:hAnsi="宋体" w:cs="宋体"/>
          <w:color w:val="auto"/>
          <w:spacing w:val="6"/>
          <w:sz w:val="22"/>
          <w:highlight w:val="none"/>
        </w:rPr>
        <w:t>（项目编号：</w:t>
      </w:r>
      <w:r>
        <w:rPr>
          <w:rFonts w:hint="eastAsia" w:ascii="宋体" w:hAnsi="宋体" w:cs="宋体"/>
          <w:color w:val="auto"/>
          <w:spacing w:val="6"/>
          <w:sz w:val="22"/>
          <w:highlight w:val="none"/>
          <w:u w:val="single"/>
        </w:rPr>
        <w:t xml:space="preserve">         </w:t>
      </w:r>
      <w:r>
        <w:rPr>
          <w:rFonts w:hint="eastAsia" w:ascii="宋体" w:hAnsi="宋体" w:cs="宋体"/>
          <w:color w:val="auto"/>
          <w:spacing w:val="6"/>
          <w:sz w:val="22"/>
          <w:highlight w:val="none"/>
        </w:rPr>
        <w:t>）</w:t>
      </w:r>
      <w:r>
        <w:rPr>
          <w:rFonts w:hint="eastAsia" w:ascii="宋体" w:hAnsi="宋体" w:cs="宋体"/>
          <w:color w:val="auto"/>
          <w:kern w:val="0"/>
          <w:sz w:val="22"/>
          <w:highlight w:val="none"/>
          <w:lang w:bidi="ar"/>
        </w:rPr>
        <w:t>的政府采购活动，严格遵守《中华人民共和国政府采购法》及相关法律法规，依法诚信经营，无条件遵守本次政府采购活动的各项规定，并郑重承诺</w:t>
      </w:r>
      <w:r>
        <w:rPr>
          <w:rFonts w:hint="eastAsia" w:ascii="宋体" w:hAnsi="宋体" w:cs="宋体"/>
          <w:color w:val="auto"/>
          <w:spacing w:val="-6"/>
          <w:kern w:val="0"/>
          <w:sz w:val="22"/>
          <w:highlight w:val="none"/>
          <w:lang w:bidi="ar"/>
        </w:rPr>
        <w:t xml:space="preserve">： </w:t>
      </w:r>
    </w:p>
    <w:p>
      <w:pPr>
        <w:widowControl/>
        <w:spacing w:line="440" w:lineRule="exact"/>
        <w:ind w:firstLine="440" w:firstLineChars="200"/>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1.我方</w:t>
      </w:r>
      <w:r>
        <w:rPr>
          <w:rFonts w:hint="eastAsia" w:ascii="宋体" w:hAnsi="宋体" w:cs="宋体"/>
          <w:color w:val="auto"/>
          <w:spacing w:val="6"/>
          <w:sz w:val="22"/>
          <w:highlight w:val="none"/>
        </w:rPr>
        <w:t>具有独立承担民事责任的能力或我方属于银行、保险、石油石化、电力、电信等有行业特殊情况的法人的分支机构在参加本次政府采购活动前已取得总公司的授权。</w:t>
      </w:r>
    </w:p>
    <w:p>
      <w:pPr>
        <w:widowControl/>
        <w:spacing w:line="440" w:lineRule="exact"/>
        <w:ind w:firstLine="440" w:firstLineChars="200"/>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2.我方具有符合采购文件资格要求的财务状况报告。 </w:t>
      </w:r>
    </w:p>
    <w:p>
      <w:pPr>
        <w:widowControl/>
        <w:spacing w:line="440" w:lineRule="exact"/>
        <w:ind w:firstLine="416" w:firstLineChars="200"/>
        <w:rPr>
          <w:rFonts w:hint="eastAsia" w:ascii="宋体" w:hAnsi="宋体" w:cs="宋体"/>
          <w:color w:val="auto"/>
          <w:spacing w:val="-17"/>
          <w:sz w:val="22"/>
          <w:highlight w:val="none"/>
        </w:rPr>
      </w:pPr>
      <w:r>
        <w:rPr>
          <w:rFonts w:hint="eastAsia" w:ascii="宋体" w:hAnsi="宋体" w:cs="宋体"/>
          <w:color w:val="auto"/>
          <w:spacing w:val="-6"/>
          <w:kern w:val="0"/>
          <w:sz w:val="22"/>
          <w:highlight w:val="none"/>
          <w:lang w:bidi="ar"/>
        </w:rPr>
        <w:t>3.我方具有符合采购文件资格要求的依法缴纳税收和社会保障资金的良好记录。</w:t>
      </w:r>
      <w:r>
        <w:rPr>
          <w:rFonts w:hint="eastAsia" w:ascii="宋体" w:hAnsi="宋体" w:cs="宋体"/>
          <w:color w:val="auto"/>
          <w:spacing w:val="-17"/>
          <w:kern w:val="0"/>
          <w:sz w:val="22"/>
          <w:highlight w:val="none"/>
          <w:lang w:bidi="ar"/>
        </w:rPr>
        <w:t xml:space="preserve"> </w:t>
      </w:r>
    </w:p>
    <w:p>
      <w:pPr>
        <w:widowControl/>
        <w:spacing w:line="440" w:lineRule="exact"/>
        <w:ind w:firstLine="440" w:firstLineChars="200"/>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4.我方具有符合采购文件资格要求履行合同所必需的设备和专业技术能力。 </w:t>
      </w:r>
    </w:p>
    <w:p>
      <w:pPr>
        <w:widowControl/>
        <w:spacing w:line="440" w:lineRule="exact"/>
        <w:ind w:firstLine="440" w:firstLineChars="200"/>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5.我方参加政府采购活动前3年内在经营活动中没有重大违法记录。 </w:t>
      </w:r>
    </w:p>
    <w:p>
      <w:pPr>
        <w:widowControl/>
        <w:spacing w:line="440" w:lineRule="exact"/>
        <w:ind w:firstLine="440" w:firstLineChars="200"/>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我方对以上承诺内容的真实性负责。如有虚假，将依法承担相应责任。</w:t>
      </w:r>
    </w:p>
    <w:p>
      <w:pPr>
        <w:widowControl/>
        <w:spacing w:line="440" w:lineRule="exact"/>
        <w:rPr>
          <w:rFonts w:hint="eastAsia" w:ascii="宋体" w:hAnsi="宋体" w:cs="宋体"/>
          <w:color w:val="auto"/>
          <w:kern w:val="0"/>
          <w:sz w:val="22"/>
          <w:highlight w:val="none"/>
          <w:lang w:bidi="ar"/>
        </w:rPr>
      </w:pPr>
    </w:p>
    <w:p>
      <w:pPr>
        <w:widowControl/>
        <w:spacing w:line="440" w:lineRule="exact"/>
        <w:ind w:firstLine="3300" w:firstLineChars="1500"/>
        <w:jc w:val="left"/>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供应商名称（盖章）： </w:t>
      </w:r>
    </w:p>
    <w:p>
      <w:pPr>
        <w:tabs>
          <w:tab w:val="left" w:pos="7560"/>
        </w:tabs>
        <w:spacing w:line="440" w:lineRule="exact"/>
        <w:ind w:firstLine="3300" w:firstLineChars="1500"/>
        <w:jc w:val="left"/>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日期：</w:t>
      </w:r>
    </w:p>
    <w:p>
      <w:pPr>
        <w:pStyle w:val="29"/>
        <w:widowControl/>
        <w:wordWrap w:val="0"/>
        <w:spacing w:line="400" w:lineRule="exact"/>
        <w:rPr>
          <w:rFonts w:hint="eastAsia" w:ascii="宋体" w:hAnsi="宋体" w:cs="宋体"/>
          <w:color w:val="auto"/>
          <w:sz w:val="22"/>
          <w:szCs w:val="22"/>
          <w:highlight w:val="none"/>
        </w:rPr>
      </w:pPr>
      <w:r>
        <w:rPr>
          <w:rFonts w:hint="eastAsia" w:ascii="宋体" w:hAnsi="宋体" w:cs="宋体"/>
          <w:color w:val="auto"/>
          <w:sz w:val="22"/>
          <w:szCs w:val="22"/>
          <w:highlight w:val="none"/>
          <w:lang w:bidi="ar"/>
        </w:rPr>
        <w:t>注：1.</w:t>
      </w:r>
      <w:r>
        <w:rPr>
          <w:rFonts w:hint="eastAsia" w:ascii="宋体" w:hAnsi="宋体" w:cs="宋体"/>
          <w:color w:val="auto"/>
          <w:sz w:val="22"/>
          <w:szCs w:val="22"/>
          <w:highlight w:val="none"/>
        </w:rPr>
        <w:t>参与政府采购活动的供应商可按第1点的内容：“</w:t>
      </w:r>
      <w:r>
        <w:rPr>
          <w:rFonts w:hint="eastAsia" w:ascii="宋体" w:hAnsi="宋体" w:cs="宋体"/>
          <w:color w:val="auto"/>
          <w:sz w:val="22"/>
          <w:szCs w:val="22"/>
          <w:highlight w:val="none"/>
          <w:lang w:bidi="ar"/>
        </w:rPr>
        <w:t>我方</w:t>
      </w:r>
      <w:r>
        <w:rPr>
          <w:rFonts w:hint="eastAsia" w:ascii="宋体" w:hAnsi="宋体" w:cs="宋体"/>
          <w:color w:val="auto"/>
          <w:spacing w:val="6"/>
          <w:sz w:val="22"/>
          <w:szCs w:val="22"/>
          <w:highlight w:val="none"/>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宋体" w:hAnsi="宋体" w:cs="宋体"/>
          <w:color w:val="auto"/>
          <w:sz w:val="22"/>
          <w:szCs w:val="22"/>
          <w:highlight w:val="none"/>
          <w:lang w:bidi="ar"/>
        </w:rPr>
        <w:t>我方</w:t>
      </w:r>
      <w:r>
        <w:rPr>
          <w:rFonts w:hint="eastAsia" w:ascii="宋体" w:hAnsi="宋体" w:cs="宋体"/>
          <w:color w:val="auto"/>
          <w:spacing w:val="6"/>
          <w:sz w:val="22"/>
          <w:szCs w:val="22"/>
          <w:highlight w:val="none"/>
        </w:rPr>
        <w:t>具有独立承担民事责任的能力”进行承诺；二是“我方属于银行、保险、石油石化、电力、电信等有行业特殊情况的法人的分支机构在参加本次政府采购活动前已取得总公司的授权”进行承诺。参加政府采购活动的供应商只要第1点承诺的内容包含有：具有独立承担民事责任的能力、在参加本次政府采购活动前已取得总公司的授权等内容的即为有效的承诺。2.第1点所指的行业特殊情况使用了“等”字表示列举未尽，即行业特殊情况包含但不限于银行、保险、石油石化、电力、电信。</w:t>
      </w:r>
    </w:p>
    <w:p>
      <w:pPr>
        <w:spacing w:line="320" w:lineRule="exact"/>
        <w:jc w:val="left"/>
        <w:rPr>
          <w:rFonts w:hint="eastAsia" w:ascii="宋体" w:hAnsi="宋体" w:eastAsia="宋体" w:cs="宋体"/>
          <w:color w:val="auto"/>
          <w:sz w:val="28"/>
          <w:szCs w:val="28"/>
          <w:highlight w:val="none"/>
        </w:rPr>
      </w:pPr>
      <w:r>
        <w:rPr>
          <w:rFonts w:ascii="宋体" w:hAnsi="宋体" w:eastAsia="宋体" w:cs="宋体"/>
          <w:b/>
          <w:bCs/>
          <w:color w:val="auto"/>
          <w:kern w:val="0"/>
          <w:sz w:val="28"/>
          <w:szCs w:val="28"/>
          <w:highlight w:val="none"/>
        </w:rPr>
        <w:t>4</w:t>
      </w:r>
      <w:r>
        <w:rPr>
          <w:rFonts w:hint="eastAsia" w:ascii="宋体" w:hAnsi="宋体" w:eastAsia="宋体" w:cs="宋体"/>
          <w:b/>
          <w:color w:val="auto"/>
          <w:kern w:val="0"/>
          <w:sz w:val="28"/>
          <w:szCs w:val="28"/>
          <w:highlight w:val="none"/>
        </w:rPr>
        <w:t>、声明函的格式：</w:t>
      </w:r>
    </w:p>
    <w:p>
      <w:pPr>
        <w:spacing w:line="320" w:lineRule="exact"/>
        <w:jc w:val="center"/>
        <w:rPr>
          <w:rFonts w:hint="eastAsia" w:ascii="宋体" w:hAnsi="宋体" w:eastAsia="宋体" w:cs="Times New Roman"/>
          <w:b/>
          <w:color w:val="auto"/>
          <w:sz w:val="32"/>
          <w:szCs w:val="32"/>
          <w:highlight w:val="none"/>
        </w:rPr>
      </w:pPr>
    </w:p>
    <w:p>
      <w:pPr>
        <w:spacing w:line="320" w:lineRule="exact"/>
        <w:jc w:val="center"/>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声明函</w:t>
      </w:r>
    </w:p>
    <w:p>
      <w:pPr>
        <w:spacing w:line="320" w:lineRule="exact"/>
        <w:jc w:val="center"/>
        <w:rPr>
          <w:rFonts w:hint="eastAsia" w:ascii="宋体" w:hAnsi="宋体" w:eastAsia="宋体" w:cs="Times New Roman"/>
          <w:color w:val="auto"/>
          <w:sz w:val="24"/>
          <w:szCs w:val="20"/>
          <w:highlight w:val="none"/>
        </w:rPr>
      </w:pPr>
    </w:p>
    <w:p>
      <w:pPr>
        <w:spacing w:line="36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致：广西</w:t>
      </w:r>
      <w:r>
        <w:rPr>
          <w:rFonts w:hint="eastAsia" w:ascii="宋体" w:hAnsi="宋体" w:eastAsia="宋体" w:cs="宋体"/>
          <w:color w:val="auto"/>
          <w:sz w:val="24"/>
          <w:szCs w:val="24"/>
          <w:highlight w:val="none"/>
          <w:lang w:val="en-US" w:eastAsia="zh-CN"/>
        </w:rPr>
        <w:t>华晟</w:t>
      </w:r>
      <w:r>
        <w:rPr>
          <w:rFonts w:hint="eastAsia" w:ascii="宋体" w:hAnsi="宋体" w:eastAsia="宋体" w:cs="宋体"/>
          <w:color w:val="auto"/>
          <w:sz w:val="24"/>
          <w:szCs w:val="24"/>
          <w:highlight w:val="none"/>
        </w:rPr>
        <w:t>招标</w:t>
      </w:r>
      <w:r>
        <w:rPr>
          <w:rFonts w:hint="eastAsia" w:ascii="宋体" w:hAnsi="宋体" w:eastAsia="宋体" w:cs="宋体"/>
          <w:color w:val="auto"/>
          <w:sz w:val="24"/>
          <w:szCs w:val="24"/>
          <w:highlight w:val="none"/>
          <w:lang w:val="en-US" w:eastAsia="zh-CN"/>
        </w:rPr>
        <w:t>代理</w:t>
      </w:r>
      <w:r>
        <w:rPr>
          <w:rFonts w:hint="eastAsia" w:ascii="宋体" w:hAnsi="宋体" w:eastAsia="宋体" w:cs="宋体"/>
          <w:color w:val="auto"/>
          <w:sz w:val="24"/>
          <w:szCs w:val="24"/>
          <w:highlight w:val="none"/>
        </w:rPr>
        <w:t>有限公司</w:t>
      </w:r>
    </w:p>
    <w:p>
      <w:pPr>
        <w:spacing w:line="360" w:lineRule="exact"/>
        <w:ind w:firstLine="720" w:firstLineChars="300"/>
        <w:contextualSpacing/>
        <w:rPr>
          <w:rFonts w:hint="eastAsia" w:ascii="宋体" w:hAnsi="宋体" w:eastAsia="宋体" w:cs="宋体"/>
          <w:color w:val="auto"/>
          <w:sz w:val="24"/>
          <w:szCs w:val="24"/>
          <w:highlight w:val="none"/>
        </w:rPr>
      </w:pPr>
      <w:r>
        <w:rPr>
          <w:rFonts w:hint="eastAsia" w:ascii="宋体" w:hAnsi="宋体" w:eastAsia="宋体" w:cs="宋体"/>
          <w:i/>
          <w:iCs/>
          <w:color w:val="auto"/>
          <w:sz w:val="24"/>
          <w:szCs w:val="24"/>
          <w:highlight w:val="none"/>
          <w:u w:val="single"/>
        </w:rPr>
        <w:t>（供应商名称）</w:t>
      </w:r>
      <w:r>
        <w:rPr>
          <w:rFonts w:hint="eastAsia" w:ascii="宋体" w:hAnsi="宋体" w:eastAsia="宋体" w:cs="宋体"/>
          <w:i/>
          <w:iCs/>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系中华人民共和国合法供应商，经营地址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36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我方愿意参加贵方组织的</w:t>
      </w:r>
      <w:bookmarkStart w:id="176" w:name="PO_3000001871_PM002_4"/>
      <w:r>
        <w:rPr>
          <w:rFonts w:hint="eastAsia" w:ascii="宋体" w:hAnsi="宋体" w:eastAsia="宋体" w:cs="宋体"/>
          <w:i/>
          <w:iCs/>
          <w:color w:val="auto"/>
          <w:sz w:val="24"/>
          <w:szCs w:val="24"/>
          <w:highlight w:val="none"/>
        </w:rPr>
        <w:t>（</w:t>
      </w:r>
      <w:bookmarkEnd w:id="176"/>
      <w:r>
        <w:rPr>
          <w:rFonts w:hint="eastAsia" w:ascii="宋体" w:hAnsi="宋体" w:eastAsia="宋体" w:cs="宋体"/>
          <w:i/>
          <w:iCs/>
          <w:color w:val="auto"/>
          <w:sz w:val="24"/>
          <w:szCs w:val="24"/>
          <w:highlight w:val="none"/>
          <w:u w:val="single"/>
          <w:lang w:val="en-US" w:eastAsia="zh-CN"/>
        </w:rPr>
        <w:t xml:space="preserve">     </w:t>
      </w:r>
      <w:r>
        <w:rPr>
          <w:rFonts w:hint="eastAsia" w:ascii="宋体" w:hAnsi="宋体" w:eastAsia="宋体" w:cs="宋体"/>
          <w:i/>
          <w:iCs/>
          <w:color w:val="auto"/>
          <w:sz w:val="24"/>
          <w:szCs w:val="24"/>
          <w:highlight w:val="none"/>
          <w:u w:val="single"/>
        </w:rPr>
        <w:t>项目名称</w:t>
      </w:r>
      <w:r>
        <w:rPr>
          <w:rFonts w:hint="eastAsia" w:ascii="宋体" w:hAnsi="宋体" w:eastAsia="宋体" w:cs="宋体"/>
          <w:i/>
          <w:iCs/>
          <w:color w:val="auto"/>
          <w:sz w:val="24"/>
          <w:szCs w:val="24"/>
          <w:highlight w:val="none"/>
          <w:u w:val="single"/>
          <w:lang w:val="en-US" w:eastAsia="zh-CN"/>
        </w:rPr>
        <w:t xml:space="preserve">     </w:t>
      </w:r>
      <w:r>
        <w:rPr>
          <w:rFonts w:hint="eastAsia" w:ascii="宋体" w:hAnsi="宋体" w:eastAsia="宋体" w:cs="宋体"/>
          <w:i/>
          <w:iCs/>
          <w:color w:val="auto"/>
          <w:sz w:val="24"/>
          <w:szCs w:val="24"/>
          <w:highlight w:val="none"/>
        </w:rPr>
        <w:t>）</w:t>
      </w:r>
      <w:r>
        <w:rPr>
          <w:rFonts w:hint="eastAsia" w:ascii="宋体" w:hAnsi="宋体" w:eastAsia="宋体" w:cs="宋体"/>
          <w:color w:val="auto"/>
          <w:sz w:val="24"/>
          <w:szCs w:val="24"/>
          <w:highlight w:val="none"/>
        </w:rPr>
        <w:t>项目的竞标，为便于贵方公正、择优地确定成交供应商及其竞标产品和服务，我方就本次竞标有关事项郑重声明如下：</w:t>
      </w:r>
    </w:p>
    <w:p>
      <w:pPr>
        <w:spacing w:line="36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pPr>
        <w:spacing w:line="36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2.在此，我方宣布同意如下：</w:t>
      </w:r>
    </w:p>
    <w:p>
      <w:pPr>
        <w:spacing w:line="36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（1）将按谈判文件的约定履行合同责任和义务；</w:t>
      </w:r>
    </w:p>
    <w:p>
      <w:pPr>
        <w:spacing w:line="36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（2）已详细审查谈判文件的全部内容，包括澄清或者更正公告（如有）；</w:t>
      </w:r>
    </w:p>
    <w:p>
      <w:pPr>
        <w:spacing w:line="36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（3）同意提供按照贵方可能要求的与谈判有关的一切数据或者资料。</w:t>
      </w:r>
    </w:p>
    <w:p>
      <w:pPr>
        <w:spacing w:line="36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w:t>
      </w:r>
    </w:p>
    <w:p>
      <w:pPr>
        <w:spacing w:line="36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根据《中华人民共和国政府采购法实施条例》第五十条要求对政府采购合同进行公告，但政府采购合同中涉及国家秘密、商业秘密的内容除外。我方就对本次响应文件进行注明如下：（两项内容中必须选择一项）</w:t>
      </w:r>
    </w:p>
    <w:p>
      <w:pPr>
        <w:spacing w:line="36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□我方本次响应文件</w:t>
      </w:r>
      <w:r>
        <w:rPr>
          <w:rFonts w:hint="eastAsia" w:ascii="宋体" w:hAnsi="宋体" w:eastAsia="宋体" w:cs="宋体"/>
          <w:color w:val="auto"/>
          <w:kern w:val="0"/>
          <w:sz w:val="24"/>
          <w:szCs w:val="24"/>
          <w:highlight w:val="none"/>
        </w:rPr>
        <w:t>内容中</w:t>
      </w:r>
      <w:r>
        <w:rPr>
          <w:rFonts w:hint="eastAsia" w:ascii="宋体" w:hAnsi="宋体" w:eastAsia="宋体" w:cs="宋体"/>
          <w:color w:val="auto"/>
          <w:sz w:val="24"/>
          <w:szCs w:val="24"/>
          <w:highlight w:val="none"/>
        </w:rPr>
        <w:t>未</w:t>
      </w:r>
      <w:r>
        <w:rPr>
          <w:rFonts w:hint="eastAsia" w:ascii="宋体" w:hAnsi="宋体" w:eastAsia="宋体" w:cs="宋体"/>
          <w:color w:val="auto"/>
          <w:kern w:val="0"/>
          <w:sz w:val="24"/>
          <w:szCs w:val="24"/>
          <w:highlight w:val="none"/>
        </w:rPr>
        <w:t>涉及商业秘密；</w:t>
      </w:r>
    </w:p>
    <w:p>
      <w:pPr>
        <w:spacing w:line="36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□我方本次响应文件</w:t>
      </w:r>
      <w:r>
        <w:rPr>
          <w:rFonts w:hint="eastAsia" w:ascii="宋体" w:hAnsi="宋体" w:eastAsia="宋体" w:cs="宋体"/>
          <w:color w:val="auto"/>
          <w:kern w:val="0"/>
          <w:sz w:val="24"/>
          <w:szCs w:val="24"/>
          <w:highlight w:val="none"/>
        </w:rPr>
        <w:t>涉及商业秘密的内容有：</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pPr>
        <w:tabs>
          <w:tab w:val="left" w:pos="939"/>
        </w:tabs>
        <w:spacing w:line="36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5.以上事项如有虚假或者隐瞒，我方愿意承担一切后果，并不再寻求任何旨在减轻或者免除法律责任的辩解。</w:t>
      </w:r>
    </w:p>
    <w:p>
      <w:pPr>
        <w:tabs>
          <w:tab w:val="left" w:pos="939"/>
        </w:tabs>
        <w:spacing w:line="360" w:lineRule="exact"/>
        <w:ind w:left="141" w:leftChars="67" w:firstLine="360" w:firstLineChars="15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pPr>
        <w:tabs>
          <w:tab w:val="left" w:pos="939"/>
        </w:tabs>
        <w:spacing w:line="360" w:lineRule="exact"/>
        <w:ind w:firstLine="480" w:firstLineChars="200"/>
        <w:contextualSpacing/>
        <w:rPr>
          <w:rFonts w:hint="eastAsia" w:ascii="宋体" w:hAnsi="宋体" w:eastAsia="宋体" w:cs="宋体"/>
          <w:color w:val="auto"/>
          <w:sz w:val="24"/>
          <w:szCs w:val="24"/>
          <w:highlight w:val="none"/>
        </w:rPr>
      </w:pPr>
    </w:p>
    <w:p>
      <w:pPr>
        <w:autoSpaceDE w:val="0"/>
        <w:autoSpaceDN w:val="0"/>
        <w:spacing w:line="360" w:lineRule="exact"/>
        <w:ind w:left="4365" w:leftChars="1850" w:hanging="480" w:hanging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供应商名称（盖公章）：</w:t>
      </w:r>
    </w:p>
    <w:p>
      <w:pPr>
        <w:autoSpaceDE w:val="0"/>
        <w:autoSpaceDN w:val="0"/>
        <w:spacing w:line="360" w:lineRule="exact"/>
        <w:ind w:firstLine="6120" w:firstLineChars="2550"/>
        <w:rPr>
          <w:rFonts w:hint="eastAsia" w:ascii="宋体" w:hAnsi="宋体" w:eastAsia="宋体" w:cs="宋体"/>
          <w:color w:val="auto"/>
          <w:kern w:val="0"/>
          <w:sz w:val="24"/>
          <w:szCs w:val="24"/>
          <w:highlight w:val="none"/>
          <w:lang w:val="zh-CN"/>
        </w:rPr>
        <w:sectPr>
          <w:footerReference r:id="rId12" w:type="default"/>
          <w:pgSz w:w="11910" w:h="16840"/>
          <w:pgMar w:top="1134" w:right="1134" w:bottom="1134" w:left="1134" w:header="720" w:footer="720" w:gutter="0"/>
          <w:pgNumType w:fmt="decimal"/>
          <w:cols w:space="720" w:num="1"/>
        </w:sectPr>
      </w:pPr>
      <w:r>
        <w:rPr>
          <w:rFonts w:hint="eastAsia" w:ascii="宋体" w:hAnsi="宋体" w:eastAsia="宋体" w:cs="宋体"/>
          <w:color w:val="auto"/>
          <w:kern w:val="0"/>
          <w:sz w:val="24"/>
          <w:szCs w:val="24"/>
          <w:highlight w:val="none"/>
          <w:lang w:val="zh-CN"/>
        </w:rPr>
        <w:t>日期：  年  月   日</w:t>
      </w:r>
    </w:p>
    <w:p>
      <w:pPr>
        <w:spacing w:line="500" w:lineRule="exact"/>
        <w:rPr>
          <w:rFonts w:hint="eastAsia" w:ascii="宋体" w:hAnsi="宋体" w:eastAsia="宋体" w:cs="宋体"/>
          <w:b/>
          <w:color w:val="auto"/>
          <w:sz w:val="30"/>
          <w:szCs w:val="30"/>
          <w:highlight w:val="none"/>
          <w:lang w:val="zh-CN"/>
        </w:rPr>
      </w:pPr>
      <w:r>
        <w:rPr>
          <w:rFonts w:hint="eastAsia" w:ascii="宋体" w:hAnsi="宋体" w:eastAsia="宋体" w:cs="宋体"/>
          <w:b/>
          <w:color w:val="auto"/>
          <w:sz w:val="30"/>
          <w:szCs w:val="30"/>
          <w:highlight w:val="none"/>
          <w:lang w:val="en-US" w:eastAsia="zh-CN"/>
        </w:rPr>
        <w:t>5</w:t>
      </w:r>
      <w:r>
        <w:rPr>
          <w:rFonts w:hint="eastAsia" w:ascii="宋体" w:hAnsi="宋体" w:eastAsia="宋体" w:cs="宋体"/>
          <w:b/>
          <w:color w:val="auto"/>
          <w:sz w:val="30"/>
          <w:szCs w:val="30"/>
          <w:highlight w:val="none"/>
        </w:rPr>
        <w:t>.</w:t>
      </w:r>
      <w:r>
        <w:rPr>
          <w:rFonts w:hint="eastAsia" w:ascii="宋体" w:hAnsi="宋体" w:eastAsia="宋体" w:cs="宋体"/>
          <w:b/>
          <w:color w:val="auto"/>
          <w:sz w:val="30"/>
          <w:szCs w:val="30"/>
          <w:highlight w:val="none"/>
          <w:lang w:val="zh-CN"/>
        </w:rPr>
        <w:t>中小企业声明函的格式：</w:t>
      </w:r>
    </w:p>
    <w:p>
      <w:pPr>
        <w:pStyle w:val="15"/>
        <w:rPr>
          <w:rFonts w:hint="eastAsia" w:ascii="宋体" w:hAnsi="宋体" w:cs="宋体"/>
          <w:color w:val="auto"/>
          <w:highlight w:val="none"/>
        </w:rPr>
      </w:pPr>
    </w:p>
    <w:p>
      <w:pPr>
        <w:spacing w:line="300" w:lineRule="auto"/>
        <w:ind w:firstLine="3534" w:firstLineChars="1100"/>
        <w:rPr>
          <w:rFonts w:hint="eastAsia" w:ascii="宋体" w:hAnsi="宋体" w:eastAsia="宋体" w:cs="宋体"/>
          <w:color w:val="auto"/>
          <w:sz w:val="44"/>
          <w:szCs w:val="44"/>
          <w:highlight w:val="none"/>
        </w:rPr>
      </w:pPr>
      <w:r>
        <w:rPr>
          <w:rFonts w:hint="eastAsia" w:ascii="宋体" w:hAnsi="宋体" w:eastAsia="宋体" w:cs="宋体"/>
          <w:b/>
          <w:bCs/>
          <w:color w:val="auto"/>
          <w:sz w:val="32"/>
          <w:szCs w:val="32"/>
          <w:highlight w:val="none"/>
        </w:rPr>
        <w:t>中小企业声明函</w:t>
      </w:r>
    </w:p>
    <w:p>
      <w:pPr>
        <w:spacing w:line="360" w:lineRule="auto"/>
        <w:ind w:left="-426" w:right="142" w:firstLine="640"/>
        <w:contextualSpacing/>
        <w:rPr>
          <w:rFonts w:hint="eastAsia" w:ascii="宋体" w:hAnsi="宋体" w:eastAsia="宋体" w:cs="宋体"/>
          <w:color w:val="auto"/>
          <w:sz w:val="24"/>
          <w:szCs w:val="24"/>
          <w:highlight w:val="none"/>
          <w:lang w:val="zh-CN"/>
        </w:rPr>
      </w:pPr>
    </w:p>
    <w:p>
      <w:pPr>
        <w:spacing w:line="360" w:lineRule="auto"/>
        <w:ind w:left="-426" w:right="142" w:firstLine="64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i/>
          <w:iCs/>
          <w:color w:val="auto"/>
          <w:sz w:val="24"/>
          <w:szCs w:val="24"/>
          <w:highlight w:val="none"/>
          <w:u w:val="single"/>
        </w:rPr>
        <w:t>（单位名称）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CN"/>
        </w:rPr>
        <w:t>的</w:t>
      </w:r>
      <w:r>
        <w:rPr>
          <w:rFonts w:hint="eastAsia" w:ascii="宋体" w:hAnsi="宋体" w:eastAsia="宋体" w:cs="宋体"/>
          <w:i/>
          <w:iCs/>
          <w:color w:val="auto"/>
          <w:sz w:val="24"/>
          <w:szCs w:val="24"/>
          <w:highlight w:val="none"/>
          <w:u w:val="single"/>
        </w:rPr>
        <w:t>（项目名称）</w:t>
      </w:r>
      <w:r>
        <w:rPr>
          <w:rFonts w:hint="eastAsia" w:ascii="宋体" w:hAnsi="宋体" w:eastAsia="宋体" w:cs="宋体"/>
          <w:color w:val="auto"/>
          <w:sz w:val="24"/>
          <w:szCs w:val="24"/>
          <w:highlight w:val="none"/>
          <w:lang w:val="zh-CN"/>
        </w:rPr>
        <w:t>采购活动，提供的货物全部由符合政策要求的中小企业制造。相关企业（含联合体中的中小企业、签订分包意向协议的中小企业）的具体情况如下：</w:t>
      </w:r>
    </w:p>
    <w:p>
      <w:pPr>
        <w:tabs>
          <w:tab w:val="left" w:pos="1384"/>
          <w:tab w:val="left" w:pos="4562"/>
          <w:tab w:val="left" w:pos="6803"/>
        </w:tabs>
        <w:spacing w:line="360" w:lineRule="auto"/>
        <w:ind w:left="-426" w:right="-58" w:firstLine="655"/>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i/>
          <w:iCs/>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i/>
          <w:iCs/>
          <w:color w:val="auto"/>
          <w:sz w:val="24"/>
          <w:szCs w:val="24"/>
          <w:highlight w:val="none"/>
          <w:u w:val="single"/>
        </w:rPr>
        <w:t>（采购文件中明确的所属行业）行业</w:t>
      </w:r>
      <w:r>
        <w:rPr>
          <w:rFonts w:hint="eastAsia" w:ascii="宋体" w:hAnsi="宋体" w:eastAsia="宋体" w:cs="宋体"/>
          <w:color w:val="auto"/>
          <w:sz w:val="24"/>
          <w:szCs w:val="24"/>
          <w:highlight w:val="none"/>
        </w:rPr>
        <w:t>；制造商为</w:t>
      </w:r>
      <w:r>
        <w:rPr>
          <w:rFonts w:hint="eastAsia" w:ascii="宋体" w:hAnsi="宋体" w:eastAsia="宋体" w:cs="宋体"/>
          <w:i/>
          <w:iCs/>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i/>
          <w:iCs/>
          <w:color w:val="auto"/>
          <w:sz w:val="24"/>
          <w:szCs w:val="24"/>
          <w:highlight w:val="none"/>
          <w:u w:val="single"/>
        </w:rPr>
        <w:t>（中型企业、小型企业、微型企业</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pPr>
        <w:tabs>
          <w:tab w:val="left" w:pos="1065"/>
          <w:tab w:val="left" w:pos="6477"/>
        </w:tabs>
        <w:spacing w:line="360" w:lineRule="auto"/>
        <w:ind w:left="-426" w:right="-58" w:firstLine="655"/>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i/>
          <w:iCs/>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i/>
          <w:iCs/>
          <w:color w:val="auto"/>
          <w:sz w:val="24"/>
          <w:szCs w:val="24"/>
          <w:highlight w:val="none"/>
          <w:u w:val="single"/>
        </w:rPr>
        <w:t>（采购文件中明确的所属行业）行业</w:t>
      </w:r>
      <w:r>
        <w:rPr>
          <w:rFonts w:hint="eastAsia" w:ascii="宋体" w:hAnsi="宋体" w:eastAsia="宋体" w:cs="宋体"/>
          <w:color w:val="auto"/>
          <w:sz w:val="24"/>
          <w:szCs w:val="24"/>
          <w:highlight w:val="none"/>
        </w:rPr>
        <w:t>；制造商为</w:t>
      </w:r>
      <w:r>
        <w:rPr>
          <w:rFonts w:hint="eastAsia" w:ascii="宋体" w:hAnsi="宋体" w:eastAsia="宋体" w:cs="宋体"/>
          <w:i/>
          <w:iCs/>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i/>
          <w:iCs/>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pPr>
        <w:spacing w:line="360" w:lineRule="auto"/>
        <w:ind w:left="142" w:right="142"/>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 </w:t>
      </w:r>
    </w:p>
    <w:p>
      <w:pPr>
        <w:spacing w:line="360" w:lineRule="auto"/>
        <w:ind w:left="-405" w:leftChars="-193" w:right="142" w:firstLine="453" w:firstLineChars="189"/>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以上企业，不属于大企业的分支机构，不存在控股股东为大企业的情形，也不存在与大企业的负责人为同一人的情形。</w:t>
      </w:r>
    </w:p>
    <w:p>
      <w:pPr>
        <w:spacing w:line="360" w:lineRule="auto"/>
        <w:ind w:left="-426" w:right="142" w:firstLine="567"/>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本企业对上述声明内容的真实性负责。如有虚假，将依法承担相应责任。</w:t>
      </w:r>
    </w:p>
    <w:p>
      <w:pPr>
        <w:spacing w:line="360" w:lineRule="auto"/>
        <w:ind w:left="3960" w:right="1808"/>
        <w:contextualSpacing/>
        <w:rPr>
          <w:rFonts w:hint="eastAsia" w:ascii="宋体" w:hAnsi="宋体" w:eastAsia="宋体" w:cs="宋体"/>
          <w:color w:val="auto"/>
          <w:sz w:val="24"/>
          <w:szCs w:val="24"/>
          <w:highlight w:val="none"/>
          <w:lang w:val="zh-CN"/>
        </w:rPr>
      </w:pPr>
    </w:p>
    <w:p>
      <w:pPr>
        <w:autoSpaceDE w:val="0"/>
        <w:autoSpaceDN w:val="0"/>
        <w:spacing w:line="360" w:lineRule="auto"/>
        <w:ind w:left="4335" w:leftChars="1950" w:hanging="240" w:hanging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供应商名称（盖公章）：</w:t>
      </w:r>
    </w:p>
    <w:p>
      <w:pPr>
        <w:autoSpaceDE w:val="0"/>
        <w:autoSpaceDN w:val="0"/>
        <w:spacing w:line="360" w:lineRule="auto"/>
        <w:ind w:firstLine="6480" w:firstLineChars="27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日期：  年  月   日</w:t>
      </w:r>
    </w:p>
    <w:p>
      <w:pPr>
        <w:spacing w:line="360" w:lineRule="auto"/>
        <w:ind w:left="3960" w:right="1808"/>
        <w:contextualSpacing/>
        <w:rPr>
          <w:rFonts w:hint="eastAsia" w:ascii="宋体" w:hAnsi="宋体" w:eastAsia="宋体" w:cs="宋体"/>
          <w:color w:val="auto"/>
          <w:szCs w:val="24"/>
          <w:highlight w:val="none"/>
          <w:lang w:val="zh-CN"/>
        </w:rPr>
      </w:pPr>
    </w:p>
    <w:p>
      <w:pPr>
        <w:spacing w:line="360" w:lineRule="auto"/>
        <w:contextualSpacing/>
        <w:jc w:val="left"/>
        <w:rPr>
          <w:rFonts w:hint="eastAsia" w:ascii="宋体" w:hAnsi="宋体" w:eastAsia="宋体" w:cs="宋体"/>
          <w:color w:val="auto"/>
          <w:szCs w:val="21"/>
          <w:highlight w:val="none"/>
        </w:rPr>
      </w:pPr>
    </w:p>
    <w:p>
      <w:pPr>
        <w:spacing w:line="400" w:lineRule="exact"/>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享受《政府采购促进中小企业发展管理办法》（财库〔2020〕46号）规定的中小企业扶持政策的，采购人或者采购代理机构应当随成交结果公开成交供应商的《中小企业声明函》，接受社会监督。从业人员、营业收入、资产总额填报上一年度数据，无上一年度数据的新成立企业可不填报。</w:t>
      </w:r>
    </w:p>
    <w:p>
      <w:pPr>
        <w:pStyle w:val="42"/>
        <w:rPr>
          <w:rFonts w:hint="eastAsia" w:ascii="宋体" w:hAnsi="宋体" w:eastAsia="宋体" w:cs="宋体"/>
          <w:color w:val="auto"/>
          <w:sz w:val="24"/>
          <w:szCs w:val="24"/>
          <w:highlight w:val="none"/>
        </w:rPr>
      </w:pPr>
    </w:p>
    <w:p>
      <w:pPr>
        <w:pStyle w:val="42"/>
        <w:rPr>
          <w:rFonts w:hint="eastAsia" w:ascii="宋体" w:hAnsi="宋体" w:eastAsia="宋体" w:cs="宋体"/>
          <w:color w:val="auto"/>
          <w:sz w:val="24"/>
          <w:szCs w:val="24"/>
          <w:highlight w:val="none"/>
        </w:rPr>
      </w:pPr>
    </w:p>
    <w:p>
      <w:pPr>
        <w:numPr>
          <w:ilvl w:val="255"/>
          <w:numId w:val="0"/>
        </w:numPr>
        <w:spacing w:line="520" w:lineRule="exact"/>
        <w:rPr>
          <w:rFonts w:hint="eastAsia" w:hAnsi="宋体" w:cs="宋体"/>
          <w:b/>
          <w:color w:val="auto"/>
          <w:sz w:val="28"/>
          <w:szCs w:val="28"/>
          <w:highlight w:val="none"/>
        </w:rPr>
      </w:pPr>
      <w:r>
        <w:rPr>
          <w:rFonts w:hint="eastAsia" w:ascii="宋体" w:hAnsi="宋体" w:eastAsia="宋体" w:cs="宋体"/>
          <w:b/>
          <w:color w:val="auto"/>
          <w:sz w:val="28"/>
          <w:szCs w:val="28"/>
          <w:highlight w:val="none"/>
          <w:lang w:val="en-US" w:eastAsia="zh-CN"/>
        </w:rPr>
        <w:t>6</w:t>
      </w:r>
      <w:r>
        <w:rPr>
          <w:rFonts w:hint="eastAsia" w:ascii="宋体" w:hAnsi="宋体" w:eastAsia="宋体" w:cs="宋体"/>
          <w:b/>
          <w:color w:val="auto"/>
          <w:sz w:val="28"/>
          <w:szCs w:val="28"/>
          <w:highlight w:val="none"/>
        </w:rPr>
        <w:t>.</w:t>
      </w:r>
      <w:r>
        <w:rPr>
          <w:rFonts w:hint="eastAsia" w:hAnsi="宋体" w:cs="宋体"/>
          <w:b/>
          <w:color w:val="auto"/>
          <w:sz w:val="28"/>
          <w:szCs w:val="28"/>
          <w:highlight w:val="none"/>
        </w:rPr>
        <w:t>残疾人福利性单位声明函的格式：</w:t>
      </w:r>
    </w:p>
    <w:p>
      <w:pPr>
        <w:numPr>
          <w:ilvl w:val="255"/>
          <w:numId w:val="0"/>
        </w:numPr>
        <w:spacing w:line="520" w:lineRule="exact"/>
        <w:rPr>
          <w:rFonts w:hint="eastAsia" w:hAnsi="宋体" w:cs="宋体"/>
          <w:b/>
          <w:color w:val="auto"/>
          <w:sz w:val="28"/>
          <w:szCs w:val="28"/>
          <w:highlight w:val="none"/>
        </w:rPr>
      </w:pPr>
    </w:p>
    <w:p>
      <w:pPr>
        <w:spacing w:line="52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残疾人福利性单位声明函</w:t>
      </w:r>
    </w:p>
    <w:p>
      <w:pPr>
        <w:spacing w:line="520" w:lineRule="exact"/>
        <w:rPr>
          <w:rFonts w:hint="eastAsia" w:ascii="仿宋_GB2312" w:hAnsi="仿宋_GB2312" w:eastAsia="仿宋_GB2312" w:cs="仿宋_GB2312"/>
          <w:color w:val="auto"/>
          <w:sz w:val="32"/>
          <w:szCs w:val="32"/>
          <w:highlight w:val="none"/>
        </w:rPr>
      </w:pPr>
    </w:p>
    <w:p>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单位的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pPr>
        <w:spacing w:line="360" w:lineRule="auto"/>
        <w:contextualSpacing/>
        <w:rPr>
          <w:rFonts w:hint="eastAsia" w:ascii="宋体" w:hAnsi="宋体" w:eastAsia="宋体" w:cs="宋体"/>
          <w:color w:val="auto"/>
          <w:sz w:val="24"/>
          <w:szCs w:val="24"/>
          <w:highlight w:val="none"/>
        </w:rPr>
      </w:pPr>
    </w:p>
    <w:p>
      <w:pPr>
        <w:spacing w:line="360" w:lineRule="auto"/>
        <w:contextualSpacing/>
        <w:rPr>
          <w:rFonts w:hint="eastAsia" w:ascii="宋体" w:hAnsi="宋体" w:eastAsia="宋体" w:cs="宋体"/>
          <w:color w:val="auto"/>
          <w:sz w:val="24"/>
          <w:szCs w:val="24"/>
          <w:highlight w:val="none"/>
        </w:rPr>
      </w:pPr>
    </w:p>
    <w:p>
      <w:pPr>
        <w:spacing w:line="360" w:lineRule="auto"/>
        <w:contextualSpacing/>
        <w:rPr>
          <w:rFonts w:hint="eastAsia" w:ascii="宋体" w:hAnsi="宋体" w:eastAsia="宋体" w:cs="宋体"/>
          <w:color w:val="auto"/>
          <w:sz w:val="24"/>
          <w:szCs w:val="24"/>
          <w:highlight w:val="none"/>
        </w:rPr>
      </w:pPr>
    </w:p>
    <w:p>
      <w:pPr>
        <w:spacing w:line="360" w:lineRule="auto"/>
        <w:ind w:firstLine="2400" w:firstLineChars="10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供应商名称（盖公章）：</w:t>
      </w:r>
    </w:p>
    <w:p>
      <w:pPr>
        <w:spacing w:line="360" w:lineRule="auto"/>
        <w:ind w:firstLine="4320" w:firstLineChars="18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     年   月   日</w:t>
      </w:r>
    </w:p>
    <w:p>
      <w:pPr>
        <w:spacing w:line="360" w:lineRule="auto"/>
        <w:contextualSpacing/>
        <w:rPr>
          <w:rFonts w:hint="eastAsia" w:ascii="宋体" w:hAnsi="宋体" w:eastAsia="宋体" w:cs="宋体"/>
          <w:color w:val="auto"/>
          <w:sz w:val="24"/>
          <w:szCs w:val="24"/>
          <w:highlight w:val="none"/>
        </w:rPr>
      </w:pPr>
    </w:p>
    <w:p>
      <w:pPr>
        <w:spacing w:line="360" w:lineRule="auto"/>
        <w:contextualSpacing/>
        <w:rPr>
          <w:rFonts w:hint="eastAsia" w:ascii="宋体" w:hAnsi="宋体" w:eastAsia="宋体" w:cs="宋体"/>
          <w:color w:val="auto"/>
          <w:sz w:val="24"/>
          <w:szCs w:val="24"/>
          <w:highlight w:val="none"/>
        </w:rPr>
      </w:pPr>
    </w:p>
    <w:p>
      <w:pPr>
        <w:spacing w:line="360" w:lineRule="auto"/>
        <w:contextualSpacing/>
        <w:rPr>
          <w:rFonts w:hint="eastAsia" w:ascii="宋体" w:hAnsi="宋体" w:eastAsia="宋体" w:cs="宋体"/>
          <w:color w:val="auto"/>
          <w:sz w:val="24"/>
          <w:szCs w:val="24"/>
          <w:highlight w:val="none"/>
        </w:rPr>
      </w:pPr>
    </w:p>
    <w:p>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注：请根据自己的真实情况出具《残疾人福利性单位声明函》。依法享受中小企业扶持政策的，采购人或者采购代理机构在公告成交结果时，同时公告其《残疾人福利性单位声明函》，接受社会监督。</w:t>
      </w:r>
    </w:p>
    <w:p>
      <w:pPr>
        <w:pStyle w:val="2"/>
        <w:rPr>
          <w:rFonts w:hint="eastAsia" w:ascii="宋体" w:hAnsi="宋体" w:cs="仿宋_GB2312"/>
          <w:color w:val="auto"/>
          <w:sz w:val="24"/>
          <w:szCs w:val="24"/>
          <w:highlight w:val="none"/>
        </w:rPr>
      </w:pPr>
    </w:p>
    <w:p>
      <w:pPr>
        <w:autoSpaceDE w:val="0"/>
        <w:autoSpaceDN w:val="0"/>
        <w:spacing w:line="360" w:lineRule="auto"/>
        <w:ind w:firstLine="6120" w:firstLineChars="2550"/>
        <w:rPr>
          <w:rFonts w:hint="eastAsia" w:ascii="仿宋_GB2312" w:hAnsi="仿宋" w:eastAsia="仿宋_GB2312" w:cs="仿宋_GB2312"/>
          <w:color w:val="auto"/>
          <w:kern w:val="0"/>
          <w:sz w:val="24"/>
          <w:szCs w:val="24"/>
          <w:highlight w:val="none"/>
          <w:lang w:val="zh-CN"/>
        </w:rPr>
      </w:pPr>
    </w:p>
    <w:p>
      <w:pPr>
        <w:pStyle w:val="42"/>
        <w:rPr>
          <w:rFonts w:hint="eastAsia" w:ascii="仿宋_GB2312" w:hAnsi="仿宋" w:eastAsia="仿宋_GB2312" w:cs="仿宋_GB2312"/>
          <w:color w:val="auto"/>
          <w:kern w:val="0"/>
          <w:sz w:val="24"/>
          <w:szCs w:val="24"/>
          <w:highlight w:val="none"/>
          <w:lang w:val="zh-CN"/>
        </w:rPr>
      </w:pPr>
    </w:p>
    <w:p>
      <w:pPr>
        <w:pStyle w:val="42"/>
        <w:rPr>
          <w:rFonts w:hint="eastAsia" w:ascii="仿宋_GB2312" w:hAnsi="仿宋" w:eastAsia="仿宋_GB2312" w:cs="仿宋_GB2312"/>
          <w:color w:val="auto"/>
          <w:kern w:val="0"/>
          <w:sz w:val="24"/>
          <w:szCs w:val="24"/>
          <w:highlight w:val="none"/>
          <w:lang w:val="zh-CN"/>
        </w:rPr>
      </w:pPr>
    </w:p>
    <w:p>
      <w:pPr>
        <w:pStyle w:val="42"/>
        <w:rPr>
          <w:rFonts w:hint="eastAsia" w:ascii="仿宋_GB2312" w:hAnsi="仿宋" w:eastAsia="仿宋_GB2312" w:cs="仿宋_GB2312"/>
          <w:color w:val="auto"/>
          <w:kern w:val="0"/>
          <w:sz w:val="24"/>
          <w:szCs w:val="24"/>
          <w:highlight w:val="none"/>
          <w:lang w:val="zh-CN"/>
        </w:rPr>
      </w:pPr>
    </w:p>
    <w:p>
      <w:pPr>
        <w:pStyle w:val="42"/>
        <w:rPr>
          <w:rFonts w:hint="eastAsia" w:ascii="仿宋_GB2312" w:hAnsi="仿宋" w:eastAsia="仿宋_GB2312" w:cs="仿宋_GB2312"/>
          <w:color w:val="auto"/>
          <w:kern w:val="0"/>
          <w:sz w:val="24"/>
          <w:szCs w:val="24"/>
          <w:highlight w:val="none"/>
          <w:lang w:val="zh-CN"/>
        </w:rPr>
      </w:pPr>
    </w:p>
    <w:p>
      <w:pPr>
        <w:pStyle w:val="42"/>
        <w:rPr>
          <w:rFonts w:hint="eastAsia" w:ascii="仿宋_GB2312" w:hAnsi="仿宋" w:eastAsia="仿宋_GB2312" w:cs="仿宋_GB2312"/>
          <w:color w:val="auto"/>
          <w:kern w:val="0"/>
          <w:sz w:val="24"/>
          <w:szCs w:val="24"/>
          <w:highlight w:val="none"/>
          <w:lang w:val="zh-CN"/>
        </w:rPr>
      </w:pPr>
    </w:p>
    <w:p>
      <w:pPr>
        <w:keepNext/>
        <w:keepLines/>
        <w:spacing w:before="260" w:after="260" w:line="416" w:lineRule="auto"/>
        <w:jc w:val="center"/>
        <w:outlineLvl w:val="1"/>
        <w:rPr>
          <w:rFonts w:hint="eastAsia" w:ascii="宋体" w:hAnsi="宋体" w:eastAsia="宋体" w:cs="Times New Roman"/>
          <w:bCs/>
          <w:color w:val="auto"/>
          <w:sz w:val="32"/>
          <w:szCs w:val="32"/>
          <w:highlight w:val="none"/>
          <w:lang w:val="zh-CN"/>
        </w:rPr>
      </w:pPr>
      <w:bookmarkStart w:id="177" w:name="_Toc26899"/>
      <w:bookmarkStart w:id="178" w:name="_Toc798"/>
      <w:bookmarkStart w:id="179" w:name="_Toc80205940"/>
      <w:r>
        <w:rPr>
          <w:rFonts w:hint="eastAsia" w:ascii="宋体" w:hAnsi="宋体" w:eastAsia="宋体" w:cs="Times New Roman"/>
          <w:color w:val="auto"/>
          <w:sz w:val="32"/>
          <w:szCs w:val="32"/>
          <w:highlight w:val="none"/>
          <w:lang w:val="zh-CN"/>
        </w:rPr>
        <w:t xml:space="preserve">第二节 </w:t>
      </w:r>
      <w:r>
        <w:rPr>
          <w:rFonts w:hint="eastAsia" w:ascii="宋体" w:hAnsi="宋体" w:eastAsia="宋体" w:cs="Times New Roman"/>
          <w:bCs/>
          <w:color w:val="auto"/>
          <w:sz w:val="32"/>
          <w:szCs w:val="32"/>
          <w:highlight w:val="none"/>
          <w:lang w:val="zh-CN"/>
        </w:rPr>
        <w:t>商务技术文件格式</w:t>
      </w:r>
      <w:bookmarkEnd w:id="177"/>
      <w:bookmarkEnd w:id="178"/>
      <w:bookmarkEnd w:id="179"/>
    </w:p>
    <w:p>
      <w:pPr>
        <w:snapToGrid w:val="0"/>
        <w:spacing w:before="120" w:beforeLines="50" w:after="50"/>
        <w:rPr>
          <w:rFonts w:hint="eastAsia" w:ascii="宋体" w:hAnsi="宋体" w:eastAsia="宋体" w:cs="Times New Roman"/>
          <w:color w:val="auto"/>
          <w:sz w:val="24"/>
          <w:szCs w:val="24"/>
          <w:highlight w:val="none"/>
        </w:rPr>
      </w:pPr>
      <w:r>
        <w:rPr>
          <w:rFonts w:hint="eastAsia" w:ascii="宋体" w:hAnsi="宋体" w:cs="宋体"/>
          <w:b/>
          <w:color w:val="auto"/>
          <w:sz w:val="28"/>
          <w:szCs w:val="28"/>
          <w:highlight w:val="none"/>
        </w:rPr>
        <w:t>1.</w:t>
      </w:r>
      <w:r>
        <w:rPr>
          <w:rFonts w:hint="eastAsia" w:ascii="宋体" w:hAnsi="宋体" w:eastAsia="宋体" w:cs="宋体"/>
          <w:b/>
          <w:color w:val="auto"/>
          <w:sz w:val="28"/>
          <w:szCs w:val="28"/>
          <w:highlight w:val="none"/>
        </w:rPr>
        <w:t>商务技术文件封面</w:t>
      </w:r>
      <w:r>
        <w:rPr>
          <w:rFonts w:hint="eastAsia" w:ascii="宋体" w:hAnsi="宋体" w:cs="宋体"/>
          <w:b/>
          <w:color w:val="auto"/>
          <w:sz w:val="28"/>
          <w:szCs w:val="28"/>
          <w:highlight w:val="none"/>
        </w:rPr>
        <w:t>的</w:t>
      </w:r>
      <w:r>
        <w:rPr>
          <w:rFonts w:hint="eastAsia" w:ascii="宋体" w:hAnsi="宋体" w:eastAsia="宋体" w:cs="宋体"/>
          <w:b/>
          <w:color w:val="auto"/>
          <w:sz w:val="28"/>
          <w:szCs w:val="28"/>
          <w:highlight w:val="none"/>
        </w:rPr>
        <w:t>格式</w:t>
      </w:r>
      <w:r>
        <w:rPr>
          <w:rFonts w:hint="eastAsia" w:ascii="宋体" w:hAnsi="宋体" w:eastAsia="宋体" w:cs="宋体"/>
          <w:b/>
          <w:bCs/>
          <w:color w:val="auto"/>
          <w:sz w:val="28"/>
          <w:szCs w:val="28"/>
          <w:highlight w:val="none"/>
        </w:rPr>
        <w:t>（参照此格式自拟）</w:t>
      </w:r>
      <w:r>
        <w:rPr>
          <w:rFonts w:hint="eastAsia" w:ascii="宋体" w:hAnsi="宋体" w:eastAsia="宋体" w:cs="宋体"/>
          <w:b/>
          <w:color w:val="auto"/>
          <w:sz w:val="28"/>
          <w:szCs w:val="28"/>
          <w:highlight w:val="none"/>
        </w:rPr>
        <w:t>：</w:t>
      </w:r>
      <w:r>
        <w:rPr>
          <w:rFonts w:hint="eastAsia" w:ascii="宋体" w:hAnsi="宋体" w:eastAsia="宋体" w:cs="Times New Roman"/>
          <w:color w:val="auto"/>
          <w:sz w:val="24"/>
          <w:szCs w:val="24"/>
          <w:highlight w:val="none"/>
        </w:rPr>
        <w:t xml:space="preserve">                                                   </w:t>
      </w:r>
    </w:p>
    <w:p>
      <w:pPr>
        <w:snapToGrid w:val="0"/>
        <w:spacing w:before="120" w:beforeLines="50" w:after="50"/>
        <w:ind w:firstLine="6480" w:firstLineChars="2700"/>
        <w:rPr>
          <w:rFonts w:hint="eastAsia" w:ascii="宋体" w:hAnsi="宋体" w:eastAsia="宋体" w:cs="Times New Roman"/>
          <w:bCs/>
          <w:color w:val="auto"/>
          <w:sz w:val="32"/>
          <w:szCs w:val="20"/>
          <w:highlight w:val="none"/>
        </w:rPr>
      </w:pPr>
      <w:r>
        <w:rPr>
          <w:rFonts w:hint="eastAsia" w:ascii="宋体" w:hAnsi="宋体" w:eastAsia="宋体" w:cs="Times New Roman"/>
          <w:color w:val="auto"/>
          <w:sz w:val="24"/>
          <w:szCs w:val="24"/>
          <w:highlight w:val="none"/>
        </w:rPr>
        <w:t xml:space="preserve"> </w:t>
      </w:r>
      <w:r>
        <w:rPr>
          <w:rFonts w:hint="eastAsia" w:ascii="宋体" w:hAnsi="宋体" w:eastAsia="宋体" w:cs="Times New Roman"/>
          <w:bCs/>
          <w:color w:val="auto"/>
          <w:szCs w:val="24"/>
          <w:highlight w:val="none"/>
        </w:rPr>
        <w:t>全流程电子文件</w:t>
      </w:r>
    </w:p>
    <w:p>
      <w:pPr>
        <w:snapToGrid w:val="0"/>
        <w:spacing w:before="120" w:beforeLines="50" w:after="50"/>
        <w:rPr>
          <w:rFonts w:hint="eastAsia" w:ascii="宋体" w:hAnsi="宋体" w:eastAsia="宋体" w:cs="Times New Roman"/>
          <w:color w:val="auto"/>
          <w:sz w:val="24"/>
          <w:szCs w:val="20"/>
          <w:highlight w:val="none"/>
        </w:rPr>
      </w:pPr>
    </w:p>
    <w:p>
      <w:pPr>
        <w:snapToGrid w:val="0"/>
        <w:spacing w:before="120" w:beforeLines="50" w:after="50"/>
        <w:rPr>
          <w:rFonts w:hint="eastAsia" w:ascii="宋体" w:hAnsi="宋体" w:eastAsia="宋体" w:cs="Times New Roman"/>
          <w:color w:val="auto"/>
          <w:sz w:val="24"/>
          <w:szCs w:val="20"/>
          <w:highlight w:val="none"/>
        </w:rPr>
      </w:pPr>
    </w:p>
    <w:p>
      <w:pPr>
        <w:snapToGrid w:val="0"/>
        <w:spacing w:before="120" w:beforeLines="50" w:after="50"/>
        <w:rPr>
          <w:rFonts w:hint="eastAsia" w:ascii="宋体" w:hAnsi="宋体" w:eastAsia="宋体" w:cs="Times New Roman"/>
          <w:color w:val="auto"/>
          <w:sz w:val="24"/>
          <w:szCs w:val="20"/>
          <w:highlight w:val="none"/>
        </w:rPr>
      </w:pPr>
    </w:p>
    <w:p>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  务  技  术  文  件</w:t>
      </w:r>
    </w:p>
    <w:p>
      <w:pPr>
        <w:snapToGrid w:val="0"/>
        <w:spacing w:before="120" w:beforeLines="50" w:after="50"/>
        <w:rPr>
          <w:rFonts w:hint="eastAsia" w:ascii="宋体" w:hAnsi="宋体" w:eastAsia="宋体" w:cs="Times New Roman"/>
          <w:bCs/>
          <w:color w:val="auto"/>
          <w:sz w:val="24"/>
          <w:szCs w:val="20"/>
          <w:highlight w:val="none"/>
        </w:rPr>
      </w:pPr>
    </w:p>
    <w:p>
      <w:pPr>
        <w:snapToGrid w:val="0"/>
        <w:spacing w:before="120" w:beforeLines="50" w:after="50"/>
        <w:rPr>
          <w:rFonts w:hint="eastAsia" w:ascii="宋体" w:hAnsi="宋体" w:eastAsia="宋体" w:cs="Times New Roman"/>
          <w:bCs/>
          <w:color w:val="auto"/>
          <w:sz w:val="24"/>
          <w:szCs w:val="20"/>
          <w:highlight w:val="none"/>
        </w:rPr>
      </w:pPr>
    </w:p>
    <w:p>
      <w:pPr>
        <w:snapToGrid w:val="0"/>
        <w:spacing w:before="120" w:beforeLines="50" w:after="50"/>
        <w:rPr>
          <w:rFonts w:hint="eastAsia" w:ascii="宋体" w:hAnsi="宋体" w:eastAsia="宋体" w:cs="Times New Roman"/>
          <w:bCs/>
          <w:color w:val="auto"/>
          <w:sz w:val="24"/>
          <w:szCs w:val="20"/>
          <w:highlight w:val="none"/>
        </w:rPr>
      </w:pPr>
    </w:p>
    <w:p>
      <w:pPr>
        <w:snapToGrid w:val="0"/>
        <w:spacing w:before="120" w:beforeLines="50" w:after="50"/>
        <w:rPr>
          <w:rFonts w:hint="eastAsia" w:ascii="宋体" w:hAnsi="宋体" w:eastAsia="宋体" w:cs="Times New Roman"/>
          <w:bCs/>
          <w:color w:val="auto"/>
          <w:sz w:val="24"/>
          <w:szCs w:val="20"/>
          <w:highlight w:val="none"/>
        </w:rPr>
      </w:pPr>
    </w:p>
    <w:p>
      <w:pPr>
        <w:snapToGrid w:val="0"/>
        <w:spacing w:before="120" w:beforeLines="50" w:after="50"/>
        <w:rPr>
          <w:rFonts w:hint="eastAsia" w:ascii="宋体" w:hAnsi="宋体" w:eastAsia="宋体" w:cs="Times New Roman"/>
          <w:bCs/>
          <w:color w:val="auto"/>
          <w:sz w:val="24"/>
          <w:szCs w:val="20"/>
          <w:highlight w:val="none"/>
        </w:rPr>
      </w:pPr>
    </w:p>
    <w:p>
      <w:pPr>
        <w:snapToGrid w:val="0"/>
        <w:spacing w:before="120" w:beforeLines="50" w:after="50"/>
        <w:ind w:firstLine="640" w:firstLineChars="200"/>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 xml:space="preserve">项目名称： </w:t>
      </w:r>
    </w:p>
    <w:p>
      <w:pPr>
        <w:snapToGrid w:val="0"/>
        <w:spacing w:before="120" w:beforeLines="50" w:after="50"/>
        <w:ind w:firstLine="720" w:firstLineChars="225"/>
        <w:rPr>
          <w:rFonts w:hint="eastAsia" w:ascii="宋体" w:hAnsi="宋体" w:eastAsia="宋体" w:cs="仿宋_GB2312"/>
          <w:bCs/>
          <w:color w:val="auto"/>
          <w:sz w:val="32"/>
          <w:szCs w:val="32"/>
          <w:highlight w:val="none"/>
        </w:rPr>
      </w:pPr>
    </w:p>
    <w:p>
      <w:pPr>
        <w:snapToGrid w:val="0"/>
        <w:spacing w:before="120" w:beforeLines="50" w:after="50"/>
        <w:ind w:firstLine="640" w:firstLineChars="200"/>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 xml:space="preserve">项目编号： </w:t>
      </w:r>
    </w:p>
    <w:p>
      <w:pPr>
        <w:snapToGrid w:val="0"/>
        <w:spacing w:before="120" w:beforeLines="50" w:after="50"/>
        <w:ind w:firstLine="720" w:firstLineChars="225"/>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 xml:space="preserve"> </w:t>
      </w:r>
    </w:p>
    <w:p>
      <w:pPr>
        <w:snapToGrid w:val="0"/>
        <w:spacing w:before="120" w:beforeLines="50" w:after="50"/>
        <w:ind w:firstLine="640" w:firstLineChars="200"/>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所竞分标（如有则填写，无分标时填写“无”或者留空）：</w:t>
      </w:r>
    </w:p>
    <w:p>
      <w:pPr>
        <w:snapToGrid w:val="0"/>
        <w:spacing w:before="120" w:beforeLines="50" w:after="50"/>
        <w:ind w:firstLine="720" w:firstLineChars="225"/>
        <w:rPr>
          <w:rFonts w:hint="eastAsia" w:ascii="宋体" w:hAnsi="宋体" w:eastAsia="宋体" w:cs="仿宋_GB2312"/>
          <w:bCs/>
          <w:color w:val="auto"/>
          <w:sz w:val="32"/>
          <w:szCs w:val="32"/>
          <w:highlight w:val="none"/>
        </w:rPr>
      </w:pPr>
    </w:p>
    <w:p>
      <w:pPr>
        <w:snapToGrid w:val="0"/>
        <w:spacing w:before="50" w:after="50"/>
        <w:ind w:firstLine="640" w:firstLineChars="200"/>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供应商名称：</w:t>
      </w:r>
    </w:p>
    <w:p>
      <w:pPr>
        <w:snapToGrid w:val="0"/>
        <w:spacing w:before="50" w:after="50"/>
        <w:ind w:firstLine="720" w:firstLineChars="225"/>
        <w:rPr>
          <w:rFonts w:hint="eastAsia" w:ascii="宋体" w:hAnsi="宋体" w:eastAsia="宋体" w:cs="仿宋_GB2312"/>
          <w:bCs/>
          <w:color w:val="auto"/>
          <w:sz w:val="32"/>
          <w:szCs w:val="32"/>
          <w:highlight w:val="none"/>
        </w:rPr>
      </w:pPr>
    </w:p>
    <w:p>
      <w:pPr>
        <w:snapToGrid w:val="0"/>
        <w:spacing w:before="50" w:after="50"/>
        <w:ind w:firstLine="720" w:firstLineChars="225"/>
        <w:rPr>
          <w:rFonts w:hint="eastAsia" w:ascii="宋体" w:hAnsi="宋体" w:eastAsia="宋体" w:cs="仿宋_GB2312"/>
          <w:bCs/>
          <w:color w:val="auto"/>
          <w:sz w:val="32"/>
          <w:szCs w:val="32"/>
          <w:highlight w:val="none"/>
        </w:rPr>
      </w:pPr>
    </w:p>
    <w:p>
      <w:pPr>
        <w:snapToGrid w:val="0"/>
        <w:spacing w:before="50" w:after="50"/>
        <w:ind w:firstLine="1280" w:firstLineChars="400"/>
        <w:rPr>
          <w:rFonts w:hint="eastAsia" w:ascii="宋体" w:hAnsi="宋体" w:eastAsia="宋体" w:cs="仿宋_GB2312"/>
          <w:bCs/>
          <w:color w:val="auto"/>
          <w:sz w:val="32"/>
          <w:szCs w:val="32"/>
          <w:highlight w:val="none"/>
        </w:rPr>
      </w:pPr>
    </w:p>
    <w:p>
      <w:pPr>
        <w:snapToGrid w:val="0"/>
        <w:spacing w:before="120" w:beforeLines="50" w:after="50"/>
        <w:jc w:val="center"/>
        <w:rPr>
          <w:rFonts w:hint="eastAsia" w:ascii="宋体" w:hAnsi="宋体" w:eastAsia="宋体" w:cs="仿宋_GB2312"/>
          <w:color w:val="auto"/>
          <w:sz w:val="32"/>
          <w:szCs w:val="32"/>
          <w:highlight w:val="none"/>
        </w:rPr>
      </w:pPr>
      <w:r>
        <w:rPr>
          <w:rFonts w:hint="eastAsia" w:ascii="宋体" w:hAnsi="宋体" w:eastAsia="宋体" w:cs="仿宋_GB2312"/>
          <w:color w:val="auto"/>
          <w:sz w:val="32"/>
          <w:szCs w:val="32"/>
          <w:highlight w:val="none"/>
        </w:rPr>
        <w:t>年    月    日</w:t>
      </w:r>
    </w:p>
    <w:p>
      <w:pPr>
        <w:spacing w:line="360" w:lineRule="auto"/>
        <w:ind w:right="420"/>
        <w:rPr>
          <w:rFonts w:hint="eastAsia" w:ascii="宋体" w:hAnsi="宋体" w:cs="宋体"/>
          <w:color w:val="auto"/>
          <w:sz w:val="24"/>
          <w:szCs w:val="20"/>
          <w:highlight w:val="none"/>
        </w:rPr>
      </w:pPr>
      <w:r>
        <w:rPr>
          <w:rFonts w:ascii="宋体" w:hAnsi="宋体" w:eastAsia="宋体" w:cs="Times New Roman"/>
          <w:color w:val="auto"/>
          <w:sz w:val="24"/>
          <w:szCs w:val="24"/>
          <w:highlight w:val="none"/>
        </w:rPr>
        <w:br w:type="page"/>
      </w:r>
      <w:r>
        <w:rPr>
          <w:rFonts w:hint="eastAsia" w:ascii="宋体" w:hAnsi="宋体" w:eastAsia="宋体" w:cs="宋体"/>
          <w:b/>
          <w:bCs/>
          <w:color w:val="auto"/>
          <w:sz w:val="28"/>
          <w:szCs w:val="28"/>
          <w:highlight w:val="none"/>
        </w:rPr>
        <w:t>2.商务技术文件目录</w:t>
      </w:r>
    </w:p>
    <w:p>
      <w:pPr>
        <w:spacing w:line="360" w:lineRule="auto"/>
        <w:rPr>
          <w:rFonts w:hint="eastAsia" w:ascii="仿宋_GB2312" w:hAnsi="仿宋" w:eastAsia="仿宋_GB2312" w:cs="仿宋_GB2312"/>
          <w:b/>
          <w:bCs/>
          <w:color w:val="auto"/>
          <w:sz w:val="24"/>
          <w:szCs w:val="24"/>
          <w:highlight w:val="none"/>
        </w:rPr>
      </w:pPr>
      <w:r>
        <w:rPr>
          <w:rFonts w:hint="eastAsia" w:ascii="宋体" w:hAnsi="宋体" w:eastAsia="宋体" w:cs="宋体"/>
          <w:color w:val="auto"/>
          <w:kern w:val="0"/>
          <w:sz w:val="24"/>
          <w:szCs w:val="24"/>
          <w:highlight w:val="none"/>
        </w:rPr>
        <w:t>根据竞争性谈判文件规定及供应商提供的材料自行编写目录（部分格式后附）。</w:t>
      </w:r>
    </w:p>
    <w:p>
      <w:pPr>
        <w:snapToGrid w:val="0"/>
        <w:spacing w:before="120" w:beforeLines="50" w:after="50" w:line="360" w:lineRule="auto"/>
        <w:ind w:left="142" w:firstLine="640" w:firstLineChars="200"/>
        <w:jc w:val="left"/>
        <w:rPr>
          <w:rFonts w:hint="eastAsia" w:ascii="仿宋_GB2312" w:hAnsi="仿宋_GB2312" w:eastAsia="仿宋_GB2312" w:cs="仿宋_GB2312"/>
          <w:color w:val="auto"/>
          <w:sz w:val="32"/>
          <w:szCs w:val="32"/>
          <w:highlight w:val="none"/>
        </w:rPr>
      </w:pPr>
    </w:p>
    <w:p>
      <w:pPr>
        <w:spacing w:line="520" w:lineRule="exact"/>
        <w:ind w:firstLine="220" w:firstLineChars="50"/>
        <w:jc w:val="left"/>
        <w:rPr>
          <w:rFonts w:hint="eastAsia" w:ascii="宋体" w:hAnsi="宋体" w:eastAsia="宋体" w:cs="宋体"/>
          <w:color w:val="auto"/>
          <w:sz w:val="28"/>
          <w:szCs w:val="28"/>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宋体" w:hAnsi="宋体" w:eastAsia="宋体" w:cs="宋体"/>
          <w:b/>
          <w:color w:val="auto"/>
          <w:sz w:val="28"/>
          <w:szCs w:val="28"/>
          <w:highlight w:val="none"/>
        </w:rPr>
        <w:t>3.无串通竞标行为的承诺函的格式：</w:t>
      </w:r>
    </w:p>
    <w:p>
      <w:pPr>
        <w:spacing w:line="520" w:lineRule="exact"/>
        <w:jc w:val="center"/>
        <w:rPr>
          <w:rFonts w:hint="eastAsia" w:ascii="宋体" w:hAnsi="宋体" w:eastAsia="宋体" w:cs="宋体"/>
          <w:color w:val="auto"/>
          <w:sz w:val="36"/>
          <w:szCs w:val="36"/>
          <w:highlight w:val="none"/>
        </w:rPr>
      </w:pPr>
      <w:r>
        <w:rPr>
          <w:rFonts w:hint="eastAsia" w:ascii="宋体" w:hAnsi="宋体" w:eastAsia="宋体" w:cs="宋体"/>
          <w:b/>
          <w:bCs/>
          <w:color w:val="auto"/>
          <w:sz w:val="32"/>
          <w:szCs w:val="32"/>
          <w:highlight w:val="none"/>
        </w:rPr>
        <w:t>无串通竞标行为的承诺函</w:t>
      </w:r>
    </w:p>
    <w:p>
      <w:pPr>
        <w:spacing w:line="400" w:lineRule="exact"/>
        <w:contextualSpacing/>
        <w:rPr>
          <w:rFonts w:hint="eastAsia" w:ascii="仿宋_GB2312" w:hAnsi="仿宋_GB2312" w:eastAsia="仿宋_GB2312" w:cs="仿宋_GB2312"/>
          <w:color w:val="auto"/>
          <w:sz w:val="32"/>
          <w:szCs w:val="32"/>
          <w:highlight w:val="none"/>
        </w:rPr>
      </w:pPr>
    </w:p>
    <w:p>
      <w:pPr>
        <w:spacing w:line="400" w:lineRule="exact"/>
        <w:ind w:firstLine="482" w:firstLineChars="200"/>
        <w:contextualSpacing/>
        <w:rPr>
          <w:rFonts w:hint="eastAsia" w:ascii="宋体" w:hAnsi="宋体" w:eastAsia="宋体" w:cs="仿宋_GB2312"/>
          <w:b/>
          <w:bCs/>
          <w:color w:val="auto"/>
          <w:sz w:val="24"/>
          <w:szCs w:val="24"/>
          <w:highlight w:val="none"/>
        </w:rPr>
      </w:pPr>
      <w:r>
        <w:rPr>
          <w:rFonts w:hint="eastAsia" w:ascii="宋体" w:hAnsi="宋体" w:eastAsia="宋体" w:cs="仿宋_GB2312"/>
          <w:b/>
          <w:bCs/>
          <w:color w:val="auto"/>
          <w:sz w:val="24"/>
          <w:szCs w:val="24"/>
          <w:highlight w:val="none"/>
        </w:rPr>
        <w:t>一、我方承诺无下列相互串通竞标的情形：</w:t>
      </w:r>
    </w:p>
    <w:p>
      <w:pPr>
        <w:spacing w:line="400" w:lineRule="exact"/>
        <w:ind w:firstLine="480" w:firstLineChars="20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1.不同供应商的响应文件由同一单位或者个人编制；或不同供应商报名的IP地址一致的；</w:t>
      </w:r>
    </w:p>
    <w:p>
      <w:pPr>
        <w:spacing w:line="400" w:lineRule="exact"/>
        <w:ind w:firstLine="480" w:firstLineChars="20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2.不同供应商委托同一单位或者个人办理竞标事宜；</w:t>
      </w:r>
    </w:p>
    <w:p>
      <w:pPr>
        <w:spacing w:line="400" w:lineRule="exact"/>
        <w:ind w:firstLine="480" w:firstLineChars="20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3.不同的供应商的响应文件载明的项目管理员为同一个人；</w:t>
      </w:r>
    </w:p>
    <w:p>
      <w:pPr>
        <w:spacing w:line="400" w:lineRule="exact"/>
        <w:ind w:firstLine="480" w:firstLineChars="20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4.不</w:t>
      </w:r>
      <w:r>
        <w:rPr>
          <w:rFonts w:hint="eastAsia" w:ascii="宋体" w:hAnsi="宋体" w:eastAsia="宋体" w:cs="仿宋_GB2312"/>
          <w:color w:val="auto"/>
          <w:spacing w:val="-6"/>
          <w:sz w:val="24"/>
          <w:szCs w:val="24"/>
          <w:highlight w:val="none"/>
        </w:rPr>
        <w:t>同供应商的响应文件异常一致或者竞标报价呈规律性差异；</w:t>
      </w:r>
    </w:p>
    <w:p>
      <w:pPr>
        <w:spacing w:line="400" w:lineRule="exact"/>
        <w:ind w:firstLine="480" w:firstLineChars="20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5.不同供应商的响应文件相互混装。</w:t>
      </w:r>
    </w:p>
    <w:p>
      <w:pPr>
        <w:spacing w:line="400" w:lineRule="exact"/>
        <w:ind w:firstLine="482" w:firstLineChars="200"/>
        <w:contextualSpacing/>
        <w:rPr>
          <w:rFonts w:hint="eastAsia" w:ascii="宋体" w:hAnsi="宋体" w:eastAsia="宋体" w:cs="仿宋_GB2312"/>
          <w:b/>
          <w:bCs/>
          <w:color w:val="auto"/>
          <w:sz w:val="24"/>
          <w:szCs w:val="24"/>
          <w:highlight w:val="none"/>
        </w:rPr>
      </w:pPr>
      <w:r>
        <w:rPr>
          <w:rFonts w:hint="eastAsia" w:ascii="宋体" w:hAnsi="宋体" w:eastAsia="宋体" w:cs="仿宋_GB2312"/>
          <w:b/>
          <w:bCs/>
          <w:color w:val="auto"/>
          <w:sz w:val="24"/>
          <w:szCs w:val="24"/>
          <w:highlight w:val="none"/>
        </w:rPr>
        <w:t>二、我方承诺无下列恶意串通的情形：</w:t>
      </w:r>
    </w:p>
    <w:p>
      <w:pPr>
        <w:spacing w:line="400" w:lineRule="exact"/>
        <w:ind w:firstLine="480" w:firstLineChars="20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1.供应商直接或者间接从采购人或者采购代理机构处获得其他供应商的相关信息并修改其响应文件；</w:t>
      </w:r>
    </w:p>
    <w:p>
      <w:pPr>
        <w:spacing w:line="400" w:lineRule="exact"/>
        <w:ind w:firstLine="480" w:firstLineChars="20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2.供应商按照采购人或者采购代理机构的授意撤换、修改响应文件；</w:t>
      </w:r>
    </w:p>
    <w:p>
      <w:pPr>
        <w:spacing w:line="400" w:lineRule="exact"/>
        <w:ind w:firstLine="480" w:firstLineChars="20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3.供</w:t>
      </w:r>
      <w:r>
        <w:rPr>
          <w:rFonts w:hint="eastAsia" w:ascii="宋体" w:hAnsi="宋体" w:eastAsia="宋体" w:cs="仿宋_GB2312"/>
          <w:color w:val="auto"/>
          <w:spacing w:val="-6"/>
          <w:sz w:val="24"/>
          <w:szCs w:val="24"/>
          <w:highlight w:val="none"/>
        </w:rPr>
        <w:t>应商之间协商报价、技术方案等响应文件的实质性内容；</w:t>
      </w:r>
    </w:p>
    <w:p>
      <w:pPr>
        <w:spacing w:line="400" w:lineRule="exact"/>
        <w:ind w:firstLine="480" w:firstLineChars="20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4.属于同一集团、协会、商会等组织成员的供应商按照该组织要求协同参加政府采购活动；</w:t>
      </w:r>
    </w:p>
    <w:p>
      <w:pPr>
        <w:spacing w:line="400" w:lineRule="exact"/>
        <w:ind w:firstLine="480" w:firstLineChars="20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5.供应商之间事先约定一致抬高或者压低竞标报价,或者在竞争性谈判项目中事先约定轮流以高价位或者低价位成交,或者事先约定由某一特定供应商成交,然后再参加竞标；</w:t>
      </w:r>
    </w:p>
    <w:p>
      <w:pPr>
        <w:spacing w:line="400" w:lineRule="exact"/>
        <w:ind w:firstLine="480" w:firstLineChars="20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6.供应商之间商定部分供应商放弃参加政府采购活动或者放弃成交；</w:t>
      </w:r>
    </w:p>
    <w:p>
      <w:pPr>
        <w:spacing w:line="400" w:lineRule="exact"/>
        <w:ind w:firstLine="480" w:firstLineChars="20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7.供应商与采购人或者采购代理机构之间、供应商相互之间，为</w:t>
      </w:r>
      <w:r>
        <w:rPr>
          <w:rFonts w:hint="eastAsia" w:ascii="宋体" w:hAnsi="宋体" w:eastAsia="宋体" w:cs="仿宋_GB2312"/>
          <w:color w:val="auto"/>
          <w:spacing w:val="-6"/>
          <w:sz w:val="24"/>
          <w:szCs w:val="24"/>
          <w:highlight w:val="none"/>
        </w:rPr>
        <w:t>谋求特定供应商成交或者排斥其他供应商的其他串通行为。</w:t>
      </w:r>
    </w:p>
    <w:p>
      <w:pPr>
        <w:spacing w:line="400" w:lineRule="exact"/>
        <w:ind w:firstLine="480" w:firstLineChars="200"/>
        <w:contextualSpacing/>
        <w:rPr>
          <w:rFonts w:hint="eastAsia" w:ascii="宋体" w:hAnsi="宋体" w:eastAsia="宋体" w:cs="仿宋_GB2312"/>
          <w:color w:val="auto"/>
          <w:sz w:val="24"/>
          <w:szCs w:val="24"/>
          <w:highlight w:val="none"/>
        </w:rPr>
      </w:pPr>
    </w:p>
    <w:p>
      <w:pPr>
        <w:spacing w:line="400" w:lineRule="exact"/>
        <w:ind w:firstLine="482" w:firstLineChars="200"/>
        <w:contextualSpacing/>
        <w:rPr>
          <w:rFonts w:hint="eastAsia" w:ascii="宋体" w:hAnsi="宋体" w:eastAsia="宋体" w:cs="仿宋_GB2312"/>
          <w:b/>
          <w:bCs/>
          <w:color w:val="auto"/>
          <w:sz w:val="24"/>
          <w:szCs w:val="24"/>
          <w:highlight w:val="none"/>
        </w:rPr>
      </w:pPr>
      <w:r>
        <w:rPr>
          <w:rFonts w:hint="eastAsia" w:ascii="宋体" w:hAnsi="宋体" w:eastAsia="宋体"/>
          <w:b/>
          <w:bCs/>
          <w:color w:val="auto"/>
          <w:sz w:val="24"/>
          <w:szCs w:val="24"/>
          <w:highlight w:val="none"/>
        </w:rPr>
        <w:t>以上情形一经核查属实，接受政府采购监管部门对我方认定存在围标串标行为，我方愿意承担一切后果，并不再寻求任何旨在减轻或者免除法律责任的辩解</w:t>
      </w:r>
      <w:r>
        <w:rPr>
          <w:rFonts w:hint="eastAsia" w:ascii="宋体" w:hAnsi="宋体" w:eastAsia="宋体" w:cs="仿宋_GB2312"/>
          <w:b/>
          <w:bCs/>
          <w:color w:val="auto"/>
          <w:sz w:val="24"/>
          <w:szCs w:val="24"/>
          <w:highlight w:val="none"/>
        </w:rPr>
        <w:t>。</w:t>
      </w:r>
    </w:p>
    <w:p>
      <w:pPr>
        <w:pStyle w:val="2"/>
        <w:rPr>
          <w:rFonts w:hint="eastAsia" w:ascii="宋体" w:hAnsi="宋体" w:cs="仿宋_GB2312"/>
          <w:b/>
          <w:bCs/>
          <w:color w:val="auto"/>
          <w:sz w:val="24"/>
          <w:szCs w:val="24"/>
          <w:highlight w:val="none"/>
        </w:rPr>
      </w:pPr>
    </w:p>
    <w:p>
      <w:pPr>
        <w:pStyle w:val="2"/>
        <w:rPr>
          <w:rFonts w:hint="eastAsia" w:ascii="宋体" w:hAnsi="宋体" w:cs="仿宋_GB2312"/>
          <w:b/>
          <w:bCs/>
          <w:color w:val="auto"/>
          <w:sz w:val="24"/>
          <w:szCs w:val="24"/>
          <w:highlight w:val="none"/>
        </w:rPr>
      </w:pPr>
    </w:p>
    <w:p>
      <w:pPr>
        <w:autoSpaceDE w:val="0"/>
        <w:autoSpaceDN w:val="0"/>
        <w:spacing w:line="360" w:lineRule="auto"/>
        <w:ind w:left="4335" w:leftChars="1950" w:hanging="240" w:hanging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供应商名称（盖公章）：</w:t>
      </w:r>
    </w:p>
    <w:p>
      <w:pPr>
        <w:spacing w:line="520" w:lineRule="exact"/>
        <w:ind w:firstLine="6360" w:firstLineChars="2650"/>
        <w:jc w:val="left"/>
        <w:rPr>
          <w:rFonts w:hint="eastAsia" w:ascii="仿宋" w:hAnsi="仿宋" w:eastAsia="仿宋" w:cs="仿宋_GB2312"/>
          <w:b/>
          <w:color w:val="auto"/>
          <w:sz w:val="28"/>
          <w:szCs w:val="28"/>
          <w:highlight w:val="none"/>
        </w:rPr>
      </w:pPr>
      <w:r>
        <w:rPr>
          <w:rFonts w:hint="eastAsia" w:ascii="宋体" w:hAnsi="宋体" w:eastAsia="宋体" w:cs="宋体"/>
          <w:color w:val="auto"/>
          <w:kern w:val="0"/>
          <w:sz w:val="24"/>
          <w:szCs w:val="24"/>
          <w:highlight w:val="none"/>
          <w:lang w:val="zh-CN"/>
        </w:rPr>
        <w:t xml:space="preserve">日期：  年  月   日 </w:t>
      </w:r>
      <w:r>
        <w:rPr>
          <w:rFonts w:hint="eastAsia" w:ascii="仿宋_GB2312" w:hAnsi="仿宋" w:eastAsia="仿宋_GB2312" w:cs="仿宋_GB2312"/>
          <w:color w:val="auto"/>
          <w:kern w:val="0"/>
          <w:sz w:val="24"/>
          <w:szCs w:val="24"/>
          <w:highlight w:val="none"/>
          <w:lang w:val="zh-CN"/>
        </w:rPr>
        <w:t xml:space="preserve">       </w:t>
      </w:r>
      <w:r>
        <w:rPr>
          <w:rFonts w:ascii="宋体" w:hAnsi="宋体" w:eastAsia="宋体" w:cs="Times New Roman"/>
          <w:b/>
          <w:bCs/>
          <w:color w:val="auto"/>
          <w:sz w:val="32"/>
          <w:szCs w:val="32"/>
          <w:highlight w:val="none"/>
        </w:rPr>
        <w:br w:type="page"/>
      </w:r>
      <w:r>
        <w:rPr>
          <w:rFonts w:hint="eastAsia" w:ascii="宋体" w:hAnsi="宋体" w:eastAsia="宋体" w:cs="宋体"/>
          <w:b/>
          <w:color w:val="auto"/>
          <w:sz w:val="28"/>
          <w:szCs w:val="28"/>
          <w:highlight w:val="none"/>
        </w:rPr>
        <w:t>4.法定代表人身份证明的格式：</w:t>
      </w:r>
    </w:p>
    <w:p>
      <w:pPr>
        <w:pStyle w:val="2"/>
        <w:rPr>
          <w:color w:val="auto"/>
          <w:highlight w:val="none"/>
        </w:rPr>
      </w:pPr>
    </w:p>
    <w:p>
      <w:pPr>
        <w:spacing w:line="520" w:lineRule="exact"/>
        <w:jc w:val="center"/>
        <w:rPr>
          <w:rFonts w:hint="eastAsia" w:ascii="仿宋_GB2312" w:hAnsi="仿宋_GB2312" w:eastAsia="仿宋_GB2312" w:cs="仿宋_GB2312"/>
          <w:color w:val="auto"/>
          <w:sz w:val="32"/>
          <w:szCs w:val="32"/>
          <w:highlight w:val="none"/>
        </w:rPr>
      </w:pPr>
      <w:r>
        <w:rPr>
          <w:rFonts w:hint="eastAsia" w:ascii="宋体" w:hAnsi="宋体" w:eastAsia="宋体" w:cs="宋体"/>
          <w:b/>
          <w:color w:val="auto"/>
          <w:sz w:val="32"/>
          <w:szCs w:val="32"/>
          <w:highlight w:val="none"/>
        </w:rPr>
        <w:t>法定代表人身份证明</w:t>
      </w:r>
    </w:p>
    <w:p>
      <w:pPr>
        <w:spacing w:line="360" w:lineRule="auto"/>
        <w:ind w:left="540"/>
        <w:contextualSpacing/>
        <w:rPr>
          <w:rFonts w:hint="eastAsia" w:ascii="仿宋_GB2312" w:hAnsi="仿宋_GB2312" w:eastAsia="仿宋_GB2312" w:cs="仿宋_GB2312"/>
          <w:color w:val="auto"/>
          <w:sz w:val="32"/>
          <w:szCs w:val="32"/>
          <w:highlight w:val="none"/>
        </w:rPr>
      </w:pPr>
    </w:p>
    <w:p>
      <w:pPr>
        <w:spacing w:line="360" w:lineRule="auto"/>
        <w:ind w:left="540"/>
        <w:contextualSpacing/>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w:t>
      </w:r>
    </w:p>
    <w:p>
      <w:pPr>
        <w:spacing w:line="360" w:lineRule="auto"/>
        <w:ind w:left="54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pPr>
        <w:spacing w:line="360" w:lineRule="auto"/>
        <w:ind w:left="54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     别：</w:t>
      </w:r>
      <w:r>
        <w:rPr>
          <w:rFonts w:hint="eastAsia" w:ascii="宋体" w:hAnsi="宋体" w:eastAsia="宋体" w:cs="宋体"/>
          <w:color w:val="auto"/>
          <w:sz w:val="24"/>
          <w:szCs w:val="24"/>
          <w:highlight w:val="none"/>
          <w:u w:val="single"/>
        </w:rPr>
        <w:t xml:space="preserve">                </w:t>
      </w:r>
    </w:p>
    <w:p>
      <w:pPr>
        <w:spacing w:line="360" w:lineRule="auto"/>
        <w:ind w:left="540"/>
        <w:contextualSpacing/>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年    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     务：</w:t>
      </w:r>
      <w:r>
        <w:rPr>
          <w:rFonts w:hint="eastAsia" w:ascii="宋体" w:hAnsi="宋体" w:eastAsia="宋体" w:cs="宋体"/>
          <w:color w:val="auto"/>
          <w:sz w:val="24"/>
          <w:szCs w:val="24"/>
          <w:highlight w:val="none"/>
          <w:u w:val="single"/>
        </w:rPr>
        <w:t xml:space="preserve">                </w:t>
      </w:r>
    </w:p>
    <w:p>
      <w:pPr>
        <w:spacing w:line="360" w:lineRule="auto"/>
        <w:ind w:left="54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p>
    <w:p>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i/>
          <w:iCs/>
          <w:color w:val="auto"/>
          <w:sz w:val="24"/>
          <w:szCs w:val="24"/>
          <w:highlight w:val="none"/>
          <w:u w:val="single"/>
        </w:rPr>
        <w:t>（供应商名称）</w:t>
      </w:r>
      <w:r>
        <w:rPr>
          <w:rFonts w:hint="eastAsia" w:ascii="宋体" w:hAnsi="宋体" w:eastAsia="宋体" w:cs="宋体"/>
          <w:color w:val="auto"/>
          <w:sz w:val="24"/>
          <w:szCs w:val="24"/>
          <w:highlight w:val="none"/>
        </w:rPr>
        <w:t>的法定代表人。</w:t>
      </w:r>
    </w:p>
    <w:p>
      <w:pPr>
        <w:spacing w:line="360" w:lineRule="auto"/>
        <w:ind w:left="54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pPr>
        <w:spacing w:line="360" w:lineRule="auto"/>
        <w:ind w:left="540"/>
        <w:contextualSpacing/>
        <w:rPr>
          <w:rFonts w:hint="eastAsia" w:ascii="宋体" w:hAnsi="宋体" w:eastAsia="宋体" w:cs="宋体"/>
          <w:color w:val="auto"/>
          <w:sz w:val="24"/>
          <w:szCs w:val="24"/>
          <w:highlight w:val="none"/>
        </w:rPr>
      </w:pPr>
    </w:p>
    <w:p>
      <w:pPr>
        <w:spacing w:line="360" w:lineRule="auto"/>
        <w:ind w:left="540"/>
        <w:contextualSpacing/>
        <w:rPr>
          <w:rFonts w:hint="eastAsia" w:ascii="宋体" w:hAnsi="宋体" w:eastAsia="宋体" w:cs="宋体"/>
          <w:color w:val="auto"/>
          <w:sz w:val="24"/>
          <w:szCs w:val="24"/>
          <w:highlight w:val="none"/>
        </w:rPr>
      </w:pPr>
    </w:p>
    <w:p>
      <w:pPr>
        <w:spacing w:line="360" w:lineRule="auto"/>
        <w:ind w:left="540"/>
        <w:contextualSpacing/>
        <w:rPr>
          <w:rFonts w:hint="eastAsia" w:ascii="宋体" w:hAnsi="宋体" w:eastAsia="宋体" w:cs="宋体"/>
          <w:color w:val="auto"/>
          <w:sz w:val="24"/>
          <w:szCs w:val="24"/>
          <w:highlight w:val="none"/>
        </w:rPr>
      </w:pPr>
    </w:p>
    <w:p>
      <w:pPr>
        <w:spacing w:line="360" w:lineRule="auto"/>
        <w:ind w:left="54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附件：法定代表人有效身份证正反面复印件</w:t>
      </w:r>
    </w:p>
    <w:p>
      <w:pPr>
        <w:spacing w:line="360" w:lineRule="auto"/>
        <w:ind w:left="540"/>
        <w:contextualSpacing/>
        <w:rPr>
          <w:rFonts w:hint="eastAsia" w:ascii="宋体" w:hAnsi="宋体" w:eastAsia="宋体" w:cs="宋体"/>
          <w:color w:val="auto"/>
          <w:sz w:val="24"/>
          <w:szCs w:val="24"/>
          <w:highlight w:val="none"/>
        </w:rPr>
      </w:pPr>
    </w:p>
    <w:p>
      <w:pPr>
        <w:autoSpaceDE w:val="0"/>
        <w:autoSpaceDN w:val="0"/>
        <w:spacing w:line="360" w:lineRule="auto"/>
        <w:ind w:left="4335" w:leftChars="1950" w:hanging="240" w:hanging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供应商名称（盖公章）：</w:t>
      </w:r>
    </w:p>
    <w:p>
      <w:pPr>
        <w:spacing w:line="360" w:lineRule="auto"/>
        <w:contextualSpacing/>
        <w:jc w:val="center"/>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lang w:val="zh-CN"/>
        </w:rPr>
        <w:t xml:space="preserve">                                                   日期：  年  月   日</w:t>
      </w:r>
    </w:p>
    <w:p>
      <w:pPr>
        <w:spacing w:line="360" w:lineRule="auto"/>
        <w:contextualSpacing/>
        <w:jc w:val="left"/>
        <w:rPr>
          <w:rFonts w:hint="eastAsia" w:ascii="宋体" w:hAnsi="宋体" w:eastAsia="宋体" w:cs="宋体"/>
          <w:color w:val="auto"/>
          <w:sz w:val="24"/>
          <w:szCs w:val="24"/>
          <w:highlight w:val="none"/>
        </w:rPr>
      </w:pPr>
    </w:p>
    <w:p>
      <w:pPr>
        <w:spacing w:line="360" w:lineRule="auto"/>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注：1.自然人竞标的无需提供，联合体竞标的只需牵头人出具。</w:t>
      </w:r>
    </w:p>
    <w:p>
      <w:pPr>
        <w:spacing w:line="360" w:lineRule="auto"/>
        <w:ind w:firstLine="480" w:firstLineChars="200"/>
        <w:contextualSpacing/>
        <w:jc w:val="left"/>
        <w:rPr>
          <w:rFonts w:hint="eastAsia" w:ascii="宋体" w:hAnsi="宋体" w:eastAsia="宋体" w:cs="仿宋_GB2312"/>
          <w:color w:val="auto"/>
          <w:sz w:val="24"/>
          <w:szCs w:val="24"/>
          <w:highlight w:val="none"/>
        </w:rPr>
        <w:sectPr>
          <w:pgSz w:w="11910" w:h="16840"/>
          <w:pgMar w:top="1340" w:right="1500" w:bottom="280" w:left="1680" w:header="720" w:footer="720" w:gutter="0"/>
          <w:pgNumType w:fmt="decimal"/>
          <w:cols w:space="720" w:num="1"/>
        </w:sectPr>
      </w:pPr>
      <w:r>
        <w:rPr>
          <w:rFonts w:hint="eastAsia" w:ascii="宋体" w:hAnsi="宋体" w:eastAsia="宋体" w:cs="宋体"/>
          <w:color w:val="auto"/>
          <w:sz w:val="24"/>
          <w:szCs w:val="24"/>
          <w:highlight w:val="none"/>
        </w:rPr>
        <w:t>2.供应商为其他组织或者自然人时，本谈判文件规定的法定代表人指负责人或者自然人。本谈判文件所称负责人是指参加竞标的其他组织营业执照上的负责人，本谈判文件所称自然人指参与竞标的自然人本人。</w:t>
      </w:r>
    </w:p>
    <w:tbl>
      <w:tblPr>
        <w:tblStyle w:val="32"/>
        <w:tblpPr w:leftFromText="180" w:rightFromText="180" w:vertAnchor="text" w:horzAnchor="margin" w:tblpY="1169"/>
        <w:tblW w:w="8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2" w:hRule="atLeast"/>
        </w:trPr>
        <w:tc>
          <w:tcPr>
            <w:tcW w:w="8600" w:type="dxa"/>
          </w:tcPr>
          <w:p>
            <w:pPr>
              <w:spacing w:line="360" w:lineRule="auto"/>
              <w:rPr>
                <w:rFonts w:ascii="宋体" w:hAnsi="Times New Roman" w:eastAsia="宋体" w:cs="Times New Roman"/>
                <w:b/>
                <w:color w:val="auto"/>
                <w:sz w:val="24"/>
                <w:szCs w:val="24"/>
                <w:highlight w:val="none"/>
              </w:rPr>
            </w:pPr>
          </w:p>
          <w:p>
            <w:pPr>
              <w:spacing w:line="360" w:lineRule="auto"/>
              <w:rPr>
                <w:rFonts w:ascii="宋体" w:hAnsi="Times New Roman" w:eastAsia="宋体" w:cs="Times New Roman"/>
                <w:b/>
                <w:color w:val="auto"/>
                <w:sz w:val="24"/>
                <w:szCs w:val="24"/>
                <w:highlight w:val="none"/>
              </w:rPr>
            </w:pPr>
            <w:r>
              <w:rPr>
                <w:rFonts w:hint="eastAsia" w:ascii="宋体" w:hAnsi="Times New Roman" w:eastAsia="宋体" w:cs="Times New Roman"/>
                <w:b/>
                <w:color w:val="auto"/>
                <w:sz w:val="24"/>
                <w:szCs w:val="24"/>
                <w:highlight w:val="none"/>
              </w:rPr>
              <w:t>法定代表身份证复印件粘帖处（正、反面）</w:t>
            </w:r>
          </w:p>
        </w:tc>
      </w:tr>
    </w:tbl>
    <w:p>
      <w:pPr>
        <w:spacing w:line="360" w:lineRule="auto"/>
        <w:ind w:firstLine="482" w:firstLineChars="200"/>
        <w:contextualSpacing/>
        <w:jc w:val="left"/>
        <w:rPr>
          <w:rFonts w:hint="eastAsia" w:ascii="仿宋_GB2312" w:hAnsi="仿宋_GB2312" w:eastAsia="仿宋_GB2312" w:cs="仿宋_GB2312"/>
          <w:b/>
          <w:color w:val="auto"/>
          <w:sz w:val="32"/>
          <w:szCs w:val="32"/>
          <w:highlight w:val="none"/>
        </w:rPr>
      </w:pPr>
      <w:r>
        <w:rPr>
          <w:rFonts w:hint="eastAsia" w:ascii="Times New Roman" w:hAnsi="宋体" w:eastAsia="宋体" w:cs="Times New Roman"/>
          <w:b/>
          <w:color w:val="auto"/>
          <w:sz w:val="24"/>
          <w:szCs w:val="24"/>
          <w:highlight w:val="none"/>
        </w:rPr>
        <w:t>附件：</w:t>
      </w:r>
    </w:p>
    <w:p>
      <w:pPr>
        <w:adjustRightInd w:val="0"/>
        <w:snapToGrid w:val="0"/>
        <w:spacing w:line="300" w:lineRule="auto"/>
        <w:jc w:val="left"/>
        <w:rPr>
          <w:rFonts w:hint="eastAsia" w:ascii="宋体" w:hAnsi="宋体" w:eastAsia="宋体" w:cs="Times New Roman"/>
          <w:b/>
          <w:color w:val="auto"/>
          <w:szCs w:val="21"/>
          <w:highlight w:val="none"/>
        </w:rPr>
      </w:pPr>
    </w:p>
    <w:p>
      <w:pPr>
        <w:snapToGrid w:val="0"/>
        <w:spacing w:line="360" w:lineRule="auto"/>
        <w:jc w:val="left"/>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宋体" w:hAnsi="宋体" w:eastAsia="宋体" w:cs="宋体"/>
          <w:b/>
          <w:color w:val="auto"/>
          <w:sz w:val="28"/>
          <w:szCs w:val="28"/>
          <w:highlight w:val="none"/>
        </w:rPr>
        <w:t>5.法定代表人授权委托书的格式：</w:t>
      </w:r>
    </w:p>
    <w:p>
      <w:pPr>
        <w:spacing w:line="520" w:lineRule="exact"/>
        <w:jc w:val="center"/>
        <w:rPr>
          <w:rFonts w:hint="eastAsia" w:ascii="方正小标宋简体" w:hAnsi="方正小标宋简体" w:eastAsia="方正小标宋简体" w:cs="方正小标宋简体"/>
          <w:b/>
          <w:bCs/>
          <w:color w:val="auto"/>
          <w:sz w:val="32"/>
          <w:szCs w:val="32"/>
          <w:highlight w:val="none"/>
        </w:rPr>
      </w:pPr>
      <w:r>
        <w:rPr>
          <w:rFonts w:hint="eastAsia" w:ascii="方正小标宋简体" w:hAnsi="方正小标宋简体" w:eastAsia="方正小标宋简体" w:cs="方正小标宋简体"/>
          <w:b/>
          <w:bCs/>
          <w:color w:val="auto"/>
          <w:sz w:val="32"/>
          <w:szCs w:val="32"/>
          <w:highlight w:val="none"/>
        </w:rPr>
        <w:t>授权委托书</w:t>
      </w:r>
    </w:p>
    <w:p>
      <w:pPr>
        <w:spacing w:line="520" w:lineRule="exact"/>
        <w:jc w:val="center"/>
        <w:rPr>
          <w:rFonts w:hint="eastAsia" w:ascii="方正小标宋简体" w:hAnsi="方正小标宋简体" w:eastAsia="方正小标宋简体" w:cs="方正小标宋简体"/>
          <w:b/>
          <w:bCs/>
          <w:color w:val="auto"/>
          <w:sz w:val="32"/>
          <w:szCs w:val="32"/>
          <w:highlight w:val="none"/>
        </w:rPr>
      </w:pPr>
      <w:r>
        <w:rPr>
          <w:rFonts w:hint="eastAsia" w:ascii="方正小标宋简体" w:hAnsi="方正小标宋简体" w:eastAsia="方正小标宋简体" w:cs="方正小标宋简体"/>
          <w:b/>
          <w:bCs/>
          <w:color w:val="auto"/>
          <w:sz w:val="32"/>
          <w:szCs w:val="32"/>
          <w:highlight w:val="none"/>
        </w:rPr>
        <w:t>（如有委托时）</w:t>
      </w:r>
    </w:p>
    <w:p>
      <w:pPr>
        <w:spacing w:line="520" w:lineRule="exact"/>
        <w:rPr>
          <w:rFonts w:hint="eastAsia" w:ascii="仿宋_GB2312" w:hAnsi="仿宋_GB2312" w:eastAsia="仿宋_GB2312" w:cs="仿宋_GB2312"/>
          <w:color w:val="auto"/>
          <w:sz w:val="32"/>
          <w:szCs w:val="32"/>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致：广西</w:t>
      </w:r>
      <w:r>
        <w:rPr>
          <w:rFonts w:hint="eastAsia" w:ascii="宋体" w:hAnsi="宋体" w:eastAsia="宋体" w:cs="宋体"/>
          <w:color w:val="auto"/>
          <w:sz w:val="24"/>
          <w:szCs w:val="24"/>
          <w:highlight w:val="none"/>
          <w:lang w:val="en-US" w:eastAsia="zh-CN"/>
        </w:rPr>
        <w:t>华晟</w:t>
      </w:r>
      <w:r>
        <w:rPr>
          <w:rFonts w:hint="eastAsia" w:ascii="宋体" w:hAnsi="宋体" w:eastAsia="宋体" w:cs="宋体"/>
          <w:color w:val="auto"/>
          <w:sz w:val="24"/>
          <w:szCs w:val="24"/>
          <w:highlight w:val="none"/>
        </w:rPr>
        <w:t>招标</w:t>
      </w:r>
      <w:r>
        <w:rPr>
          <w:rFonts w:hint="eastAsia" w:ascii="宋体" w:hAnsi="宋体" w:eastAsia="宋体" w:cs="宋体"/>
          <w:color w:val="auto"/>
          <w:sz w:val="24"/>
          <w:szCs w:val="24"/>
          <w:highlight w:val="none"/>
          <w:lang w:val="en-US" w:eastAsia="zh-CN"/>
        </w:rPr>
        <w:t>代理</w:t>
      </w:r>
      <w:r>
        <w:rPr>
          <w:rFonts w:hint="eastAsia" w:ascii="宋体" w:hAnsi="宋体" w:eastAsia="宋体" w:cs="宋体"/>
          <w:color w:val="auto"/>
          <w:sz w:val="24"/>
          <w:szCs w:val="24"/>
          <w:highlight w:val="none"/>
        </w:rPr>
        <w:t>有限公司</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w:t>
      </w:r>
      <w:r>
        <w:rPr>
          <w:rFonts w:hint="eastAsia" w:ascii="宋体" w:hAnsi="宋体" w:eastAsia="宋体" w:cs="宋体"/>
          <w:color w:val="auto"/>
          <w:sz w:val="24"/>
          <w:szCs w:val="24"/>
          <w:highlight w:val="none"/>
          <w:u w:val="single"/>
        </w:rPr>
        <w:t xml:space="preserve">  </w:t>
      </w:r>
      <w:r>
        <w:rPr>
          <w:rFonts w:hint="eastAsia" w:ascii="宋体" w:hAnsi="宋体" w:eastAsia="宋体" w:cs="宋体"/>
          <w:i/>
          <w:iCs/>
          <w:color w:val="auto"/>
          <w:sz w:val="24"/>
          <w:szCs w:val="24"/>
          <w:highlight w:val="none"/>
          <w:u w:val="singl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i/>
          <w:iCs/>
          <w:color w:val="auto"/>
          <w:sz w:val="24"/>
          <w:szCs w:val="24"/>
          <w:highlight w:val="none"/>
          <w:u w:val="single"/>
        </w:rPr>
        <w:t>（供应商名称）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□法定代表人/□负责人/□自然人本人</w:t>
      </w:r>
      <w:r>
        <w:rPr>
          <w:rFonts w:hint="eastAsia" w:ascii="宋体" w:hAnsi="宋体" w:eastAsia="宋体" w:cs="宋体"/>
          <w:color w:val="auto"/>
          <w:sz w:val="24"/>
          <w:szCs w:val="24"/>
          <w:highlight w:val="none"/>
        </w:rPr>
        <w:t>），现授权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i/>
          <w:iCs/>
          <w:color w:val="auto"/>
          <w:sz w:val="24"/>
          <w:szCs w:val="24"/>
          <w:highlight w:val="none"/>
          <w:u w:val="singl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以我方的名义参加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i/>
          <w:iCs/>
          <w:color w:val="auto"/>
          <w:sz w:val="24"/>
          <w:szCs w:val="24"/>
          <w:highlight w:val="none"/>
          <w:u w:val="single"/>
        </w:rPr>
        <w:t>（项目名称）</w:t>
      </w:r>
      <w:r>
        <w:rPr>
          <w:rFonts w:hint="eastAsia" w:ascii="宋体" w:hAnsi="宋体" w:eastAsia="宋体" w:cs="宋体"/>
          <w:color w:val="auto"/>
          <w:sz w:val="24"/>
          <w:szCs w:val="24"/>
          <w:highlight w:val="none"/>
        </w:rPr>
        <w:t>项目的竞标活动，并代表我方全权办理针对上述项目的所有采购程序和环节的具体事务和签署相关文件。</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我方对委托代理人的签字事项负全部责任。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本授权书自签署之日起生效，在撤销授权的书面通知以前，本授权书一直有效。委托代理人在授权书有效期内签署的所有文件不因授权的撤销而失效。</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委托代理人无转委托权，特此委托。</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附：委托代理人有效身份证正反面复印件</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委托代理人（签字）：                 法定代表人（签字）：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委托代理人身份证号码：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360" w:lineRule="auto"/>
        <w:ind w:firstLine="3840" w:firstLineChars="1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0"/>
          <w:sz w:val="24"/>
          <w:szCs w:val="24"/>
          <w:highlight w:val="none"/>
        </w:rPr>
        <w:t>供应商名称（盖公章）：</w:t>
      </w:r>
    </w:p>
    <w:p>
      <w:pPr>
        <w:spacing w:line="360" w:lineRule="auto"/>
        <w:contextualSpacing/>
        <w:jc w:val="center"/>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lang w:val="zh-CN"/>
        </w:rPr>
        <w:t xml:space="preserve">                                                   日期：  年  月   日</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 法定代表人和委托代理人必须在授权委托书上签字，</w:t>
      </w:r>
      <w:r>
        <w:rPr>
          <w:rFonts w:hint="eastAsia" w:ascii="宋体" w:hAnsi="宋体" w:eastAsia="宋体" w:cs="宋体"/>
          <w:b/>
          <w:color w:val="auto"/>
          <w:sz w:val="24"/>
          <w:szCs w:val="24"/>
          <w:highlight w:val="none"/>
        </w:rPr>
        <w:t>否则其响应文件作无效响应处理。</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2.供应商为其他组织或者自然人时，本谈判文件规定的法定代表人指负责人或者自然人。本谈判文件所称负责人是指参加竞标的其他组织营业执照上的负责人，本谈判文件所称自然人指参与竞标的自然人本人。</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法人、其他组织竞标时“我方”是指“我单位”，自然人竞标时“我方”是指“本人”。</w:t>
      </w:r>
    </w:p>
    <w:p>
      <w:pPr>
        <w:snapToGrid w:val="0"/>
        <w:spacing w:line="360" w:lineRule="auto"/>
        <w:rPr>
          <w:rFonts w:hint="eastAsia" w:ascii="宋体" w:hAnsi="宋体" w:eastAsia="宋体" w:cs="Times New Roman"/>
          <w:b/>
          <w:bCs/>
          <w:color w:val="auto"/>
          <w:sz w:val="32"/>
          <w:szCs w:val="32"/>
          <w:highlight w:val="none"/>
        </w:rPr>
      </w:pPr>
      <w:r>
        <w:rPr>
          <w:rFonts w:hint="eastAsia" w:ascii="宋体" w:hAnsi="宋体" w:eastAsia="宋体" w:cs="宋体"/>
          <w:color w:val="auto"/>
          <w:szCs w:val="21"/>
          <w:highlight w:val="none"/>
        </w:rPr>
        <w:br w:type="page"/>
      </w:r>
      <w:r>
        <w:rPr>
          <w:rFonts w:hint="eastAsia" w:ascii="宋体" w:hAnsi="宋体" w:eastAsia="宋体" w:cs="宋体"/>
          <w:b/>
          <w:color w:val="auto"/>
          <w:sz w:val="28"/>
          <w:szCs w:val="28"/>
          <w:highlight w:val="none"/>
        </w:rPr>
        <w:t>6.商务条款偏离表的格式：</w:t>
      </w:r>
    </w:p>
    <w:p>
      <w:pPr>
        <w:spacing w:line="50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商务条款偏离表</w:t>
      </w:r>
    </w:p>
    <w:p>
      <w:pPr>
        <w:spacing w:line="360" w:lineRule="auto"/>
        <w:contextualSpacing/>
        <w:rPr>
          <w:rFonts w:cs="仿宋_GB2312"/>
          <w:color w:val="auto"/>
          <w:sz w:val="24"/>
          <w:highlight w:val="none"/>
        </w:rPr>
      </w:pPr>
    </w:p>
    <w:p>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p>
    <w:p>
      <w:pPr>
        <w:spacing w:line="360"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 xml:space="preserve">                 </w:t>
      </w:r>
    </w:p>
    <w:p>
      <w:pPr>
        <w:spacing w:line="360" w:lineRule="auto"/>
        <w:contextualSpacing/>
        <w:rPr>
          <w:rFonts w:hint="eastAsia" w:ascii="宋体" w:hAnsi="宋体" w:eastAsia="宋体" w:cs="宋体"/>
          <w:color w:val="auto"/>
          <w:sz w:val="24"/>
          <w:szCs w:val="24"/>
          <w:highlight w:val="none"/>
          <w:u w:val="single"/>
        </w:rPr>
      </w:pPr>
      <w:r>
        <w:rPr>
          <w:rFonts w:hint="eastAsia" w:ascii="宋体" w:hAnsi="宋体" w:eastAsia="宋体" w:cs="宋体"/>
          <w:color w:val="auto"/>
          <w:sz w:val="24"/>
          <w:highlight w:val="none"/>
        </w:rPr>
        <w:t>所竞分标（如有则填写，无分标时填写“无”或者留空）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tbl>
      <w:tblPr>
        <w:tblStyle w:val="32"/>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竞争性谈判文件的商务条款</w:t>
            </w:r>
          </w:p>
        </w:tc>
        <w:tc>
          <w:tcPr>
            <w:tcW w:w="3589"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响应文件响应的商务条款</w:t>
            </w:r>
          </w:p>
        </w:tc>
        <w:tc>
          <w:tcPr>
            <w:tcW w:w="1274"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691" w:type="dxa"/>
            <w:tcBorders>
              <w:top w:val="single" w:color="auto" w:sz="4" w:space="0"/>
              <w:left w:val="single" w:color="auto" w:sz="4" w:space="0"/>
              <w:bottom w:val="single" w:color="auto" w:sz="4" w:space="0"/>
              <w:right w:val="single" w:color="auto" w:sz="4" w:space="0"/>
            </w:tcBorders>
          </w:tcPr>
          <w:p>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tcPr>
          <w:p>
            <w:pPr>
              <w:spacing w:line="340" w:lineRule="exact"/>
              <w:rPr>
                <w:rFonts w:hint="eastAsia" w:ascii="宋体" w:hAnsi="宋体" w:eastAsia="宋体" w:cs="宋体"/>
                <w:color w:val="auto"/>
                <w:szCs w:val="21"/>
                <w:highlight w:val="none"/>
              </w:rPr>
            </w:pPr>
          </w:p>
        </w:tc>
        <w:tc>
          <w:tcPr>
            <w:tcW w:w="3589" w:type="dxa"/>
            <w:tcBorders>
              <w:top w:val="single" w:color="auto" w:sz="4" w:space="0"/>
              <w:left w:val="single" w:color="auto" w:sz="4" w:space="0"/>
              <w:bottom w:val="single" w:color="auto" w:sz="4" w:space="0"/>
              <w:right w:val="single" w:color="auto" w:sz="4" w:space="0"/>
            </w:tcBorders>
          </w:tcPr>
          <w:p>
            <w:pPr>
              <w:spacing w:line="340" w:lineRule="exact"/>
              <w:rPr>
                <w:rFonts w:hint="eastAsia" w:ascii="宋体" w:hAnsi="宋体" w:eastAsia="宋体" w:cs="宋体"/>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tcPr>
          <w:p>
            <w:pPr>
              <w:spacing w:line="300" w:lineRule="exac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691" w:type="dxa"/>
            <w:tcBorders>
              <w:top w:val="single" w:color="auto" w:sz="4" w:space="0"/>
              <w:left w:val="single" w:color="auto" w:sz="4" w:space="0"/>
              <w:bottom w:val="single" w:color="auto" w:sz="4" w:space="0"/>
              <w:right w:val="single" w:color="auto" w:sz="4" w:space="0"/>
            </w:tcBorders>
          </w:tcPr>
          <w:p>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tcPr>
          <w:p>
            <w:pPr>
              <w:spacing w:line="340" w:lineRule="exact"/>
              <w:rPr>
                <w:rFonts w:hint="eastAsia" w:ascii="宋体" w:hAnsi="宋体" w:eastAsia="宋体" w:cs="宋体"/>
                <w:color w:val="auto"/>
                <w:szCs w:val="21"/>
                <w:highlight w:val="none"/>
              </w:rPr>
            </w:pPr>
          </w:p>
        </w:tc>
        <w:tc>
          <w:tcPr>
            <w:tcW w:w="3589" w:type="dxa"/>
            <w:tcBorders>
              <w:top w:val="single" w:color="auto" w:sz="4" w:space="0"/>
              <w:left w:val="single" w:color="auto" w:sz="4" w:space="0"/>
              <w:bottom w:val="single" w:color="auto" w:sz="4" w:space="0"/>
              <w:right w:val="single" w:color="auto" w:sz="4" w:space="0"/>
            </w:tcBorders>
          </w:tcPr>
          <w:p>
            <w:pPr>
              <w:spacing w:line="340" w:lineRule="exact"/>
              <w:rPr>
                <w:rFonts w:hint="eastAsia" w:ascii="宋体" w:hAnsi="宋体" w:eastAsia="宋体" w:cs="宋体"/>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tcPr>
          <w:p>
            <w:pPr>
              <w:spacing w:line="300" w:lineRule="exac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691" w:type="dxa"/>
            <w:tcBorders>
              <w:top w:val="single" w:color="auto" w:sz="4" w:space="0"/>
              <w:left w:val="single" w:color="auto" w:sz="4" w:space="0"/>
              <w:bottom w:val="single" w:color="auto" w:sz="4" w:space="0"/>
              <w:right w:val="single" w:color="auto" w:sz="4" w:space="0"/>
            </w:tcBorders>
          </w:tcPr>
          <w:p>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tcPr>
          <w:p>
            <w:pPr>
              <w:spacing w:line="340" w:lineRule="exact"/>
              <w:rPr>
                <w:rFonts w:hint="eastAsia" w:ascii="宋体" w:hAnsi="宋体" w:eastAsia="宋体" w:cs="宋体"/>
                <w:color w:val="auto"/>
                <w:szCs w:val="21"/>
                <w:highlight w:val="none"/>
              </w:rPr>
            </w:pPr>
          </w:p>
        </w:tc>
        <w:tc>
          <w:tcPr>
            <w:tcW w:w="3589" w:type="dxa"/>
            <w:tcBorders>
              <w:top w:val="single" w:color="auto" w:sz="4" w:space="0"/>
              <w:left w:val="single" w:color="auto" w:sz="4" w:space="0"/>
              <w:bottom w:val="single" w:color="auto" w:sz="4" w:space="0"/>
              <w:right w:val="single" w:color="auto" w:sz="4" w:space="0"/>
            </w:tcBorders>
          </w:tcPr>
          <w:p>
            <w:pPr>
              <w:spacing w:line="340" w:lineRule="exact"/>
              <w:rPr>
                <w:rFonts w:hint="eastAsia" w:ascii="宋体" w:hAnsi="宋体" w:eastAsia="宋体" w:cs="宋体"/>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tcPr>
          <w:p>
            <w:pPr>
              <w:spacing w:line="300" w:lineRule="exact"/>
              <w:rPr>
                <w:rFonts w:hint="eastAsia" w:ascii="宋体" w:hAnsi="宋体" w:eastAsia="宋体" w:cs="宋体"/>
                <w:color w:val="auto"/>
                <w:szCs w:val="21"/>
                <w:highlight w:val="none"/>
              </w:rPr>
            </w:pPr>
          </w:p>
        </w:tc>
      </w:tr>
    </w:tbl>
    <w:p>
      <w:pPr>
        <w:spacing w:line="400" w:lineRule="exact"/>
        <w:ind w:left="420"/>
        <w:contextualSpacing/>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注：</w:t>
      </w:r>
    </w:p>
    <w:p>
      <w:pPr>
        <w:spacing w:line="400" w:lineRule="exact"/>
        <w:ind w:firstLine="420" w:firstLineChars="175"/>
        <w:contextualSpacing/>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1.说明：应对照谈判文件“第二章 采购需求”中的商务条款逐条作出明确响应，并作出偏离说明。</w:t>
      </w:r>
    </w:p>
    <w:p>
      <w:pPr>
        <w:spacing w:line="400" w:lineRule="exact"/>
        <w:ind w:firstLine="480" w:firstLineChars="200"/>
        <w:contextualSpacing/>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2.供应商应根据自身的承诺，对照谈判文件要求，在“偏离说明”中注明“正偏离”或者“负偏离”或者“无偏离”。既不属于“正偏离”也不属于“负偏离”即为“无偏离”。 当响应文件的商务内容低于竞争性谈判文件要求时，供应商应当如实写明“负偏离”。</w:t>
      </w:r>
    </w:p>
    <w:p>
      <w:pPr>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3.表格内容均需按要求填写并盖公章，不得留空，</w:t>
      </w:r>
      <w:r>
        <w:rPr>
          <w:rFonts w:hint="eastAsia" w:ascii="宋体" w:hAnsi="宋体" w:eastAsia="宋体" w:cs="宋体"/>
          <w:b/>
          <w:bCs/>
          <w:color w:val="auto"/>
          <w:kern w:val="0"/>
          <w:sz w:val="24"/>
          <w:szCs w:val="24"/>
          <w:highlight w:val="none"/>
        </w:rPr>
        <w:t>否则按竞标无效处理</w:t>
      </w:r>
      <w:r>
        <w:rPr>
          <w:rFonts w:hint="eastAsia" w:ascii="宋体" w:hAnsi="宋体" w:eastAsia="宋体" w:cs="宋体"/>
          <w:color w:val="auto"/>
          <w:kern w:val="0"/>
          <w:sz w:val="24"/>
          <w:szCs w:val="24"/>
          <w:highlight w:val="none"/>
        </w:rPr>
        <w:t>。</w:t>
      </w:r>
    </w:p>
    <w:p>
      <w:pPr>
        <w:spacing w:line="400" w:lineRule="exact"/>
        <w:ind w:firstLine="480" w:firstLineChars="200"/>
        <w:contextualSpacing/>
        <w:rPr>
          <w:rFonts w:hint="eastAsia" w:ascii="宋体" w:hAnsi="宋体" w:eastAsia="宋体" w:cs="宋体"/>
          <w:color w:val="auto"/>
          <w:kern w:val="0"/>
          <w:sz w:val="24"/>
          <w:szCs w:val="24"/>
          <w:highlight w:val="none"/>
          <w:lang w:val="zh-CN"/>
        </w:rPr>
      </w:pPr>
    </w:p>
    <w:p>
      <w:pPr>
        <w:spacing w:line="400" w:lineRule="exact"/>
        <w:ind w:firstLine="480" w:firstLineChars="200"/>
        <w:contextualSpacing/>
        <w:rPr>
          <w:rFonts w:hint="eastAsia" w:ascii="宋体" w:hAnsi="宋体" w:eastAsia="宋体" w:cs="宋体"/>
          <w:color w:val="auto"/>
          <w:kern w:val="0"/>
          <w:sz w:val="24"/>
          <w:szCs w:val="24"/>
          <w:highlight w:val="none"/>
          <w:lang w:val="zh-CN"/>
        </w:rPr>
      </w:pPr>
    </w:p>
    <w:p>
      <w:pPr>
        <w:spacing w:line="360" w:lineRule="auto"/>
        <w:ind w:right="-817" w:rightChars="-389"/>
        <w:contextualSpacing/>
        <w:rPr>
          <w:rFonts w:hint="eastAsia" w:ascii="宋体" w:hAnsi="宋体" w:eastAsia="宋体" w:cs="宋体"/>
          <w:color w:val="auto"/>
          <w:sz w:val="24"/>
          <w:szCs w:val="24"/>
          <w:highlight w:val="none"/>
        </w:rPr>
      </w:pPr>
    </w:p>
    <w:p>
      <w:pPr>
        <w:spacing w:line="360" w:lineRule="auto"/>
        <w:ind w:firstLine="3840" w:firstLineChars="16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供应商名称（盖公章）：</w:t>
      </w:r>
    </w:p>
    <w:p>
      <w:pPr>
        <w:spacing w:line="360" w:lineRule="auto"/>
        <w:contextualSpacing/>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 xml:space="preserve">                                                   日期：  年  月   日</w:t>
      </w:r>
    </w:p>
    <w:p>
      <w:pPr>
        <w:pStyle w:val="22"/>
        <w:rPr>
          <w:rFonts w:hint="eastAsia" w:ascii="宋体" w:hAnsi="宋体" w:eastAsia="宋体" w:cs="宋体"/>
          <w:color w:val="auto"/>
          <w:kern w:val="0"/>
          <w:sz w:val="24"/>
          <w:szCs w:val="24"/>
          <w:highlight w:val="none"/>
          <w:lang w:val="zh-CN"/>
        </w:rPr>
      </w:pPr>
    </w:p>
    <w:p>
      <w:pPr>
        <w:pStyle w:val="23"/>
        <w:rPr>
          <w:rFonts w:hint="eastAsia"/>
          <w:color w:val="auto"/>
        </w:rPr>
      </w:pPr>
    </w:p>
    <w:p>
      <w:pPr>
        <w:snapToGrid w:val="0"/>
        <w:spacing w:before="120" w:beforeLines="50" w:after="50"/>
        <w:rPr>
          <w:rFonts w:hint="eastAsia" w:ascii="宋体" w:hAnsi="宋体" w:eastAsia="宋体" w:cs="宋体"/>
          <w:b/>
          <w:color w:val="auto"/>
          <w:sz w:val="24"/>
          <w:szCs w:val="24"/>
          <w:highlight w:val="none"/>
        </w:rPr>
      </w:pPr>
      <w:r>
        <w:rPr>
          <w:rFonts w:hint="eastAsia" w:ascii="宋体" w:hAnsi="宋体" w:eastAsia="宋体" w:cs="宋体"/>
          <w:b/>
          <w:color w:val="auto"/>
          <w:sz w:val="28"/>
          <w:szCs w:val="28"/>
          <w:highlight w:val="none"/>
        </w:rPr>
        <w:t>7.供应商类似的业绩证明文件</w:t>
      </w:r>
      <w:r>
        <w:rPr>
          <w:rFonts w:hint="eastAsia" w:ascii="宋体" w:hAnsi="宋体" w:eastAsia="宋体" w:cs="宋体"/>
          <w:b/>
          <w:bCs/>
          <w:color w:val="auto"/>
          <w:sz w:val="30"/>
          <w:szCs w:val="30"/>
          <w:highlight w:val="none"/>
        </w:rPr>
        <w:t>（如有要求）：</w:t>
      </w:r>
    </w:p>
    <w:p>
      <w:pPr>
        <w:snapToGrid w:val="0"/>
        <w:ind w:left="480" w:hanging="480" w:hangingChars="200"/>
        <w:contextualSpacing/>
        <w:rPr>
          <w:rFonts w:hint="eastAsia" w:ascii="宋体" w:hAnsi="宋体" w:eastAsia="宋体" w:cs="Times New Roman"/>
          <w:color w:val="auto"/>
          <w:sz w:val="24"/>
          <w:szCs w:val="24"/>
          <w:highlight w:val="none"/>
        </w:rPr>
      </w:pPr>
    </w:p>
    <w:p>
      <w:pPr>
        <w:snapToGrid w:val="0"/>
        <w:ind w:left="480" w:hanging="480" w:hangingChars="200"/>
        <w:contextualSpacing/>
        <w:rPr>
          <w:rFonts w:hint="eastAsia" w:ascii="宋体" w:hAnsi="宋体" w:eastAsia="宋体" w:cs="Times New Roman"/>
          <w:color w:val="auto"/>
          <w:sz w:val="24"/>
          <w:szCs w:val="24"/>
          <w:highlight w:val="none"/>
        </w:rPr>
      </w:pPr>
    </w:p>
    <w:p>
      <w:pPr>
        <w:snapToGrid w:val="0"/>
        <w:ind w:left="480" w:hanging="480" w:hangingChars="200"/>
        <w:contextualSpacing/>
        <w:rPr>
          <w:rFonts w:hint="eastAsia" w:ascii="宋体" w:hAnsi="宋体" w:eastAsia="宋体" w:cs="Times New Roman"/>
          <w:color w:val="auto"/>
          <w:sz w:val="24"/>
          <w:szCs w:val="24"/>
          <w:highlight w:val="none"/>
        </w:rPr>
      </w:pPr>
    </w:p>
    <w:p>
      <w:pPr>
        <w:autoSpaceDE w:val="0"/>
        <w:autoSpaceDN w:val="0"/>
        <w:spacing w:line="360" w:lineRule="auto"/>
        <w:ind w:left="-420" w:leftChars="-200" w:firstLine="2416" w:firstLineChars="755"/>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类似项目的业绩一览表</w:t>
      </w:r>
    </w:p>
    <w:p>
      <w:pPr>
        <w:spacing w:line="360" w:lineRule="auto"/>
        <w:rPr>
          <w:rFonts w:hint="eastAsia" w:ascii="宋体" w:hAnsi="宋体" w:eastAsia="宋体" w:cs="宋体"/>
          <w:color w:val="auto"/>
          <w:kern w:val="0"/>
          <w:sz w:val="20"/>
          <w:szCs w:val="21"/>
          <w:highlight w:val="none"/>
          <w:u w:val="single"/>
          <w:lang w:val="zh-CN"/>
        </w:rPr>
      </w:pPr>
      <w:r>
        <w:rPr>
          <w:rFonts w:hint="eastAsia" w:ascii="宋体" w:hAnsi="宋体" w:eastAsia="宋体" w:cs="宋体"/>
          <w:color w:val="auto"/>
          <w:sz w:val="24"/>
          <w:highlight w:val="none"/>
        </w:rPr>
        <w:t>所竞分标（如有则填写，无分标时填写“无”或者留空）：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tbl>
      <w:tblPr>
        <w:tblStyle w:val="32"/>
        <w:tblpPr w:leftFromText="180" w:rightFromText="180" w:vertAnchor="page" w:horzAnchor="page" w:tblpX="1376" w:tblpY="4514"/>
        <w:tblW w:w="950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8"/>
        <w:gridCol w:w="1915"/>
        <w:gridCol w:w="1044"/>
        <w:gridCol w:w="1045"/>
        <w:gridCol w:w="1567"/>
        <w:gridCol w:w="1058"/>
        <w:gridCol w:w="18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058"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采购人名称</w:t>
            </w:r>
          </w:p>
        </w:tc>
        <w:tc>
          <w:tcPr>
            <w:tcW w:w="1915"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项目名称</w:t>
            </w:r>
          </w:p>
        </w:tc>
        <w:tc>
          <w:tcPr>
            <w:tcW w:w="1044"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合同</w:t>
            </w:r>
          </w:p>
          <w:p>
            <w:pPr>
              <w:snapToGrid w:val="0"/>
              <w:spacing w:line="240" w:lineRule="exac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金额</w:t>
            </w:r>
          </w:p>
          <w:p>
            <w:pPr>
              <w:snapToGrid w:val="0"/>
              <w:spacing w:line="240" w:lineRule="exac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（万元）</w:t>
            </w:r>
          </w:p>
        </w:tc>
        <w:tc>
          <w:tcPr>
            <w:tcW w:w="3670"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附件在响应文件中页码</w:t>
            </w:r>
          </w:p>
        </w:tc>
        <w:tc>
          <w:tcPr>
            <w:tcW w:w="1813"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采购人联系人及联系电话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22" w:hRule="atLeast"/>
        </w:trPr>
        <w:tc>
          <w:tcPr>
            <w:tcW w:w="1058" w:type="dxa"/>
            <w:vMerge w:val="continue"/>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Times New Roman"/>
                <w:color w:val="auto"/>
                <w:sz w:val="24"/>
                <w:szCs w:val="24"/>
                <w:highlight w:val="none"/>
              </w:rPr>
            </w:pPr>
          </w:p>
        </w:tc>
        <w:tc>
          <w:tcPr>
            <w:tcW w:w="191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Times New Roman"/>
                <w:color w:val="auto"/>
                <w:sz w:val="24"/>
                <w:szCs w:val="24"/>
                <w:highlight w:val="none"/>
              </w:rPr>
            </w:pPr>
          </w:p>
        </w:tc>
        <w:tc>
          <w:tcPr>
            <w:tcW w:w="1044" w:type="dxa"/>
            <w:vMerge w:val="continue"/>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Times New Roman"/>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合同</w:t>
            </w:r>
          </w:p>
        </w:tc>
        <w:tc>
          <w:tcPr>
            <w:tcW w:w="1567"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验收报告</w:t>
            </w:r>
          </w:p>
        </w:tc>
        <w:tc>
          <w:tcPr>
            <w:tcW w:w="1058"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用户</w:t>
            </w:r>
          </w:p>
          <w:p>
            <w:pPr>
              <w:snapToGrid w:val="0"/>
              <w:spacing w:line="240" w:lineRule="exac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评价</w:t>
            </w:r>
          </w:p>
        </w:tc>
        <w:tc>
          <w:tcPr>
            <w:tcW w:w="1813" w:type="dxa"/>
            <w:vMerge w:val="continue"/>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058"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hint="eastAsia" w:ascii="宋体" w:hAnsi="宋体" w:eastAsia="宋体" w:cs="Times New Roman"/>
                <w:color w:val="auto"/>
                <w:sz w:val="24"/>
                <w:szCs w:val="24"/>
                <w:highlight w:val="none"/>
              </w:rPr>
            </w:pPr>
          </w:p>
        </w:tc>
        <w:tc>
          <w:tcPr>
            <w:tcW w:w="1915"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hint="eastAsia" w:ascii="宋体" w:hAnsi="宋体" w:eastAsia="宋体" w:cs="Times New Roman"/>
                <w:color w:val="auto"/>
                <w:sz w:val="24"/>
                <w:szCs w:val="24"/>
                <w:highlight w:val="none"/>
              </w:rPr>
            </w:pPr>
          </w:p>
        </w:tc>
        <w:tc>
          <w:tcPr>
            <w:tcW w:w="1044"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hint="eastAsia" w:ascii="宋体" w:hAnsi="宋体" w:eastAsia="宋体" w:cs="Times New Roman"/>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hint="eastAsia" w:ascii="宋体" w:hAnsi="宋体" w:eastAsia="宋体" w:cs="Times New Roman"/>
                <w:color w:val="auto"/>
                <w:sz w:val="24"/>
                <w:szCs w:val="24"/>
                <w:highlight w:val="none"/>
              </w:rPr>
            </w:pPr>
          </w:p>
        </w:tc>
        <w:tc>
          <w:tcPr>
            <w:tcW w:w="1567"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hint="eastAsia" w:ascii="宋体" w:hAnsi="宋体" w:eastAsia="宋体" w:cs="Times New Roman"/>
                <w:color w:val="auto"/>
                <w:sz w:val="24"/>
                <w:szCs w:val="24"/>
                <w:highlight w:val="none"/>
              </w:rPr>
            </w:pPr>
          </w:p>
        </w:tc>
        <w:tc>
          <w:tcPr>
            <w:tcW w:w="1058"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hint="eastAsia" w:ascii="宋体" w:hAnsi="宋体" w:eastAsia="宋体" w:cs="Times New Roman"/>
                <w:color w:val="auto"/>
                <w:sz w:val="24"/>
                <w:szCs w:val="24"/>
                <w:highlight w:val="none"/>
              </w:rPr>
            </w:pPr>
          </w:p>
        </w:tc>
        <w:tc>
          <w:tcPr>
            <w:tcW w:w="1813"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hint="eastAsia"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58"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915"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04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567"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058"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813"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58"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915"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04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567"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058"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813"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58"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915"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04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567"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058"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813"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1058"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915"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04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567"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058"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813"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eastAsia="宋体" w:cs="Times New Roman"/>
                <w:color w:val="auto"/>
                <w:sz w:val="24"/>
                <w:szCs w:val="24"/>
                <w:highlight w:val="none"/>
              </w:rPr>
            </w:pPr>
          </w:p>
        </w:tc>
      </w:tr>
    </w:tbl>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注：在填写时，如本表格不适合供应商的实际情况，可参照本表格式自行制表填写，并附上相关证明材料。 </w:t>
      </w:r>
    </w:p>
    <w:p>
      <w:pPr>
        <w:snapToGrid w:val="0"/>
        <w:spacing w:line="360" w:lineRule="auto"/>
        <w:ind w:firstLine="4935" w:firstLineChars="2350"/>
        <w:rPr>
          <w:rFonts w:hint="eastAsia" w:ascii="宋体" w:hAnsi="宋体" w:eastAsia="宋体" w:cs="宋体"/>
          <w:color w:val="auto"/>
          <w:szCs w:val="21"/>
          <w:highlight w:val="none"/>
        </w:rPr>
      </w:pPr>
    </w:p>
    <w:p>
      <w:pPr>
        <w:snapToGrid w:val="0"/>
        <w:spacing w:line="360" w:lineRule="auto"/>
        <w:ind w:left="4410" w:leftChars="2100" w:firstLine="5670" w:firstLineChars="2700"/>
        <w:rPr>
          <w:rFonts w:hint="eastAsia" w:ascii="宋体" w:hAnsi="宋体" w:eastAsia="宋体" w:cs="宋体"/>
          <w:color w:val="auto"/>
          <w:kern w:val="0"/>
          <w:sz w:val="24"/>
          <w:szCs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kern w:val="0"/>
          <w:sz w:val="24"/>
          <w:szCs w:val="24"/>
          <w:highlight w:val="none"/>
          <w:lang w:val="zh-CN"/>
        </w:rPr>
        <w:t>供应商名称(盖公章)：</w:t>
      </w:r>
    </w:p>
    <w:p>
      <w:pPr>
        <w:spacing w:line="500" w:lineRule="exact"/>
        <w:jc w:val="center"/>
        <w:rPr>
          <w:rFonts w:hint="eastAsia" w:ascii="仿宋_GB2312" w:hAnsi="仿宋_GB2312" w:eastAsia="仿宋_GB2312" w:cs="仿宋_GB2312"/>
          <w:color w:val="auto"/>
          <w:sz w:val="32"/>
          <w:szCs w:val="32"/>
          <w:highlight w:val="none"/>
        </w:rPr>
        <w:sectPr>
          <w:pgSz w:w="11910" w:h="16840"/>
          <w:pgMar w:top="1340" w:right="1500" w:bottom="280" w:left="1680" w:header="720" w:footer="720" w:gutter="0"/>
          <w:pgNumType w:fmt="decimal"/>
          <w:cols w:space="720" w:num="1"/>
        </w:sectPr>
      </w:pPr>
      <w:r>
        <w:rPr>
          <w:rFonts w:hint="eastAsia" w:ascii="宋体" w:hAnsi="宋体" w:eastAsia="宋体" w:cs="宋体"/>
          <w:color w:val="auto"/>
          <w:kern w:val="0"/>
          <w:sz w:val="24"/>
          <w:szCs w:val="24"/>
          <w:highlight w:val="none"/>
          <w:lang w:val="zh-CN"/>
        </w:rPr>
        <w:t xml:space="preserve">                                                     日期</w:t>
      </w:r>
      <w:r>
        <w:rPr>
          <w:rFonts w:hint="eastAsia" w:ascii="宋体" w:hAnsi="宋体" w:eastAsia="宋体" w:cs="宋体"/>
          <w:color w:val="auto"/>
          <w:kern w:val="0"/>
          <w:sz w:val="24"/>
          <w:szCs w:val="24"/>
          <w:highlight w:val="none"/>
        </w:rPr>
        <w:t xml:space="preserve">：  年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zh-CN"/>
        </w:rPr>
        <w:t>日</w:t>
      </w:r>
    </w:p>
    <w:p>
      <w:pPr>
        <w:snapToGrid w:val="0"/>
        <w:spacing w:line="360" w:lineRule="auto"/>
        <w:jc w:val="left"/>
        <w:rPr>
          <w:rFonts w:hint="eastAsia" w:ascii="仿宋" w:hAnsi="仿宋" w:eastAsia="仿宋" w:cs="仿宋_GB2312"/>
          <w:b/>
          <w:color w:val="auto"/>
          <w:sz w:val="30"/>
          <w:szCs w:val="30"/>
          <w:highlight w:val="none"/>
        </w:rPr>
      </w:pPr>
      <w:r>
        <w:rPr>
          <w:rFonts w:hint="eastAsia" w:ascii="宋体" w:hAnsi="宋体" w:eastAsia="宋体" w:cs="宋体"/>
          <w:b/>
          <w:color w:val="auto"/>
          <w:sz w:val="30"/>
          <w:szCs w:val="30"/>
          <w:highlight w:val="none"/>
        </w:rPr>
        <w:t>8.技术需求偏离表的格式：</w:t>
      </w:r>
    </w:p>
    <w:p>
      <w:pPr>
        <w:spacing w:line="500" w:lineRule="exact"/>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技术需求偏离表</w:t>
      </w:r>
    </w:p>
    <w:p>
      <w:pPr>
        <w:spacing w:line="500" w:lineRule="exact"/>
        <w:jc w:val="center"/>
        <w:rPr>
          <w:rFonts w:hint="eastAsia" w:ascii="宋体" w:hAnsi="宋体" w:eastAsia="宋体" w:cs="宋体"/>
          <w:b/>
          <w:color w:val="auto"/>
          <w:sz w:val="32"/>
          <w:szCs w:val="32"/>
          <w:highlight w:val="none"/>
        </w:rPr>
      </w:pPr>
      <w:r>
        <w:rPr>
          <w:rFonts w:hint="eastAsia" w:ascii="宋体" w:hAnsi="宋体" w:eastAsia="宋体" w:cs="宋体"/>
          <w:bCs/>
          <w:color w:val="auto"/>
          <w:sz w:val="44"/>
          <w:szCs w:val="44"/>
          <w:highlight w:val="none"/>
        </w:rPr>
        <w:t>(注：按采购需求具体条款修改)</w:t>
      </w:r>
    </w:p>
    <w:p>
      <w:pPr>
        <w:spacing w:line="360" w:lineRule="auto"/>
        <w:contextualSpacing/>
        <w:jc w:val="left"/>
        <w:rPr>
          <w:rFonts w:hint="eastAsia" w:ascii="宋体" w:hAnsi="宋体" w:eastAsia="宋体" w:cs="宋体"/>
          <w:color w:val="auto"/>
          <w:sz w:val="24"/>
          <w:szCs w:val="24"/>
          <w:highlight w:val="none"/>
        </w:rPr>
      </w:pPr>
    </w:p>
    <w:p>
      <w:pPr>
        <w:spacing w:line="360" w:lineRule="auto"/>
        <w:ind w:firstLine="240" w:firstLineChars="10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p>
    <w:p>
      <w:pPr>
        <w:spacing w:line="360" w:lineRule="auto"/>
        <w:ind w:firstLine="240" w:firstLineChars="1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 xml:space="preserve">                 </w:t>
      </w:r>
    </w:p>
    <w:p>
      <w:pPr>
        <w:spacing w:line="360" w:lineRule="auto"/>
        <w:ind w:firstLine="240" w:firstLineChars="1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所竞分标（如有则填写，无分标时填写“无”或者留空）：</w:t>
      </w:r>
      <w:r>
        <w:rPr>
          <w:rFonts w:hint="eastAsia" w:ascii="宋体" w:hAnsi="宋体" w:eastAsia="宋体" w:cs="宋体"/>
          <w:color w:val="auto"/>
          <w:sz w:val="24"/>
          <w:highlight w:val="none"/>
          <w:u w:val="single"/>
        </w:rPr>
        <w:t xml:space="preserve">        </w:t>
      </w:r>
    </w:p>
    <w:tbl>
      <w:tblPr>
        <w:tblStyle w:val="32"/>
        <w:tblW w:w="8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212"/>
        <w:gridCol w:w="2288"/>
        <w:gridCol w:w="2786"/>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121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标的名称</w:t>
            </w:r>
          </w:p>
        </w:tc>
        <w:tc>
          <w:tcPr>
            <w:tcW w:w="22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竞争性谈判文件</w:t>
            </w:r>
            <w:r>
              <w:rPr>
                <w:rFonts w:hint="eastAsia" w:ascii="宋体" w:hAnsi="宋体" w:cs="Times New Roman"/>
                <w:color w:val="auto"/>
                <w:szCs w:val="21"/>
                <w:highlight w:val="none"/>
              </w:rPr>
              <w:t>采购需求中的</w:t>
            </w:r>
            <w:r>
              <w:rPr>
                <w:rFonts w:hint="eastAsia" w:ascii="宋体" w:hAnsi="宋体" w:cs="宋体"/>
                <w:color w:val="auto"/>
                <w:szCs w:val="21"/>
                <w:highlight w:val="none"/>
              </w:rPr>
              <w:t>技术参数及配置</w:t>
            </w:r>
          </w:p>
        </w:tc>
        <w:tc>
          <w:tcPr>
            <w:tcW w:w="27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响应文件响应的</w:t>
            </w:r>
            <w:r>
              <w:rPr>
                <w:rFonts w:hint="eastAsia" w:ascii="宋体" w:hAnsi="宋体" w:cs="宋体"/>
                <w:color w:val="auto"/>
                <w:szCs w:val="21"/>
                <w:highlight w:val="none"/>
              </w:rPr>
              <w:t>技术参数及配置</w:t>
            </w:r>
          </w:p>
        </w:tc>
        <w:tc>
          <w:tcPr>
            <w:tcW w:w="1095"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1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p>
        </w:tc>
        <w:tc>
          <w:tcPr>
            <w:tcW w:w="228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p>
        </w:tc>
        <w:tc>
          <w:tcPr>
            <w:tcW w:w="278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21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p>
        </w:tc>
        <w:tc>
          <w:tcPr>
            <w:tcW w:w="228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p>
        </w:tc>
        <w:tc>
          <w:tcPr>
            <w:tcW w:w="278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1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p>
        </w:tc>
        <w:tc>
          <w:tcPr>
            <w:tcW w:w="228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p>
        </w:tc>
        <w:tc>
          <w:tcPr>
            <w:tcW w:w="278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8086"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竞标货物中，属于优先采购节能产品</w:t>
            </w:r>
            <w:r>
              <w:rPr>
                <w:rFonts w:hint="eastAsia" w:ascii="宋体" w:hAnsi="宋体" w:cs="宋体"/>
                <w:color w:val="auto"/>
                <w:highlight w:val="none"/>
              </w:rPr>
              <w:t>为</w:t>
            </w:r>
            <w:r>
              <w:rPr>
                <w:rFonts w:hint="eastAsia" w:ascii="宋体" w:hAnsi="宋体" w:eastAsia="宋体" w:cs="宋体"/>
                <w:color w:val="auto"/>
                <w:szCs w:val="21"/>
                <w:highlight w:val="none"/>
              </w:rPr>
              <w:t>本项目竞争性谈判文件“第二章 采购需求”中</w:t>
            </w:r>
            <w:r>
              <w:rPr>
                <w:rFonts w:hint="eastAsia" w:ascii="宋体" w:hAnsi="宋体" w:cs="宋体"/>
                <w:color w:val="auto"/>
                <w:highlight w:val="none"/>
              </w:rPr>
              <w:t>“</w:t>
            </w:r>
            <w:r>
              <w:rPr>
                <w:rFonts w:hint="eastAsia" w:ascii="宋体" w:hAnsi="宋体" w:cs="宋体"/>
                <w:color w:val="auto"/>
                <w:szCs w:val="21"/>
                <w:highlight w:val="none"/>
              </w:rPr>
              <w:t>需求一览表</w:t>
            </w:r>
            <w:r>
              <w:rPr>
                <w:rFonts w:hint="eastAsia" w:ascii="宋体" w:hAnsi="宋体" w:cs="宋体"/>
                <w:color w:val="auto"/>
                <w:highlight w:val="none"/>
              </w:rPr>
              <w:t>”的第   项产品</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，合计</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项</w:t>
            </w:r>
            <w:r>
              <w:rPr>
                <w:rFonts w:hint="eastAsia" w:ascii="宋体" w:hAnsi="宋体" w:eastAsia="宋体" w:cs="宋体"/>
                <w:color w:val="auto"/>
                <w:szCs w:val="21"/>
                <w:highlight w:val="none"/>
              </w:rPr>
              <w:t>；属于优先采购环境标志产品为本项目竞争性谈判文件“第二章 采购需求”中</w:t>
            </w:r>
            <w:r>
              <w:rPr>
                <w:rFonts w:hint="eastAsia" w:ascii="宋体" w:hAnsi="宋体" w:cs="宋体"/>
                <w:color w:val="auto"/>
                <w:highlight w:val="none"/>
              </w:rPr>
              <w:t>“</w:t>
            </w:r>
            <w:r>
              <w:rPr>
                <w:rFonts w:hint="eastAsia" w:ascii="宋体" w:hAnsi="宋体" w:cs="宋体"/>
                <w:color w:val="auto"/>
                <w:szCs w:val="21"/>
                <w:highlight w:val="none"/>
              </w:rPr>
              <w:t>需求一览表</w:t>
            </w:r>
            <w:r>
              <w:rPr>
                <w:rFonts w:hint="eastAsia" w:ascii="宋体" w:hAnsi="宋体" w:cs="宋体"/>
                <w:color w:val="auto"/>
                <w:highlight w:val="none"/>
              </w:rPr>
              <w:t>”的第   项产品</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，合计</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项</w:t>
            </w:r>
            <w:r>
              <w:rPr>
                <w:rFonts w:hint="eastAsia" w:ascii="宋体" w:hAnsi="宋体" w:eastAsia="宋体" w:cs="宋体"/>
                <w:color w:val="auto"/>
                <w:szCs w:val="21"/>
                <w:highlight w:val="none"/>
              </w:rPr>
              <w:t>。</w:t>
            </w:r>
            <w:r>
              <w:rPr>
                <w:rFonts w:hint="eastAsia" w:ascii="宋体" w:hAnsi="宋体" w:eastAsia="宋体" w:cs="宋体"/>
                <w:color w:val="auto"/>
                <w:highlight w:val="none"/>
              </w:rPr>
              <w:t xml:space="preserve"> </w:t>
            </w:r>
            <w:r>
              <w:rPr>
                <w:rFonts w:hint="eastAsia" w:ascii="宋体" w:hAnsi="宋体" w:eastAsia="宋体" w:cs="宋体"/>
                <w:b/>
                <w:bCs/>
                <w:color w:val="auto"/>
                <w:szCs w:val="21"/>
                <w:highlight w:val="none"/>
              </w:rPr>
              <w:t>（注：如有，请逐项列出，如无填写“无”或者留空。）</w:t>
            </w:r>
          </w:p>
        </w:tc>
      </w:tr>
    </w:tbl>
    <w:p>
      <w:pPr>
        <w:spacing w:line="360" w:lineRule="auto"/>
        <w:contextualSpacing/>
        <w:rPr>
          <w:rFonts w:hint="eastAsia" w:ascii="宋体" w:hAnsi="宋体" w:eastAsia="宋体" w:cs="宋体"/>
          <w:color w:val="auto"/>
          <w:kern w:val="0"/>
          <w:szCs w:val="21"/>
          <w:highlight w:val="none"/>
          <w:lang w:val="zh-CN"/>
        </w:rPr>
      </w:pPr>
    </w:p>
    <w:p>
      <w:pPr>
        <w:spacing w:line="360" w:lineRule="auto"/>
        <w:contextualSpacing/>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注：</w:t>
      </w:r>
    </w:p>
    <w:p>
      <w:pPr>
        <w:spacing w:line="360" w:lineRule="auto"/>
        <w:ind w:firstLine="420" w:firstLineChars="200"/>
        <w:contextualSpacing/>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1.说明：应对照谈判文件“第二章</w:t>
      </w: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val="zh-CN"/>
        </w:rPr>
        <w:t>采购需求”中“需求一览表”的技术参数及配置条款逐条作出明确响应，并作出偏离说明。</w:t>
      </w:r>
    </w:p>
    <w:p>
      <w:pPr>
        <w:spacing w:line="360" w:lineRule="auto"/>
        <w:ind w:firstLine="420" w:firstLineChars="200"/>
        <w:contextualSpacing/>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2.供应商应根据自身的承诺，对照谈判文件要求，在“偏离说明”中注明“正偏离”或者“负偏离”或者“无偏离”。既不属于“正偏离”也不属于“负偏离”即为“无偏离”。 当响应文件的技术参数及配置内容低于竞争性谈判文件要求时，供应商应当如实写明“负偏离”。</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3.表格内容均需按要求填写并盖公章，不得留空，</w:t>
      </w:r>
      <w:r>
        <w:rPr>
          <w:rFonts w:hint="eastAsia" w:ascii="宋体" w:hAnsi="宋体" w:eastAsia="宋体" w:cs="宋体"/>
          <w:b/>
          <w:bCs/>
          <w:color w:val="auto"/>
          <w:kern w:val="0"/>
          <w:szCs w:val="21"/>
          <w:highlight w:val="none"/>
        </w:rPr>
        <w:t>否则按竞标无效处理。</w:t>
      </w:r>
    </w:p>
    <w:p>
      <w:pPr>
        <w:autoSpaceDE w:val="0"/>
        <w:autoSpaceDN w:val="0"/>
        <w:spacing w:line="360" w:lineRule="auto"/>
        <w:ind w:firstLine="6000" w:firstLineChars="2500"/>
        <w:rPr>
          <w:rFonts w:hint="eastAsia" w:ascii="宋体" w:hAnsi="宋体" w:eastAsia="宋体" w:cs="宋体"/>
          <w:color w:val="auto"/>
          <w:kern w:val="0"/>
          <w:sz w:val="24"/>
          <w:szCs w:val="24"/>
          <w:highlight w:val="none"/>
        </w:rPr>
      </w:pPr>
    </w:p>
    <w:p>
      <w:pPr>
        <w:autoSpaceDE w:val="0"/>
        <w:autoSpaceDN w:val="0"/>
        <w:spacing w:line="360" w:lineRule="auto"/>
        <w:ind w:firstLine="6000" w:firstLineChars="25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供应商名称（盖公章）：</w:t>
      </w:r>
    </w:p>
    <w:p>
      <w:pPr>
        <w:autoSpaceDE w:val="0"/>
        <w:autoSpaceDN w:val="0"/>
        <w:spacing w:line="360" w:lineRule="auto"/>
        <w:ind w:firstLine="6480" w:firstLineChars="2700"/>
        <w:rPr>
          <w:rFonts w:hint="eastAsia" w:ascii="仿宋_GB2312" w:hAnsi="仿宋_GB2312" w:eastAsia="仿宋_GB2312" w:cs="仿宋_GB2312"/>
          <w:color w:val="auto"/>
          <w:sz w:val="32"/>
          <w:szCs w:val="32"/>
          <w:highlight w:val="none"/>
        </w:rPr>
        <w:sectPr>
          <w:pgSz w:w="11910" w:h="16840"/>
          <w:pgMar w:top="1111" w:right="1332" w:bottom="283" w:left="1508" w:header="720" w:footer="720" w:gutter="0"/>
          <w:pgNumType w:fmt="decimal"/>
          <w:cols w:space="720" w:num="1"/>
        </w:sectPr>
      </w:pPr>
      <w:r>
        <w:rPr>
          <w:rFonts w:hint="eastAsia" w:ascii="宋体" w:hAnsi="宋体" w:eastAsia="宋体" w:cs="宋体"/>
          <w:color w:val="auto"/>
          <w:kern w:val="0"/>
          <w:sz w:val="24"/>
          <w:szCs w:val="24"/>
          <w:highlight w:val="none"/>
          <w:lang w:val="zh-CN"/>
        </w:rPr>
        <w:t>日期：  年  月   日</w:t>
      </w:r>
    </w:p>
    <w:p>
      <w:pPr>
        <w:snapToGrid w:val="0"/>
        <w:spacing w:before="165" w:beforeLines="50" w:after="5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9.技术实施方案；（格式自拟） </w:t>
      </w:r>
    </w:p>
    <w:p>
      <w:pPr>
        <w:snapToGrid w:val="0"/>
        <w:spacing w:before="165" w:beforeLines="50" w:after="50"/>
        <w:rPr>
          <w:rFonts w:hint="eastAsia" w:ascii="宋体" w:hAnsi="宋体" w:eastAsia="宋体" w:cs="宋体"/>
          <w:b/>
          <w:color w:val="auto"/>
          <w:sz w:val="28"/>
          <w:szCs w:val="28"/>
          <w:highlight w:val="none"/>
        </w:rPr>
      </w:pPr>
    </w:p>
    <w:p>
      <w:pPr>
        <w:snapToGrid w:val="0"/>
        <w:spacing w:before="165" w:beforeLines="50" w:after="50"/>
        <w:rPr>
          <w:rFonts w:hint="eastAsia" w:ascii="宋体" w:hAnsi="宋体" w:eastAsia="宋体" w:cs="宋体"/>
          <w:b/>
          <w:color w:val="auto"/>
          <w:sz w:val="28"/>
          <w:szCs w:val="28"/>
          <w:highlight w:val="none"/>
        </w:rPr>
      </w:pPr>
    </w:p>
    <w:p>
      <w:pPr>
        <w:snapToGrid w:val="0"/>
        <w:spacing w:before="165" w:beforeLines="50" w:after="50"/>
        <w:rPr>
          <w:rFonts w:hint="eastAsia" w:ascii="宋体" w:hAnsi="宋体" w:eastAsia="宋体" w:cs="宋体"/>
          <w:b/>
          <w:color w:val="auto"/>
          <w:sz w:val="28"/>
          <w:szCs w:val="28"/>
          <w:highlight w:val="none"/>
        </w:rPr>
      </w:pPr>
    </w:p>
    <w:p>
      <w:pPr>
        <w:pStyle w:val="2"/>
        <w:rPr>
          <w:rFonts w:hint="eastAsia" w:ascii="宋体" w:hAnsi="宋体" w:cs="宋体"/>
          <w:b/>
          <w:color w:val="auto"/>
          <w:sz w:val="28"/>
          <w:szCs w:val="28"/>
          <w:highlight w:val="none"/>
          <w:lang w:val="en-US"/>
        </w:rPr>
      </w:pPr>
    </w:p>
    <w:p>
      <w:pPr>
        <w:rPr>
          <w:rFonts w:hint="eastAsia" w:ascii="宋体" w:hAnsi="宋体" w:eastAsia="宋体" w:cs="宋体"/>
          <w:b/>
          <w:color w:val="auto"/>
          <w:sz w:val="28"/>
          <w:szCs w:val="28"/>
          <w:highlight w:val="none"/>
        </w:rPr>
      </w:pPr>
    </w:p>
    <w:p>
      <w:pPr>
        <w:pStyle w:val="2"/>
        <w:rPr>
          <w:color w:val="auto"/>
          <w:highlight w:val="none"/>
          <w:lang w:val="en-US"/>
        </w:rPr>
      </w:pPr>
    </w:p>
    <w:p>
      <w:pPr>
        <w:snapToGrid w:val="0"/>
        <w:spacing w:before="165" w:beforeLines="50" w:after="50"/>
        <w:rPr>
          <w:rFonts w:hint="eastAsia" w:ascii="宋体" w:hAnsi="宋体" w:eastAsia="宋体" w:cs="宋体"/>
          <w:b/>
          <w:color w:val="auto"/>
          <w:sz w:val="28"/>
          <w:szCs w:val="28"/>
          <w:highlight w:val="none"/>
        </w:rPr>
      </w:pPr>
    </w:p>
    <w:p>
      <w:pPr>
        <w:snapToGrid w:val="0"/>
        <w:spacing w:before="165" w:beforeLines="50" w:after="5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10.售后服务承诺函；（格式自拟）</w:t>
      </w:r>
    </w:p>
    <w:p>
      <w:pPr>
        <w:snapToGrid w:val="0"/>
        <w:spacing w:before="165" w:beforeLines="50" w:after="50"/>
        <w:rPr>
          <w:rFonts w:hint="eastAsia" w:ascii="宋体" w:hAnsi="宋体" w:eastAsia="宋体" w:cs="宋体"/>
          <w:b/>
          <w:color w:val="auto"/>
          <w:sz w:val="28"/>
          <w:szCs w:val="28"/>
          <w:highlight w:val="none"/>
          <w:lang w:val="zh-CN"/>
        </w:rPr>
      </w:pPr>
    </w:p>
    <w:p>
      <w:pPr>
        <w:pStyle w:val="2"/>
        <w:rPr>
          <w:color w:val="auto"/>
          <w:highlight w:val="none"/>
        </w:rPr>
      </w:pPr>
    </w:p>
    <w:p>
      <w:pPr>
        <w:adjustRightInd w:val="0"/>
        <w:snapToGrid w:val="0"/>
        <w:spacing w:line="300" w:lineRule="auto"/>
        <w:rPr>
          <w:rFonts w:hint="eastAsia" w:ascii="宋体" w:hAnsi="宋体" w:eastAsia="宋体" w:cs="Times New Roman"/>
          <w:color w:val="auto"/>
          <w:szCs w:val="21"/>
          <w:highlight w:val="none"/>
          <w:u w:val="single"/>
        </w:rPr>
      </w:pPr>
    </w:p>
    <w:p>
      <w:pPr>
        <w:pStyle w:val="2"/>
        <w:rPr>
          <w:rFonts w:hint="eastAsia" w:ascii="宋体" w:hAnsi="宋体"/>
          <w:color w:val="auto"/>
          <w:szCs w:val="21"/>
          <w:highlight w:val="none"/>
          <w:u w:val="single"/>
        </w:rPr>
      </w:pPr>
    </w:p>
    <w:p>
      <w:pPr>
        <w:adjustRightInd w:val="0"/>
        <w:snapToGrid w:val="0"/>
        <w:spacing w:line="300" w:lineRule="auto"/>
        <w:rPr>
          <w:rFonts w:hint="eastAsia" w:ascii="宋体" w:hAnsi="宋体" w:eastAsia="宋体" w:cs="Times New Roman"/>
          <w:color w:val="auto"/>
          <w:szCs w:val="21"/>
          <w:highlight w:val="none"/>
          <w:u w:val="single"/>
        </w:rPr>
      </w:pPr>
    </w:p>
    <w:p>
      <w:pPr>
        <w:pStyle w:val="2"/>
        <w:rPr>
          <w:color w:val="auto"/>
          <w:highlight w:val="none"/>
          <w:lang w:val="en-US"/>
        </w:rPr>
      </w:pPr>
    </w:p>
    <w:p>
      <w:pPr>
        <w:rPr>
          <w:color w:val="auto"/>
          <w:highlight w:val="none"/>
        </w:rPr>
      </w:pPr>
    </w:p>
    <w:p>
      <w:pPr>
        <w:pStyle w:val="2"/>
        <w:rPr>
          <w:color w:val="auto"/>
          <w:highlight w:val="none"/>
          <w:lang w:val="en-US"/>
        </w:rPr>
      </w:pPr>
    </w:p>
    <w:p>
      <w:pPr>
        <w:rPr>
          <w:color w:val="auto"/>
          <w:highlight w:val="none"/>
        </w:rPr>
      </w:pPr>
    </w:p>
    <w:p>
      <w:pPr>
        <w:pStyle w:val="2"/>
        <w:rPr>
          <w:color w:val="auto"/>
          <w:highlight w:val="none"/>
          <w:lang w:val="en-US"/>
        </w:rPr>
      </w:pPr>
    </w:p>
    <w:p>
      <w:pPr>
        <w:rPr>
          <w:color w:val="auto"/>
          <w:highlight w:val="none"/>
        </w:rPr>
      </w:pPr>
    </w:p>
    <w:p>
      <w:pPr>
        <w:pStyle w:val="2"/>
        <w:rPr>
          <w:color w:val="auto"/>
          <w:highlight w:val="none"/>
        </w:rPr>
      </w:pPr>
    </w:p>
    <w:p>
      <w:pPr>
        <w:rPr>
          <w:color w:val="auto"/>
          <w:highlight w:val="none"/>
        </w:rPr>
      </w:pPr>
    </w:p>
    <w:p>
      <w:pPr>
        <w:pStyle w:val="2"/>
        <w:rPr>
          <w:color w:val="auto"/>
          <w:highlight w:val="none"/>
          <w:lang w:val="en-US"/>
        </w:rPr>
      </w:pPr>
    </w:p>
    <w:p>
      <w:pPr>
        <w:rPr>
          <w:color w:val="auto"/>
          <w:highlight w:val="none"/>
        </w:rPr>
      </w:pPr>
    </w:p>
    <w:p>
      <w:pPr>
        <w:pStyle w:val="2"/>
        <w:rPr>
          <w:color w:val="auto"/>
          <w:highlight w:val="none"/>
          <w:lang w:val="en-US"/>
        </w:rPr>
      </w:pPr>
    </w:p>
    <w:p>
      <w:pPr>
        <w:rPr>
          <w:color w:val="auto"/>
          <w:highlight w:val="none"/>
        </w:rPr>
      </w:pPr>
    </w:p>
    <w:p>
      <w:pPr>
        <w:keepNext/>
        <w:keepLines/>
        <w:spacing w:before="260" w:after="260" w:line="416" w:lineRule="auto"/>
        <w:jc w:val="center"/>
        <w:outlineLvl w:val="1"/>
        <w:rPr>
          <w:rFonts w:hint="eastAsia" w:ascii="宋体" w:hAnsi="宋体" w:eastAsia="宋体" w:cs="Times New Roman"/>
          <w:b/>
          <w:bCs/>
          <w:color w:val="auto"/>
          <w:sz w:val="32"/>
          <w:szCs w:val="32"/>
          <w:highlight w:val="none"/>
          <w:lang w:val="zh-CN"/>
        </w:rPr>
      </w:pPr>
      <w:bookmarkStart w:id="180" w:name="_Toc80205941"/>
      <w:bookmarkStart w:id="181" w:name="_Toc17296"/>
      <w:bookmarkStart w:id="182" w:name="_Toc13020"/>
      <w:r>
        <w:rPr>
          <w:rFonts w:hint="eastAsia" w:ascii="宋体" w:hAnsi="宋体" w:eastAsia="宋体" w:cs="Times New Roman"/>
          <w:b/>
          <w:bCs/>
          <w:color w:val="auto"/>
          <w:sz w:val="32"/>
          <w:szCs w:val="32"/>
          <w:highlight w:val="none"/>
          <w:lang w:val="zh-CN"/>
        </w:rPr>
        <w:t>第三节 报价文件格式</w:t>
      </w:r>
      <w:bookmarkEnd w:id="180"/>
      <w:bookmarkEnd w:id="181"/>
      <w:bookmarkEnd w:id="182"/>
    </w:p>
    <w:p>
      <w:pPr>
        <w:pStyle w:val="2"/>
        <w:rPr>
          <w:color w:val="auto"/>
          <w:highlight w:val="none"/>
        </w:rPr>
      </w:pPr>
    </w:p>
    <w:p>
      <w:pPr>
        <w:pStyle w:val="2"/>
        <w:rPr>
          <w:color w:val="auto"/>
          <w:highlight w:val="none"/>
        </w:rPr>
      </w:pPr>
      <w:r>
        <w:rPr>
          <w:rFonts w:hint="eastAsia" w:ascii="宋体" w:hAnsi="宋体" w:cs="宋体"/>
          <w:b/>
          <w:bCs/>
          <w:color w:val="auto"/>
          <w:sz w:val="28"/>
          <w:szCs w:val="28"/>
          <w:highlight w:val="none"/>
          <w:lang w:val="en-US"/>
        </w:rPr>
        <w:t>1.</w:t>
      </w:r>
      <w:r>
        <w:rPr>
          <w:rFonts w:hint="eastAsia" w:ascii="宋体" w:hAnsi="宋体" w:cs="宋体"/>
          <w:b/>
          <w:bCs/>
          <w:color w:val="auto"/>
          <w:sz w:val="28"/>
          <w:szCs w:val="28"/>
          <w:highlight w:val="none"/>
        </w:rPr>
        <w:t>报价文件封面的格式</w:t>
      </w:r>
      <w:r>
        <w:rPr>
          <w:rFonts w:hint="eastAsia" w:ascii="宋体" w:hAnsi="宋体" w:cs="宋体"/>
          <w:b/>
          <w:color w:val="auto"/>
          <w:sz w:val="28"/>
          <w:szCs w:val="28"/>
          <w:highlight w:val="none"/>
        </w:rPr>
        <w:t>（参照此格式自拟）</w:t>
      </w:r>
      <w:r>
        <w:rPr>
          <w:rFonts w:hint="eastAsia" w:ascii="宋体" w:hAnsi="宋体" w:cs="宋体"/>
          <w:b/>
          <w:bCs/>
          <w:color w:val="auto"/>
          <w:sz w:val="28"/>
          <w:szCs w:val="28"/>
          <w:highlight w:val="none"/>
        </w:rPr>
        <w:t>：</w:t>
      </w:r>
    </w:p>
    <w:p>
      <w:pPr>
        <w:snapToGrid w:val="0"/>
        <w:spacing w:before="165" w:beforeLines="50" w:after="50"/>
        <w:rPr>
          <w:rFonts w:hint="eastAsia" w:ascii="宋体" w:hAnsi="宋体" w:eastAsia="宋体" w:cs="Times New Roman"/>
          <w:bCs/>
          <w:color w:val="auto"/>
          <w:sz w:val="32"/>
          <w:szCs w:val="20"/>
          <w:highlight w:val="none"/>
        </w:rPr>
      </w:pPr>
      <w:r>
        <w:rPr>
          <w:rFonts w:hint="eastAsia" w:ascii="宋体" w:hAnsi="宋体" w:eastAsia="宋体" w:cs="Times New Roman"/>
          <w:color w:val="auto"/>
          <w:sz w:val="24"/>
          <w:szCs w:val="24"/>
          <w:highlight w:val="none"/>
        </w:rPr>
        <w:t xml:space="preserve">                                                    </w:t>
      </w:r>
      <w:r>
        <w:rPr>
          <w:rFonts w:hint="eastAsia" w:ascii="宋体" w:hAnsi="宋体" w:eastAsia="宋体" w:cs="Times New Roman"/>
          <w:bCs/>
          <w:color w:val="auto"/>
          <w:szCs w:val="24"/>
          <w:highlight w:val="none"/>
        </w:rPr>
        <w:t>全流程电子文件</w:t>
      </w:r>
    </w:p>
    <w:p>
      <w:pPr>
        <w:snapToGrid w:val="0"/>
        <w:spacing w:before="165" w:beforeLines="50" w:after="50"/>
        <w:rPr>
          <w:rFonts w:hint="eastAsia" w:ascii="宋体" w:hAnsi="宋体" w:eastAsia="宋体" w:cs="Times New Roman"/>
          <w:color w:val="auto"/>
          <w:sz w:val="24"/>
          <w:szCs w:val="20"/>
          <w:highlight w:val="none"/>
        </w:rPr>
      </w:pPr>
    </w:p>
    <w:p>
      <w:pPr>
        <w:snapToGrid w:val="0"/>
        <w:spacing w:before="165" w:beforeLines="50" w:after="50"/>
        <w:rPr>
          <w:rFonts w:hint="eastAsia" w:ascii="宋体" w:hAnsi="宋体" w:eastAsia="宋体" w:cs="Times New Roman"/>
          <w:color w:val="auto"/>
          <w:sz w:val="24"/>
          <w:szCs w:val="20"/>
          <w:highlight w:val="none"/>
        </w:rPr>
      </w:pPr>
    </w:p>
    <w:p>
      <w:pPr>
        <w:snapToGrid w:val="0"/>
        <w:spacing w:before="165" w:beforeLines="50" w:after="50"/>
        <w:rPr>
          <w:rFonts w:hint="eastAsia" w:ascii="宋体" w:hAnsi="宋体" w:eastAsia="宋体" w:cs="Times New Roman"/>
          <w:color w:val="auto"/>
          <w:sz w:val="24"/>
          <w:szCs w:val="20"/>
          <w:highlight w:val="none"/>
        </w:rPr>
      </w:pPr>
    </w:p>
    <w:p>
      <w:pPr>
        <w:snapToGrid w:val="0"/>
        <w:spacing w:before="165"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 xml:space="preserve">报 </w:t>
      </w:r>
      <w:r>
        <w:rPr>
          <w:rFonts w:ascii="方正小标宋简体" w:hAnsi="方正小标宋简体" w:eastAsia="方正小标宋简体" w:cs="方正小标宋简体"/>
          <w:bCs/>
          <w:color w:val="auto"/>
          <w:sz w:val="44"/>
          <w:szCs w:val="44"/>
          <w:highlight w:val="none"/>
        </w:rPr>
        <w:t xml:space="preserve"> </w:t>
      </w:r>
      <w:r>
        <w:rPr>
          <w:rFonts w:hint="eastAsia" w:ascii="方正小标宋简体" w:hAnsi="方正小标宋简体" w:eastAsia="方正小标宋简体" w:cs="方正小标宋简体"/>
          <w:bCs/>
          <w:color w:val="auto"/>
          <w:sz w:val="44"/>
          <w:szCs w:val="44"/>
          <w:highlight w:val="none"/>
        </w:rPr>
        <w:t>价  文  件</w:t>
      </w:r>
    </w:p>
    <w:p>
      <w:pPr>
        <w:snapToGrid w:val="0"/>
        <w:spacing w:before="165" w:beforeLines="50" w:after="50"/>
        <w:rPr>
          <w:rFonts w:hint="eastAsia" w:ascii="宋体" w:hAnsi="宋体" w:eastAsia="宋体" w:cs="Times New Roman"/>
          <w:bCs/>
          <w:color w:val="auto"/>
          <w:sz w:val="24"/>
          <w:szCs w:val="20"/>
          <w:highlight w:val="none"/>
        </w:rPr>
      </w:pPr>
    </w:p>
    <w:p>
      <w:pPr>
        <w:snapToGrid w:val="0"/>
        <w:spacing w:before="165" w:beforeLines="50" w:after="50"/>
        <w:rPr>
          <w:rFonts w:hint="eastAsia" w:ascii="宋体" w:hAnsi="宋体" w:eastAsia="宋体" w:cs="Times New Roman"/>
          <w:bCs/>
          <w:color w:val="auto"/>
          <w:sz w:val="24"/>
          <w:szCs w:val="20"/>
          <w:highlight w:val="none"/>
        </w:rPr>
      </w:pPr>
    </w:p>
    <w:p>
      <w:pPr>
        <w:snapToGrid w:val="0"/>
        <w:spacing w:before="165" w:beforeLines="50" w:after="50"/>
        <w:rPr>
          <w:rFonts w:hint="eastAsia" w:ascii="宋体" w:hAnsi="宋体" w:eastAsia="宋体" w:cs="Times New Roman"/>
          <w:bCs/>
          <w:color w:val="auto"/>
          <w:sz w:val="24"/>
          <w:szCs w:val="20"/>
          <w:highlight w:val="none"/>
        </w:rPr>
      </w:pPr>
    </w:p>
    <w:p>
      <w:pPr>
        <w:snapToGrid w:val="0"/>
        <w:spacing w:before="165" w:beforeLines="50" w:after="50"/>
        <w:rPr>
          <w:rFonts w:hint="eastAsia" w:ascii="宋体" w:hAnsi="宋体" w:eastAsia="宋体" w:cs="Times New Roman"/>
          <w:bCs/>
          <w:color w:val="auto"/>
          <w:sz w:val="24"/>
          <w:szCs w:val="20"/>
          <w:highlight w:val="none"/>
        </w:rPr>
      </w:pPr>
    </w:p>
    <w:p>
      <w:pPr>
        <w:snapToGrid w:val="0"/>
        <w:spacing w:before="165" w:beforeLines="50" w:after="50"/>
        <w:rPr>
          <w:rFonts w:hint="eastAsia" w:ascii="宋体" w:hAnsi="宋体" w:eastAsia="宋体" w:cs="Times New Roman"/>
          <w:bCs/>
          <w:color w:val="auto"/>
          <w:sz w:val="24"/>
          <w:szCs w:val="20"/>
          <w:highlight w:val="none"/>
        </w:rPr>
      </w:pPr>
    </w:p>
    <w:p>
      <w:pPr>
        <w:snapToGrid w:val="0"/>
        <w:spacing w:before="165" w:beforeLines="50" w:after="50"/>
        <w:ind w:firstLine="640" w:firstLineChars="200"/>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项目名称：</w:t>
      </w:r>
    </w:p>
    <w:p>
      <w:pPr>
        <w:snapToGrid w:val="0"/>
        <w:spacing w:before="165" w:beforeLines="50" w:after="50"/>
        <w:ind w:firstLine="720" w:firstLineChars="225"/>
        <w:rPr>
          <w:rFonts w:hint="eastAsia" w:ascii="宋体" w:hAnsi="宋体" w:eastAsia="宋体" w:cs="仿宋_GB2312"/>
          <w:bCs/>
          <w:color w:val="auto"/>
          <w:sz w:val="32"/>
          <w:szCs w:val="32"/>
          <w:highlight w:val="none"/>
        </w:rPr>
      </w:pPr>
    </w:p>
    <w:p>
      <w:pPr>
        <w:snapToGrid w:val="0"/>
        <w:spacing w:before="165" w:beforeLines="50" w:after="50"/>
        <w:ind w:firstLine="640" w:firstLineChars="200"/>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项目编号：</w:t>
      </w:r>
    </w:p>
    <w:p>
      <w:pPr>
        <w:snapToGrid w:val="0"/>
        <w:spacing w:before="165" w:beforeLines="50" w:after="50"/>
        <w:ind w:firstLine="720" w:firstLineChars="225"/>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 xml:space="preserve"> </w:t>
      </w:r>
    </w:p>
    <w:p>
      <w:pPr>
        <w:snapToGrid w:val="0"/>
        <w:spacing w:before="165" w:beforeLines="50" w:after="50"/>
        <w:ind w:firstLine="640" w:firstLineChars="200"/>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所竞分标（如有则填写，无分标时填写“无”或者留空）：</w:t>
      </w:r>
    </w:p>
    <w:p>
      <w:pPr>
        <w:snapToGrid w:val="0"/>
        <w:spacing w:before="165" w:beforeLines="50" w:after="50"/>
        <w:ind w:firstLine="720" w:firstLineChars="225"/>
        <w:rPr>
          <w:rFonts w:hint="eastAsia" w:ascii="宋体" w:hAnsi="宋体" w:eastAsia="宋体" w:cs="仿宋_GB2312"/>
          <w:bCs/>
          <w:color w:val="auto"/>
          <w:sz w:val="32"/>
          <w:szCs w:val="32"/>
          <w:highlight w:val="none"/>
        </w:rPr>
      </w:pPr>
    </w:p>
    <w:p>
      <w:pPr>
        <w:snapToGrid w:val="0"/>
        <w:spacing w:before="50" w:after="50"/>
        <w:ind w:firstLine="640" w:firstLineChars="200"/>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供应商名称：</w:t>
      </w:r>
    </w:p>
    <w:p>
      <w:pPr>
        <w:snapToGrid w:val="0"/>
        <w:spacing w:before="50" w:after="50"/>
        <w:ind w:firstLine="720" w:firstLineChars="225"/>
        <w:rPr>
          <w:rFonts w:hint="eastAsia" w:ascii="宋体" w:hAnsi="宋体" w:eastAsia="宋体" w:cs="仿宋_GB2312"/>
          <w:bCs/>
          <w:color w:val="auto"/>
          <w:sz w:val="32"/>
          <w:szCs w:val="32"/>
          <w:highlight w:val="none"/>
        </w:rPr>
      </w:pPr>
    </w:p>
    <w:p>
      <w:pPr>
        <w:snapToGrid w:val="0"/>
        <w:spacing w:before="50" w:after="50"/>
        <w:ind w:firstLine="720" w:firstLineChars="225"/>
        <w:rPr>
          <w:rFonts w:hint="eastAsia" w:ascii="宋体" w:hAnsi="宋体" w:eastAsia="宋体" w:cs="仿宋_GB2312"/>
          <w:bCs/>
          <w:color w:val="auto"/>
          <w:sz w:val="32"/>
          <w:szCs w:val="32"/>
          <w:highlight w:val="none"/>
        </w:rPr>
      </w:pPr>
    </w:p>
    <w:p>
      <w:pPr>
        <w:snapToGrid w:val="0"/>
        <w:spacing w:before="50" w:after="50"/>
        <w:ind w:firstLine="1280" w:firstLineChars="400"/>
        <w:rPr>
          <w:rFonts w:hint="eastAsia" w:ascii="宋体" w:hAnsi="宋体" w:eastAsia="宋体" w:cs="仿宋_GB2312"/>
          <w:bCs/>
          <w:color w:val="auto"/>
          <w:sz w:val="32"/>
          <w:szCs w:val="32"/>
          <w:highlight w:val="none"/>
        </w:rPr>
      </w:pPr>
    </w:p>
    <w:p>
      <w:pPr>
        <w:snapToGrid w:val="0"/>
        <w:spacing w:before="165" w:beforeLines="50" w:after="50"/>
        <w:jc w:val="center"/>
        <w:rPr>
          <w:rFonts w:hint="eastAsia" w:ascii="宋体" w:hAnsi="宋体" w:eastAsia="宋体" w:cs="仿宋_GB2312"/>
          <w:color w:val="auto"/>
          <w:sz w:val="32"/>
          <w:szCs w:val="32"/>
          <w:highlight w:val="none"/>
        </w:rPr>
      </w:pPr>
      <w:r>
        <w:rPr>
          <w:rFonts w:hint="eastAsia" w:ascii="宋体" w:hAnsi="宋体" w:eastAsia="宋体" w:cs="仿宋_GB2312"/>
          <w:color w:val="auto"/>
          <w:sz w:val="32"/>
          <w:szCs w:val="32"/>
          <w:highlight w:val="none"/>
        </w:rPr>
        <w:t>年    月    日</w:t>
      </w:r>
    </w:p>
    <w:p>
      <w:pPr>
        <w:snapToGrid w:val="0"/>
        <w:spacing w:before="165" w:beforeLines="50" w:after="50" w:line="360" w:lineRule="auto"/>
        <w:jc w:val="left"/>
        <w:rPr>
          <w:rFonts w:hint="eastAsia" w:ascii="宋体" w:hAnsi="宋体" w:eastAsia="宋体" w:cs="宋体"/>
          <w:color w:val="auto"/>
          <w:sz w:val="28"/>
          <w:szCs w:val="28"/>
          <w:highlight w:val="none"/>
        </w:rPr>
      </w:pPr>
      <w:r>
        <w:rPr>
          <w:rFonts w:ascii="宋体" w:hAnsi="宋体" w:eastAsia="宋体" w:cs="Times New Roman"/>
          <w:color w:val="auto"/>
          <w:sz w:val="24"/>
          <w:szCs w:val="24"/>
          <w:highlight w:val="none"/>
        </w:rPr>
        <w:br w:type="page"/>
      </w:r>
      <w:r>
        <w:rPr>
          <w:rFonts w:hint="eastAsia" w:ascii="宋体" w:hAnsi="宋体" w:eastAsia="宋体" w:cs="宋体"/>
          <w:b/>
          <w:color w:val="auto"/>
          <w:sz w:val="28"/>
          <w:szCs w:val="28"/>
          <w:highlight w:val="none"/>
        </w:rPr>
        <w:t>2.</w:t>
      </w:r>
      <w:r>
        <w:rPr>
          <w:rFonts w:hint="eastAsia" w:ascii="宋体" w:hAnsi="宋体" w:eastAsia="宋体" w:cs="宋体"/>
          <w:b/>
          <w:bCs/>
          <w:color w:val="auto"/>
          <w:sz w:val="28"/>
          <w:szCs w:val="28"/>
          <w:highlight w:val="none"/>
        </w:rPr>
        <w:t>报价文件目录</w:t>
      </w:r>
    </w:p>
    <w:p>
      <w:pPr>
        <w:snapToGrid w:val="0"/>
        <w:spacing w:before="50" w:after="165" w:afterLines="50" w:line="360" w:lineRule="auto"/>
        <w:jc w:val="left"/>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根据竞争性谈判文件规定及供应商提供的材料自行编写目录</w:t>
      </w:r>
      <w:r>
        <w:rPr>
          <w:rFonts w:hint="eastAsia" w:ascii="宋体" w:hAnsi="宋体" w:eastAsia="宋体" w:cs="宋体"/>
          <w:color w:val="auto"/>
          <w:kern w:val="0"/>
          <w:sz w:val="28"/>
          <w:szCs w:val="28"/>
          <w:highlight w:val="none"/>
        </w:rPr>
        <w:t>（部分格式后附）</w:t>
      </w:r>
      <w:r>
        <w:rPr>
          <w:rFonts w:hint="eastAsia" w:ascii="宋体" w:hAnsi="宋体" w:eastAsia="宋体" w:cs="宋体"/>
          <w:color w:val="auto"/>
          <w:sz w:val="28"/>
          <w:szCs w:val="28"/>
          <w:highlight w:val="none"/>
        </w:rPr>
        <w:t>。</w:t>
      </w:r>
    </w:p>
    <w:p>
      <w:pPr>
        <w:spacing w:line="360" w:lineRule="auto"/>
        <w:rPr>
          <w:rFonts w:hint="eastAsia" w:ascii="仿宋_GB2312" w:hAnsi="仿宋" w:eastAsia="仿宋_GB2312" w:cs="仿宋_GB2312"/>
          <w:b/>
          <w:bCs/>
          <w:i/>
          <w:iCs/>
          <w:color w:val="auto"/>
          <w:sz w:val="24"/>
          <w:szCs w:val="24"/>
          <w:highlight w:val="none"/>
        </w:rPr>
      </w:pPr>
    </w:p>
    <w:p>
      <w:pPr>
        <w:snapToGrid w:val="0"/>
        <w:spacing w:before="165" w:beforeLines="50" w:after="50" w:line="360" w:lineRule="auto"/>
        <w:ind w:left="142" w:firstLine="640" w:firstLineChars="200"/>
        <w:jc w:val="left"/>
        <w:rPr>
          <w:rFonts w:hint="eastAsia" w:ascii="仿宋_GB2312" w:hAnsi="仿宋_GB2312" w:eastAsia="仿宋_GB2312" w:cs="仿宋_GB2312"/>
          <w:color w:val="auto"/>
          <w:sz w:val="32"/>
          <w:szCs w:val="32"/>
          <w:highlight w:val="none"/>
        </w:rPr>
      </w:pPr>
    </w:p>
    <w:p>
      <w:pPr>
        <w:spacing w:line="500" w:lineRule="exact"/>
        <w:rPr>
          <w:rFonts w:hint="eastAsia" w:ascii="宋体" w:hAnsi="宋体" w:eastAsia="宋体" w:cs="仿宋_GB2312"/>
          <w:color w:val="auto"/>
          <w:kern w:val="0"/>
          <w:sz w:val="24"/>
          <w:szCs w:val="21"/>
          <w:highlight w:val="none"/>
          <w:lang w:val="zh-CN"/>
        </w:rPr>
      </w:pPr>
      <w:r>
        <w:rPr>
          <w:rFonts w:ascii="宋体" w:hAnsi="宋体" w:eastAsia="宋体" w:cs="仿宋_GB2312"/>
          <w:color w:val="auto"/>
          <w:kern w:val="0"/>
          <w:sz w:val="24"/>
          <w:szCs w:val="21"/>
          <w:highlight w:val="none"/>
          <w:lang w:val="zh-CN"/>
        </w:rPr>
        <w:br w:type="page"/>
      </w:r>
      <w:r>
        <w:rPr>
          <w:rFonts w:hint="eastAsia" w:ascii="宋体" w:hAnsi="宋体" w:eastAsia="宋体" w:cs="宋体"/>
          <w:b/>
          <w:color w:val="auto"/>
          <w:sz w:val="28"/>
          <w:szCs w:val="28"/>
          <w:highlight w:val="none"/>
        </w:rPr>
        <w:t>3.</w:t>
      </w:r>
      <w:r>
        <w:rPr>
          <w:rFonts w:hint="eastAsia" w:ascii="宋体" w:hAnsi="宋体" w:eastAsia="宋体" w:cs="宋体"/>
          <w:b/>
          <w:color w:val="auto"/>
          <w:sz w:val="28"/>
          <w:szCs w:val="28"/>
          <w:highlight w:val="none"/>
          <w:lang w:val="zh-CN"/>
        </w:rPr>
        <w:t>响应函的格式：</w:t>
      </w:r>
    </w:p>
    <w:p>
      <w:pPr>
        <w:spacing w:line="500" w:lineRule="exact"/>
        <w:jc w:val="center"/>
        <w:rPr>
          <w:rFonts w:ascii="Times New Roman" w:hAnsi="Times New Roman" w:eastAsia="宋体" w:cs="Times New Roman"/>
          <w:b/>
          <w:bCs/>
          <w:color w:val="auto"/>
          <w:kern w:val="0"/>
          <w:sz w:val="30"/>
          <w:szCs w:val="30"/>
          <w:highlight w:val="none"/>
          <w:lang w:val="zh-CN"/>
        </w:rPr>
      </w:pPr>
      <w:r>
        <w:rPr>
          <w:rFonts w:hint="eastAsia" w:ascii="Times New Roman" w:hAnsi="Times New Roman" w:eastAsia="宋体" w:cs="Times New Roman"/>
          <w:b/>
          <w:bCs/>
          <w:color w:val="auto"/>
          <w:kern w:val="0"/>
          <w:sz w:val="30"/>
          <w:szCs w:val="30"/>
          <w:highlight w:val="none"/>
          <w:lang w:val="zh-CN"/>
        </w:rPr>
        <w:t>响应函</w:t>
      </w:r>
    </w:p>
    <w:p>
      <w:pPr>
        <w:spacing w:line="360" w:lineRule="auto"/>
        <w:rPr>
          <w:rFonts w:ascii="Times New Roman" w:hAnsi="Times New Roman" w:eastAsia="宋体" w:cs="Times New Roman"/>
          <w:color w:val="auto"/>
          <w:kern w:val="0"/>
          <w:sz w:val="20"/>
          <w:szCs w:val="21"/>
          <w:highlight w:val="none"/>
          <w:lang w:val="zh-CN"/>
        </w:rPr>
      </w:pPr>
    </w:p>
    <w:p>
      <w:pPr>
        <w:spacing w:line="360" w:lineRule="auto"/>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lang w:val="zh-CN"/>
        </w:rPr>
        <w:t>致：</w:t>
      </w:r>
      <w:r>
        <w:rPr>
          <w:rFonts w:hint="eastAsia" w:ascii="宋体" w:hAnsi="宋体" w:eastAsia="宋体" w:cs="宋体"/>
          <w:color w:val="auto"/>
          <w:kern w:val="0"/>
          <w:sz w:val="20"/>
          <w:szCs w:val="21"/>
          <w:highlight w:val="none"/>
          <w:u w:val="single"/>
          <w:lang w:val="zh-CN"/>
        </w:rPr>
        <w:t xml:space="preserve"> 广西</w:t>
      </w:r>
      <w:r>
        <w:rPr>
          <w:rFonts w:hint="eastAsia" w:ascii="宋体" w:hAnsi="宋体" w:eastAsia="宋体" w:cs="宋体"/>
          <w:color w:val="auto"/>
          <w:kern w:val="0"/>
          <w:sz w:val="20"/>
          <w:szCs w:val="21"/>
          <w:highlight w:val="none"/>
          <w:u w:val="single"/>
          <w:lang w:val="zh-CN" w:eastAsia="zh-CN"/>
        </w:rPr>
        <w:t>华晟</w:t>
      </w:r>
      <w:r>
        <w:rPr>
          <w:rFonts w:hint="eastAsia" w:ascii="宋体" w:hAnsi="宋体" w:eastAsia="宋体" w:cs="宋体"/>
          <w:color w:val="auto"/>
          <w:kern w:val="0"/>
          <w:sz w:val="20"/>
          <w:szCs w:val="21"/>
          <w:highlight w:val="none"/>
          <w:u w:val="single"/>
          <w:lang w:val="zh-CN"/>
        </w:rPr>
        <w:t>招标</w:t>
      </w:r>
      <w:r>
        <w:rPr>
          <w:rFonts w:hint="eastAsia" w:ascii="宋体" w:hAnsi="宋体" w:eastAsia="宋体" w:cs="宋体"/>
          <w:color w:val="auto"/>
          <w:kern w:val="0"/>
          <w:sz w:val="20"/>
          <w:szCs w:val="21"/>
          <w:highlight w:val="none"/>
          <w:u w:val="single"/>
          <w:lang w:val="zh-CN" w:eastAsia="zh-CN"/>
        </w:rPr>
        <w:t>代理</w:t>
      </w:r>
      <w:r>
        <w:rPr>
          <w:rFonts w:hint="eastAsia" w:ascii="宋体" w:hAnsi="宋体" w:eastAsia="宋体" w:cs="宋体"/>
          <w:color w:val="auto"/>
          <w:kern w:val="0"/>
          <w:sz w:val="20"/>
          <w:szCs w:val="21"/>
          <w:highlight w:val="none"/>
          <w:u w:val="single"/>
          <w:lang w:val="zh-CN"/>
        </w:rPr>
        <w:t>有限公司</w:t>
      </w:r>
      <w:r>
        <w:rPr>
          <w:rFonts w:hint="eastAsia" w:ascii="宋体" w:hAnsi="宋体" w:eastAsia="宋体" w:cs="宋体"/>
          <w:color w:val="auto"/>
          <w:kern w:val="0"/>
          <w:sz w:val="20"/>
          <w:szCs w:val="21"/>
          <w:highlight w:val="none"/>
          <w:u w:val="single"/>
        </w:rPr>
        <w:t xml:space="preserve"> </w:t>
      </w:r>
    </w:p>
    <w:p>
      <w:pPr>
        <w:spacing w:line="360" w:lineRule="auto"/>
        <w:ind w:firstLine="400" w:firstLineChars="200"/>
        <w:rPr>
          <w:rFonts w:hint="eastAsia" w:ascii="宋体" w:hAnsi="宋体" w:eastAsia="宋体" w:cs="宋体"/>
          <w:color w:val="auto"/>
          <w:kern w:val="0"/>
          <w:sz w:val="20"/>
          <w:szCs w:val="21"/>
          <w:highlight w:val="none"/>
          <w:lang w:val="zh-CN"/>
        </w:rPr>
      </w:pPr>
      <w:r>
        <w:rPr>
          <w:rFonts w:hint="eastAsia" w:ascii="宋体" w:hAnsi="宋体" w:eastAsia="宋体" w:cs="宋体"/>
          <w:color w:val="auto"/>
          <w:kern w:val="0"/>
          <w:sz w:val="20"/>
          <w:szCs w:val="21"/>
          <w:highlight w:val="none"/>
          <w:lang w:val="zh-CN"/>
        </w:rPr>
        <w:t>我方已仔细阅读了贵方组织的</w:t>
      </w:r>
      <w:r>
        <w:rPr>
          <w:rFonts w:hint="eastAsia" w:ascii="宋体" w:hAnsi="宋体" w:eastAsia="宋体" w:cs="宋体"/>
          <w:color w:val="auto"/>
          <w:kern w:val="0"/>
          <w:sz w:val="20"/>
          <w:szCs w:val="21"/>
          <w:highlight w:val="none"/>
          <w:u w:val="single"/>
        </w:rPr>
        <w:t xml:space="preserve">             </w:t>
      </w:r>
      <w:r>
        <w:rPr>
          <w:rFonts w:hint="eastAsia" w:ascii="宋体" w:hAnsi="宋体" w:eastAsia="宋体" w:cs="宋体"/>
          <w:color w:val="auto"/>
          <w:kern w:val="0"/>
          <w:sz w:val="20"/>
          <w:szCs w:val="21"/>
          <w:highlight w:val="none"/>
          <w:u w:val="single"/>
          <w:lang w:val="zh-CN"/>
        </w:rPr>
        <w:t xml:space="preserve"> </w:t>
      </w:r>
      <w:r>
        <w:rPr>
          <w:rFonts w:hint="eastAsia" w:ascii="宋体" w:hAnsi="宋体" w:eastAsia="宋体" w:cs="宋体"/>
          <w:color w:val="auto"/>
          <w:kern w:val="0"/>
          <w:sz w:val="20"/>
          <w:szCs w:val="21"/>
          <w:highlight w:val="none"/>
          <w:lang w:val="zh-CN"/>
        </w:rPr>
        <w:t>项目（项目编号：</w:t>
      </w:r>
      <w:r>
        <w:rPr>
          <w:rFonts w:hint="eastAsia" w:ascii="宋体" w:hAnsi="宋体" w:eastAsia="宋体" w:cs="宋体"/>
          <w:color w:val="auto"/>
          <w:kern w:val="0"/>
          <w:sz w:val="20"/>
          <w:szCs w:val="21"/>
          <w:highlight w:val="none"/>
          <w:u w:val="single"/>
        </w:rPr>
        <w:t xml:space="preserve">                   </w:t>
      </w:r>
      <w:r>
        <w:rPr>
          <w:rFonts w:hint="eastAsia" w:ascii="宋体" w:hAnsi="宋体" w:eastAsia="宋体" w:cs="宋体"/>
          <w:color w:val="auto"/>
          <w:kern w:val="0"/>
          <w:sz w:val="20"/>
          <w:szCs w:val="21"/>
          <w:highlight w:val="none"/>
          <w:lang w:val="zh-CN"/>
        </w:rPr>
        <w:t xml:space="preserve">）的竞争性谈判文件的全部内容，现正式递交下述文件参加贵方组织的本次政府采购活动： </w:t>
      </w:r>
    </w:p>
    <w:p>
      <w:pPr>
        <w:spacing w:line="360" w:lineRule="auto"/>
        <w:ind w:firstLine="400" w:firstLineChars="200"/>
        <w:rPr>
          <w:rFonts w:hint="eastAsia" w:ascii="宋体" w:hAnsi="宋体" w:eastAsia="宋体" w:cs="宋体"/>
          <w:color w:val="auto"/>
          <w:kern w:val="0"/>
          <w:sz w:val="20"/>
          <w:szCs w:val="21"/>
          <w:highlight w:val="none"/>
          <w:lang w:val="zh-CN"/>
        </w:rPr>
      </w:pPr>
      <w:r>
        <w:rPr>
          <w:rFonts w:hint="eastAsia" w:ascii="宋体" w:hAnsi="宋体" w:eastAsia="宋体" w:cs="宋体"/>
          <w:color w:val="auto"/>
          <w:kern w:val="0"/>
          <w:sz w:val="20"/>
          <w:szCs w:val="21"/>
          <w:highlight w:val="none"/>
          <w:lang w:val="zh-CN"/>
        </w:rPr>
        <w:t>一、首次报价文件电子版（包含按“第三章 供应商须知”提交的全部文件）；</w:t>
      </w:r>
    </w:p>
    <w:p>
      <w:pPr>
        <w:spacing w:line="360" w:lineRule="auto"/>
        <w:ind w:firstLine="400" w:firstLineChars="200"/>
        <w:rPr>
          <w:rFonts w:hint="eastAsia" w:ascii="宋体" w:hAnsi="宋体" w:eastAsia="宋体" w:cs="宋体"/>
          <w:color w:val="auto"/>
          <w:kern w:val="0"/>
          <w:sz w:val="20"/>
          <w:szCs w:val="21"/>
          <w:highlight w:val="none"/>
          <w:lang w:val="zh-CN"/>
        </w:rPr>
      </w:pPr>
      <w:r>
        <w:rPr>
          <w:rFonts w:hint="eastAsia" w:ascii="宋体" w:hAnsi="宋体" w:eastAsia="宋体" w:cs="宋体"/>
          <w:color w:val="auto"/>
          <w:kern w:val="0"/>
          <w:sz w:val="20"/>
          <w:szCs w:val="21"/>
          <w:highlight w:val="none"/>
          <w:lang w:val="zh-CN"/>
        </w:rPr>
        <w:t>二、技术文件电子版（包含按“第三章 供应商须知”提交的全部文件）；商务文件电子版（包含按“第三章 供应商须知”提交的全部文件）；</w:t>
      </w:r>
    </w:p>
    <w:p>
      <w:pPr>
        <w:spacing w:line="360" w:lineRule="auto"/>
        <w:ind w:firstLine="400" w:firstLineChars="200"/>
        <w:rPr>
          <w:rFonts w:hint="eastAsia" w:ascii="宋体" w:hAnsi="宋体" w:eastAsia="宋体" w:cs="宋体"/>
          <w:color w:val="auto"/>
          <w:kern w:val="0"/>
          <w:sz w:val="20"/>
          <w:szCs w:val="21"/>
          <w:highlight w:val="none"/>
          <w:lang w:val="zh-CN"/>
        </w:rPr>
      </w:pPr>
      <w:r>
        <w:rPr>
          <w:rFonts w:hint="eastAsia" w:ascii="宋体" w:hAnsi="宋体" w:eastAsia="宋体" w:cs="宋体"/>
          <w:color w:val="auto"/>
          <w:kern w:val="0"/>
          <w:sz w:val="20"/>
          <w:szCs w:val="21"/>
          <w:highlight w:val="none"/>
          <w:lang w:val="zh-CN"/>
        </w:rPr>
        <w:t>三、资格证明文件电子版（包含按“第三章供应商须知”提交的全部文件）。</w:t>
      </w:r>
    </w:p>
    <w:p>
      <w:pPr>
        <w:spacing w:line="360" w:lineRule="auto"/>
        <w:ind w:firstLine="400" w:firstLineChars="200"/>
        <w:rPr>
          <w:rFonts w:hint="eastAsia" w:ascii="宋体" w:hAnsi="宋体" w:eastAsia="宋体" w:cs="宋体"/>
          <w:color w:val="auto"/>
          <w:kern w:val="0"/>
          <w:sz w:val="20"/>
          <w:szCs w:val="21"/>
          <w:highlight w:val="none"/>
          <w:lang w:val="zh-CN"/>
        </w:rPr>
      </w:pPr>
      <w:r>
        <w:rPr>
          <w:rFonts w:hint="eastAsia" w:ascii="宋体" w:hAnsi="宋体" w:eastAsia="宋体" w:cs="宋体"/>
          <w:color w:val="auto"/>
          <w:kern w:val="0"/>
          <w:sz w:val="20"/>
          <w:szCs w:val="21"/>
          <w:highlight w:val="none"/>
          <w:lang w:val="zh-CN"/>
        </w:rPr>
        <w:t>据此函，</w:t>
      </w:r>
      <w:r>
        <w:rPr>
          <w:rFonts w:hint="eastAsia" w:ascii="宋体" w:hAnsi="宋体" w:eastAsia="宋体" w:cs="宋体"/>
          <w:color w:val="auto"/>
          <w:kern w:val="0"/>
          <w:sz w:val="20"/>
          <w:szCs w:val="21"/>
          <w:highlight w:val="none"/>
        </w:rPr>
        <w:t>我方</w:t>
      </w:r>
      <w:r>
        <w:rPr>
          <w:rFonts w:hint="eastAsia" w:ascii="宋体" w:hAnsi="宋体" w:eastAsia="宋体" w:cs="宋体"/>
          <w:color w:val="auto"/>
          <w:kern w:val="0"/>
          <w:sz w:val="20"/>
          <w:szCs w:val="21"/>
          <w:highlight w:val="none"/>
          <w:lang w:val="zh-CN"/>
        </w:rPr>
        <w:t>兹宣布：</w:t>
      </w:r>
    </w:p>
    <w:p>
      <w:pPr>
        <w:spacing w:line="360" w:lineRule="auto"/>
        <w:ind w:firstLine="482"/>
        <w:rPr>
          <w:rFonts w:hint="eastAsia" w:ascii="宋体" w:hAnsi="宋体" w:eastAsia="宋体" w:cs="宋体"/>
          <w:color w:val="auto"/>
          <w:kern w:val="0"/>
          <w:sz w:val="20"/>
          <w:szCs w:val="21"/>
          <w:highlight w:val="none"/>
          <w:lang w:val="zh-CN"/>
        </w:rPr>
      </w:pPr>
      <w:r>
        <w:rPr>
          <w:rFonts w:hint="eastAsia" w:ascii="宋体" w:hAnsi="宋体" w:eastAsia="宋体" w:cs="宋体"/>
          <w:color w:val="auto"/>
          <w:kern w:val="0"/>
          <w:sz w:val="20"/>
          <w:szCs w:val="21"/>
          <w:highlight w:val="none"/>
          <w:lang w:val="zh-CN"/>
        </w:rPr>
        <w:t>1、我方愿意以谈判时提交的最后报价表中的竞标总报价，在承诺的交付使用期内提供本项目竞争性谈判文件“第二章</w:t>
      </w:r>
      <w:r>
        <w:rPr>
          <w:rFonts w:hint="eastAsia" w:ascii="宋体" w:hAnsi="宋体" w:eastAsia="宋体" w:cs="宋体"/>
          <w:color w:val="auto"/>
          <w:kern w:val="0"/>
          <w:sz w:val="20"/>
          <w:szCs w:val="21"/>
          <w:highlight w:val="none"/>
        </w:rPr>
        <w:t xml:space="preserve">  采购需求</w:t>
      </w:r>
      <w:r>
        <w:rPr>
          <w:rFonts w:hint="eastAsia" w:ascii="宋体" w:hAnsi="宋体" w:eastAsia="宋体" w:cs="宋体"/>
          <w:color w:val="auto"/>
          <w:kern w:val="0"/>
          <w:sz w:val="20"/>
          <w:szCs w:val="21"/>
          <w:highlight w:val="none"/>
          <w:lang w:val="zh-CN"/>
        </w:rPr>
        <w:t>”的“需求一览表”中相应的采购内容，具体详见最后报价表。</w:t>
      </w:r>
    </w:p>
    <w:p>
      <w:pPr>
        <w:spacing w:line="360" w:lineRule="auto"/>
        <w:ind w:firstLine="482"/>
        <w:rPr>
          <w:rFonts w:hint="eastAsia" w:ascii="宋体" w:hAnsi="宋体" w:eastAsia="宋体" w:cs="宋体"/>
          <w:color w:val="auto"/>
          <w:kern w:val="0"/>
          <w:sz w:val="20"/>
          <w:szCs w:val="21"/>
          <w:highlight w:val="none"/>
          <w:lang w:val="zh-CN"/>
        </w:rPr>
      </w:pPr>
      <w:r>
        <w:rPr>
          <w:rFonts w:hint="eastAsia" w:ascii="宋体" w:hAnsi="宋体" w:eastAsia="宋体" w:cs="宋体"/>
          <w:color w:val="auto"/>
          <w:kern w:val="0"/>
          <w:sz w:val="20"/>
          <w:szCs w:val="21"/>
          <w:highlight w:val="none"/>
          <w:lang w:val="zh-CN"/>
        </w:rPr>
        <w:t>2、我方同意自本项目竞争性谈判文件采购公告规定的提交响应文件截止时间起遵循本响应函，并承诺在“第三章 供应商须知”规定的</w:t>
      </w:r>
      <w:r>
        <w:rPr>
          <w:rFonts w:hint="eastAsia" w:ascii="宋体" w:hAnsi="宋体" w:eastAsia="宋体" w:cs="宋体"/>
          <w:color w:val="auto"/>
          <w:kern w:val="0"/>
          <w:sz w:val="20"/>
          <w:szCs w:val="21"/>
          <w:highlight w:val="none"/>
        </w:rPr>
        <w:t>竞标</w:t>
      </w:r>
      <w:r>
        <w:rPr>
          <w:rFonts w:hint="eastAsia" w:ascii="宋体" w:hAnsi="宋体" w:eastAsia="宋体" w:cs="宋体"/>
          <w:color w:val="auto"/>
          <w:kern w:val="0"/>
          <w:sz w:val="20"/>
          <w:szCs w:val="21"/>
          <w:highlight w:val="none"/>
          <w:lang w:val="zh-CN"/>
        </w:rPr>
        <w:t>有效期内不修改、撤销响应文件。</w:t>
      </w:r>
    </w:p>
    <w:p>
      <w:pPr>
        <w:spacing w:line="360" w:lineRule="auto"/>
        <w:ind w:firstLine="482"/>
        <w:rPr>
          <w:rFonts w:hint="eastAsia" w:ascii="宋体" w:hAnsi="宋体" w:eastAsia="宋体" w:cs="宋体"/>
          <w:color w:val="auto"/>
          <w:kern w:val="0"/>
          <w:sz w:val="20"/>
          <w:szCs w:val="21"/>
          <w:highlight w:val="none"/>
          <w:lang w:val="zh-CN"/>
        </w:rPr>
      </w:pPr>
      <w:r>
        <w:rPr>
          <w:rFonts w:hint="eastAsia" w:ascii="宋体" w:hAnsi="宋体" w:eastAsia="宋体" w:cs="宋体"/>
          <w:color w:val="auto"/>
          <w:kern w:val="0"/>
          <w:sz w:val="20"/>
          <w:szCs w:val="21"/>
          <w:highlight w:val="none"/>
        </w:rPr>
        <w:t>3</w:t>
      </w:r>
      <w:r>
        <w:rPr>
          <w:rFonts w:hint="eastAsia" w:ascii="宋体" w:hAnsi="宋体" w:eastAsia="宋体" w:cs="宋体"/>
          <w:color w:val="auto"/>
          <w:kern w:val="0"/>
          <w:sz w:val="20"/>
          <w:szCs w:val="21"/>
          <w:highlight w:val="none"/>
          <w:lang w:val="zh-CN"/>
        </w:rPr>
        <w:t>、如本项目采购内容涉及须符合国家强制规定的，我方承诺我方本次竞标均符合国家有关强制规定。</w:t>
      </w:r>
    </w:p>
    <w:p>
      <w:pPr>
        <w:spacing w:line="360" w:lineRule="auto"/>
        <w:ind w:firstLine="482"/>
        <w:rPr>
          <w:rFonts w:hint="eastAsia" w:ascii="宋体" w:hAnsi="宋体" w:eastAsia="宋体" w:cs="宋体"/>
          <w:color w:val="auto"/>
          <w:kern w:val="0"/>
          <w:sz w:val="20"/>
          <w:szCs w:val="21"/>
          <w:highlight w:val="none"/>
          <w:lang w:val="zh-CN"/>
        </w:rPr>
      </w:pPr>
      <w:r>
        <w:rPr>
          <w:rFonts w:hint="eastAsia" w:ascii="宋体" w:hAnsi="宋体" w:eastAsia="宋体" w:cs="宋体"/>
          <w:color w:val="auto"/>
          <w:kern w:val="0"/>
          <w:sz w:val="20"/>
          <w:szCs w:val="21"/>
          <w:highlight w:val="none"/>
        </w:rPr>
        <w:t>4</w:t>
      </w:r>
      <w:r>
        <w:rPr>
          <w:rFonts w:hint="eastAsia" w:ascii="宋体" w:hAnsi="宋体" w:eastAsia="宋体" w:cs="宋体"/>
          <w:color w:val="auto"/>
          <w:kern w:val="0"/>
          <w:sz w:val="20"/>
          <w:szCs w:val="21"/>
          <w:highlight w:val="none"/>
          <w:lang w:val="zh-CN"/>
        </w:rPr>
        <w:t>、如我方成交，我方承诺在收到成交通知书后，在成交通知书规定的期限内，根据竞争性谈判文件、我方的响应文件及有关澄清承诺书的要求按第六章“合同文本”与采购人订立书面合同，并按照合同约定承担完成合同的责任和义务。</w:t>
      </w:r>
    </w:p>
    <w:p>
      <w:pPr>
        <w:spacing w:line="360" w:lineRule="auto"/>
        <w:ind w:firstLine="482"/>
        <w:rPr>
          <w:rFonts w:hint="eastAsia" w:ascii="宋体" w:hAnsi="宋体" w:eastAsia="宋体" w:cs="宋体"/>
          <w:color w:val="auto"/>
          <w:kern w:val="0"/>
          <w:sz w:val="20"/>
          <w:szCs w:val="21"/>
          <w:highlight w:val="none"/>
          <w:lang w:val="zh-CN"/>
        </w:rPr>
      </w:pPr>
      <w:r>
        <w:rPr>
          <w:rFonts w:hint="eastAsia" w:ascii="宋体" w:hAnsi="宋体" w:eastAsia="宋体" w:cs="宋体"/>
          <w:color w:val="auto"/>
          <w:kern w:val="0"/>
          <w:sz w:val="20"/>
          <w:szCs w:val="21"/>
          <w:highlight w:val="none"/>
        </w:rPr>
        <w:t>5</w:t>
      </w:r>
      <w:r>
        <w:rPr>
          <w:rFonts w:hint="eastAsia" w:ascii="宋体" w:hAnsi="宋体" w:eastAsia="宋体" w:cs="宋体"/>
          <w:color w:val="auto"/>
          <w:kern w:val="0"/>
          <w:sz w:val="20"/>
          <w:szCs w:val="21"/>
          <w:highlight w:val="none"/>
          <w:lang w:val="zh-CN"/>
        </w:rPr>
        <w:t>、我方已详细审核竞争性谈判文件，我方知道必须放弃提出含糊不清或误解问题的权利。</w:t>
      </w:r>
    </w:p>
    <w:p>
      <w:pPr>
        <w:spacing w:line="360" w:lineRule="auto"/>
        <w:ind w:firstLine="482"/>
        <w:rPr>
          <w:rFonts w:hint="eastAsia" w:ascii="宋体" w:hAnsi="宋体" w:eastAsia="宋体" w:cs="宋体"/>
          <w:color w:val="auto"/>
          <w:kern w:val="0"/>
          <w:sz w:val="20"/>
          <w:szCs w:val="21"/>
          <w:highlight w:val="none"/>
          <w:lang w:val="zh-CN"/>
        </w:rPr>
      </w:pPr>
      <w:r>
        <w:rPr>
          <w:rFonts w:hint="eastAsia" w:ascii="宋体" w:hAnsi="宋体" w:eastAsia="宋体" w:cs="宋体"/>
          <w:color w:val="auto"/>
          <w:kern w:val="0"/>
          <w:sz w:val="20"/>
          <w:szCs w:val="21"/>
          <w:highlight w:val="none"/>
        </w:rPr>
        <w:t>6</w:t>
      </w:r>
      <w:r>
        <w:rPr>
          <w:rFonts w:hint="eastAsia" w:ascii="宋体" w:hAnsi="宋体" w:eastAsia="宋体" w:cs="宋体"/>
          <w:color w:val="auto"/>
          <w:kern w:val="0"/>
          <w:sz w:val="20"/>
          <w:szCs w:val="21"/>
          <w:highlight w:val="none"/>
          <w:lang w:val="zh-CN"/>
        </w:rPr>
        <w:t>、我方承诺满足竞争性谈判文件第六章“合同文本”的条款，承担完成合同的责任和义务。</w:t>
      </w:r>
    </w:p>
    <w:p>
      <w:pPr>
        <w:spacing w:line="360" w:lineRule="auto"/>
        <w:ind w:firstLine="482"/>
        <w:rPr>
          <w:rFonts w:hint="eastAsia" w:ascii="宋体" w:hAnsi="宋体" w:eastAsia="宋体" w:cs="宋体"/>
          <w:color w:val="auto"/>
          <w:kern w:val="0"/>
          <w:sz w:val="20"/>
          <w:szCs w:val="21"/>
          <w:highlight w:val="none"/>
          <w:lang w:val="zh-CN"/>
        </w:rPr>
      </w:pPr>
      <w:r>
        <w:rPr>
          <w:rFonts w:hint="eastAsia" w:ascii="宋体" w:hAnsi="宋体" w:eastAsia="宋体" w:cs="宋体"/>
          <w:color w:val="auto"/>
          <w:kern w:val="0"/>
          <w:sz w:val="20"/>
          <w:szCs w:val="21"/>
          <w:highlight w:val="none"/>
        </w:rPr>
        <w:t>7</w:t>
      </w:r>
      <w:r>
        <w:rPr>
          <w:rFonts w:hint="eastAsia" w:ascii="宋体" w:hAnsi="宋体" w:eastAsia="宋体" w:cs="宋体"/>
          <w:color w:val="auto"/>
          <w:kern w:val="0"/>
          <w:sz w:val="20"/>
          <w:szCs w:val="21"/>
          <w:highlight w:val="none"/>
          <w:lang w:val="zh-CN"/>
        </w:rPr>
        <w:t>、我方同意应贵方要求提供与本竞标有关的任何数据或资料。若贵方需要，我方愿意提供我方作出的一切承诺的证明材料。</w:t>
      </w:r>
    </w:p>
    <w:p>
      <w:pPr>
        <w:spacing w:line="360" w:lineRule="auto"/>
        <w:ind w:firstLine="482"/>
        <w:rPr>
          <w:rFonts w:hint="eastAsia" w:ascii="宋体" w:hAnsi="宋体" w:eastAsia="宋体" w:cs="宋体"/>
          <w:color w:val="auto"/>
          <w:kern w:val="0"/>
          <w:sz w:val="20"/>
          <w:szCs w:val="21"/>
          <w:highlight w:val="none"/>
          <w:lang w:val="zh-CN"/>
        </w:rPr>
      </w:pPr>
      <w:r>
        <w:rPr>
          <w:rFonts w:hint="eastAsia" w:ascii="宋体" w:hAnsi="宋体" w:eastAsia="宋体" w:cs="宋体"/>
          <w:color w:val="auto"/>
          <w:kern w:val="0"/>
          <w:sz w:val="20"/>
          <w:szCs w:val="21"/>
          <w:highlight w:val="none"/>
        </w:rPr>
        <w:t>8</w:t>
      </w:r>
      <w:r>
        <w:rPr>
          <w:rFonts w:hint="eastAsia" w:ascii="宋体" w:hAnsi="宋体" w:eastAsia="宋体" w:cs="宋体"/>
          <w:color w:val="auto"/>
          <w:kern w:val="0"/>
          <w:sz w:val="20"/>
          <w:szCs w:val="21"/>
          <w:highlight w:val="none"/>
          <w:lang w:val="zh-CN"/>
        </w:rPr>
        <w:t>、我方完全理解贵方不一定接受响应报价最低的供应商为成交供应商的行为。</w:t>
      </w:r>
    </w:p>
    <w:p>
      <w:pPr>
        <w:spacing w:line="360" w:lineRule="auto"/>
        <w:ind w:firstLine="482"/>
        <w:rPr>
          <w:rFonts w:hint="eastAsia" w:ascii="宋体" w:hAnsi="宋体" w:eastAsia="宋体" w:cs="宋体"/>
          <w:color w:val="auto"/>
          <w:kern w:val="0"/>
          <w:sz w:val="20"/>
          <w:szCs w:val="21"/>
          <w:highlight w:val="none"/>
          <w:lang w:val="zh-CN"/>
        </w:rPr>
      </w:pPr>
      <w:r>
        <w:rPr>
          <w:rFonts w:hint="eastAsia" w:ascii="宋体" w:hAnsi="宋体" w:eastAsia="宋体" w:cs="宋体"/>
          <w:color w:val="auto"/>
          <w:kern w:val="0"/>
          <w:sz w:val="20"/>
          <w:szCs w:val="21"/>
          <w:highlight w:val="none"/>
        </w:rPr>
        <w:t>9</w:t>
      </w:r>
      <w:r>
        <w:rPr>
          <w:rFonts w:hint="eastAsia" w:ascii="宋体" w:hAnsi="宋体" w:eastAsia="宋体" w:cs="宋体"/>
          <w:color w:val="auto"/>
          <w:kern w:val="0"/>
          <w:sz w:val="20"/>
          <w:szCs w:val="21"/>
          <w:highlight w:val="none"/>
          <w:lang w:val="zh-CN"/>
        </w:rPr>
        <w:t>、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numPr>
          <w:ilvl w:val="0"/>
          <w:numId w:val="2"/>
        </w:numPr>
        <w:tabs>
          <w:tab w:val="left" w:pos="945"/>
        </w:tabs>
        <w:spacing w:line="360" w:lineRule="auto"/>
        <w:rPr>
          <w:rFonts w:hint="eastAsia" w:ascii="宋体" w:hAnsi="宋体" w:eastAsia="宋体" w:cs="宋体"/>
          <w:color w:val="auto"/>
          <w:kern w:val="0"/>
          <w:sz w:val="20"/>
          <w:szCs w:val="21"/>
          <w:highlight w:val="none"/>
          <w:lang w:val="zh-CN"/>
        </w:rPr>
      </w:pPr>
      <w:r>
        <w:rPr>
          <w:rFonts w:hint="eastAsia" w:ascii="宋体" w:hAnsi="宋体" w:eastAsia="宋体" w:cs="宋体"/>
          <w:color w:val="auto"/>
          <w:kern w:val="0"/>
          <w:sz w:val="20"/>
          <w:szCs w:val="21"/>
          <w:highlight w:val="none"/>
          <w:lang w:val="zh-CN"/>
        </w:rPr>
        <w:t>采取不正当手段诋毁、排挤其他供应商的；</w:t>
      </w:r>
    </w:p>
    <w:p>
      <w:pPr>
        <w:numPr>
          <w:ilvl w:val="0"/>
          <w:numId w:val="2"/>
        </w:numPr>
        <w:tabs>
          <w:tab w:val="left" w:pos="945"/>
        </w:tabs>
        <w:spacing w:line="360" w:lineRule="auto"/>
        <w:rPr>
          <w:rFonts w:hint="eastAsia" w:ascii="宋体" w:hAnsi="宋体" w:eastAsia="宋体" w:cs="宋体"/>
          <w:color w:val="auto"/>
          <w:kern w:val="0"/>
          <w:sz w:val="20"/>
          <w:szCs w:val="20"/>
          <w:highlight w:val="none"/>
          <w:lang w:val="zh-CN"/>
        </w:rPr>
      </w:pPr>
      <w:r>
        <w:rPr>
          <w:rFonts w:hint="eastAsia" w:ascii="宋体" w:hAnsi="宋体" w:eastAsia="宋体" w:cs="宋体"/>
          <w:color w:val="auto"/>
          <w:kern w:val="0"/>
          <w:sz w:val="20"/>
          <w:szCs w:val="20"/>
          <w:highlight w:val="none"/>
          <w:lang w:val="zh-CN"/>
        </w:rPr>
        <w:t>与采购人、其他供应商或者采购代理机构恶意串通的；</w:t>
      </w:r>
    </w:p>
    <w:p>
      <w:pPr>
        <w:numPr>
          <w:ilvl w:val="0"/>
          <w:numId w:val="2"/>
        </w:numPr>
        <w:tabs>
          <w:tab w:val="left" w:pos="945"/>
        </w:tabs>
        <w:spacing w:line="360" w:lineRule="auto"/>
        <w:rPr>
          <w:rFonts w:hint="eastAsia" w:ascii="宋体" w:hAnsi="宋体" w:eastAsia="宋体" w:cs="宋体"/>
          <w:color w:val="auto"/>
          <w:kern w:val="0"/>
          <w:sz w:val="20"/>
          <w:szCs w:val="20"/>
          <w:highlight w:val="none"/>
          <w:lang w:val="zh-CN"/>
        </w:rPr>
      </w:pPr>
      <w:r>
        <w:rPr>
          <w:rFonts w:hint="eastAsia" w:ascii="宋体" w:hAnsi="宋体" w:eastAsia="宋体" w:cs="宋体"/>
          <w:color w:val="auto"/>
          <w:kern w:val="0"/>
          <w:sz w:val="20"/>
          <w:szCs w:val="20"/>
          <w:highlight w:val="none"/>
          <w:lang w:val="zh-CN"/>
        </w:rPr>
        <w:t>向采购人、采购代理机构行贿或者提供其他不正当利益的；</w:t>
      </w:r>
    </w:p>
    <w:p>
      <w:pPr>
        <w:numPr>
          <w:ilvl w:val="0"/>
          <w:numId w:val="2"/>
        </w:numPr>
        <w:tabs>
          <w:tab w:val="left" w:pos="945"/>
        </w:tabs>
        <w:spacing w:line="360" w:lineRule="auto"/>
        <w:rPr>
          <w:rFonts w:hint="eastAsia" w:ascii="宋体" w:hAnsi="宋体" w:eastAsia="宋体" w:cs="宋体"/>
          <w:color w:val="auto"/>
          <w:kern w:val="0"/>
          <w:sz w:val="20"/>
          <w:szCs w:val="20"/>
          <w:highlight w:val="none"/>
          <w:lang w:val="zh-CN"/>
        </w:rPr>
      </w:pPr>
      <w:r>
        <w:rPr>
          <w:rFonts w:hint="eastAsia" w:ascii="宋体" w:hAnsi="宋体" w:eastAsia="宋体" w:cs="宋体"/>
          <w:color w:val="auto"/>
          <w:kern w:val="0"/>
          <w:sz w:val="20"/>
          <w:szCs w:val="20"/>
          <w:highlight w:val="none"/>
          <w:lang w:val="zh-CN"/>
        </w:rPr>
        <w:t>在采购过程中与采购人进行协商谈判的；</w:t>
      </w:r>
    </w:p>
    <w:p>
      <w:pPr>
        <w:numPr>
          <w:ilvl w:val="0"/>
          <w:numId w:val="2"/>
        </w:numPr>
        <w:tabs>
          <w:tab w:val="left" w:pos="945"/>
        </w:tabs>
        <w:spacing w:line="360" w:lineRule="auto"/>
        <w:rPr>
          <w:rFonts w:hint="eastAsia" w:ascii="宋体" w:hAnsi="宋体" w:eastAsia="宋体" w:cs="宋体"/>
          <w:color w:val="auto"/>
          <w:kern w:val="0"/>
          <w:sz w:val="20"/>
          <w:szCs w:val="20"/>
          <w:highlight w:val="none"/>
          <w:lang w:val="zh-CN"/>
        </w:rPr>
      </w:pPr>
      <w:r>
        <w:rPr>
          <w:rFonts w:hint="eastAsia" w:ascii="宋体" w:hAnsi="宋体" w:eastAsia="宋体" w:cs="宋体"/>
          <w:color w:val="auto"/>
          <w:kern w:val="0"/>
          <w:sz w:val="20"/>
          <w:szCs w:val="20"/>
          <w:highlight w:val="none"/>
          <w:lang w:val="zh-CN"/>
        </w:rPr>
        <w:t>拒绝有关部门监督检查或提供虚假情况的。</w:t>
      </w:r>
    </w:p>
    <w:p>
      <w:pPr>
        <w:spacing w:line="360" w:lineRule="auto"/>
        <w:ind w:firstLine="420"/>
        <w:rPr>
          <w:rFonts w:hint="eastAsia" w:ascii="宋体" w:hAnsi="宋体" w:eastAsia="宋体" w:cs="宋体"/>
          <w:color w:val="auto"/>
          <w:kern w:val="0"/>
          <w:sz w:val="20"/>
          <w:szCs w:val="20"/>
          <w:highlight w:val="none"/>
          <w:lang w:val="zh-CN"/>
        </w:rPr>
      </w:pPr>
      <w:r>
        <w:rPr>
          <w:rFonts w:hint="eastAsia" w:ascii="宋体" w:hAnsi="宋体" w:eastAsia="宋体" w:cs="宋体"/>
          <w:color w:val="auto"/>
          <w:kern w:val="0"/>
          <w:sz w:val="20"/>
          <w:szCs w:val="20"/>
          <w:highlight w:val="none"/>
        </w:rPr>
        <w:t>10、</w:t>
      </w:r>
      <w:r>
        <w:rPr>
          <w:rFonts w:hint="eastAsia" w:ascii="宋体" w:hAnsi="宋体" w:eastAsia="宋体" w:cs="宋体"/>
          <w:color w:val="auto"/>
          <w:kern w:val="0"/>
          <w:sz w:val="20"/>
          <w:szCs w:val="20"/>
          <w:highlight w:val="none"/>
          <w:lang w:val="zh-CN"/>
        </w:rPr>
        <w:t>与本谈判有关的一切正式往来信函请寄：</w:t>
      </w:r>
    </w:p>
    <w:p>
      <w:pPr>
        <w:spacing w:line="360" w:lineRule="auto"/>
        <w:ind w:firstLine="420"/>
        <w:rPr>
          <w:rFonts w:hint="eastAsia" w:ascii="宋体" w:hAnsi="宋体" w:eastAsia="宋体" w:cs="宋体"/>
          <w:color w:val="auto"/>
          <w:kern w:val="0"/>
          <w:sz w:val="20"/>
          <w:szCs w:val="21"/>
          <w:highlight w:val="none"/>
          <w:lang w:val="zh-CN"/>
        </w:rPr>
      </w:pPr>
      <w:r>
        <w:rPr>
          <w:rFonts w:hint="eastAsia" w:ascii="宋体" w:hAnsi="宋体" w:eastAsia="宋体" w:cs="宋体"/>
          <w:color w:val="auto"/>
          <w:kern w:val="0"/>
          <w:sz w:val="20"/>
          <w:szCs w:val="21"/>
          <w:highlight w:val="none"/>
          <w:lang w:val="zh-CN"/>
        </w:rPr>
        <w:t>地址：</w:t>
      </w:r>
      <w:r>
        <w:rPr>
          <w:rFonts w:hint="eastAsia" w:ascii="宋体" w:hAnsi="宋体" w:eastAsia="宋体" w:cs="宋体"/>
          <w:color w:val="auto"/>
          <w:kern w:val="0"/>
          <w:sz w:val="20"/>
          <w:szCs w:val="21"/>
          <w:highlight w:val="none"/>
          <w:u w:val="single"/>
          <w:lang w:val="zh-CN"/>
        </w:rPr>
        <w:t xml:space="preserve">                                                        </w:t>
      </w:r>
      <w:r>
        <w:rPr>
          <w:rFonts w:hint="eastAsia" w:ascii="宋体" w:hAnsi="宋体" w:eastAsia="宋体" w:cs="宋体"/>
          <w:color w:val="auto"/>
          <w:kern w:val="0"/>
          <w:sz w:val="20"/>
          <w:szCs w:val="21"/>
          <w:highlight w:val="none"/>
          <w:lang w:val="zh-CN"/>
        </w:rPr>
        <w:t xml:space="preserve"> </w:t>
      </w:r>
    </w:p>
    <w:p>
      <w:pPr>
        <w:spacing w:line="360" w:lineRule="auto"/>
        <w:ind w:firstLine="420"/>
        <w:rPr>
          <w:rFonts w:hint="eastAsia" w:ascii="宋体" w:hAnsi="宋体" w:eastAsia="宋体" w:cs="宋体"/>
          <w:color w:val="auto"/>
          <w:kern w:val="0"/>
          <w:sz w:val="20"/>
          <w:szCs w:val="21"/>
          <w:highlight w:val="none"/>
          <w:u w:val="single"/>
          <w:lang w:val="zh-CN"/>
        </w:rPr>
      </w:pPr>
      <w:r>
        <w:rPr>
          <w:rFonts w:hint="eastAsia" w:ascii="宋体" w:hAnsi="宋体" w:eastAsia="宋体" w:cs="宋体"/>
          <w:color w:val="auto"/>
          <w:kern w:val="0"/>
          <w:sz w:val="20"/>
          <w:szCs w:val="21"/>
          <w:highlight w:val="none"/>
          <w:lang w:val="zh-CN"/>
        </w:rPr>
        <w:t>电话：</w:t>
      </w:r>
      <w:r>
        <w:rPr>
          <w:rFonts w:hint="eastAsia" w:ascii="宋体" w:hAnsi="宋体" w:eastAsia="宋体" w:cs="宋体"/>
          <w:color w:val="auto"/>
          <w:kern w:val="0"/>
          <w:sz w:val="20"/>
          <w:szCs w:val="21"/>
          <w:highlight w:val="none"/>
          <w:u w:val="single"/>
          <w:lang w:val="zh-CN"/>
        </w:rPr>
        <w:t xml:space="preserve">                                      　　　　　　　　　</w:t>
      </w:r>
    </w:p>
    <w:p>
      <w:pPr>
        <w:spacing w:line="360" w:lineRule="auto"/>
        <w:ind w:firstLine="420"/>
        <w:rPr>
          <w:rFonts w:hint="eastAsia" w:ascii="宋体" w:hAnsi="宋体" w:eastAsia="宋体" w:cs="宋体"/>
          <w:color w:val="auto"/>
          <w:kern w:val="0"/>
          <w:sz w:val="20"/>
          <w:szCs w:val="21"/>
          <w:highlight w:val="none"/>
          <w:u w:val="single"/>
          <w:lang w:val="zh-CN"/>
        </w:rPr>
      </w:pPr>
      <w:r>
        <w:rPr>
          <w:rFonts w:hint="eastAsia" w:ascii="宋体" w:hAnsi="宋体" w:eastAsia="宋体" w:cs="宋体"/>
          <w:color w:val="auto"/>
          <w:kern w:val="0"/>
          <w:sz w:val="20"/>
          <w:szCs w:val="21"/>
          <w:highlight w:val="none"/>
          <w:lang w:val="zh-CN"/>
        </w:rPr>
        <w:t>传真：</w:t>
      </w:r>
      <w:r>
        <w:rPr>
          <w:rFonts w:hint="eastAsia" w:ascii="宋体" w:hAnsi="宋体" w:eastAsia="宋体" w:cs="宋体"/>
          <w:color w:val="auto"/>
          <w:kern w:val="0"/>
          <w:sz w:val="20"/>
          <w:szCs w:val="21"/>
          <w:highlight w:val="none"/>
          <w:u w:val="single"/>
          <w:lang w:val="zh-CN"/>
        </w:rPr>
        <w:t>　　　　　　　　　　　　　　　　　　　　　　　　　　　　</w:t>
      </w:r>
    </w:p>
    <w:p>
      <w:pPr>
        <w:spacing w:line="360" w:lineRule="auto"/>
        <w:ind w:firstLine="42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电子邮箱：</w:t>
      </w:r>
      <w:r>
        <w:rPr>
          <w:rFonts w:hint="eastAsia" w:ascii="宋体" w:hAnsi="宋体" w:eastAsia="宋体" w:cs="宋体"/>
          <w:color w:val="auto"/>
          <w:kern w:val="0"/>
          <w:sz w:val="20"/>
          <w:szCs w:val="21"/>
          <w:highlight w:val="none"/>
          <w:u w:val="single"/>
          <w:lang w:val="zh-CN"/>
        </w:rPr>
        <w:t>　　　　　　　　　　　　　　　　　　　　　　　　　　</w:t>
      </w:r>
    </w:p>
    <w:p>
      <w:pPr>
        <w:spacing w:line="360" w:lineRule="auto"/>
        <w:ind w:firstLine="420"/>
        <w:rPr>
          <w:rFonts w:hint="eastAsia" w:ascii="宋体" w:hAnsi="宋体" w:eastAsia="宋体" w:cs="宋体"/>
          <w:color w:val="auto"/>
          <w:kern w:val="0"/>
          <w:sz w:val="20"/>
          <w:szCs w:val="21"/>
          <w:highlight w:val="none"/>
          <w:u w:val="single"/>
          <w:lang w:val="zh-CN"/>
        </w:rPr>
      </w:pPr>
      <w:r>
        <w:rPr>
          <w:rFonts w:hint="eastAsia" w:ascii="宋体" w:hAnsi="宋体" w:eastAsia="宋体" w:cs="宋体"/>
          <w:color w:val="auto"/>
          <w:kern w:val="0"/>
          <w:sz w:val="20"/>
          <w:szCs w:val="21"/>
          <w:highlight w:val="none"/>
          <w:lang w:val="zh-CN"/>
        </w:rPr>
        <w:t>邮政编码：</w:t>
      </w:r>
      <w:r>
        <w:rPr>
          <w:rFonts w:hint="eastAsia" w:ascii="宋体" w:hAnsi="宋体" w:eastAsia="宋体" w:cs="宋体"/>
          <w:color w:val="auto"/>
          <w:kern w:val="0"/>
          <w:sz w:val="20"/>
          <w:szCs w:val="21"/>
          <w:highlight w:val="none"/>
          <w:u w:val="single"/>
          <w:lang w:val="zh-CN"/>
        </w:rPr>
        <w:t xml:space="preserve">                                                    </w:t>
      </w:r>
    </w:p>
    <w:p>
      <w:pPr>
        <w:spacing w:line="360" w:lineRule="auto"/>
        <w:ind w:firstLine="420"/>
        <w:rPr>
          <w:rFonts w:hint="eastAsia" w:ascii="宋体" w:hAnsi="宋体" w:eastAsia="宋体" w:cs="宋体"/>
          <w:color w:val="auto"/>
          <w:kern w:val="0"/>
          <w:sz w:val="20"/>
          <w:szCs w:val="21"/>
          <w:highlight w:val="none"/>
          <w:u w:val="single"/>
          <w:lang w:val="zh-CN"/>
        </w:rPr>
      </w:pPr>
      <w:r>
        <w:rPr>
          <w:rFonts w:hint="eastAsia" w:ascii="宋体" w:hAnsi="宋体" w:eastAsia="宋体" w:cs="宋体"/>
          <w:color w:val="auto"/>
          <w:kern w:val="0"/>
          <w:sz w:val="20"/>
          <w:szCs w:val="21"/>
          <w:highlight w:val="none"/>
          <w:lang w:val="zh-CN"/>
        </w:rPr>
        <w:t>开户名称：</w:t>
      </w:r>
      <w:r>
        <w:rPr>
          <w:rFonts w:hint="eastAsia" w:ascii="宋体" w:hAnsi="宋体" w:eastAsia="宋体" w:cs="宋体"/>
          <w:color w:val="auto"/>
          <w:kern w:val="0"/>
          <w:sz w:val="20"/>
          <w:szCs w:val="21"/>
          <w:highlight w:val="none"/>
          <w:u w:val="single"/>
          <w:lang w:val="zh-CN"/>
        </w:rPr>
        <w:t xml:space="preserve">                                                    </w:t>
      </w:r>
    </w:p>
    <w:p>
      <w:pPr>
        <w:spacing w:line="360" w:lineRule="auto"/>
        <w:ind w:firstLine="420"/>
        <w:rPr>
          <w:rFonts w:hint="eastAsia" w:ascii="宋体" w:hAnsi="宋体" w:eastAsia="宋体" w:cs="宋体"/>
          <w:color w:val="auto"/>
          <w:kern w:val="0"/>
          <w:sz w:val="20"/>
          <w:szCs w:val="21"/>
          <w:highlight w:val="none"/>
          <w:u w:val="single"/>
          <w:lang w:val="zh-CN"/>
        </w:rPr>
      </w:pPr>
      <w:r>
        <w:rPr>
          <w:rFonts w:hint="eastAsia" w:ascii="宋体" w:hAnsi="宋体" w:eastAsia="宋体" w:cs="宋体"/>
          <w:color w:val="auto"/>
          <w:kern w:val="0"/>
          <w:sz w:val="20"/>
          <w:szCs w:val="21"/>
          <w:highlight w:val="none"/>
          <w:lang w:val="zh-CN"/>
        </w:rPr>
        <w:t>开户银行：</w:t>
      </w:r>
      <w:r>
        <w:rPr>
          <w:rFonts w:hint="eastAsia" w:ascii="宋体" w:hAnsi="宋体" w:eastAsia="宋体" w:cs="宋体"/>
          <w:color w:val="auto"/>
          <w:kern w:val="0"/>
          <w:sz w:val="20"/>
          <w:szCs w:val="21"/>
          <w:highlight w:val="none"/>
          <w:u w:val="single"/>
          <w:lang w:val="zh-CN"/>
        </w:rPr>
        <w:t xml:space="preserve">                                                    </w:t>
      </w:r>
    </w:p>
    <w:p>
      <w:pPr>
        <w:spacing w:line="360" w:lineRule="auto"/>
        <w:ind w:firstLine="420"/>
        <w:rPr>
          <w:rFonts w:hint="eastAsia" w:ascii="宋体" w:hAnsi="宋体" w:eastAsia="宋体" w:cs="宋体"/>
          <w:color w:val="auto"/>
          <w:kern w:val="0"/>
          <w:sz w:val="20"/>
          <w:szCs w:val="21"/>
          <w:highlight w:val="none"/>
          <w:u w:val="single"/>
          <w:lang w:val="zh-CN"/>
        </w:rPr>
      </w:pPr>
      <w:r>
        <w:rPr>
          <w:rFonts w:hint="eastAsia" w:ascii="宋体" w:hAnsi="宋体" w:eastAsia="宋体" w:cs="宋体"/>
          <w:color w:val="auto"/>
          <w:kern w:val="0"/>
          <w:sz w:val="20"/>
          <w:szCs w:val="21"/>
          <w:highlight w:val="none"/>
          <w:lang w:val="zh-CN"/>
        </w:rPr>
        <w:t>银行账号：</w:t>
      </w:r>
      <w:r>
        <w:rPr>
          <w:rFonts w:hint="eastAsia" w:ascii="宋体" w:hAnsi="宋体" w:eastAsia="宋体" w:cs="宋体"/>
          <w:color w:val="auto"/>
          <w:kern w:val="0"/>
          <w:sz w:val="20"/>
          <w:szCs w:val="21"/>
          <w:highlight w:val="none"/>
          <w:u w:val="single"/>
          <w:lang w:val="zh-CN"/>
        </w:rPr>
        <w:t xml:space="preserve">                                                    </w:t>
      </w:r>
    </w:p>
    <w:p>
      <w:pPr>
        <w:tabs>
          <w:tab w:val="left" w:pos="939"/>
        </w:tabs>
        <w:spacing w:line="360" w:lineRule="auto"/>
        <w:ind w:left="141" w:leftChars="67" w:firstLine="315" w:firstLineChars="15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pPr>
        <w:autoSpaceDE w:val="0"/>
        <w:autoSpaceDN w:val="0"/>
        <w:spacing w:line="360" w:lineRule="auto"/>
        <w:ind w:left="4335" w:leftChars="1950" w:hanging="240" w:hanging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供应商名称（盖公章）：</w:t>
      </w:r>
    </w:p>
    <w:p>
      <w:pPr>
        <w:ind w:firstLine="6000" w:firstLineChars="2500"/>
        <w:rPr>
          <w:rFonts w:hint="eastAsia" w:ascii="宋体" w:hAnsi="宋体" w:eastAsia="宋体" w:cs="宋体"/>
          <w:color w:val="auto"/>
          <w:kern w:val="0"/>
          <w:sz w:val="24"/>
          <w:szCs w:val="24"/>
          <w:highlight w:val="none"/>
          <w:lang w:val="zh-CN"/>
        </w:rPr>
        <w:sectPr>
          <w:pgSz w:w="11906" w:h="16838"/>
          <w:pgMar w:top="1134" w:right="1134" w:bottom="1134" w:left="1134" w:header="720" w:footer="720" w:gutter="0"/>
          <w:pgNumType w:fmt="decimal"/>
          <w:cols w:space="720" w:num="1"/>
          <w:docGrid w:type="lines" w:linePitch="331" w:charSpace="0"/>
        </w:sectPr>
      </w:pPr>
      <w:r>
        <w:rPr>
          <w:rFonts w:hint="eastAsia" w:ascii="宋体" w:hAnsi="宋体" w:eastAsia="宋体" w:cs="宋体"/>
          <w:color w:val="auto"/>
          <w:kern w:val="0"/>
          <w:sz w:val="24"/>
          <w:szCs w:val="24"/>
          <w:highlight w:val="none"/>
          <w:lang w:val="zh-CN"/>
        </w:rPr>
        <w:t xml:space="preserve">日期：  年  月   </w:t>
      </w:r>
    </w:p>
    <w:p>
      <w:pPr>
        <w:spacing w:line="500" w:lineRule="exact"/>
        <w:rPr>
          <w:rFonts w:hint="eastAsia" w:ascii="仿宋" w:hAnsi="仿宋" w:eastAsia="仿宋" w:cs="仿宋_GB2312"/>
          <w:b/>
          <w:color w:val="auto"/>
          <w:sz w:val="30"/>
          <w:szCs w:val="30"/>
          <w:highlight w:val="none"/>
          <w:lang w:val="zh-CN"/>
        </w:rPr>
      </w:pPr>
      <w:r>
        <w:rPr>
          <w:rFonts w:hint="eastAsia" w:ascii="宋体" w:hAnsi="宋体" w:eastAsia="宋体" w:cs="宋体"/>
          <w:b/>
          <w:color w:val="auto"/>
          <w:sz w:val="28"/>
          <w:szCs w:val="28"/>
          <w:highlight w:val="none"/>
        </w:rPr>
        <w:t>4.</w:t>
      </w:r>
      <w:r>
        <w:rPr>
          <w:rFonts w:hint="eastAsia" w:ascii="宋体" w:hAnsi="宋体" w:eastAsia="宋体" w:cs="宋体"/>
          <w:b/>
          <w:color w:val="auto"/>
          <w:sz w:val="28"/>
          <w:szCs w:val="28"/>
          <w:highlight w:val="none"/>
          <w:lang w:val="zh-CN"/>
        </w:rPr>
        <w:t>响应报价表的格式：</w:t>
      </w:r>
      <w:r>
        <w:rPr>
          <w:rFonts w:hint="eastAsia" w:ascii="仿宋" w:hAnsi="仿宋" w:eastAsia="仿宋" w:cs="仿宋_GB2312"/>
          <w:b/>
          <w:color w:val="auto"/>
          <w:sz w:val="30"/>
          <w:szCs w:val="30"/>
          <w:highlight w:val="none"/>
          <w:lang w:val="zh-CN"/>
        </w:rPr>
        <w:t xml:space="preserve"> </w:t>
      </w:r>
    </w:p>
    <w:p>
      <w:pPr>
        <w:snapToGrid w:val="0"/>
        <w:spacing w:before="50" w:after="50" w:line="360" w:lineRule="auto"/>
        <w:ind w:firstLine="4518" w:firstLineChars="1500"/>
        <w:rPr>
          <w:rFonts w:hint="eastAsia" w:ascii="宋体" w:hAnsi="宋体" w:eastAsia="宋体" w:cs="宋体"/>
          <w:color w:val="auto"/>
          <w:sz w:val="24"/>
          <w:szCs w:val="24"/>
          <w:highlight w:val="none"/>
        </w:rPr>
      </w:pPr>
      <w:r>
        <w:rPr>
          <w:rFonts w:hint="eastAsia" w:ascii="宋体" w:hAnsi="宋体" w:eastAsia="宋体" w:cs="宋体"/>
          <w:b/>
          <w:color w:val="auto"/>
          <w:sz w:val="30"/>
          <w:szCs w:val="30"/>
          <w:highlight w:val="none"/>
          <w:lang w:val="zh-CN"/>
        </w:rPr>
        <w:t>响应报价表</w:t>
      </w:r>
    </w:p>
    <w:p>
      <w:pPr>
        <w:snapToGrid w:val="0"/>
        <w:spacing w:before="50" w:after="50"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p>
    <w:p>
      <w:pPr>
        <w:snapToGrid w:val="0"/>
        <w:spacing w:before="50" w:after="50"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p>
    <w:p>
      <w:pPr>
        <w:pStyle w:val="22"/>
        <w:ind w:left="0" w:leftChars="0" w:firstLine="0" w:firstLineChars="0"/>
        <w:rPr>
          <w:rFonts w:hint="eastAsia" w:ascii="宋体" w:hAnsi="宋体" w:eastAsia="宋体" w:cs="宋体"/>
          <w:color w:val="auto"/>
          <w:sz w:val="24"/>
          <w:szCs w:val="24"/>
          <w:highlight w:val="none"/>
          <w:u w:val="single"/>
        </w:rPr>
      </w:pPr>
      <w:r>
        <w:rPr>
          <w:rFonts w:hint="eastAsia" w:ascii="宋体" w:hAnsi="宋体" w:eastAsia="宋体" w:cs="宋体"/>
          <w:color w:val="auto"/>
          <w:kern w:val="2"/>
          <w:sz w:val="24"/>
          <w:szCs w:val="24"/>
          <w:highlight w:val="none"/>
          <w:lang w:val="en-US" w:eastAsia="zh-CN" w:bidi="ar-SA"/>
        </w:rPr>
        <w:t>分标：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tbl>
      <w:tblPr>
        <w:tblStyle w:val="32"/>
        <w:tblW w:w="97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934"/>
        <w:gridCol w:w="926"/>
        <w:gridCol w:w="721"/>
        <w:gridCol w:w="1099"/>
        <w:gridCol w:w="968"/>
        <w:gridCol w:w="864"/>
        <w:gridCol w:w="1223"/>
        <w:gridCol w:w="1765"/>
        <w:gridCol w:w="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6" w:hRule="atLeast"/>
        </w:trPr>
        <w:tc>
          <w:tcPr>
            <w:tcW w:w="533"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szCs w:val="21"/>
              </w:rPr>
              <w:t>序号</w:t>
            </w:r>
          </w:p>
        </w:tc>
        <w:tc>
          <w:tcPr>
            <w:tcW w:w="934"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标的</w:t>
            </w:r>
          </w:p>
          <w:p>
            <w:pPr>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szCs w:val="21"/>
              </w:rPr>
              <w:t>名称</w:t>
            </w:r>
          </w:p>
        </w:tc>
        <w:tc>
          <w:tcPr>
            <w:tcW w:w="92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eastAsia="宋体" w:cs="宋体"/>
                <w:color w:val="auto"/>
                <w:szCs w:val="21"/>
              </w:rPr>
            </w:pPr>
            <w:r>
              <w:rPr>
                <w:rFonts w:hint="eastAsia" w:ascii="宋体" w:hAnsi="宋体" w:eastAsia="宋体" w:cs="宋体"/>
                <w:color w:val="auto"/>
                <w:szCs w:val="21"/>
              </w:rPr>
              <w:t>商标</w:t>
            </w:r>
          </w:p>
          <w:p>
            <w:pPr>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szCs w:val="21"/>
              </w:rPr>
              <w:t>品牌</w:t>
            </w:r>
          </w:p>
        </w:tc>
        <w:tc>
          <w:tcPr>
            <w:tcW w:w="721"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color w:val="auto"/>
                <w:szCs w:val="21"/>
                <w:lang w:eastAsia="zh-CN"/>
              </w:rPr>
            </w:pPr>
            <w:r>
              <w:rPr>
                <w:rFonts w:hint="eastAsia" w:ascii="宋体" w:hAnsi="宋体" w:cs="宋体"/>
                <w:color w:val="auto"/>
                <w:szCs w:val="21"/>
                <w:lang w:eastAsia="zh-CN"/>
              </w:rPr>
              <w:t>规格</w:t>
            </w:r>
          </w:p>
          <w:p>
            <w:pPr>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szCs w:val="21"/>
              </w:rPr>
              <w:t>型号</w:t>
            </w:r>
          </w:p>
        </w:tc>
        <w:tc>
          <w:tcPr>
            <w:tcW w:w="1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eastAsia="宋体" w:cs="宋体"/>
                <w:color w:val="auto"/>
                <w:szCs w:val="21"/>
              </w:rPr>
            </w:pPr>
            <w:r>
              <w:rPr>
                <w:rFonts w:hint="eastAsia" w:ascii="宋体" w:hAnsi="宋体" w:eastAsia="宋体" w:cs="宋体"/>
                <w:color w:val="auto"/>
                <w:szCs w:val="21"/>
              </w:rPr>
              <w:t>生产</w:t>
            </w:r>
          </w:p>
          <w:p>
            <w:pPr>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szCs w:val="21"/>
              </w:rPr>
              <w:t>厂家</w:t>
            </w:r>
          </w:p>
        </w:tc>
        <w:tc>
          <w:tcPr>
            <w:tcW w:w="96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szCs w:val="21"/>
              </w:rPr>
              <w:t>数 量</w:t>
            </w:r>
            <w:r>
              <w:rPr>
                <w:rFonts w:hint="eastAsia" w:ascii="宋体" w:hAnsi="宋体" w:eastAsia="宋体" w:cs="宋体"/>
                <w:color w:val="auto"/>
                <w:highlight w:val="none"/>
              </w:rPr>
              <w:t>①</w:t>
            </w:r>
          </w:p>
        </w:tc>
        <w:tc>
          <w:tcPr>
            <w:tcW w:w="864"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szCs w:val="21"/>
              </w:rPr>
              <w:t>单位</w:t>
            </w:r>
          </w:p>
        </w:tc>
        <w:tc>
          <w:tcPr>
            <w:tcW w:w="1223"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eastAsia="宋体" w:cs="宋体"/>
                <w:color w:val="auto"/>
                <w:szCs w:val="21"/>
              </w:rPr>
            </w:pPr>
            <w:r>
              <w:rPr>
                <w:rFonts w:hint="eastAsia" w:ascii="宋体" w:hAnsi="宋体" w:eastAsia="宋体" w:cs="宋体"/>
                <w:color w:val="auto"/>
                <w:szCs w:val="21"/>
              </w:rPr>
              <w:t>单  价</w:t>
            </w:r>
          </w:p>
          <w:p>
            <w:pPr>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szCs w:val="21"/>
              </w:rPr>
              <w:t>（元）</w:t>
            </w:r>
            <w:r>
              <w:rPr>
                <w:rFonts w:hint="eastAsia" w:ascii="宋体" w:hAnsi="宋体" w:eastAsia="宋体" w:cs="宋体"/>
                <w:color w:val="auto"/>
                <w:highlight w:val="none"/>
              </w:rPr>
              <w:t>②</w:t>
            </w:r>
          </w:p>
        </w:tc>
        <w:tc>
          <w:tcPr>
            <w:tcW w:w="1765"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单项合价</w:t>
            </w:r>
            <w:r>
              <w:rPr>
                <w:rFonts w:hint="eastAsia" w:ascii="宋体" w:hAnsi="宋体" w:eastAsia="宋体" w:cs="宋体"/>
                <w:color w:val="auto"/>
                <w:szCs w:val="21"/>
              </w:rPr>
              <w:t>（元）</w:t>
            </w:r>
          </w:p>
          <w:p>
            <w:pPr>
              <w:snapToGrid w:val="0"/>
              <w:spacing w:line="360" w:lineRule="exact"/>
              <w:jc w:val="center"/>
              <w:rPr>
                <w:rFonts w:hint="eastAsia" w:ascii="宋体" w:hAnsi="宋体" w:eastAsia="宋体" w:cs="宋体"/>
                <w:color w:val="auto"/>
                <w:szCs w:val="21"/>
              </w:rPr>
            </w:pPr>
            <w:r>
              <w:rPr>
                <w:rFonts w:hint="eastAsia" w:ascii="宋体" w:hAnsi="宋体" w:eastAsia="宋体" w:cs="宋体"/>
                <w:color w:val="auto"/>
                <w:highlight w:val="none"/>
              </w:rPr>
              <w:t>③＝①×②</w:t>
            </w:r>
          </w:p>
        </w:tc>
        <w:tc>
          <w:tcPr>
            <w:tcW w:w="681"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53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93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92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72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109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96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86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122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highlight w:val="none"/>
              </w:rPr>
            </w:pPr>
          </w:p>
        </w:tc>
        <w:tc>
          <w:tcPr>
            <w:tcW w:w="1765"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highlight w:val="none"/>
              </w:rPr>
            </w:pPr>
          </w:p>
        </w:tc>
        <w:tc>
          <w:tcPr>
            <w:tcW w:w="681"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53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93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92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72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109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96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86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122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highlight w:val="none"/>
              </w:rPr>
            </w:pPr>
          </w:p>
        </w:tc>
        <w:tc>
          <w:tcPr>
            <w:tcW w:w="1765"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highlight w:val="none"/>
              </w:rPr>
            </w:pPr>
          </w:p>
        </w:tc>
        <w:tc>
          <w:tcPr>
            <w:tcW w:w="681"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53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93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92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72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109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96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86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122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highlight w:val="none"/>
              </w:rPr>
            </w:pPr>
          </w:p>
        </w:tc>
        <w:tc>
          <w:tcPr>
            <w:tcW w:w="1765"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highlight w:val="none"/>
              </w:rPr>
            </w:pPr>
          </w:p>
        </w:tc>
        <w:tc>
          <w:tcPr>
            <w:tcW w:w="681"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atLeast"/>
        </w:trPr>
        <w:tc>
          <w:tcPr>
            <w:tcW w:w="9714" w:type="dxa"/>
            <w:gridSpan w:val="10"/>
            <w:tcBorders>
              <w:top w:val="single" w:color="auto" w:sz="4" w:space="0"/>
              <w:left w:val="single" w:color="auto" w:sz="4" w:space="0"/>
              <w:bottom w:val="single" w:color="auto" w:sz="4" w:space="0"/>
              <w:right w:val="single" w:color="auto" w:sz="4" w:space="0"/>
            </w:tcBorders>
            <w:vAlign w:val="bottom"/>
          </w:tcPr>
          <w:p>
            <w:pPr>
              <w:rPr>
                <w:rFonts w:hint="default" w:eastAsiaTheme="minorEastAsia"/>
                <w:color w:val="auto"/>
                <w:highlight w:val="none"/>
                <w:lang w:val="en-US" w:eastAsia="zh-CN"/>
              </w:rPr>
            </w:pPr>
            <w:r>
              <w:rPr>
                <w:rFonts w:hint="eastAsia"/>
                <w:color w:val="auto"/>
                <w:highlight w:val="none"/>
              </w:rPr>
              <w:t>竞标总报价（包含税费等所有费用）：</w:t>
            </w:r>
            <w:r>
              <w:rPr>
                <w:rFonts w:hint="eastAsia"/>
                <w:color w:val="auto"/>
                <w:highlight w:val="none"/>
                <w:u w:val="single"/>
              </w:rPr>
              <w:t>人民币（大写）                     （小写）</w:t>
            </w:r>
            <w:r>
              <w:rPr>
                <w:rFonts w:hint="eastAsia" w:ascii="宋体" w:hAnsi="宋体" w:eastAsia="宋体" w:cs="宋体"/>
                <w:color w:val="auto"/>
                <w:highlight w:val="none"/>
                <w:u w:val="single"/>
              </w:rPr>
              <w:t xml:space="preserve">¥     </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trPr>
        <w:tc>
          <w:tcPr>
            <w:tcW w:w="9714" w:type="dxa"/>
            <w:gridSpan w:val="10"/>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r>
              <w:rPr>
                <w:rFonts w:hint="eastAsia" w:ascii="Times New Roman" w:hAnsi="Times New Roman" w:eastAsia="宋体" w:cs="Times New Roman"/>
                <w:color w:val="auto"/>
                <w:highlight w:val="none"/>
              </w:rPr>
              <w:t>交付使用期</w:t>
            </w:r>
            <w:r>
              <w:rPr>
                <w:rFonts w:hint="eastAsia" w:ascii="宋体" w:hAnsi="宋体" w:eastAsia="宋体" w:cs="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trPr>
        <w:tc>
          <w:tcPr>
            <w:tcW w:w="9714" w:type="dxa"/>
            <w:gridSpan w:val="10"/>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r>
              <w:rPr>
                <w:rFonts w:hint="eastAsia" w:ascii="宋体" w:hAnsi="宋体" w:eastAsia="宋体" w:cs="宋体"/>
                <w:color w:val="auto"/>
                <w:highlight w:val="none"/>
              </w:rPr>
              <w:t>优惠及其它：</w:t>
            </w:r>
            <w:r>
              <w:rPr>
                <w:rFonts w:hint="eastAsia" w:ascii="宋体" w:hAnsi="宋体" w:eastAsia="宋体" w:cs="宋体"/>
                <w:i/>
                <w:iCs/>
                <w:color w:val="auto"/>
                <w:highlight w:val="none"/>
              </w:rPr>
              <w:t>（如没有填写无）</w:t>
            </w:r>
          </w:p>
        </w:tc>
      </w:tr>
    </w:tbl>
    <w:p>
      <w:pPr>
        <w:snapToGrid w:val="0"/>
        <w:spacing w:before="50" w:after="50" w:line="360" w:lineRule="auto"/>
        <w:ind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 xml:space="preserve">注： </w:t>
      </w:r>
    </w:p>
    <w:p>
      <w:pPr>
        <w:pStyle w:val="2"/>
        <w:numPr>
          <w:ilvl w:val="255"/>
          <w:numId w:val="0"/>
        </w:numPr>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rPr>
        <w:t>1、</w:t>
      </w:r>
      <w:r>
        <w:rPr>
          <w:rFonts w:hint="eastAsia" w:ascii="宋体" w:hAnsi="宋体" w:cs="宋体"/>
          <w:color w:val="auto"/>
          <w:sz w:val="21"/>
          <w:szCs w:val="21"/>
          <w:highlight w:val="none"/>
        </w:rPr>
        <w:t>供应商需按本表格式填写，不得自行更改，也不得留空（备注除外）, 如有多分标，按分标分别提供响应报价表，</w:t>
      </w:r>
      <w:r>
        <w:rPr>
          <w:rFonts w:hint="eastAsia" w:ascii="宋体" w:hAnsi="宋体" w:cs="宋体"/>
          <w:b/>
          <w:color w:val="auto"/>
          <w:sz w:val="21"/>
          <w:szCs w:val="21"/>
          <w:highlight w:val="none"/>
        </w:rPr>
        <w:t>否则其响应按无效响应处理</w:t>
      </w:r>
      <w:r>
        <w:rPr>
          <w:rFonts w:hint="eastAsia" w:ascii="宋体" w:hAnsi="宋体" w:cs="宋体"/>
          <w:bCs/>
          <w:color w:val="auto"/>
          <w:sz w:val="21"/>
          <w:szCs w:val="21"/>
          <w:highlight w:val="none"/>
        </w:rPr>
        <w:t>。</w:t>
      </w:r>
    </w:p>
    <w:p>
      <w:pPr>
        <w:snapToGrid w:val="0"/>
        <w:spacing w:before="50" w:after="50" w:line="360" w:lineRule="auto"/>
        <w:ind w:firstLine="420" w:firstLineChars="200"/>
        <w:jc w:val="left"/>
        <w:rPr>
          <w:rFonts w:hint="eastAsia" w:ascii="宋体" w:hAnsi="宋体" w:eastAsia="宋体" w:cs="宋体"/>
          <w:b/>
          <w:color w:val="auto"/>
          <w:kern w:val="0"/>
          <w:szCs w:val="21"/>
          <w:highlight w:val="none"/>
          <w:lang w:val="zh-CN"/>
        </w:rPr>
      </w:pPr>
      <w:r>
        <w:rPr>
          <w:rFonts w:ascii="宋体" w:hAnsi="宋体" w:eastAsia="宋体" w:cs="宋体"/>
          <w:color w:val="auto"/>
          <w:kern w:val="0"/>
          <w:szCs w:val="21"/>
          <w:highlight w:val="none"/>
          <w:lang w:val="zh-CN"/>
        </w:rPr>
        <w:t>2</w:t>
      </w:r>
      <w:r>
        <w:rPr>
          <w:rFonts w:hint="eastAsia" w:ascii="宋体" w:hAnsi="宋体" w:eastAsia="宋体" w:cs="宋体"/>
          <w:color w:val="auto"/>
          <w:kern w:val="0"/>
          <w:szCs w:val="21"/>
          <w:highlight w:val="none"/>
          <w:lang w:val="zh-CN"/>
        </w:rPr>
        <w:t>、以上表格要求细分项目及报价，在“标的名称”一栏中，填写具体货物，在“规格型号”一栏中，填写具体货物规格和型号，</w:t>
      </w:r>
      <w:r>
        <w:rPr>
          <w:rFonts w:hint="eastAsia" w:ascii="宋体" w:hAnsi="宋体" w:eastAsia="宋体" w:cs="宋体"/>
          <w:b/>
          <w:color w:val="auto"/>
          <w:kern w:val="0"/>
          <w:szCs w:val="21"/>
          <w:highlight w:val="none"/>
          <w:lang w:val="zh-CN"/>
        </w:rPr>
        <w:t>否则其响应作无效响应处理。</w:t>
      </w:r>
    </w:p>
    <w:p>
      <w:pPr>
        <w:snapToGrid w:val="0"/>
        <w:spacing w:line="360" w:lineRule="auto"/>
        <w:ind w:firstLine="420" w:firstLineChars="200"/>
        <w:jc w:val="left"/>
        <w:rPr>
          <w:rFonts w:hint="eastAsia" w:ascii="宋体" w:hAnsi="宋体" w:eastAsia="宋体" w:cs="宋体"/>
          <w:color w:val="auto"/>
          <w:kern w:val="0"/>
          <w:szCs w:val="21"/>
          <w:highlight w:val="none"/>
          <w:lang w:val="zh-CN"/>
        </w:rPr>
      </w:pPr>
      <w:r>
        <w:rPr>
          <w:rFonts w:ascii="宋体" w:hAnsi="宋体" w:eastAsia="宋体" w:cs="宋体"/>
          <w:color w:val="auto"/>
          <w:kern w:val="0"/>
          <w:szCs w:val="21"/>
          <w:highlight w:val="none"/>
          <w:lang w:val="zh-CN"/>
        </w:rPr>
        <w:t>3</w:t>
      </w:r>
      <w:r>
        <w:rPr>
          <w:rFonts w:hint="eastAsia" w:ascii="宋体" w:hAnsi="宋体" w:eastAsia="宋体" w:cs="宋体"/>
          <w:color w:val="auto"/>
          <w:kern w:val="0"/>
          <w:szCs w:val="21"/>
          <w:highlight w:val="none"/>
          <w:lang w:val="zh-CN"/>
        </w:rPr>
        <w:t>、特别提示：采购代理机构将对项目名称和项目编号，成交供应商名称、地址和成交金额，主要成交标的的名称、规格型号、数量、单价等予以公示。</w:t>
      </w:r>
    </w:p>
    <w:p>
      <w:pPr>
        <w:snapToGrid w:val="0"/>
        <w:spacing w:line="360" w:lineRule="auto"/>
        <w:ind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供应商提供的中小企业声明函内容不实的，属于提供虚假材料谋取中标、成交，依照《中华人民共和国政府采购法》等国家有关规定追究相应责任。</w:t>
      </w:r>
    </w:p>
    <w:p>
      <w:pPr>
        <w:autoSpaceDE w:val="0"/>
        <w:autoSpaceDN w:val="0"/>
        <w:spacing w:line="360" w:lineRule="auto"/>
        <w:ind w:left="4335" w:leftChars="1950" w:hanging="240" w:hanging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供应商名称（盖公章）：</w:t>
      </w:r>
    </w:p>
    <w:p>
      <w:pPr>
        <w:autoSpaceDE w:val="0"/>
        <w:autoSpaceDN w:val="0"/>
        <w:spacing w:line="360" w:lineRule="auto"/>
        <w:ind w:firstLine="6480" w:firstLineChars="27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日期：  年  月   日</w:t>
      </w:r>
    </w:p>
    <w:p>
      <w:pPr>
        <w:spacing w:line="500" w:lineRule="exact"/>
        <w:rPr>
          <w:rFonts w:hint="eastAsia" w:ascii="仿宋" w:hAnsi="仿宋" w:eastAsia="仿宋" w:cs="仿宋_GB2312"/>
          <w:b/>
          <w:color w:val="auto"/>
          <w:sz w:val="30"/>
          <w:szCs w:val="30"/>
          <w:highlight w:val="none"/>
          <w:lang w:val="zh-CN"/>
        </w:rPr>
      </w:pPr>
      <w:r>
        <w:rPr>
          <w:rFonts w:hint="eastAsia" w:ascii="宋体" w:hAnsi="宋体" w:eastAsia="宋体" w:cs="宋体"/>
          <w:b/>
          <w:color w:val="auto"/>
          <w:sz w:val="28"/>
          <w:szCs w:val="28"/>
          <w:highlight w:val="none"/>
        </w:rPr>
        <w:t>5.</w:t>
      </w:r>
      <w:r>
        <w:rPr>
          <w:rFonts w:hint="eastAsia" w:ascii="宋体" w:hAnsi="宋体" w:eastAsia="宋体" w:cs="宋体"/>
          <w:b/>
          <w:color w:val="auto"/>
          <w:sz w:val="28"/>
          <w:szCs w:val="28"/>
          <w:highlight w:val="none"/>
          <w:lang w:val="zh-CN"/>
        </w:rPr>
        <w:t>最后报价表的格式：</w:t>
      </w:r>
      <w:r>
        <w:rPr>
          <w:rFonts w:hint="eastAsia" w:ascii="仿宋" w:hAnsi="仿宋" w:eastAsia="仿宋" w:cs="仿宋_GB2312"/>
          <w:b/>
          <w:color w:val="auto"/>
          <w:sz w:val="30"/>
          <w:szCs w:val="30"/>
          <w:highlight w:val="none"/>
          <w:lang w:val="zh-CN"/>
        </w:rPr>
        <w:t xml:space="preserve"> </w:t>
      </w:r>
    </w:p>
    <w:p>
      <w:pPr>
        <w:snapToGrid w:val="0"/>
        <w:spacing w:before="50" w:after="50" w:line="360" w:lineRule="auto"/>
        <w:ind w:firstLine="4518" w:firstLineChars="1500"/>
        <w:rPr>
          <w:rFonts w:hint="eastAsia" w:ascii="宋体" w:hAnsi="宋体" w:eastAsia="宋体" w:cs="宋体"/>
          <w:color w:val="auto"/>
          <w:sz w:val="24"/>
          <w:szCs w:val="24"/>
          <w:highlight w:val="none"/>
        </w:rPr>
      </w:pPr>
      <w:r>
        <w:rPr>
          <w:rFonts w:hint="eastAsia" w:ascii="宋体" w:hAnsi="宋体" w:eastAsia="宋体" w:cs="宋体"/>
          <w:b/>
          <w:color w:val="auto"/>
          <w:sz w:val="30"/>
          <w:szCs w:val="30"/>
          <w:highlight w:val="none"/>
          <w:lang w:val="zh-CN"/>
        </w:rPr>
        <w:t>最后报价表</w:t>
      </w:r>
    </w:p>
    <w:p>
      <w:pPr>
        <w:snapToGrid w:val="0"/>
        <w:spacing w:before="50" w:after="50"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p>
    <w:p>
      <w:pPr>
        <w:snapToGrid w:val="0"/>
        <w:spacing w:before="50" w:after="50"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p>
    <w:p>
      <w:pPr>
        <w:pStyle w:val="22"/>
        <w:ind w:left="0" w:leftChars="0" w:firstLine="0" w:firstLineChars="0"/>
        <w:rPr>
          <w:rFonts w:hint="eastAsia" w:ascii="宋体" w:hAnsi="宋体" w:eastAsia="宋体" w:cs="宋体"/>
          <w:color w:val="auto"/>
          <w:sz w:val="24"/>
          <w:szCs w:val="24"/>
          <w:highlight w:val="none"/>
          <w:u w:val="single"/>
        </w:rPr>
      </w:pPr>
      <w:r>
        <w:rPr>
          <w:rFonts w:hint="eastAsia" w:ascii="宋体" w:hAnsi="宋体" w:eastAsia="宋体" w:cs="宋体"/>
          <w:color w:val="auto"/>
          <w:kern w:val="2"/>
          <w:sz w:val="24"/>
          <w:szCs w:val="24"/>
          <w:highlight w:val="none"/>
          <w:lang w:val="en-US" w:eastAsia="zh-CN" w:bidi="ar-SA"/>
        </w:rPr>
        <w:t>分标：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tbl>
      <w:tblPr>
        <w:tblStyle w:val="32"/>
        <w:tblW w:w="98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
        <w:gridCol w:w="946"/>
        <w:gridCol w:w="938"/>
        <w:gridCol w:w="730"/>
        <w:gridCol w:w="1113"/>
        <w:gridCol w:w="980"/>
        <w:gridCol w:w="875"/>
        <w:gridCol w:w="1238"/>
        <w:gridCol w:w="1786"/>
        <w:gridCol w:w="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8" w:hRule="atLeast"/>
        </w:trPr>
        <w:tc>
          <w:tcPr>
            <w:tcW w:w="53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szCs w:val="21"/>
              </w:rPr>
              <w:t>序号</w:t>
            </w:r>
          </w:p>
        </w:tc>
        <w:tc>
          <w:tcPr>
            <w:tcW w:w="94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标的</w:t>
            </w:r>
          </w:p>
          <w:p>
            <w:pPr>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szCs w:val="21"/>
              </w:rPr>
              <w:t>名称</w:t>
            </w:r>
          </w:p>
        </w:tc>
        <w:tc>
          <w:tcPr>
            <w:tcW w:w="93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eastAsia="宋体" w:cs="宋体"/>
                <w:color w:val="auto"/>
                <w:szCs w:val="21"/>
              </w:rPr>
            </w:pPr>
            <w:r>
              <w:rPr>
                <w:rFonts w:hint="eastAsia" w:ascii="宋体" w:hAnsi="宋体" w:eastAsia="宋体" w:cs="宋体"/>
                <w:color w:val="auto"/>
                <w:szCs w:val="21"/>
              </w:rPr>
              <w:t>商标</w:t>
            </w:r>
          </w:p>
          <w:p>
            <w:pPr>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szCs w:val="21"/>
              </w:rPr>
              <w:t>品牌</w:t>
            </w:r>
          </w:p>
        </w:tc>
        <w:tc>
          <w:tcPr>
            <w:tcW w:w="73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color w:val="auto"/>
                <w:szCs w:val="21"/>
                <w:lang w:eastAsia="zh-CN"/>
              </w:rPr>
            </w:pPr>
            <w:r>
              <w:rPr>
                <w:rFonts w:hint="eastAsia" w:ascii="宋体" w:hAnsi="宋体" w:cs="宋体"/>
                <w:color w:val="auto"/>
                <w:szCs w:val="21"/>
                <w:lang w:eastAsia="zh-CN"/>
              </w:rPr>
              <w:t>规格</w:t>
            </w:r>
          </w:p>
          <w:p>
            <w:pPr>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szCs w:val="21"/>
              </w:rPr>
              <w:t>型号</w:t>
            </w:r>
          </w:p>
        </w:tc>
        <w:tc>
          <w:tcPr>
            <w:tcW w:w="1113"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eastAsia="宋体" w:cs="宋体"/>
                <w:color w:val="auto"/>
                <w:szCs w:val="21"/>
              </w:rPr>
            </w:pPr>
            <w:r>
              <w:rPr>
                <w:rFonts w:hint="eastAsia" w:ascii="宋体" w:hAnsi="宋体" w:eastAsia="宋体" w:cs="宋体"/>
                <w:color w:val="auto"/>
                <w:szCs w:val="21"/>
              </w:rPr>
              <w:t>生产</w:t>
            </w:r>
          </w:p>
          <w:p>
            <w:pPr>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szCs w:val="21"/>
              </w:rPr>
              <w:t>厂家</w:t>
            </w:r>
          </w:p>
        </w:tc>
        <w:tc>
          <w:tcPr>
            <w:tcW w:w="98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szCs w:val="21"/>
              </w:rPr>
              <w:t>数 量</w:t>
            </w:r>
            <w:r>
              <w:rPr>
                <w:rFonts w:hint="eastAsia" w:ascii="宋体" w:hAnsi="宋体" w:eastAsia="宋体" w:cs="宋体"/>
                <w:color w:val="auto"/>
                <w:highlight w:val="none"/>
              </w:rPr>
              <w:t>①</w:t>
            </w:r>
          </w:p>
        </w:tc>
        <w:tc>
          <w:tcPr>
            <w:tcW w:w="875"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szCs w:val="21"/>
              </w:rPr>
              <w:t>单位</w:t>
            </w:r>
          </w:p>
        </w:tc>
        <w:tc>
          <w:tcPr>
            <w:tcW w:w="123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eastAsia="宋体" w:cs="宋体"/>
                <w:color w:val="auto"/>
                <w:szCs w:val="21"/>
              </w:rPr>
            </w:pPr>
            <w:r>
              <w:rPr>
                <w:rFonts w:hint="eastAsia" w:ascii="宋体" w:hAnsi="宋体" w:eastAsia="宋体" w:cs="宋体"/>
                <w:color w:val="auto"/>
                <w:szCs w:val="21"/>
              </w:rPr>
              <w:t>单  价</w:t>
            </w:r>
          </w:p>
          <w:p>
            <w:pPr>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szCs w:val="21"/>
              </w:rPr>
              <w:t>（元）</w:t>
            </w:r>
            <w:r>
              <w:rPr>
                <w:rFonts w:hint="eastAsia" w:ascii="宋体" w:hAnsi="宋体" w:eastAsia="宋体" w:cs="宋体"/>
                <w:color w:val="auto"/>
                <w:highlight w:val="none"/>
              </w:rPr>
              <w:t>②</w:t>
            </w:r>
          </w:p>
        </w:tc>
        <w:tc>
          <w:tcPr>
            <w:tcW w:w="178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单项合价</w:t>
            </w:r>
            <w:r>
              <w:rPr>
                <w:rFonts w:hint="eastAsia" w:ascii="宋体" w:hAnsi="宋体" w:eastAsia="宋体" w:cs="宋体"/>
                <w:color w:val="auto"/>
                <w:szCs w:val="21"/>
              </w:rPr>
              <w:t>（元）</w:t>
            </w:r>
          </w:p>
          <w:p>
            <w:pPr>
              <w:snapToGrid w:val="0"/>
              <w:spacing w:line="360" w:lineRule="exact"/>
              <w:jc w:val="center"/>
              <w:rPr>
                <w:rFonts w:hint="eastAsia" w:ascii="宋体" w:hAnsi="宋体" w:eastAsia="宋体" w:cs="宋体"/>
                <w:color w:val="auto"/>
                <w:szCs w:val="21"/>
              </w:rPr>
            </w:pPr>
            <w:r>
              <w:rPr>
                <w:rFonts w:hint="eastAsia" w:ascii="宋体" w:hAnsi="宋体" w:eastAsia="宋体" w:cs="宋体"/>
                <w:color w:val="auto"/>
                <w:highlight w:val="none"/>
              </w:rPr>
              <w:t>③＝①×②</w:t>
            </w:r>
          </w:p>
        </w:tc>
        <w:tc>
          <w:tcPr>
            <w:tcW w:w="69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53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94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93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73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111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98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87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1238"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highlight w:val="none"/>
              </w:rPr>
            </w:pPr>
          </w:p>
        </w:tc>
        <w:tc>
          <w:tcPr>
            <w:tcW w:w="1786"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highlight w:val="none"/>
              </w:rPr>
            </w:pPr>
          </w:p>
        </w:tc>
        <w:tc>
          <w:tcPr>
            <w:tcW w:w="69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53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94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93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73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111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98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87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1238"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highlight w:val="none"/>
              </w:rPr>
            </w:pPr>
          </w:p>
        </w:tc>
        <w:tc>
          <w:tcPr>
            <w:tcW w:w="1786"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highlight w:val="none"/>
              </w:rPr>
            </w:pPr>
          </w:p>
        </w:tc>
        <w:tc>
          <w:tcPr>
            <w:tcW w:w="69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trPr>
        <w:tc>
          <w:tcPr>
            <w:tcW w:w="53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94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93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73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111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98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87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1238"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highlight w:val="none"/>
              </w:rPr>
            </w:pPr>
          </w:p>
        </w:tc>
        <w:tc>
          <w:tcPr>
            <w:tcW w:w="1786"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highlight w:val="none"/>
              </w:rPr>
            </w:pPr>
          </w:p>
        </w:tc>
        <w:tc>
          <w:tcPr>
            <w:tcW w:w="69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9835" w:type="dxa"/>
            <w:gridSpan w:val="10"/>
            <w:tcBorders>
              <w:top w:val="single" w:color="auto" w:sz="4" w:space="0"/>
              <w:left w:val="single" w:color="auto" w:sz="4" w:space="0"/>
              <w:bottom w:val="single" w:color="auto" w:sz="4" w:space="0"/>
              <w:right w:val="single" w:color="auto" w:sz="4" w:space="0"/>
            </w:tcBorders>
            <w:vAlign w:val="bottom"/>
          </w:tcPr>
          <w:p>
            <w:pPr>
              <w:rPr>
                <w:color w:val="auto"/>
                <w:highlight w:val="none"/>
              </w:rPr>
            </w:pPr>
            <w:r>
              <w:rPr>
                <w:rFonts w:hint="eastAsia"/>
                <w:color w:val="auto"/>
                <w:highlight w:val="none"/>
              </w:rPr>
              <w:t>竞标总报价（包含税费等所有费用）：</w:t>
            </w:r>
            <w:r>
              <w:rPr>
                <w:rFonts w:hint="eastAsia"/>
                <w:color w:val="auto"/>
                <w:highlight w:val="none"/>
                <w:u w:val="single"/>
              </w:rPr>
              <w:t>人民币（大写）                     （小写）</w:t>
            </w:r>
            <w:r>
              <w:rPr>
                <w:rFonts w:hint="eastAsia" w:ascii="宋体" w:hAnsi="宋体" w:eastAsia="宋体" w:cs="宋体"/>
                <w:color w:val="auto"/>
                <w:highlight w:val="none"/>
                <w:u w:val="single"/>
              </w:rPr>
              <w:t xml:space="preserve">¥     </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trPr>
        <w:tc>
          <w:tcPr>
            <w:tcW w:w="9835" w:type="dxa"/>
            <w:gridSpan w:val="10"/>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r>
              <w:rPr>
                <w:rFonts w:hint="eastAsia" w:ascii="Times New Roman" w:hAnsi="Times New Roman" w:eastAsia="宋体" w:cs="Times New Roman"/>
                <w:color w:val="auto"/>
                <w:highlight w:val="none"/>
              </w:rPr>
              <w:t>交付使用期</w:t>
            </w:r>
            <w:r>
              <w:rPr>
                <w:rFonts w:hint="eastAsia" w:ascii="宋体" w:hAnsi="宋体" w:eastAsia="宋体" w:cs="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trPr>
        <w:tc>
          <w:tcPr>
            <w:tcW w:w="9835" w:type="dxa"/>
            <w:gridSpan w:val="10"/>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r>
              <w:rPr>
                <w:rFonts w:hint="eastAsia" w:ascii="宋体" w:hAnsi="宋体" w:eastAsia="宋体" w:cs="宋体"/>
                <w:color w:val="auto"/>
                <w:highlight w:val="none"/>
              </w:rPr>
              <w:t>优惠及其它：</w:t>
            </w:r>
            <w:r>
              <w:rPr>
                <w:rFonts w:hint="eastAsia" w:ascii="宋体" w:hAnsi="宋体" w:eastAsia="宋体" w:cs="宋体"/>
                <w:i/>
                <w:iCs/>
                <w:color w:val="auto"/>
                <w:highlight w:val="none"/>
              </w:rPr>
              <w:t>（如没有填写无）</w:t>
            </w:r>
          </w:p>
        </w:tc>
      </w:tr>
    </w:tbl>
    <w:p>
      <w:pPr>
        <w:autoSpaceDE w:val="0"/>
        <w:autoSpaceDN w:val="0"/>
        <w:spacing w:line="360" w:lineRule="auto"/>
        <w:rPr>
          <w:rFonts w:hint="eastAsia" w:ascii="宋体" w:hAnsi="宋体" w:eastAsia="宋体" w:cs="宋体"/>
          <w:i/>
          <w:iCs/>
          <w:color w:val="auto"/>
          <w:kern w:val="0"/>
          <w:sz w:val="32"/>
          <w:szCs w:val="32"/>
          <w:highlight w:val="none"/>
          <w:lang w:val="zh-CN"/>
        </w:rPr>
      </w:pPr>
    </w:p>
    <w:p>
      <w:pPr>
        <w:autoSpaceDE w:val="0"/>
        <w:autoSpaceDN w:val="0"/>
        <w:spacing w:line="360" w:lineRule="auto"/>
        <w:rPr>
          <w:rFonts w:hint="eastAsia" w:ascii="宋体" w:hAnsi="宋体" w:eastAsia="宋体" w:cs="宋体"/>
          <w:i/>
          <w:iCs/>
          <w:color w:val="auto"/>
          <w:kern w:val="0"/>
          <w:sz w:val="32"/>
          <w:szCs w:val="32"/>
          <w:highlight w:val="none"/>
          <w:lang w:val="zh-CN"/>
        </w:rPr>
      </w:pPr>
    </w:p>
    <w:p>
      <w:pPr>
        <w:autoSpaceDE w:val="0"/>
        <w:autoSpaceDN w:val="0"/>
        <w:spacing w:line="360" w:lineRule="auto"/>
        <w:ind w:left="4335" w:leftChars="1950" w:hanging="240" w:hanging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供应商名称（盖公章）：</w:t>
      </w:r>
    </w:p>
    <w:p>
      <w:pPr>
        <w:autoSpaceDE w:val="0"/>
        <w:autoSpaceDN w:val="0"/>
        <w:spacing w:line="360" w:lineRule="auto"/>
        <w:ind w:firstLine="6480" w:firstLineChars="27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日期：  年  月   日</w:t>
      </w:r>
    </w:p>
    <w:p>
      <w:pPr>
        <w:pStyle w:val="2"/>
        <w:rPr>
          <w:color w:val="auto"/>
          <w:highlight w:val="none"/>
        </w:rPr>
      </w:pPr>
    </w:p>
    <w:p>
      <w:pPr>
        <w:keepNext/>
        <w:keepLines/>
        <w:spacing w:before="260" w:after="260" w:line="416" w:lineRule="auto"/>
        <w:jc w:val="center"/>
        <w:outlineLvl w:val="1"/>
        <w:rPr>
          <w:rFonts w:hint="eastAsia" w:ascii="宋体" w:hAnsi="宋体" w:cs="仿宋_GB2312"/>
          <w:color w:val="auto"/>
          <w:sz w:val="24"/>
          <w:szCs w:val="24"/>
          <w:highlight w:val="none"/>
        </w:rPr>
      </w:pPr>
      <w:r>
        <w:rPr>
          <w:rFonts w:ascii="宋体" w:hAnsi="宋体" w:eastAsia="宋体" w:cs="Times New Roman"/>
          <w:color w:val="auto"/>
          <w:sz w:val="24"/>
          <w:szCs w:val="32"/>
          <w:highlight w:val="none"/>
          <w:lang w:val="zh-CN"/>
        </w:rPr>
        <w:br w:type="page"/>
      </w:r>
      <w:bookmarkStart w:id="183" w:name="_Toc13939"/>
      <w:bookmarkStart w:id="184" w:name="_Toc23320"/>
      <w:bookmarkStart w:id="185" w:name="_Toc80205942"/>
      <w:r>
        <w:rPr>
          <w:rFonts w:hint="eastAsia" w:ascii="宋体" w:hAnsi="宋体" w:eastAsia="宋体" w:cs="Times New Roman"/>
          <w:b/>
          <w:bCs/>
          <w:color w:val="auto"/>
          <w:sz w:val="32"/>
          <w:szCs w:val="32"/>
          <w:highlight w:val="none"/>
          <w:lang w:val="zh-CN"/>
        </w:rPr>
        <w:t>第四节 其他文书、文件格式</w:t>
      </w:r>
      <w:bookmarkEnd w:id="183"/>
      <w:bookmarkEnd w:id="184"/>
      <w:bookmarkEnd w:id="185"/>
    </w:p>
    <w:p>
      <w:pPr>
        <w:widowControl/>
        <w:shd w:val="clear" w:color="auto" w:fill="FFFFFF"/>
        <w:spacing w:line="480" w:lineRule="atLeast"/>
        <w:rPr>
          <w:rFonts w:hint="eastAsia" w:ascii="宋体" w:hAnsi="宋体" w:eastAsia="宋体" w:cs="宋体"/>
          <w:color w:val="auto"/>
          <w:kern w:val="0"/>
          <w:sz w:val="28"/>
          <w:szCs w:val="28"/>
          <w:highlight w:val="none"/>
        </w:rPr>
      </w:pPr>
      <w:r>
        <w:rPr>
          <w:rFonts w:hint="eastAsia" w:ascii="宋体" w:hAnsi="宋体" w:cs="宋体"/>
          <w:color w:val="auto"/>
          <w:sz w:val="28"/>
          <w:szCs w:val="28"/>
          <w:highlight w:val="none"/>
          <w:lang w:val="en-US" w:eastAsia="zh-CN"/>
        </w:rPr>
        <w:t>1</w:t>
      </w:r>
      <w:r>
        <w:rPr>
          <w:rFonts w:hint="eastAsia" w:ascii="宋体" w:hAnsi="宋体" w:cs="宋体"/>
          <w:color w:val="auto"/>
          <w:sz w:val="28"/>
          <w:szCs w:val="28"/>
          <w:highlight w:val="none"/>
        </w:rPr>
        <w:t>.</w:t>
      </w:r>
      <w:r>
        <w:rPr>
          <w:rFonts w:hint="eastAsia" w:ascii="宋体" w:hAnsi="宋体" w:eastAsia="宋体" w:cs="宋体"/>
          <w:color w:val="auto"/>
          <w:kern w:val="0"/>
          <w:sz w:val="28"/>
          <w:szCs w:val="28"/>
          <w:highlight w:val="none"/>
        </w:rPr>
        <w:t>广西壮族自治区政府采购项目合同验收书的格式：</w:t>
      </w:r>
    </w:p>
    <w:p>
      <w:pPr>
        <w:widowControl/>
        <w:shd w:val="clear" w:color="auto" w:fill="FFFFFF"/>
        <w:spacing w:line="480" w:lineRule="atLeast"/>
        <w:jc w:val="center"/>
        <w:rPr>
          <w:rFonts w:hint="eastAsia" w:ascii="仿宋" w:hAnsi="仿宋" w:eastAsia="仿宋" w:cs="宋体"/>
          <w:color w:val="auto"/>
          <w:kern w:val="0"/>
          <w:sz w:val="32"/>
          <w:szCs w:val="32"/>
          <w:highlight w:val="none"/>
        </w:rPr>
      </w:pPr>
      <w:r>
        <w:rPr>
          <w:rFonts w:hint="eastAsia" w:ascii="宋体" w:hAnsi="宋体" w:cs="宋体"/>
          <w:b/>
          <w:bCs/>
          <w:color w:val="auto"/>
          <w:kern w:val="0"/>
          <w:sz w:val="32"/>
          <w:szCs w:val="32"/>
          <w:highlight w:val="none"/>
        </w:rPr>
        <w:t>广西壮族自治区政府采购项目合同验收书</w:t>
      </w:r>
    </w:p>
    <w:p>
      <w:pPr>
        <w:widowControl/>
        <w:shd w:val="clear" w:color="auto" w:fill="FFFFFF"/>
        <w:snapToGrid w:val="0"/>
        <w:spacing w:line="320" w:lineRule="atLeast"/>
        <w:ind w:firstLine="480"/>
        <w:jc w:val="left"/>
        <w:rPr>
          <w:rFonts w:hint="eastAsia" w:ascii="仿宋" w:hAnsi="仿宋" w:eastAsia="仿宋" w:cs="宋体"/>
          <w:color w:val="auto"/>
          <w:kern w:val="0"/>
          <w:szCs w:val="21"/>
          <w:highlight w:val="none"/>
        </w:rPr>
      </w:pPr>
      <w:r>
        <w:rPr>
          <w:rFonts w:hint="eastAsia" w:ascii="仿宋" w:hAnsi="仿宋" w:eastAsia="仿宋" w:cs="宋体"/>
          <w:color w:val="auto"/>
          <w:kern w:val="0"/>
          <w:szCs w:val="21"/>
          <w:highlight w:val="none"/>
        </w:rPr>
        <w:t>根据政府采购项目（</w:t>
      </w:r>
      <w:r>
        <w:rPr>
          <w:rFonts w:hint="eastAsia" w:ascii="仿宋" w:hAnsi="仿宋" w:eastAsia="仿宋" w:cs="宋体"/>
          <w:color w:val="auto"/>
          <w:kern w:val="0"/>
          <w:szCs w:val="21"/>
          <w:highlight w:val="none"/>
          <w:u w:val="single"/>
        </w:rPr>
        <w:t>采购合同编号：</w:t>
      </w:r>
      <w:r>
        <w:rPr>
          <w:rFonts w:hint="eastAsia" w:ascii="仿宋" w:hAnsi="仿宋" w:eastAsia="仿宋" w:cs="宋体"/>
          <w:color w:val="auto"/>
          <w:kern w:val="0"/>
          <w:szCs w:val="21"/>
          <w:highlight w:val="none"/>
          <w:u w:val="single"/>
        </w:rPr>
        <w:softHyphen/>
      </w:r>
      <w:r>
        <w:rPr>
          <w:rFonts w:hint="eastAsia" w:ascii="仿宋" w:hAnsi="仿宋" w:eastAsia="仿宋" w:cs="宋体"/>
          <w:color w:val="auto"/>
          <w:kern w:val="0"/>
          <w:szCs w:val="21"/>
          <w:highlight w:val="none"/>
          <w:u w:val="single"/>
        </w:rPr>
        <w:t xml:space="preserve"> </w:t>
      </w:r>
      <w:r>
        <w:rPr>
          <w:rFonts w:hint="eastAsia" w:ascii="仿宋" w:hAnsi="仿宋" w:eastAsia="仿宋" w:cs="宋体"/>
          <w:color w:val="auto"/>
          <w:kern w:val="0"/>
          <w:szCs w:val="21"/>
          <w:highlight w:val="none"/>
        </w:rPr>
        <w:t>）的约定，我单位对（</w:t>
      </w:r>
      <w:r>
        <w:rPr>
          <w:rFonts w:hint="eastAsia" w:ascii="仿宋" w:hAnsi="仿宋" w:eastAsia="仿宋" w:cs="宋体"/>
          <w:color w:val="auto"/>
          <w:kern w:val="0"/>
          <w:szCs w:val="21"/>
          <w:highlight w:val="none"/>
          <w:u w:val="single"/>
        </w:rPr>
        <w:t xml:space="preserve"> 项目名称 </w:t>
      </w:r>
      <w:r>
        <w:rPr>
          <w:rFonts w:hint="eastAsia" w:ascii="仿宋" w:hAnsi="仿宋" w:eastAsia="仿宋" w:cs="宋体"/>
          <w:color w:val="auto"/>
          <w:kern w:val="0"/>
          <w:szCs w:val="21"/>
          <w:highlight w:val="none"/>
        </w:rPr>
        <w:t>） 政府采购项目成交供应商（</w:t>
      </w:r>
      <w:r>
        <w:rPr>
          <w:rFonts w:hint="eastAsia" w:ascii="仿宋" w:hAnsi="仿宋" w:eastAsia="仿宋" w:cs="宋体"/>
          <w:color w:val="auto"/>
          <w:kern w:val="0"/>
          <w:szCs w:val="21"/>
          <w:highlight w:val="none"/>
          <w:u w:val="single"/>
        </w:rPr>
        <w:t xml:space="preserve"> 公司名称 </w:t>
      </w:r>
      <w:r>
        <w:rPr>
          <w:rFonts w:hint="eastAsia" w:ascii="仿宋" w:hAnsi="仿宋" w:eastAsia="仿宋" w:cs="宋体"/>
          <w:color w:val="auto"/>
          <w:kern w:val="0"/>
          <w:szCs w:val="21"/>
          <w:highlight w:val="none"/>
        </w:rPr>
        <w:t>） 提供的货物（或者工程、服务）进行了验收，验收情况如下：</w:t>
      </w:r>
    </w:p>
    <w:tbl>
      <w:tblPr>
        <w:tblStyle w:val="32"/>
        <w:tblW w:w="8445" w:type="dxa"/>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atLeast"/>
              <w:ind w:firstLine="5"/>
              <w:jc w:val="center"/>
              <w:rPr>
                <w:rFonts w:ascii="Verdana" w:hAnsi="Verdana" w:cs="宋体"/>
                <w:color w:val="auto"/>
                <w:kern w:val="0"/>
                <w:szCs w:val="21"/>
                <w:highlight w:val="none"/>
              </w:rPr>
            </w:pPr>
            <w:r>
              <w:rPr>
                <w:rFonts w:ascii="Verdana" w:hAnsi="Verdana" w:cs="宋体"/>
                <w:color w:val="auto"/>
                <w:kern w:val="0"/>
                <w:szCs w:val="21"/>
                <w:highlight w:val="none"/>
              </w:rPr>
              <w:t>验收方式：</w:t>
            </w:r>
          </w:p>
        </w:tc>
        <w:tc>
          <w:tcPr>
            <w:tcW w:w="5193" w:type="dxa"/>
            <w:gridSpan w:val="6"/>
            <w:tcBorders>
              <w:top w:val="single" w:color="auto" w:sz="8" w:space="0"/>
              <w:left w:val="nil"/>
              <w:bottom w:val="single" w:color="auto" w:sz="8" w:space="0"/>
              <w:right w:val="single" w:color="auto" w:sz="8" w:space="0"/>
            </w:tcBorders>
            <w:vAlign w:val="center"/>
          </w:tcPr>
          <w:p>
            <w:pPr>
              <w:widowControl/>
              <w:snapToGrid w:val="0"/>
              <w:spacing w:before="100" w:beforeAutospacing="1" w:after="100" w:afterAutospacing="1" w:line="320" w:lineRule="atLeast"/>
              <w:jc w:val="center"/>
              <w:rPr>
                <w:rFonts w:ascii="Verdana" w:hAnsi="Verdana" w:cs="宋体"/>
                <w:color w:val="auto"/>
                <w:kern w:val="0"/>
                <w:szCs w:val="21"/>
                <w:highlight w:val="none"/>
              </w:rPr>
            </w:pPr>
            <w:r>
              <w:rPr>
                <w:rFonts w:ascii="Verdana" w:hAnsi="Verdana" w:cs="宋体"/>
                <w:color w:val="auto"/>
                <w:kern w:val="0"/>
                <w:szCs w:val="21"/>
                <w:highlight w:val="none"/>
              </w:rPr>
              <w:t>□自行验收 □委托验收</w:t>
            </w:r>
          </w:p>
        </w:tc>
      </w:tr>
      <w:tr>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序号</w:t>
            </w:r>
          </w:p>
        </w:tc>
        <w:tc>
          <w:tcPr>
            <w:tcW w:w="2448"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名称</w:t>
            </w:r>
          </w:p>
        </w:tc>
        <w:tc>
          <w:tcPr>
            <w:tcW w:w="2902" w:type="dxa"/>
            <w:gridSpan w:val="3"/>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jc w:val="center"/>
              <w:rPr>
                <w:rFonts w:ascii="Verdana" w:hAnsi="Verdana" w:cs="宋体"/>
                <w:color w:val="auto"/>
                <w:kern w:val="0"/>
                <w:szCs w:val="21"/>
                <w:highlight w:val="none"/>
              </w:rPr>
            </w:pPr>
            <w:r>
              <w:rPr>
                <w:rFonts w:ascii="Verdana" w:hAnsi="Verdana" w:cs="宋体"/>
                <w:color w:val="auto"/>
                <w:kern w:val="0"/>
                <w:szCs w:val="21"/>
                <w:highlight w:val="none"/>
              </w:rPr>
              <w:t>数量</w:t>
            </w:r>
          </w:p>
        </w:tc>
        <w:tc>
          <w:tcPr>
            <w:tcW w:w="1428" w:type="dxa"/>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金额</w:t>
            </w:r>
          </w:p>
        </w:tc>
      </w:tr>
      <w:tr>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r>
      <w:tr>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r>
      <w:tr>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atLeast"/>
              <w:ind w:firstLine="5"/>
              <w:jc w:val="center"/>
              <w:rPr>
                <w:rFonts w:ascii="Verdana" w:hAnsi="Verdana" w:cs="宋体"/>
                <w:color w:val="auto"/>
                <w:kern w:val="0"/>
                <w:szCs w:val="21"/>
                <w:highlight w:val="none"/>
              </w:rPr>
            </w:pPr>
            <w:r>
              <w:rPr>
                <w:rFonts w:ascii="Verdana" w:hAnsi="Verdana" w:cs="宋体"/>
                <w:color w:val="auto"/>
                <w:kern w:val="0"/>
                <w:szCs w:val="21"/>
                <w:highlight w:val="none"/>
              </w:rPr>
              <w:t>合 计</w:t>
            </w:r>
          </w:p>
        </w:tc>
        <w:tc>
          <w:tcPr>
            <w:tcW w:w="863"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r>
      <w:tr>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 xml:space="preserve">合计大写金额： </w:t>
            </w:r>
            <w:r>
              <w:rPr>
                <w:rFonts w:hint="eastAsia" w:ascii="Verdana" w:hAnsi="Verdana" w:cs="宋体"/>
                <w:color w:val="auto"/>
                <w:kern w:val="0"/>
                <w:szCs w:val="21"/>
                <w:highlight w:val="none"/>
              </w:rPr>
              <w:t xml:space="preserve"> </w:t>
            </w:r>
            <w:r>
              <w:rPr>
                <w:rFonts w:hint="eastAsia" w:ascii="Verdana" w:hAnsi="Verdana" w:cs="宋体"/>
                <w:color w:val="auto"/>
                <w:kern w:val="0"/>
                <w:szCs w:val="21"/>
                <w:highlight w:val="none"/>
                <w:lang w:val="en-US" w:eastAsia="zh-CN"/>
              </w:rPr>
              <w:t xml:space="preserve">        </w:t>
            </w:r>
            <w:r>
              <w:rPr>
                <w:rFonts w:ascii="Verdana" w:hAnsi="Verdana" w:cs="宋体"/>
                <w:color w:val="auto"/>
                <w:kern w:val="0"/>
                <w:szCs w:val="21"/>
                <w:highlight w:val="none"/>
              </w:rPr>
              <w:t xml:space="preserve">仟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佰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拾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万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仟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佰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拾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元</w:t>
            </w:r>
          </w:p>
        </w:tc>
      </w:tr>
      <w:tr>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实际供货日期</w:t>
            </w:r>
          </w:p>
        </w:tc>
        <w:tc>
          <w:tcPr>
            <w:tcW w:w="2421"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46"/>
              <w:jc w:val="center"/>
              <w:rPr>
                <w:rFonts w:ascii="Verdana" w:hAnsi="Verdana" w:cs="宋体"/>
                <w:color w:val="auto"/>
                <w:kern w:val="0"/>
                <w:szCs w:val="21"/>
                <w:highlight w:val="none"/>
              </w:rPr>
            </w:pPr>
            <w:r>
              <w:rPr>
                <w:rFonts w:ascii="Verdana" w:hAnsi="Verdana" w:cs="宋体"/>
                <w:color w:val="auto"/>
                <w:kern w:val="0"/>
                <w:szCs w:val="21"/>
                <w:highlight w:val="none"/>
              </w:rPr>
              <w:t>合同交货验收日期</w:t>
            </w:r>
          </w:p>
        </w:tc>
        <w:tc>
          <w:tcPr>
            <w:tcW w:w="2113"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r>
      <w:tr>
        <w:tblPrEx>
          <w:tblCellMar>
            <w:top w:w="0" w:type="dxa"/>
            <w:left w:w="0" w:type="dxa"/>
            <w:bottom w:w="0" w:type="dxa"/>
            <w:right w:w="0" w:type="dxa"/>
          </w:tblCellMar>
        </w:tblPrEx>
        <w:trPr>
          <w:trHeight w:val="394" w:hRule="atLeast"/>
          <w:jc w:val="center"/>
        </w:trPr>
        <w:tc>
          <w:tcPr>
            <w:tcW w:w="1629" w:type="dxa"/>
            <w:gridSpan w:val="2"/>
            <w:tcBorders>
              <w:top w:val="nil"/>
              <w:left w:val="single" w:color="auto" w:sz="8" w:space="0"/>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2421"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2113"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r>
      <w:tr>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napToGrid w:val="0"/>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验收具体内容</w:t>
            </w:r>
          </w:p>
        </w:tc>
        <w:tc>
          <w:tcPr>
            <w:tcW w:w="6816"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napToGrid w:val="0"/>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应按采购合同、竞争性谈判文件、竞标响应文件及验收方案等进行验收；并核对成交供应商在安装调试等方面是否违反合同约定或者服务规范要求、提供的质量保证证明材料是否齐全、应有的配件及附件是否达到合同约定等。可附件)</w:t>
            </w:r>
          </w:p>
        </w:tc>
      </w:tr>
      <w:tr>
        <w:tblPrEx>
          <w:tblCellMar>
            <w:top w:w="0" w:type="dxa"/>
            <w:left w:w="0" w:type="dxa"/>
            <w:bottom w:w="0" w:type="dxa"/>
            <w:right w:w="0" w:type="dxa"/>
          </w:tblCellMar>
        </w:tblPrEx>
        <w:trPr>
          <w:trHeight w:val="720" w:hRule="atLeast"/>
          <w:jc w:val="center"/>
        </w:trPr>
        <w:tc>
          <w:tcPr>
            <w:tcW w:w="1629"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验收小组意见</w:t>
            </w:r>
          </w:p>
        </w:tc>
        <w:tc>
          <w:tcPr>
            <w:tcW w:w="6816" w:type="dxa"/>
            <w:gridSpan w:val="7"/>
            <w:tcBorders>
              <w:top w:val="nil"/>
              <w:left w:val="nil"/>
              <w:bottom w:val="single" w:color="auto" w:sz="8" w:space="0"/>
              <w:right w:val="single" w:color="auto" w:sz="8" w:space="0"/>
            </w:tcBorders>
            <w:vAlign w:val="center"/>
          </w:tcPr>
          <w:p>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验收结论性意见：</w:t>
            </w:r>
          </w:p>
        </w:tc>
      </w:tr>
      <w:tr>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vAlign w:val="center"/>
          </w:tcPr>
          <w:p>
            <w:pPr>
              <w:widowControl/>
              <w:jc w:val="left"/>
              <w:rPr>
                <w:rFonts w:ascii="Verdana" w:hAnsi="Verdana" w:cs="宋体"/>
                <w:color w:val="auto"/>
                <w:kern w:val="0"/>
                <w:szCs w:val="21"/>
                <w:highlight w:val="none"/>
              </w:rPr>
            </w:pPr>
          </w:p>
        </w:tc>
        <w:tc>
          <w:tcPr>
            <w:tcW w:w="6816" w:type="dxa"/>
            <w:gridSpan w:val="7"/>
            <w:tcBorders>
              <w:top w:val="nil"/>
              <w:left w:val="nil"/>
              <w:bottom w:val="single" w:color="auto" w:sz="8" w:space="0"/>
              <w:right w:val="single" w:color="auto" w:sz="8" w:space="0"/>
            </w:tcBorders>
            <w:vAlign w:val="center"/>
          </w:tcPr>
          <w:p>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有异议的意见和说明理由：</w:t>
            </w:r>
          </w:p>
          <w:p>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签字：</w:t>
            </w:r>
          </w:p>
        </w:tc>
      </w:tr>
      <w:tr>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验收小组成员签字：</w:t>
            </w:r>
          </w:p>
        </w:tc>
      </w:tr>
      <w:tr>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监督人员或者</w:t>
            </w:r>
            <w:r>
              <w:rPr>
                <w:rFonts w:hint="eastAsia" w:ascii="Verdana" w:hAnsi="Verdana" w:cs="宋体"/>
                <w:color w:val="auto"/>
                <w:kern w:val="0"/>
                <w:szCs w:val="21"/>
                <w:highlight w:val="none"/>
              </w:rPr>
              <w:t>其他</w:t>
            </w:r>
            <w:r>
              <w:rPr>
                <w:rFonts w:ascii="Verdana" w:hAnsi="Verdana" w:cs="宋体"/>
                <w:color w:val="auto"/>
                <w:kern w:val="0"/>
                <w:szCs w:val="21"/>
                <w:highlight w:val="none"/>
              </w:rPr>
              <w:t>相关人员签字：</w:t>
            </w:r>
          </w:p>
          <w:p>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或者受邀机构的意见（盖章）：</w:t>
            </w:r>
          </w:p>
        </w:tc>
      </w:tr>
      <w:tr>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single" w:color="auto" w:sz="4" w:space="0"/>
            </w:tcBorders>
            <w:tcMar>
              <w:top w:w="0" w:type="dxa"/>
              <w:left w:w="108" w:type="dxa"/>
              <w:bottom w:w="0" w:type="dxa"/>
              <w:right w:w="108" w:type="dxa"/>
            </w:tcMar>
            <w:vAlign w:val="center"/>
          </w:tcPr>
          <w:p>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成交供应商负责人签字或者盖章：</w:t>
            </w:r>
          </w:p>
          <w:p>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联系电话：</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w:t>
            </w:r>
          </w:p>
          <w:p>
            <w:pPr>
              <w:widowControl/>
              <w:spacing w:before="100" w:beforeAutospacing="1" w:after="100" w:afterAutospacing="1" w:line="320" w:lineRule="atLeast"/>
              <w:ind w:firstLine="2730" w:firstLineChars="1300"/>
              <w:jc w:val="left"/>
              <w:rPr>
                <w:rFonts w:ascii="Verdana" w:hAnsi="Verdana" w:cs="宋体"/>
                <w:color w:val="auto"/>
                <w:kern w:val="0"/>
                <w:szCs w:val="21"/>
                <w:highlight w:val="none"/>
              </w:rPr>
            </w:pPr>
            <w:r>
              <w:rPr>
                <w:rFonts w:ascii="Verdana" w:hAnsi="Verdana" w:cs="宋体"/>
                <w:color w:val="auto"/>
                <w:kern w:val="0"/>
                <w:szCs w:val="21"/>
                <w:highlight w:val="none"/>
              </w:rPr>
              <w:t>年</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月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日</w:t>
            </w:r>
          </w:p>
        </w:tc>
        <w:tc>
          <w:tcPr>
            <w:tcW w:w="4293" w:type="dxa"/>
            <w:gridSpan w:val="4"/>
            <w:tcBorders>
              <w:top w:val="nil"/>
              <w:left w:val="single" w:color="auto" w:sz="4" w:space="0"/>
              <w:bottom w:val="single" w:color="auto" w:sz="8" w:space="0"/>
              <w:right w:val="single" w:color="auto" w:sz="8" w:space="0"/>
            </w:tcBorders>
            <w:vAlign w:val="center"/>
          </w:tcPr>
          <w:p>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采购人或者受托机构的意见（盖章）：</w:t>
            </w:r>
          </w:p>
          <w:p>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联系电话：</w:t>
            </w:r>
            <w:r>
              <w:rPr>
                <w:rFonts w:hint="eastAsia" w:ascii="Verdana" w:hAnsi="Verdana" w:cs="宋体"/>
                <w:color w:val="auto"/>
                <w:kern w:val="0"/>
                <w:szCs w:val="21"/>
                <w:highlight w:val="none"/>
              </w:rPr>
              <w:t xml:space="preserve">          </w:t>
            </w:r>
          </w:p>
          <w:p>
            <w:pPr>
              <w:widowControl/>
              <w:spacing w:before="100" w:beforeAutospacing="1" w:after="100" w:afterAutospacing="1" w:line="320" w:lineRule="atLeast"/>
              <w:ind w:firstLine="2100" w:firstLineChars="1000"/>
              <w:jc w:val="left"/>
              <w:rPr>
                <w:rFonts w:ascii="Verdana" w:hAnsi="Verdana" w:cs="宋体"/>
                <w:color w:val="auto"/>
                <w:kern w:val="0"/>
                <w:szCs w:val="21"/>
                <w:highlight w:val="none"/>
              </w:rPr>
            </w:pP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年</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月</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日</w:t>
            </w:r>
          </w:p>
        </w:tc>
      </w:tr>
    </w:tbl>
    <w:p>
      <w:pPr>
        <w:pStyle w:val="20"/>
        <w:snapToGrid w:val="0"/>
        <w:rPr>
          <w:rFonts w:hint="eastAsia" w:hAnsi="宋体"/>
          <w:color w:val="auto"/>
          <w:highlight w:val="none"/>
        </w:rPr>
      </w:pPr>
      <w:r>
        <w:rPr>
          <w:rFonts w:hAnsi="宋体"/>
          <w:color w:val="auto"/>
          <w:highlight w:val="none"/>
        </w:rPr>
        <w:br w:type="page"/>
      </w:r>
    </w:p>
    <w:p>
      <w:pPr>
        <w:spacing w:line="520" w:lineRule="exact"/>
        <w:jc w:val="center"/>
        <w:rPr>
          <w:rFonts w:hint="eastAsia" w:ascii="宋体" w:hAnsi="宋体" w:eastAsia="宋体" w:cs="Times New Roman"/>
          <w:color w:val="auto"/>
          <w:sz w:val="24"/>
          <w:szCs w:val="24"/>
          <w:highlight w:val="none"/>
        </w:rPr>
      </w:pPr>
    </w:p>
    <w:p>
      <w:pPr>
        <w:spacing w:line="520" w:lineRule="exact"/>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b/>
          <w:bCs/>
          <w:color w:val="auto"/>
          <w:sz w:val="44"/>
          <w:szCs w:val="44"/>
          <w:highlight w:val="none"/>
        </w:rPr>
      </w:pPr>
    </w:p>
    <w:p>
      <w:pPr>
        <w:spacing w:line="360" w:lineRule="auto"/>
        <w:jc w:val="center"/>
        <w:rPr>
          <w:rFonts w:hint="eastAsia" w:ascii="宋体" w:hAnsi="宋体" w:eastAsia="宋体" w:cs="Times New Roman"/>
          <w:b/>
          <w:bCs/>
          <w:color w:val="auto"/>
          <w:sz w:val="44"/>
          <w:szCs w:val="44"/>
          <w:highlight w:val="none"/>
        </w:rPr>
      </w:pPr>
    </w:p>
    <w:p>
      <w:pPr>
        <w:keepNext/>
        <w:keepLines/>
        <w:spacing w:before="340" w:after="330" w:line="578" w:lineRule="auto"/>
        <w:jc w:val="center"/>
        <w:outlineLvl w:val="0"/>
        <w:rPr>
          <w:rFonts w:hint="eastAsia" w:ascii="宋体" w:hAnsi="宋体" w:eastAsia="宋体" w:cs="Times New Roman"/>
          <w:color w:val="auto"/>
          <w:kern w:val="44"/>
          <w:sz w:val="44"/>
          <w:szCs w:val="44"/>
          <w:highlight w:val="none"/>
          <w:lang w:val="zh-CN"/>
        </w:rPr>
      </w:pPr>
      <w:bookmarkStart w:id="186" w:name="_Toc80205943"/>
      <w:bookmarkStart w:id="187" w:name="_Toc23849"/>
      <w:bookmarkStart w:id="188" w:name="_Toc15382"/>
      <w:bookmarkStart w:id="189" w:name="_Toc22077"/>
      <w:bookmarkStart w:id="190" w:name="_Toc21248"/>
      <w:bookmarkStart w:id="191" w:name="_Toc10008"/>
      <w:bookmarkStart w:id="192" w:name="_Toc4631"/>
      <w:bookmarkStart w:id="193" w:name="_Toc20554"/>
      <w:bookmarkStart w:id="194" w:name="_Toc19175"/>
      <w:r>
        <w:rPr>
          <w:rFonts w:hint="eastAsia" w:ascii="宋体" w:hAnsi="宋体" w:eastAsia="宋体" w:cs="Times New Roman"/>
          <w:color w:val="auto"/>
          <w:kern w:val="44"/>
          <w:sz w:val="44"/>
          <w:szCs w:val="44"/>
          <w:highlight w:val="none"/>
          <w:lang w:val="zh-CN"/>
        </w:rPr>
        <w:t>第六章 合同文本</w:t>
      </w:r>
      <w:bookmarkEnd w:id="186"/>
      <w:bookmarkEnd w:id="187"/>
      <w:bookmarkEnd w:id="188"/>
      <w:bookmarkEnd w:id="189"/>
      <w:bookmarkEnd w:id="190"/>
      <w:bookmarkEnd w:id="191"/>
      <w:bookmarkEnd w:id="192"/>
      <w:bookmarkEnd w:id="193"/>
    </w:p>
    <w:bookmarkEnd w:id="194"/>
    <w:p>
      <w:pPr>
        <w:keepNext/>
        <w:keepLines/>
        <w:spacing w:before="340" w:after="330" w:line="578" w:lineRule="auto"/>
        <w:jc w:val="center"/>
        <w:outlineLvl w:val="0"/>
        <w:rPr>
          <w:rFonts w:hint="eastAsia" w:ascii="仿宋_GB2312" w:hAnsi="楷体" w:eastAsia="仿宋_GB2312" w:cs="Times New Roman"/>
          <w:b/>
          <w:bCs/>
          <w:color w:val="auto"/>
          <w:kern w:val="44"/>
          <w:sz w:val="24"/>
          <w:szCs w:val="44"/>
          <w:highlight w:val="none"/>
          <w:u w:val="single"/>
          <w:lang w:val="zh-CN"/>
        </w:rPr>
      </w:pPr>
    </w:p>
    <w:p>
      <w:pPr>
        <w:spacing w:line="240" w:lineRule="auto"/>
        <w:jc w:val="left"/>
        <w:rPr>
          <w:rFonts w:hint="eastAsia" w:ascii="宋体" w:hAnsi="宋体"/>
          <w:b/>
          <w:color w:val="auto"/>
          <w:sz w:val="24"/>
          <w:szCs w:val="24"/>
          <w:highlight w:val="none"/>
        </w:rPr>
      </w:pPr>
      <w:r>
        <w:rPr>
          <w:rFonts w:hint="eastAsia" w:ascii="宋体" w:hAnsi="宋体"/>
          <w:b/>
          <w:color w:val="auto"/>
          <w:sz w:val="24"/>
          <w:szCs w:val="24"/>
          <w:highlight w:val="none"/>
        </w:rPr>
        <w:br w:type="page"/>
      </w:r>
    </w:p>
    <w:p>
      <w:pPr>
        <w:snapToGrid w:val="0"/>
        <w:spacing w:line="400" w:lineRule="exact"/>
        <w:jc w:val="center"/>
        <w:rPr>
          <w:rFonts w:hint="eastAsia" w:ascii="宋体" w:hAnsi="宋体"/>
          <w:b/>
          <w:bCs/>
          <w:color w:val="auto"/>
          <w:sz w:val="32"/>
          <w:szCs w:val="32"/>
          <w:highlight w:val="none"/>
        </w:rPr>
      </w:pPr>
      <w:bookmarkStart w:id="195" w:name="_Toc80205947"/>
      <w:bookmarkStart w:id="196" w:name="_Toc31751"/>
      <w:r>
        <w:rPr>
          <w:rFonts w:hint="eastAsia" w:ascii="宋体" w:hAnsi="宋体"/>
          <w:b/>
          <w:bCs/>
          <w:color w:val="auto"/>
          <w:sz w:val="32"/>
          <w:szCs w:val="32"/>
          <w:highlight w:val="none"/>
        </w:rPr>
        <w:t>《广西壮族自治区政府采购合同》</w:t>
      </w:r>
      <w:r>
        <w:rPr>
          <w:rFonts w:hint="eastAsia" w:ascii="宋体" w:hAnsi="宋体"/>
          <w:b/>
          <w:color w:val="auto"/>
          <w:sz w:val="32"/>
          <w:szCs w:val="32"/>
          <w:highlight w:val="none"/>
        </w:rPr>
        <w:t>文本</w:t>
      </w:r>
    </w:p>
    <w:p>
      <w:pPr>
        <w:snapToGrid w:val="0"/>
        <w:spacing w:line="400" w:lineRule="exact"/>
        <w:ind w:right="480" w:firstLine="5250" w:firstLineChars="2500"/>
        <w:rPr>
          <w:rFonts w:hint="eastAsia" w:ascii="宋体" w:hAnsi="宋体"/>
          <w:bCs/>
          <w:color w:val="auto"/>
          <w:szCs w:val="21"/>
          <w:highlight w:val="none"/>
        </w:rPr>
      </w:pPr>
    </w:p>
    <w:p>
      <w:pPr>
        <w:snapToGrid w:val="0"/>
        <w:spacing w:line="360" w:lineRule="auto"/>
        <w:ind w:right="480" w:firstLine="4410" w:firstLineChars="2100"/>
        <w:rPr>
          <w:rFonts w:hint="eastAsia" w:ascii="宋体" w:hAnsi="宋体" w:cs="宋体"/>
          <w:bCs/>
          <w:color w:val="auto"/>
          <w:szCs w:val="21"/>
          <w:highlight w:val="none"/>
        </w:rPr>
      </w:pPr>
      <w:r>
        <w:rPr>
          <w:rFonts w:hint="eastAsia" w:ascii="宋体" w:hAnsi="宋体" w:cs="宋体"/>
          <w:bCs/>
          <w:color w:val="auto"/>
          <w:szCs w:val="21"/>
          <w:highlight w:val="none"/>
        </w:rPr>
        <w:t>合同编号：</w:t>
      </w:r>
      <w:r>
        <w:rPr>
          <w:rFonts w:hint="eastAsia" w:ascii="宋体" w:hAnsi="宋体" w:cs="宋体"/>
          <w:color w:val="auto"/>
          <w:szCs w:val="21"/>
          <w:highlight w:val="none"/>
          <w:u w:val="single"/>
        </w:rPr>
        <w:t xml:space="preserve">                 </w:t>
      </w:r>
    </w:p>
    <w:p>
      <w:pPr>
        <w:pStyle w:val="2"/>
        <w:spacing w:line="360" w:lineRule="auto"/>
        <w:ind w:firstLine="4410" w:firstLineChars="2100"/>
        <w:rPr>
          <w:color w:val="auto"/>
          <w:sz w:val="21"/>
          <w:szCs w:val="21"/>
          <w:highlight w:val="none"/>
        </w:rPr>
      </w:pPr>
      <w:r>
        <w:rPr>
          <w:rFonts w:hint="eastAsia" w:ascii="宋体" w:hAnsi="宋体" w:cs="宋体"/>
          <w:color w:val="auto"/>
          <w:sz w:val="21"/>
          <w:szCs w:val="21"/>
          <w:highlight w:val="none"/>
        </w:rPr>
        <w:t>采购计划号：</w:t>
      </w:r>
      <w:r>
        <w:rPr>
          <w:rFonts w:hint="eastAsia" w:ascii="宋体" w:hAnsi="宋体" w:cs="宋体"/>
          <w:color w:val="auto"/>
          <w:sz w:val="21"/>
          <w:szCs w:val="21"/>
          <w:highlight w:val="none"/>
          <w:u w:val="single"/>
        </w:rPr>
        <w:t xml:space="preserve">               </w:t>
      </w:r>
    </w:p>
    <w:p>
      <w:pPr>
        <w:snapToGrid w:val="0"/>
        <w:spacing w:line="400" w:lineRule="exact"/>
        <w:rPr>
          <w:rFonts w:hint="eastAsia" w:ascii="宋体" w:hAnsi="宋体" w:cs="宋体"/>
          <w:color w:val="auto"/>
          <w:szCs w:val="21"/>
          <w:highlight w:val="none"/>
        </w:rPr>
      </w:pPr>
    </w:p>
    <w:p>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采购人（甲方）：</w:t>
      </w:r>
      <w:r>
        <w:rPr>
          <w:rFonts w:hint="eastAsia" w:ascii="宋体" w:hAnsi="宋体" w:cs="宋体"/>
          <w:color w:val="auto"/>
          <w:szCs w:val="21"/>
          <w:highlight w:val="none"/>
          <w:u w:val="single"/>
        </w:rPr>
        <w:t xml:space="preserve">                          </w:t>
      </w:r>
    </w:p>
    <w:p>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成交供应商（乙方）：</w:t>
      </w:r>
      <w:r>
        <w:rPr>
          <w:rFonts w:hint="eastAsia" w:ascii="宋体" w:hAnsi="宋体" w:cs="宋体"/>
          <w:color w:val="auto"/>
          <w:szCs w:val="21"/>
          <w:highlight w:val="none"/>
          <w:u w:val="single"/>
        </w:rPr>
        <w:t xml:space="preserve">                          </w:t>
      </w:r>
    </w:p>
    <w:p>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p>
    <w:p>
      <w:pPr>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项目编号：</w:t>
      </w:r>
      <w:r>
        <w:rPr>
          <w:rFonts w:hint="eastAsia" w:ascii="宋体" w:hAnsi="宋体" w:cs="宋体"/>
          <w:color w:val="auto"/>
          <w:szCs w:val="21"/>
          <w:highlight w:val="none"/>
          <w:u w:val="single"/>
        </w:rPr>
        <w:t xml:space="preserve">                               </w:t>
      </w:r>
    </w:p>
    <w:p>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签订地点：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签订时间：</w:t>
      </w:r>
      <w:r>
        <w:rPr>
          <w:rFonts w:hint="eastAsia" w:ascii="宋体" w:hAnsi="宋体" w:cs="宋体"/>
          <w:color w:val="auto"/>
          <w:szCs w:val="21"/>
          <w:highlight w:val="none"/>
          <w:u w:val="single"/>
        </w:rPr>
        <w:t xml:space="preserve">              </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根据《中华人民共和国政府采购法》、《中华人民共和国民法典》等法律、法规规定，按照竞争性谈判文件规定条款和成交供应商承诺，甲乙双方签订本合同。</w:t>
      </w:r>
    </w:p>
    <w:p>
      <w:pPr>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第一条　合同标的</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eastAsia="宋体" w:cs="宋体"/>
          <w:color w:val="auto"/>
          <w:szCs w:val="21"/>
          <w:highlight w:val="none"/>
        </w:rPr>
        <w:t>1.合同总金额：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2.供货一览表（详见附件中的响应报价表）</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合同总金额是履行合同的最终价格，必须包含竞标货物（包括备品备件、专用工具等）的价格及其运输（含保险）、安装（如有）、调试、检验、技术服务、培训和采购文件要求提供的所有伴随服务、工程等费用和税费。竞争性谈判文件另有约定的，从其约定。</w:t>
      </w:r>
    </w:p>
    <w:p>
      <w:pPr>
        <w:snapToGrid w:val="0"/>
        <w:spacing w:line="42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第二条　质量要求</w:t>
      </w:r>
    </w:p>
    <w:p>
      <w:pPr>
        <w:snapToGrid w:val="0"/>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1.乙方所提供的产品名称、商标品牌、生产厂家、规格型号、技术参数等质量必须与竞争性谈判文件规定及响应文件承诺相一致。乙方提供的节能和环保产品必须是列入政府采购品目清单的产品。</w:t>
      </w:r>
    </w:p>
    <w:p>
      <w:pPr>
        <w:snapToGrid w:val="0"/>
        <w:spacing w:line="42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2.乙方所提供的货物必须是全新、未使用的原装产品，且在正常安装、使用和保养条件下，其使用寿命期内各项指标均达到竞争性谈判文件规定或者响应文件承诺的质量要求。</w:t>
      </w:r>
    </w:p>
    <w:p>
      <w:pPr>
        <w:snapToGrid w:val="0"/>
        <w:spacing w:line="42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第三条　权利保证</w:t>
      </w:r>
    </w:p>
    <w:p>
      <w:pPr>
        <w:snapToGrid w:val="0"/>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1.乙方应保证所提供货物在使用时不会侵犯任何第三方的专利权、商标权、工业设计权或者其他权利。</w:t>
      </w:r>
    </w:p>
    <w:p>
      <w:pPr>
        <w:snapToGrid w:val="0"/>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2.乙方应按竞争性谈判文件规定或者响应文件承诺的时间向甲方提供使用货物的有关技术资料。</w:t>
      </w:r>
    </w:p>
    <w:p>
      <w:pPr>
        <w:snapToGrid w:val="0"/>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w:t>
      </w:r>
    </w:p>
    <w:p>
      <w:pPr>
        <w:snapToGrid w:val="0"/>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4.乙方保证将要交付的货物的所有权完全属于乙方且无任何抵押、质押、查封等产权瑕疵。</w:t>
      </w:r>
    </w:p>
    <w:p>
      <w:pPr>
        <w:snapToGrid w:val="0"/>
        <w:spacing w:line="42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第四条　包装和运输</w:t>
      </w:r>
    </w:p>
    <w:p>
      <w:pPr>
        <w:snapToGrid w:val="0"/>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1.乙方提供的货物均应按竞争性谈判文件规定或者响应文件承诺的要求的包装材料、包装标准、包装方式进行包装，每一包装单元内应附详细的装箱单和质量合格证。</w:t>
      </w:r>
    </w:p>
    <w:p>
      <w:pPr>
        <w:snapToGrid w:val="0"/>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2.货物的运输方式：</w:t>
      </w:r>
      <w:r>
        <w:rPr>
          <w:rFonts w:hint="eastAsia" w:ascii="宋体" w:hAnsi="宋体" w:eastAsia="宋体" w:cs="宋体"/>
          <w:color w:val="auto"/>
          <w:szCs w:val="21"/>
          <w:highlight w:val="none"/>
          <w:u w:val="single"/>
        </w:rPr>
        <w:t xml:space="preserve">  乙方自行负责 </w:t>
      </w:r>
      <w:r>
        <w:rPr>
          <w:rFonts w:hint="eastAsia" w:ascii="宋体" w:hAnsi="宋体" w:eastAsia="宋体" w:cs="宋体"/>
          <w:color w:val="auto"/>
          <w:szCs w:val="21"/>
          <w:highlight w:val="none"/>
        </w:rPr>
        <w:t>。</w:t>
      </w:r>
    </w:p>
    <w:p>
      <w:pPr>
        <w:snapToGrid w:val="0"/>
        <w:spacing w:line="42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3.乙方负责货物运输，货物运输合理损耗及计算方法：</w:t>
      </w:r>
      <w:r>
        <w:rPr>
          <w:rFonts w:hint="eastAsia" w:ascii="宋体" w:hAnsi="宋体" w:eastAsia="宋体" w:cs="宋体"/>
          <w:color w:val="auto"/>
          <w:szCs w:val="21"/>
          <w:highlight w:val="none"/>
          <w:u w:val="single"/>
        </w:rPr>
        <w:t xml:space="preserve"> 乙方自行负责 </w:t>
      </w:r>
      <w:r>
        <w:rPr>
          <w:rFonts w:hint="eastAsia" w:ascii="宋体" w:hAnsi="宋体" w:eastAsia="宋体" w:cs="宋体"/>
          <w:color w:val="auto"/>
          <w:szCs w:val="21"/>
          <w:highlight w:val="none"/>
        </w:rPr>
        <w:t>。</w:t>
      </w:r>
    </w:p>
    <w:p>
      <w:pPr>
        <w:snapToGrid w:val="0"/>
        <w:spacing w:line="42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第五条　交付和验收</w:t>
      </w:r>
    </w:p>
    <w:p>
      <w:pPr>
        <w:snapToGrid w:val="0"/>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1.交付使用期：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；交付地点：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napToGrid w:val="0"/>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2.乙方提供不符合竞争性谈判文件规定或者响应文件承诺的和本合同规定的货物，甲方有权拒绝接受。</w:t>
      </w:r>
    </w:p>
    <w:p>
      <w:pPr>
        <w:snapToGrid w:val="0"/>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应将所提供货物的装箱清单、用户手册、原厂保修卡、随机资料、工具和备品、备件等交付给甲方，货物属于进口产品的，供货时应同时附上中文使用说明书，如有缺失应在合理的规定时间内补齐，否则视为逾期交货。</w:t>
      </w:r>
    </w:p>
    <w:p>
      <w:pPr>
        <w:snapToGrid w:val="0"/>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4.甲方应当在到货（安装、调试完）后七个工作日内进行验收。验收合格后由甲乙双方签署货物验收单并加盖甲方公章，甲乙双方各执一份。</w:t>
      </w:r>
    </w:p>
    <w:p>
      <w:pPr>
        <w:snapToGrid w:val="0"/>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甲方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snapToGrid w:val="0"/>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6.甲方对验收有异议的，在验收后五个工作日内以书面形式向乙方提出，乙方应自收到甲方书面异议后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日内及时予以解决。</w:t>
      </w:r>
    </w:p>
    <w:p>
      <w:pPr>
        <w:snapToGrid w:val="0"/>
        <w:spacing w:line="42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第六条　安装和培训</w:t>
      </w:r>
    </w:p>
    <w:p>
      <w:pPr>
        <w:snapToGrid w:val="0"/>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1.甲方应提供必要安装条件（如场地、电源、水源等）。</w:t>
      </w:r>
    </w:p>
    <w:p>
      <w:pPr>
        <w:snapToGrid w:val="0"/>
        <w:spacing w:line="42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2.乙方响应文件承诺负责甲方有关人员的培训。培训时间、地点：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napToGrid w:val="0"/>
        <w:spacing w:line="42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第七条  售后服务、质保期</w:t>
      </w:r>
    </w:p>
    <w:p>
      <w:pPr>
        <w:snapToGrid w:val="0"/>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1.乙方应按照国家有关法律法规和“三包”规定以及本合同所附的《服务承诺》，为甲方提供售后服务。</w:t>
      </w:r>
    </w:p>
    <w:p>
      <w:pPr>
        <w:snapToGrid w:val="0"/>
        <w:spacing w:line="42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2.货物质保期：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napToGrid w:val="0"/>
        <w:spacing w:line="42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3.乙方提供的服务承诺和售后服务及保修期责任等其他具体约定事项。（见合同附件）</w:t>
      </w:r>
    </w:p>
    <w:p>
      <w:pPr>
        <w:snapToGrid w:val="0"/>
        <w:spacing w:line="42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第八条　付款方式</w:t>
      </w:r>
    </w:p>
    <w:p>
      <w:pPr>
        <w:widowControl/>
        <w:spacing w:line="360" w:lineRule="exact"/>
        <w:ind w:firstLine="420" w:firstLineChars="200"/>
        <w:jc w:val="left"/>
        <w:textAlignment w:val="center"/>
        <w:rPr>
          <w:rFonts w:hint="eastAsia" w:ascii="宋体" w:hAnsi="宋体" w:eastAsia="宋体" w:cs="宋体"/>
          <w:b/>
          <w:color w:val="auto"/>
          <w:szCs w:val="21"/>
          <w:highlight w:val="none"/>
        </w:rPr>
      </w:pPr>
      <w:r>
        <w:rPr>
          <w:rFonts w:hint="eastAsia" w:ascii="宋体" w:hAnsi="宋体" w:eastAsia="宋体" w:cs="宋体"/>
          <w:color w:val="auto"/>
          <w:kern w:val="0"/>
          <w:szCs w:val="21"/>
          <w:lang w:val="en-US" w:eastAsia="zh-CN"/>
        </w:rPr>
        <w:t>货物供货完毕并经采购人验收合格后成交供应商开具合同总金额100%的合法的发票给采购人，采购人在收到合法有效的发票之日起10个工作日内向成交供应商支付合同金额100%的货款。</w:t>
      </w:r>
    </w:p>
    <w:p>
      <w:pPr>
        <w:widowControl/>
        <w:spacing w:line="360" w:lineRule="exact"/>
        <w:ind w:firstLine="422" w:firstLineChars="200"/>
        <w:jc w:val="left"/>
        <w:textAlignment w:val="center"/>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rPr>
        <w:t>第九条　履约保证金</w:t>
      </w:r>
      <w:r>
        <w:rPr>
          <w:rFonts w:hint="eastAsia" w:ascii="宋体" w:hAnsi="宋体" w:eastAsia="宋体" w:cs="宋体"/>
          <w:b/>
          <w:bCs/>
          <w:color w:val="auto"/>
          <w:szCs w:val="21"/>
          <w:highlight w:val="none"/>
        </w:rPr>
        <w:t>：</w:t>
      </w:r>
    </w:p>
    <w:p>
      <w:pPr>
        <w:widowControl/>
        <w:spacing w:line="360" w:lineRule="exact"/>
        <w:ind w:firstLine="420" w:firstLineChars="20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履约保证金：无。</w:t>
      </w:r>
    </w:p>
    <w:p>
      <w:pPr>
        <w:snapToGrid w:val="0"/>
        <w:spacing w:line="42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第十条  税费</w:t>
      </w:r>
    </w:p>
    <w:p>
      <w:pPr>
        <w:snapToGrid w:val="0"/>
        <w:spacing w:line="420" w:lineRule="exact"/>
        <w:ind w:left="-61" w:firstLine="514"/>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本合同执行中相关的一切税费均由乙方负担，合同另有约定的除外。</w:t>
      </w:r>
    </w:p>
    <w:p>
      <w:pPr>
        <w:snapToGrid w:val="0"/>
        <w:spacing w:line="420" w:lineRule="exact"/>
        <w:ind w:left="-61" w:firstLine="514"/>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第十一条  质量保证及售后服务</w:t>
      </w:r>
    </w:p>
    <w:p>
      <w:pPr>
        <w:pStyle w:val="20"/>
        <w:snapToGrid w:val="0"/>
        <w:spacing w:line="420" w:lineRule="exact"/>
        <w:ind w:firstLine="420" w:firstLineChars="200"/>
        <w:rPr>
          <w:rFonts w:hint="eastAsia" w:hAnsi="宋体" w:cs="宋体"/>
          <w:color w:val="auto"/>
          <w:sz w:val="21"/>
          <w:highlight w:val="none"/>
        </w:rPr>
      </w:pPr>
      <w:r>
        <w:rPr>
          <w:rFonts w:hint="eastAsia" w:hAnsi="宋体" w:cs="宋体"/>
          <w:bCs/>
          <w:color w:val="auto"/>
          <w:sz w:val="21"/>
          <w:highlight w:val="none"/>
        </w:rPr>
        <w:t>1.</w:t>
      </w:r>
      <w:r>
        <w:rPr>
          <w:rFonts w:hint="eastAsia" w:hAnsi="宋体" w:cs="宋体"/>
          <w:color w:val="auto"/>
          <w:sz w:val="21"/>
          <w:highlight w:val="none"/>
        </w:rPr>
        <w:t>乙方应按响应文件承诺的产品名称、商标品牌、生产厂家、规格型号、技术参数、质量标准向甲方提供未经使用的全新产品。不符合要求的，根据实际情况，经双方协商，可按以下办法处理：</w:t>
      </w:r>
    </w:p>
    <w:p>
      <w:pPr>
        <w:pStyle w:val="20"/>
        <w:snapToGrid w:val="0"/>
        <w:spacing w:line="420" w:lineRule="exact"/>
        <w:ind w:firstLine="420" w:firstLineChars="200"/>
        <w:rPr>
          <w:rFonts w:hint="eastAsia" w:hAnsi="宋体" w:cs="宋体"/>
          <w:color w:val="auto"/>
          <w:sz w:val="21"/>
          <w:highlight w:val="none"/>
        </w:rPr>
      </w:pPr>
      <w:r>
        <w:rPr>
          <w:rFonts w:hint="eastAsia" w:hAnsi="宋体" w:cs="宋体"/>
          <w:color w:val="auto"/>
          <w:sz w:val="21"/>
          <w:highlight w:val="none"/>
        </w:rPr>
        <w:t>⑴更换：由乙方承担所发生的全部费用。</w:t>
      </w:r>
    </w:p>
    <w:p>
      <w:pPr>
        <w:pStyle w:val="20"/>
        <w:snapToGrid w:val="0"/>
        <w:spacing w:line="420" w:lineRule="exact"/>
        <w:ind w:firstLine="420"/>
        <w:rPr>
          <w:rFonts w:hint="eastAsia" w:hAnsi="宋体" w:cs="宋体"/>
          <w:color w:val="auto"/>
          <w:sz w:val="21"/>
          <w:highlight w:val="none"/>
        </w:rPr>
      </w:pPr>
      <w:r>
        <w:rPr>
          <w:rFonts w:hint="eastAsia" w:hAnsi="宋体" w:cs="宋体"/>
          <w:color w:val="auto"/>
          <w:sz w:val="21"/>
          <w:highlight w:val="none"/>
        </w:rPr>
        <w:t>⑵贬值处理：由甲乙双方合议定价。</w:t>
      </w:r>
    </w:p>
    <w:p>
      <w:pPr>
        <w:pStyle w:val="20"/>
        <w:snapToGrid w:val="0"/>
        <w:spacing w:line="420" w:lineRule="exact"/>
        <w:ind w:firstLine="420"/>
        <w:rPr>
          <w:rFonts w:hint="eastAsia" w:hAnsi="宋体" w:cs="宋体"/>
          <w:color w:val="auto"/>
          <w:sz w:val="21"/>
          <w:highlight w:val="none"/>
        </w:rPr>
      </w:pPr>
      <w:r>
        <w:rPr>
          <w:rFonts w:hint="eastAsia" w:hAnsi="宋体" w:cs="宋体"/>
          <w:color w:val="auto"/>
          <w:sz w:val="21"/>
          <w:highlight w:val="none"/>
        </w:rPr>
        <w:t>⑶退货处理：乙方应退还甲方支付的合同款，同时应承担该货物的直接费用（运输、保险、检验、货款利息及银行手续费等）。</w:t>
      </w:r>
    </w:p>
    <w:p>
      <w:pPr>
        <w:pStyle w:val="20"/>
        <w:snapToGrid w:val="0"/>
        <w:spacing w:line="420" w:lineRule="exact"/>
        <w:ind w:firstLine="420" w:firstLineChars="200"/>
        <w:rPr>
          <w:rFonts w:hint="eastAsia" w:hAnsi="宋体" w:cs="宋体"/>
          <w:color w:val="auto"/>
          <w:sz w:val="21"/>
          <w:highlight w:val="none"/>
        </w:rPr>
      </w:pPr>
      <w:r>
        <w:rPr>
          <w:rFonts w:hint="eastAsia" w:hAnsi="宋体" w:cs="宋体"/>
          <w:color w:val="auto"/>
          <w:sz w:val="21"/>
          <w:highlight w:val="none"/>
        </w:rPr>
        <w:t>2.如在使用过程中发生质量问题，乙方在接到甲方通知后到达甲方现场处理的时间</w:t>
      </w:r>
      <w:r>
        <w:rPr>
          <w:rFonts w:hint="eastAsia" w:hAnsi="宋体" w:cs="宋体"/>
          <w:i/>
          <w:iCs/>
          <w:color w:val="auto"/>
          <w:sz w:val="21"/>
          <w:highlight w:val="none"/>
        </w:rPr>
        <w:t>（</w:t>
      </w:r>
      <w:r>
        <w:rPr>
          <w:rFonts w:hint="eastAsia" w:hAnsi="宋体" w:cs="宋体"/>
          <w:i/>
          <w:iCs/>
          <w:color w:val="auto"/>
          <w:sz w:val="21"/>
          <w:highlight w:val="none"/>
          <w:u w:val="single"/>
        </w:rPr>
        <w:t>按响应文件承诺的数据填写</w:t>
      </w:r>
      <w:r>
        <w:rPr>
          <w:rFonts w:hint="eastAsia" w:hAnsi="宋体" w:cs="宋体"/>
          <w:i/>
          <w:iCs/>
          <w:color w:val="auto"/>
          <w:sz w:val="21"/>
          <w:highlight w:val="none"/>
        </w:rPr>
        <w:t>）</w:t>
      </w:r>
      <w:r>
        <w:rPr>
          <w:rFonts w:hint="eastAsia" w:hAnsi="宋体" w:cs="宋体"/>
          <w:color w:val="auto"/>
          <w:sz w:val="21"/>
          <w:highlight w:val="none"/>
        </w:rPr>
        <w:t>小时内。</w:t>
      </w:r>
    </w:p>
    <w:p>
      <w:pPr>
        <w:pStyle w:val="20"/>
        <w:snapToGrid w:val="0"/>
        <w:spacing w:line="420" w:lineRule="exact"/>
        <w:ind w:firstLine="420" w:firstLineChars="200"/>
        <w:rPr>
          <w:rFonts w:hint="eastAsia" w:hAnsi="宋体" w:cs="宋体"/>
          <w:color w:val="auto"/>
          <w:sz w:val="21"/>
          <w:highlight w:val="none"/>
        </w:rPr>
      </w:pPr>
      <w:r>
        <w:rPr>
          <w:rFonts w:hint="eastAsia" w:hAnsi="宋体" w:cs="宋体"/>
          <w:color w:val="auto"/>
          <w:sz w:val="21"/>
          <w:highlight w:val="none"/>
        </w:rPr>
        <w:t>3.在质保期内，乙方应对货物出现的质量及安全问题负责处理解决并承担一切费用。</w:t>
      </w:r>
    </w:p>
    <w:p>
      <w:pPr>
        <w:snapToGrid w:val="0"/>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4.上述的货物质保期为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3</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年，因人为因素出现的故障不在免费保修范围内。超过保修期的机器设备，终生维修，维修时只收部件成本费。</w:t>
      </w:r>
    </w:p>
    <w:p>
      <w:pPr>
        <w:snapToGrid w:val="0"/>
        <w:spacing w:line="420" w:lineRule="exact"/>
        <w:ind w:left="-61" w:firstLine="514"/>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第十二条  调试和验收</w:t>
      </w:r>
    </w:p>
    <w:p>
      <w:pPr>
        <w:pStyle w:val="20"/>
        <w:snapToGrid w:val="0"/>
        <w:spacing w:line="420" w:lineRule="exact"/>
        <w:ind w:firstLine="420" w:firstLineChars="200"/>
        <w:jc w:val="left"/>
        <w:rPr>
          <w:rFonts w:hint="eastAsia" w:hAnsi="宋体" w:cs="宋体"/>
          <w:color w:val="auto"/>
          <w:sz w:val="21"/>
          <w:highlight w:val="none"/>
        </w:rPr>
      </w:pPr>
      <w:r>
        <w:rPr>
          <w:rFonts w:hint="eastAsia" w:hAnsi="宋体" w:cs="宋体"/>
          <w:color w:val="auto"/>
          <w:sz w:val="21"/>
          <w:highlight w:val="none"/>
        </w:rPr>
        <w:t>1.甲方对乙方提交的货物依据竞争性谈判文件上的技术规格要求和国家有关质量标准进行现场初步验收，外观、说明书符合竞争性谈判文件技术要求的，给予签收，初步验收不合格的不予签收。货到后，甲方应当在到货（安装、调试完）后</w:t>
      </w:r>
      <w:r>
        <w:rPr>
          <w:rFonts w:hint="eastAsia" w:hAnsi="宋体" w:cs="宋体"/>
          <w:color w:val="auto"/>
          <w:sz w:val="21"/>
          <w:highlight w:val="none"/>
          <w:lang w:val="en-US"/>
        </w:rPr>
        <w:t>七</w:t>
      </w:r>
      <w:r>
        <w:rPr>
          <w:rFonts w:hint="eastAsia" w:hAnsi="宋体" w:cs="宋体"/>
          <w:color w:val="auto"/>
          <w:sz w:val="21"/>
          <w:highlight w:val="none"/>
        </w:rPr>
        <w:t>个工作日内进行验收。</w:t>
      </w:r>
    </w:p>
    <w:p>
      <w:pPr>
        <w:pStyle w:val="20"/>
        <w:snapToGrid w:val="0"/>
        <w:spacing w:line="420" w:lineRule="exact"/>
        <w:ind w:firstLine="420" w:firstLineChars="200"/>
        <w:rPr>
          <w:rFonts w:hint="eastAsia" w:hAnsi="宋体" w:cs="宋体"/>
          <w:color w:val="auto"/>
          <w:sz w:val="21"/>
          <w:highlight w:val="none"/>
        </w:rPr>
      </w:pPr>
      <w:r>
        <w:rPr>
          <w:rFonts w:hint="eastAsia" w:hAnsi="宋体" w:cs="宋体"/>
          <w:color w:val="auto"/>
          <w:sz w:val="21"/>
          <w:highlight w:val="none"/>
        </w:rPr>
        <w:t>2.乙方交货前应对产品作出全面检查和对验收文件进行整理，并列出清单，作为甲方收货验收和使用的技术条件依据，检验的结果应随货物交甲方。</w:t>
      </w:r>
    </w:p>
    <w:p>
      <w:pPr>
        <w:pStyle w:val="20"/>
        <w:snapToGrid w:val="0"/>
        <w:spacing w:line="420" w:lineRule="exact"/>
        <w:ind w:firstLine="420" w:firstLineChars="200"/>
        <w:rPr>
          <w:rFonts w:hint="eastAsia" w:hAnsi="宋体" w:cs="宋体"/>
          <w:color w:val="auto"/>
          <w:sz w:val="21"/>
          <w:highlight w:val="none"/>
        </w:rPr>
      </w:pPr>
      <w:r>
        <w:rPr>
          <w:rFonts w:hint="eastAsia" w:hAnsi="宋体" w:cs="宋体"/>
          <w:color w:val="auto"/>
          <w:sz w:val="21"/>
          <w:highlight w:val="none"/>
        </w:rPr>
        <w:t>3.甲方对乙方提供的货物在使用前进行调试时，乙方需负责安装并培训甲方的使用操作人员，并协助甲方一起调试，直到符合技术要求，甲方才做最终验收。</w:t>
      </w:r>
    </w:p>
    <w:p>
      <w:pPr>
        <w:pStyle w:val="20"/>
        <w:snapToGrid w:val="0"/>
        <w:spacing w:line="420" w:lineRule="exact"/>
        <w:ind w:firstLine="420" w:firstLineChars="200"/>
        <w:rPr>
          <w:rFonts w:hint="eastAsia" w:hAnsi="宋体" w:cs="宋体"/>
          <w:color w:val="auto"/>
          <w:sz w:val="21"/>
          <w:highlight w:val="none"/>
        </w:rPr>
      </w:pPr>
      <w:r>
        <w:rPr>
          <w:rFonts w:hint="eastAsia" w:hAnsi="宋体" w:cs="宋体"/>
          <w:color w:val="auto"/>
          <w:sz w:val="21"/>
          <w:highlight w:val="none"/>
        </w:rPr>
        <w:t>4.对技术复杂的货物，甲方应请国家认可的专业检测机构参与初步验收及最终验收，并由其出具质量检测报告。</w:t>
      </w:r>
    </w:p>
    <w:p>
      <w:pPr>
        <w:snapToGrid w:val="0"/>
        <w:spacing w:line="420" w:lineRule="exact"/>
        <w:ind w:left="-61" w:firstLine="514"/>
        <w:rPr>
          <w:rFonts w:hint="eastAsia" w:ascii="宋体" w:hAnsi="宋体" w:eastAsia="宋体" w:cs="宋体"/>
          <w:color w:val="auto"/>
          <w:szCs w:val="21"/>
          <w:highlight w:val="none"/>
        </w:rPr>
      </w:pPr>
      <w:r>
        <w:rPr>
          <w:rFonts w:hint="eastAsia" w:ascii="宋体" w:hAnsi="宋体" w:eastAsia="宋体" w:cs="宋体"/>
          <w:color w:val="auto"/>
          <w:szCs w:val="21"/>
          <w:highlight w:val="none"/>
        </w:rPr>
        <w:t>5.验收时乙方必须在现场，验收完毕后作出验收结果报告；验收费用按竞争性谈判文件约定承担方负责。</w:t>
      </w:r>
    </w:p>
    <w:p>
      <w:pPr>
        <w:pStyle w:val="20"/>
        <w:snapToGrid w:val="0"/>
        <w:spacing w:line="420" w:lineRule="exact"/>
        <w:ind w:firstLine="413" w:firstLineChars="196"/>
        <w:rPr>
          <w:rFonts w:hint="eastAsia" w:hAnsi="宋体" w:cs="宋体"/>
          <w:b/>
          <w:color w:val="auto"/>
          <w:sz w:val="21"/>
          <w:highlight w:val="none"/>
        </w:rPr>
      </w:pPr>
      <w:r>
        <w:rPr>
          <w:rFonts w:hint="eastAsia" w:hAnsi="宋体" w:cs="宋体"/>
          <w:b/>
          <w:color w:val="auto"/>
          <w:sz w:val="21"/>
          <w:highlight w:val="none"/>
        </w:rPr>
        <w:t>第十三条  货物包装、发运及运输</w:t>
      </w:r>
    </w:p>
    <w:p>
      <w:pPr>
        <w:pStyle w:val="20"/>
        <w:snapToGrid w:val="0"/>
        <w:spacing w:line="420" w:lineRule="exact"/>
        <w:ind w:firstLine="420" w:firstLineChars="200"/>
        <w:rPr>
          <w:rFonts w:hint="eastAsia" w:hAnsi="宋体" w:cs="宋体"/>
          <w:color w:val="auto"/>
          <w:sz w:val="21"/>
          <w:highlight w:val="none"/>
        </w:rPr>
      </w:pPr>
      <w:r>
        <w:rPr>
          <w:rFonts w:hint="eastAsia" w:hAnsi="宋体" w:cs="宋体"/>
          <w:color w:val="auto"/>
          <w:sz w:val="21"/>
          <w:highlight w:val="none"/>
        </w:rPr>
        <w:t>1.乙方应在货物发运前对其进行满足运输距离、防潮、防震、防锈和防破损装卸等要求包装，以保证货物安全运达甲方指定地点。</w:t>
      </w:r>
    </w:p>
    <w:p>
      <w:pPr>
        <w:pStyle w:val="20"/>
        <w:snapToGrid w:val="0"/>
        <w:spacing w:line="420" w:lineRule="exact"/>
        <w:ind w:firstLine="420" w:firstLineChars="200"/>
        <w:rPr>
          <w:rFonts w:hint="eastAsia" w:hAnsi="宋体" w:cs="宋体"/>
          <w:color w:val="auto"/>
          <w:sz w:val="21"/>
          <w:highlight w:val="none"/>
        </w:rPr>
      </w:pPr>
      <w:r>
        <w:rPr>
          <w:rFonts w:hint="eastAsia" w:hAnsi="宋体" w:cs="宋体"/>
          <w:color w:val="auto"/>
          <w:sz w:val="21"/>
          <w:highlight w:val="none"/>
        </w:rPr>
        <w:t>2.使用说明书（货物属于进口产品的，供货时应同时附上中文使用说明书）、质量检验证明书、随配附件和工具以及清单一并附于货物内。</w:t>
      </w:r>
    </w:p>
    <w:p>
      <w:pPr>
        <w:pStyle w:val="20"/>
        <w:snapToGrid w:val="0"/>
        <w:spacing w:line="420" w:lineRule="exact"/>
        <w:ind w:firstLine="420" w:firstLineChars="200"/>
        <w:rPr>
          <w:rFonts w:hint="eastAsia" w:hAnsi="宋体" w:cs="宋体"/>
          <w:color w:val="auto"/>
          <w:sz w:val="21"/>
          <w:highlight w:val="none"/>
        </w:rPr>
      </w:pPr>
      <w:r>
        <w:rPr>
          <w:rFonts w:hint="eastAsia" w:hAnsi="宋体" w:cs="宋体"/>
          <w:color w:val="auto"/>
          <w:sz w:val="21"/>
          <w:highlight w:val="none"/>
        </w:rPr>
        <w:t>3.乙方在货物发运手续办理完毕后二十四小时内或者货到甲方四十八小时前通知甲方，以准备接货。</w:t>
      </w:r>
    </w:p>
    <w:p>
      <w:pPr>
        <w:pStyle w:val="20"/>
        <w:snapToGrid w:val="0"/>
        <w:spacing w:line="420" w:lineRule="exact"/>
        <w:ind w:firstLine="420" w:firstLineChars="200"/>
        <w:rPr>
          <w:rFonts w:hint="eastAsia" w:hAnsi="宋体" w:cs="宋体"/>
          <w:color w:val="auto"/>
          <w:sz w:val="21"/>
          <w:highlight w:val="none"/>
        </w:rPr>
      </w:pPr>
      <w:r>
        <w:rPr>
          <w:rFonts w:hint="eastAsia" w:hAnsi="宋体" w:cs="宋体"/>
          <w:color w:val="auto"/>
          <w:sz w:val="21"/>
          <w:highlight w:val="none"/>
        </w:rPr>
        <w:t>4.货物在交付甲方前发生的风险均由乙方负责。</w:t>
      </w:r>
    </w:p>
    <w:p>
      <w:pPr>
        <w:pStyle w:val="20"/>
        <w:snapToGrid w:val="0"/>
        <w:spacing w:line="420" w:lineRule="exact"/>
        <w:ind w:firstLine="420" w:firstLineChars="200"/>
        <w:rPr>
          <w:rFonts w:hint="eastAsia" w:hAnsi="宋体" w:cs="宋体"/>
          <w:color w:val="auto"/>
          <w:sz w:val="21"/>
          <w:highlight w:val="none"/>
        </w:rPr>
      </w:pPr>
      <w:r>
        <w:rPr>
          <w:rFonts w:hint="eastAsia" w:hAnsi="宋体" w:cs="宋体"/>
          <w:color w:val="auto"/>
          <w:sz w:val="21"/>
          <w:highlight w:val="none"/>
        </w:rPr>
        <w:t>5.货物在规定的交付期限内由乙方送达甲方指定的地点视为交付，乙方同时需通知甲方货物已送达。</w:t>
      </w:r>
    </w:p>
    <w:p>
      <w:pPr>
        <w:snapToGrid w:val="0"/>
        <w:spacing w:line="42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第十四条　违约责任</w:t>
      </w:r>
    </w:p>
    <w:p>
      <w:pPr>
        <w:pStyle w:val="20"/>
        <w:snapToGrid w:val="0"/>
        <w:spacing w:line="420" w:lineRule="exact"/>
        <w:ind w:firstLine="420" w:firstLineChars="200"/>
        <w:rPr>
          <w:rFonts w:hint="eastAsia" w:hAnsi="宋体" w:cs="宋体"/>
          <w:color w:val="auto"/>
          <w:sz w:val="21"/>
          <w:highlight w:val="none"/>
        </w:rPr>
      </w:pPr>
      <w:r>
        <w:rPr>
          <w:rFonts w:hint="eastAsia" w:hAnsi="宋体" w:cs="宋体"/>
          <w:color w:val="auto"/>
          <w:sz w:val="21"/>
          <w:highlight w:val="none"/>
        </w:rPr>
        <w:t xml:space="preserve">1.乙方所提供的产品名称、商标品牌、生产厂家、规格型号、技术参数等质量不合格的，应及时更换，更换不及时的按逾期交货处罚；因质量问题甲方不同意接收的或者特殊情况甲方同意接收的，乙方应向甲方支付违约货款额 5%违约金并赔偿甲方经济损失。                                       </w:t>
      </w:r>
    </w:p>
    <w:p>
      <w:pPr>
        <w:pStyle w:val="20"/>
        <w:snapToGrid w:val="0"/>
        <w:spacing w:line="420" w:lineRule="exact"/>
        <w:ind w:firstLine="420" w:firstLineChars="200"/>
        <w:rPr>
          <w:rFonts w:hint="eastAsia" w:hAnsi="宋体" w:cs="宋体"/>
          <w:color w:val="auto"/>
          <w:sz w:val="21"/>
          <w:highlight w:val="none"/>
        </w:rPr>
      </w:pPr>
      <w:r>
        <w:rPr>
          <w:rFonts w:hint="eastAsia" w:hAnsi="宋体" w:cs="宋体"/>
          <w:color w:val="auto"/>
          <w:sz w:val="21"/>
          <w:highlight w:val="none"/>
        </w:rPr>
        <w:t>2.乙方提供的货物如侵犯了第三方合法权益而引发的任何纠纷或者诉讼，均由乙方负责交涉并承担全部责任。</w:t>
      </w:r>
    </w:p>
    <w:p>
      <w:pPr>
        <w:pStyle w:val="20"/>
        <w:snapToGrid w:val="0"/>
        <w:spacing w:line="420" w:lineRule="exact"/>
        <w:ind w:firstLine="420" w:firstLineChars="200"/>
        <w:rPr>
          <w:rFonts w:hint="eastAsia" w:hAnsi="宋体" w:cs="宋体"/>
          <w:color w:val="auto"/>
          <w:sz w:val="21"/>
          <w:highlight w:val="none"/>
        </w:rPr>
      </w:pPr>
      <w:r>
        <w:rPr>
          <w:rFonts w:hint="eastAsia" w:hAnsi="宋体" w:cs="宋体"/>
          <w:color w:val="auto"/>
          <w:sz w:val="21"/>
          <w:highlight w:val="none"/>
        </w:rPr>
        <w:t>3.因包装、运输引起的货物损坏，按质量不合格处罚。</w:t>
      </w:r>
    </w:p>
    <w:p>
      <w:pPr>
        <w:pStyle w:val="20"/>
        <w:snapToGrid w:val="0"/>
        <w:spacing w:line="420" w:lineRule="exact"/>
        <w:ind w:firstLine="420" w:firstLineChars="200"/>
        <w:rPr>
          <w:rFonts w:hint="eastAsia" w:hAnsi="宋体" w:cs="宋体"/>
          <w:color w:val="auto"/>
          <w:sz w:val="21"/>
          <w:highlight w:val="none"/>
        </w:rPr>
      </w:pPr>
      <w:r>
        <w:rPr>
          <w:rFonts w:hint="eastAsia" w:hAnsi="宋体" w:cs="宋体"/>
          <w:color w:val="auto"/>
          <w:sz w:val="21"/>
          <w:highlight w:val="none"/>
        </w:rPr>
        <w:t>4.甲方无故延期接收货物、乙方逾期交货的，每天向对方偿付违约货款额3‰违约金，但违约金累计不得超过违约货款额5%，超过</w:t>
      </w:r>
      <w:r>
        <w:rPr>
          <w:rFonts w:hint="eastAsia" w:hAnsi="宋体" w:cs="宋体"/>
          <w:color w:val="auto"/>
          <w:sz w:val="21"/>
          <w:highlight w:val="none"/>
          <w:u w:val="single"/>
        </w:rPr>
        <w:t xml:space="preserve">  </w:t>
      </w:r>
      <w:r>
        <w:rPr>
          <w:rFonts w:hint="eastAsia" w:hAnsi="宋体" w:cs="宋体"/>
          <w:color w:val="auto"/>
          <w:sz w:val="21"/>
          <w:highlight w:val="none"/>
          <w:u w:val="single"/>
          <w:lang w:val="en-US"/>
        </w:rPr>
        <w:t xml:space="preserve"> </w:t>
      </w:r>
      <w:r>
        <w:rPr>
          <w:rFonts w:hint="eastAsia" w:hAnsi="宋体" w:cs="宋体"/>
          <w:color w:val="auto"/>
          <w:sz w:val="21"/>
          <w:highlight w:val="none"/>
          <w:u w:val="single"/>
        </w:rPr>
        <w:t xml:space="preserve"> </w:t>
      </w:r>
      <w:r>
        <w:rPr>
          <w:rFonts w:hint="eastAsia" w:hAnsi="宋体" w:cs="宋体"/>
          <w:color w:val="auto"/>
          <w:sz w:val="21"/>
          <w:highlight w:val="none"/>
        </w:rPr>
        <w:t>天对方有权解除合同，违约方承担因此给对方造成经济损失；甲方延期付货款的，每天向乙方偿付延期货款额3‰滞纳金，但滞纳金累计不得超过延期货款额5%。</w:t>
      </w:r>
    </w:p>
    <w:p>
      <w:pPr>
        <w:pStyle w:val="20"/>
        <w:snapToGrid w:val="0"/>
        <w:spacing w:line="420" w:lineRule="exact"/>
        <w:ind w:firstLine="420" w:firstLineChars="200"/>
        <w:rPr>
          <w:rFonts w:hint="eastAsia" w:hAnsi="宋体" w:cs="宋体"/>
          <w:color w:val="auto"/>
          <w:sz w:val="21"/>
          <w:highlight w:val="none"/>
        </w:rPr>
      </w:pPr>
      <w:r>
        <w:rPr>
          <w:rFonts w:hint="eastAsia" w:hAnsi="宋体" w:cs="宋体"/>
          <w:color w:val="auto"/>
          <w:sz w:val="21"/>
          <w:highlight w:val="none"/>
        </w:rPr>
        <w:t>5.乙方未按本合同和响应文件中规定的服务承诺提供售后服务的，乙方应按本合同总金额 5%向甲方支付违约金。</w:t>
      </w:r>
    </w:p>
    <w:p>
      <w:pPr>
        <w:pStyle w:val="20"/>
        <w:snapToGrid w:val="0"/>
        <w:spacing w:line="420" w:lineRule="exact"/>
        <w:ind w:firstLine="420" w:firstLineChars="200"/>
        <w:rPr>
          <w:rFonts w:hint="eastAsia" w:hAnsi="宋体" w:cs="宋体"/>
          <w:color w:val="auto"/>
          <w:sz w:val="21"/>
          <w:highlight w:val="none"/>
        </w:rPr>
      </w:pPr>
      <w:r>
        <w:rPr>
          <w:rFonts w:hint="eastAsia" w:hAnsi="宋体" w:cs="宋体"/>
          <w:color w:val="auto"/>
          <w:sz w:val="21"/>
          <w:highlight w:val="none"/>
        </w:rPr>
        <w:t>6.乙方提供的货物在质量保证期内，因设计、工艺或者材料的缺陷和其他质量原因造成的问题，由乙方负责，费用从余款中扣除，不足另补。</w:t>
      </w:r>
    </w:p>
    <w:p>
      <w:pPr>
        <w:pStyle w:val="20"/>
        <w:snapToGrid w:val="0"/>
        <w:spacing w:line="420" w:lineRule="exact"/>
        <w:ind w:firstLine="420" w:firstLineChars="200"/>
        <w:rPr>
          <w:rFonts w:hint="eastAsia" w:hAnsi="宋体" w:cs="宋体"/>
          <w:color w:val="auto"/>
          <w:sz w:val="21"/>
          <w:highlight w:val="none"/>
        </w:rPr>
      </w:pPr>
      <w:r>
        <w:rPr>
          <w:rFonts w:hint="eastAsia" w:hAnsi="宋体" w:cs="宋体"/>
          <w:color w:val="auto"/>
          <w:sz w:val="21"/>
          <w:highlight w:val="none"/>
        </w:rPr>
        <w:t>7.甲乙双方有其他违约行为的，由违约方向对方支付违约内容涉及货款额的5%，违约内容涉及货款额的5%不足以赔偿经济损失的按实际赔偿。</w:t>
      </w:r>
    </w:p>
    <w:p>
      <w:pPr>
        <w:pStyle w:val="20"/>
        <w:snapToGrid w:val="0"/>
        <w:spacing w:line="420" w:lineRule="exact"/>
        <w:ind w:firstLine="413" w:firstLineChars="196"/>
        <w:rPr>
          <w:rFonts w:hint="eastAsia" w:hAnsi="宋体" w:cs="宋体"/>
          <w:b/>
          <w:color w:val="auto"/>
          <w:sz w:val="21"/>
          <w:highlight w:val="none"/>
        </w:rPr>
      </w:pPr>
      <w:r>
        <w:rPr>
          <w:rFonts w:hint="eastAsia" w:hAnsi="宋体" w:cs="宋体"/>
          <w:b/>
          <w:color w:val="auto"/>
          <w:sz w:val="21"/>
          <w:highlight w:val="none"/>
        </w:rPr>
        <w:t>第十五条  不可抗力事件处理</w:t>
      </w:r>
    </w:p>
    <w:p>
      <w:pPr>
        <w:pStyle w:val="20"/>
        <w:snapToGrid w:val="0"/>
        <w:spacing w:line="420" w:lineRule="exact"/>
        <w:ind w:firstLine="420" w:firstLineChars="200"/>
        <w:rPr>
          <w:rFonts w:hint="eastAsia" w:hAnsi="宋体" w:cs="宋体"/>
          <w:color w:val="auto"/>
          <w:sz w:val="21"/>
          <w:highlight w:val="none"/>
        </w:rPr>
      </w:pPr>
      <w:r>
        <w:rPr>
          <w:rFonts w:hint="eastAsia" w:hAnsi="宋体" w:cs="宋体"/>
          <w:color w:val="auto"/>
          <w:sz w:val="21"/>
          <w:highlight w:val="none"/>
        </w:rPr>
        <w:t>1.在合同有效期内，任何一方因不可抗力事件导致不能履行合同，则合同履行期可延长，其延长期与不可抗力影响期相同。</w:t>
      </w:r>
    </w:p>
    <w:p>
      <w:pPr>
        <w:pStyle w:val="20"/>
        <w:snapToGrid w:val="0"/>
        <w:spacing w:line="420" w:lineRule="exact"/>
        <w:ind w:firstLine="420" w:firstLineChars="200"/>
        <w:rPr>
          <w:rFonts w:hint="eastAsia" w:hAnsi="宋体" w:cs="宋体"/>
          <w:color w:val="auto"/>
          <w:sz w:val="21"/>
          <w:highlight w:val="none"/>
        </w:rPr>
      </w:pPr>
      <w:r>
        <w:rPr>
          <w:rFonts w:hint="eastAsia" w:hAnsi="宋体" w:cs="宋体"/>
          <w:color w:val="auto"/>
          <w:sz w:val="21"/>
          <w:highlight w:val="none"/>
        </w:rPr>
        <w:t>2.不可抗力事件发生后，应立即通知对方，并寄送有关权威机构出具的证明。</w:t>
      </w:r>
    </w:p>
    <w:p>
      <w:pPr>
        <w:snapToGrid w:val="0"/>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3.不可抗力事件延续一百二十天以上，双方应通过友好协商，确定是否继续履行合同。</w:t>
      </w:r>
    </w:p>
    <w:p>
      <w:pPr>
        <w:snapToGrid w:val="0"/>
        <w:spacing w:line="42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第十六条  合同争议解决</w:t>
      </w:r>
    </w:p>
    <w:p>
      <w:pPr>
        <w:snapToGrid w:val="0"/>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1.因货物质量问题发生争议的，应邀请国家认可的质量检测机构对货物质量进行鉴定。货物符合标准的，鉴定费由甲方承担；货物不符合标准的，鉴定费由乙方承担。</w:t>
      </w:r>
    </w:p>
    <w:p>
      <w:pPr>
        <w:snapToGrid w:val="0"/>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2.因履行本合同引起的或者与本合同有关的争议，甲乙双方应首先通过友好协商解决，如果协商不能解决，可向甲方所在地人民法院提起诉讼。</w:t>
      </w:r>
    </w:p>
    <w:p>
      <w:pPr>
        <w:snapToGrid w:val="0"/>
        <w:spacing w:line="420" w:lineRule="exact"/>
        <w:ind w:left="-61" w:firstLine="514"/>
        <w:rPr>
          <w:rFonts w:hint="eastAsia" w:ascii="宋体" w:hAnsi="宋体" w:eastAsia="宋体" w:cs="宋体"/>
          <w:color w:val="auto"/>
          <w:szCs w:val="21"/>
          <w:highlight w:val="none"/>
        </w:rPr>
      </w:pPr>
      <w:r>
        <w:rPr>
          <w:rFonts w:hint="eastAsia" w:ascii="宋体" w:hAnsi="宋体" w:eastAsia="宋体" w:cs="宋体"/>
          <w:color w:val="auto"/>
          <w:szCs w:val="21"/>
          <w:highlight w:val="none"/>
        </w:rPr>
        <w:t>3.诉讼期间，本合同继续履行。</w:t>
      </w:r>
    </w:p>
    <w:p>
      <w:pPr>
        <w:pStyle w:val="20"/>
        <w:snapToGrid w:val="0"/>
        <w:spacing w:line="420" w:lineRule="exact"/>
        <w:ind w:firstLine="413" w:firstLineChars="196"/>
        <w:rPr>
          <w:rFonts w:hint="eastAsia" w:hAnsi="宋体" w:cs="宋体"/>
          <w:b/>
          <w:color w:val="auto"/>
          <w:sz w:val="21"/>
          <w:highlight w:val="none"/>
        </w:rPr>
      </w:pPr>
      <w:r>
        <w:rPr>
          <w:rFonts w:hint="eastAsia" w:hAnsi="宋体" w:cs="宋体"/>
          <w:b/>
          <w:color w:val="auto"/>
          <w:sz w:val="21"/>
          <w:highlight w:val="none"/>
        </w:rPr>
        <w:t>第十七条  合同生效及其他</w:t>
      </w:r>
    </w:p>
    <w:p>
      <w:pPr>
        <w:pStyle w:val="20"/>
        <w:snapToGrid w:val="0"/>
        <w:spacing w:line="420" w:lineRule="exact"/>
        <w:ind w:firstLine="420" w:firstLineChars="200"/>
        <w:rPr>
          <w:rFonts w:hint="eastAsia" w:hAnsi="宋体" w:cs="宋体"/>
          <w:bCs/>
          <w:color w:val="auto"/>
          <w:sz w:val="21"/>
          <w:highlight w:val="none"/>
        </w:rPr>
      </w:pPr>
      <w:r>
        <w:rPr>
          <w:rFonts w:hint="eastAsia" w:hAnsi="宋体" w:cs="宋体"/>
          <w:bCs/>
          <w:color w:val="auto"/>
          <w:sz w:val="21"/>
          <w:highlight w:val="none"/>
        </w:rPr>
        <w:t>1. 合同经双方法定代表人或者其委托代理人签字并加盖单位公章后生效。</w:t>
      </w:r>
    </w:p>
    <w:p>
      <w:pPr>
        <w:pStyle w:val="20"/>
        <w:snapToGrid w:val="0"/>
        <w:spacing w:line="420" w:lineRule="exact"/>
        <w:ind w:left="283" w:leftChars="135" w:firstLine="143"/>
        <w:rPr>
          <w:rFonts w:hint="eastAsia" w:hAnsi="宋体" w:cs="宋体"/>
          <w:bCs/>
          <w:color w:val="auto"/>
          <w:sz w:val="21"/>
          <w:highlight w:val="none"/>
        </w:rPr>
      </w:pPr>
      <w:r>
        <w:rPr>
          <w:rFonts w:hint="eastAsia" w:hAnsi="宋体" w:cs="宋体"/>
          <w:bCs/>
          <w:color w:val="auto"/>
          <w:sz w:val="21"/>
          <w:highlight w:val="none"/>
          <w:lang w:val="en-US" w:eastAsia="zh-CN"/>
        </w:rPr>
        <w:t>2</w:t>
      </w:r>
      <w:r>
        <w:rPr>
          <w:rFonts w:hint="eastAsia" w:hAnsi="宋体" w:cs="宋体"/>
          <w:bCs/>
          <w:color w:val="auto"/>
          <w:sz w:val="21"/>
          <w:highlight w:val="none"/>
        </w:rPr>
        <w:t>.本合同未尽事宜，遵照《中华人民共和国民法典》有关条文执行。</w:t>
      </w:r>
    </w:p>
    <w:p>
      <w:pPr>
        <w:snapToGrid w:val="0"/>
        <w:spacing w:line="42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第十八条　合同的变更、终止与转让</w:t>
      </w:r>
    </w:p>
    <w:p>
      <w:pPr>
        <w:snapToGrid w:val="0"/>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1.除《中华人民共和国政府采购法》第五十条规定的情形外，本合同一经签订，甲乙双方不得擅自变更、中止或者终止。</w:t>
      </w:r>
    </w:p>
    <w:p>
      <w:pPr>
        <w:snapToGrid w:val="0"/>
        <w:spacing w:line="420" w:lineRule="exact"/>
        <w:ind w:left="-61" w:firstLine="514"/>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2.乙方不得擅自转让（无进口资格的供应商委托进口货物除外）其应履行的合同义务。</w:t>
      </w:r>
    </w:p>
    <w:p>
      <w:pPr>
        <w:snapToGrid w:val="0"/>
        <w:spacing w:line="42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第十九条　</w:t>
      </w:r>
      <w:r>
        <w:rPr>
          <w:rFonts w:hint="eastAsia" w:ascii="宋体" w:hAnsi="宋体" w:eastAsia="宋体" w:cs="宋体"/>
          <w:b/>
          <w:bCs/>
          <w:color w:val="auto"/>
          <w:kern w:val="0"/>
          <w:szCs w:val="21"/>
          <w:highlight w:val="none"/>
        </w:rPr>
        <w:t>本合同书与下列文件一起构成合同文件</w:t>
      </w:r>
    </w:p>
    <w:p>
      <w:pPr>
        <w:pStyle w:val="20"/>
        <w:snapToGrid w:val="0"/>
        <w:spacing w:line="420" w:lineRule="exact"/>
        <w:ind w:left="420" w:leftChars="200"/>
        <w:rPr>
          <w:rFonts w:hint="eastAsia" w:hAnsi="宋体" w:cs="宋体"/>
          <w:color w:val="auto"/>
          <w:sz w:val="21"/>
          <w:highlight w:val="none"/>
        </w:rPr>
      </w:pPr>
      <w:r>
        <w:rPr>
          <w:rFonts w:hint="eastAsia" w:hAnsi="宋体" w:cs="宋体"/>
          <w:color w:val="auto"/>
          <w:sz w:val="21"/>
          <w:highlight w:val="none"/>
        </w:rPr>
        <w:t>1.成交通知书；</w:t>
      </w:r>
    </w:p>
    <w:p>
      <w:pPr>
        <w:pStyle w:val="20"/>
        <w:snapToGrid w:val="0"/>
        <w:spacing w:line="420" w:lineRule="exact"/>
        <w:ind w:left="420" w:leftChars="200"/>
        <w:rPr>
          <w:rFonts w:hint="eastAsia" w:hAnsi="宋体" w:cs="宋体"/>
          <w:color w:val="auto"/>
          <w:sz w:val="21"/>
          <w:highlight w:val="none"/>
        </w:rPr>
      </w:pPr>
      <w:r>
        <w:rPr>
          <w:rFonts w:hint="eastAsia" w:hAnsi="宋体" w:cs="宋体"/>
          <w:color w:val="auto"/>
          <w:sz w:val="21"/>
          <w:highlight w:val="none"/>
        </w:rPr>
        <w:t>2.响应函；</w:t>
      </w:r>
    </w:p>
    <w:p>
      <w:pPr>
        <w:pStyle w:val="20"/>
        <w:snapToGrid w:val="0"/>
        <w:spacing w:line="420" w:lineRule="exact"/>
        <w:ind w:left="420" w:leftChars="200"/>
        <w:rPr>
          <w:rFonts w:hint="eastAsia" w:hAnsi="宋体" w:cs="宋体"/>
          <w:color w:val="auto"/>
          <w:sz w:val="21"/>
          <w:highlight w:val="none"/>
        </w:rPr>
      </w:pPr>
      <w:r>
        <w:rPr>
          <w:rFonts w:hint="eastAsia" w:hAnsi="宋体" w:cs="宋体"/>
          <w:color w:val="auto"/>
          <w:sz w:val="21"/>
          <w:highlight w:val="none"/>
        </w:rPr>
        <w:t>3.商务条款偏离表和技术需求偏离表；</w:t>
      </w:r>
    </w:p>
    <w:p>
      <w:pPr>
        <w:pStyle w:val="20"/>
        <w:snapToGrid w:val="0"/>
        <w:spacing w:line="420" w:lineRule="exact"/>
        <w:ind w:left="420" w:leftChars="200"/>
        <w:rPr>
          <w:rFonts w:hint="eastAsia" w:hAnsi="宋体" w:cs="宋体"/>
          <w:color w:val="auto"/>
          <w:sz w:val="21"/>
          <w:highlight w:val="none"/>
        </w:rPr>
      </w:pPr>
      <w:r>
        <w:rPr>
          <w:rFonts w:hint="eastAsia" w:hAnsi="宋体" w:cs="宋体"/>
          <w:color w:val="auto"/>
          <w:sz w:val="21"/>
          <w:highlight w:val="none"/>
        </w:rPr>
        <w:t>4.采购需求；</w:t>
      </w:r>
    </w:p>
    <w:p>
      <w:pPr>
        <w:pStyle w:val="20"/>
        <w:snapToGrid w:val="0"/>
        <w:spacing w:line="420" w:lineRule="exact"/>
        <w:ind w:left="420" w:leftChars="200"/>
        <w:rPr>
          <w:rFonts w:hint="eastAsia" w:hAnsi="宋体" w:cs="宋体"/>
          <w:color w:val="auto"/>
          <w:sz w:val="21"/>
          <w:highlight w:val="none"/>
        </w:rPr>
      </w:pPr>
      <w:r>
        <w:rPr>
          <w:rFonts w:hint="eastAsia" w:hAnsi="宋体" w:cs="宋体"/>
          <w:color w:val="auto"/>
          <w:sz w:val="21"/>
          <w:highlight w:val="none"/>
        </w:rPr>
        <w:t>5.响应报价表；</w:t>
      </w:r>
    </w:p>
    <w:p>
      <w:pPr>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6.售后服务承诺；</w:t>
      </w:r>
    </w:p>
    <w:p>
      <w:pPr>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7.其他合同文件。</w:t>
      </w:r>
    </w:p>
    <w:p>
      <w:pPr>
        <w:pStyle w:val="20"/>
        <w:snapToGrid w:val="0"/>
        <w:spacing w:line="420" w:lineRule="exact"/>
        <w:ind w:firstLine="371" w:firstLineChars="177"/>
        <w:rPr>
          <w:rFonts w:hint="eastAsia" w:hAnsi="宋体" w:cs="宋体"/>
          <w:b/>
          <w:color w:val="auto"/>
          <w:sz w:val="21"/>
          <w:highlight w:val="none"/>
        </w:rPr>
      </w:pPr>
      <w:r>
        <w:rPr>
          <w:rFonts w:hint="eastAsia" w:hAnsi="宋体" w:cs="宋体"/>
          <w:color w:val="auto"/>
          <w:sz w:val="21"/>
          <w:highlight w:val="none"/>
          <w:lang w:val="en-US"/>
        </w:rPr>
        <w:t>8</w:t>
      </w:r>
      <w:r>
        <w:rPr>
          <w:rFonts w:hint="eastAsia" w:hAnsi="宋体" w:cs="宋体"/>
          <w:color w:val="auto"/>
          <w:sz w:val="21"/>
          <w:highlight w:val="none"/>
        </w:rPr>
        <w:t>.上述合同文件互相补充和解释。如果合同文件之间存在矛盾或者不一致之处，以上述文件的排列顺序在先者为准。</w:t>
      </w:r>
    </w:p>
    <w:p>
      <w:pPr>
        <w:spacing w:line="42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第二十条　</w:t>
      </w:r>
      <w:r>
        <w:rPr>
          <w:rFonts w:hint="eastAsia" w:ascii="宋体" w:hAnsi="宋体" w:eastAsia="宋体" w:cs="宋体"/>
          <w:color w:val="auto"/>
          <w:szCs w:val="21"/>
          <w:highlight w:val="none"/>
        </w:rPr>
        <w:t>本合同一式四份，具有同等法律效力，财政部门（政府采购监管部门）、采购代理机构各一份，甲乙双方各一份（可根据需要另增加）。</w:t>
      </w:r>
    </w:p>
    <w:p>
      <w:pPr>
        <w:snapToGrid w:val="0"/>
        <w:spacing w:line="420" w:lineRule="exact"/>
        <w:ind w:left="-61" w:firstLine="514"/>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本合同甲乙双方签字盖章后生效，自签订之日起七个工作日内，甲方应当将合同副本报同级财政部门备案。</w:t>
      </w:r>
    </w:p>
    <w:p>
      <w:pPr>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本合同自签订之日起2个工作日内，甲方应当将采购合同在广西壮族自治区财政厅指定的媒体上公告。</w:t>
      </w:r>
    </w:p>
    <w:p>
      <w:pPr>
        <w:snapToGrid w:val="0"/>
        <w:spacing w:line="360" w:lineRule="auto"/>
        <w:rPr>
          <w:rFonts w:hint="eastAsia" w:ascii="宋体" w:hAnsi="宋体" w:cs="宋体"/>
          <w:color w:val="auto"/>
          <w:sz w:val="24"/>
          <w:highlight w:val="none"/>
        </w:rPr>
      </w:pPr>
    </w:p>
    <w:tbl>
      <w:tblPr>
        <w:tblStyle w:val="32"/>
        <w:tblW w:w="94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9"/>
        <w:gridCol w:w="4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2" w:hRule="atLeast"/>
        </w:trPr>
        <w:tc>
          <w:tcPr>
            <w:tcW w:w="4709" w:type="dxa"/>
            <w:vAlign w:val="center"/>
          </w:tcPr>
          <w:p>
            <w:pPr>
              <w:snapToGrid w:val="0"/>
              <w:spacing w:line="360" w:lineRule="auto"/>
              <w:rPr>
                <w:rFonts w:hint="eastAsia" w:ascii="宋体" w:hAnsi="宋体"/>
                <w:color w:val="auto"/>
                <w:sz w:val="21"/>
                <w:szCs w:val="21"/>
                <w:highlight w:val="none"/>
              </w:rPr>
            </w:pPr>
            <w:r>
              <w:rPr>
                <w:rFonts w:hint="eastAsia" w:ascii="宋体" w:hAnsi="宋体"/>
                <w:color w:val="auto"/>
                <w:sz w:val="21"/>
                <w:szCs w:val="21"/>
                <w:highlight w:val="none"/>
              </w:rPr>
              <w:t xml:space="preserve">甲方（章）           </w:t>
            </w:r>
          </w:p>
          <w:p>
            <w:pPr>
              <w:snapToGrid w:val="0"/>
              <w:spacing w:line="360" w:lineRule="auto"/>
              <w:rPr>
                <w:rFonts w:hint="eastAsia" w:ascii="宋体" w:hAnsi="宋体"/>
                <w:color w:val="auto"/>
                <w:sz w:val="21"/>
                <w:szCs w:val="21"/>
                <w:highlight w:val="none"/>
              </w:rPr>
            </w:pPr>
          </w:p>
          <w:p>
            <w:pPr>
              <w:snapToGrid w:val="0"/>
              <w:spacing w:line="360" w:lineRule="auto"/>
              <w:ind w:firstLine="945" w:firstLineChars="450"/>
              <w:jc w:val="right"/>
              <w:rPr>
                <w:rFonts w:hint="eastAsia" w:ascii="宋体" w:hAnsi="宋体"/>
                <w:color w:val="auto"/>
                <w:sz w:val="21"/>
                <w:szCs w:val="21"/>
                <w:highlight w:val="none"/>
              </w:rPr>
            </w:pPr>
            <w:r>
              <w:rPr>
                <w:rFonts w:hint="eastAsia" w:ascii="宋体" w:hAnsi="宋体"/>
                <w:color w:val="auto"/>
                <w:sz w:val="21"/>
                <w:szCs w:val="21"/>
                <w:highlight w:val="none"/>
              </w:rPr>
              <w:t>年   月   日</w:t>
            </w:r>
          </w:p>
        </w:tc>
        <w:tc>
          <w:tcPr>
            <w:tcW w:w="4710" w:type="dxa"/>
            <w:vAlign w:val="center"/>
          </w:tcPr>
          <w:p>
            <w:pPr>
              <w:snapToGrid w:val="0"/>
              <w:spacing w:line="360" w:lineRule="auto"/>
              <w:rPr>
                <w:rFonts w:hint="eastAsia" w:ascii="宋体" w:hAnsi="宋体"/>
                <w:color w:val="auto"/>
                <w:sz w:val="21"/>
                <w:szCs w:val="21"/>
                <w:highlight w:val="none"/>
              </w:rPr>
            </w:pPr>
            <w:r>
              <w:rPr>
                <w:rFonts w:hint="eastAsia" w:ascii="宋体" w:hAnsi="宋体"/>
                <w:color w:val="auto"/>
                <w:sz w:val="21"/>
                <w:szCs w:val="21"/>
                <w:highlight w:val="none"/>
              </w:rPr>
              <w:t xml:space="preserve">乙方（章）              </w:t>
            </w:r>
          </w:p>
          <w:p>
            <w:pPr>
              <w:snapToGrid w:val="0"/>
              <w:spacing w:line="360" w:lineRule="auto"/>
              <w:rPr>
                <w:rFonts w:hint="eastAsia" w:ascii="宋体" w:hAnsi="宋体"/>
                <w:color w:val="auto"/>
                <w:sz w:val="21"/>
                <w:szCs w:val="21"/>
                <w:highlight w:val="none"/>
              </w:rPr>
            </w:pPr>
          </w:p>
          <w:p>
            <w:pPr>
              <w:snapToGrid w:val="0"/>
              <w:spacing w:line="360" w:lineRule="auto"/>
              <w:jc w:val="right"/>
              <w:rPr>
                <w:rFonts w:hint="eastAsia" w:ascii="宋体" w:hAnsi="宋体"/>
                <w:color w:val="auto"/>
                <w:sz w:val="21"/>
                <w:szCs w:val="21"/>
                <w:highlight w:val="none"/>
              </w:rPr>
            </w:pPr>
            <w:r>
              <w:rPr>
                <w:rFonts w:hint="eastAsia" w:ascii="宋体" w:hAnsi="宋体"/>
                <w:color w:val="auto"/>
                <w:sz w:val="21"/>
                <w:szCs w:val="21"/>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4709" w:type="dxa"/>
            <w:vAlign w:val="center"/>
          </w:tcPr>
          <w:p>
            <w:pPr>
              <w:snapToGrid w:val="0"/>
              <w:spacing w:line="360" w:lineRule="auto"/>
              <w:rPr>
                <w:rFonts w:hint="eastAsia" w:ascii="宋体" w:hAnsi="宋体"/>
                <w:color w:val="auto"/>
                <w:sz w:val="21"/>
                <w:szCs w:val="21"/>
                <w:highlight w:val="none"/>
              </w:rPr>
            </w:pPr>
            <w:r>
              <w:rPr>
                <w:rFonts w:hint="eastAsia" w:ascii="宋体" w:hAnsi="宋体"/>
                <w:color w:val="auto"/>
                <w:sz w:val="21"/>
                <w:szCs w:val="21"/>
                <w:highlight w:val="none"/>
              </w:rPr>
              <w:t>单位地址：</w:t>
            </w:r>
          </w:p>
        </w:tc>
        <w:tc>
          <w:tcPr>
            <w:tcW w:w="4710" w:type="dxa"/>
            <w:vAlign w:val="center"/>
          </w:tcPr>
          <w:p>
            <w:pPr>
              <w:snapToGrid w:val="0"/>
              <w:spacing w:line="360" w:lineRule="auto"/>
              <w:rPr>
                <w:rFonts w:hint="eastAsia" w:ascii="宋体" w:hAnsi="宋体"/>
                <w:color w:val="auto"/>
                <w:sz w:val="21"/>
                <w:szCs w:val="21"/>
                <w:highlight w:val="none"/>
              </w:rPr>
            </w:pPr>
            <w:r>
              <w:rPr>
                <w:rFonts w:hint="eastAsia" w:ascii="宋体" w:hAnsi="宋体"/>
                <w:color w:val="auto"/>
                <w:sz w:val="21"/>
                <w:szCs w:val="21"/>
                <w:highlight w:val="none"/>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trPr>
        <w:tc>
          <w:tcPr>
            <w:tcW w:w="4709" w:type="dxa"/>
          </w:tcPr>
          <w:p>
            <w:pPr>
              <w:snapToGrid w:val="0"/>
              <w:spacing w:line="360" w:lineRule="auto"/>
              <w:rPr>
                <w:rFonts w:hint="eastAsia" w:ascii="宋体" w:hAnsi="宋体"/>
                <w:color w:val="auto"/>
                <w:sz w:val="21"/>
                <w:szCs w:val="21"/>
                <w:highlight w:val="none"/>
              </w:rPr>
            </w:pPr>
            <w:r>
              <w:rPr>
                <w:rFonts w:hint="eastAsia" w:ascii="宋体" w:hAnsi="宋体"/>
                <w:color w:val="auto"/>
                <w:sz w:val="21"/>
                <w:szCs w:val="21"/>
                <w:highlight w:val="none"/>
              </w:rPr>
              <w:t>法定代表人或者其委托代理人：</w:t>
            </w:r>
          </w:p>
        </w:tc>
        <w:tc>
          <w:tcPr>
            <w:tcW w:w="4710" w:type="dxa"/>
          </w:tcPr>
          <w:p>
            <w:pPr>
              <w:snapToGrid w:val="0"/>
              <w:spacing w:line="360" w:lineRule="auto"/>
              <w:rPr>
                <w:rFonts w:hint="eastAsia" w:ascii="宋体" w:hAnsi="宋体"/>
                <w:color w:val="auto"/>
                <w:sz w:val="21"/>
                <w:szCs w:val="21"/>
                <w:highlight w:val="none"/>
              </w:rPr>
            </w:pPr>
            <w:r>
              <w:rPr>
                <w:rFonts w:hint="eastAsia" w:ascii="宋体" w:hAnsi="宋体"/>
                <w:color w:val="auto"/>
                <w:sz w:val="21"/>
                <w:szCs w:val="21"/>
                <w:highlight w:val="none"/>
              </w:rPr>
              <w:t>法定代表人或者其委托代理人：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4709" w:type="dxa"/>
            <w:vAlign w:val="center"/>
          </w:tcPr>
          <w:p>
            <w:pPr>
              <w:snapToGrid w:val="0"/>
              <w:spacing w:line="360" w:lineRule="auto"/>
              <w:rPr>
                <w:rFonts w:hint="eastAsia" w:ascii="宋体" w:hAnsi="宋体"/>
                <w:color w:val="auto"/>
                <w:sz w:val="21"/>
                <w:szCs w:val="21"/>
                <w:highlight w:val="none"/>
              </w:rPr>
            </w:pPr>
            <w:r>
              <w:rPr>
                <w:rFonts w:hint="eastAsia" w:ascii="宋体" w:hAnsi="宋体"/>
                <w:color w:val="auto"/>
                <w:sz w:val="21"/>
                <w:szCs w:val="21"/>
                <w:highlight w:val="none"/>
              </w:rPr>
              <w:t>电话：</w:t>
            </w:r>
          </w:p>
        </w:tc>
        <w:tc>
          <w:tcPr>
            <w:tcW w:w="4710" w:type="dxa"/>
            <w:vAlign w:val="center"/>
          </w:tcPr>
          <w:p>
            <w:pPr>
              <w:snapToGrid w:val="0"/>
              <w:spacing w:line="360" w:lineRule="auto"/>
              <w:rPr>
                <w:rFonts w:hint="eastAsia" w:ascii="宋体" w:hAnsi="宋体"/>
                <w:color w:val="auto"/>
                <w:sz w:val="21"/>
                <w:szCs w:val="21"/>
                <w:highlight w:val="none"/>
              </w:rPr>
            </w:pPr>
            <w:r>
              <w:rPr>
                <w:rFonts w:hint="eastAsia" w:ascii="宋体" w:hAnsi="宋体"/>
                <w:color w:val="auto"/>
                <w:sz w:val="21"/>
                <w:szCs w:val="21"/>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4709" w:type="dxa"/>
            <w:vAlign w:val="center"/>
          </w:tcPr>
          <w:p>
            <w:pPr>
              <w:snapToGrid w:val="0"/>
              <w:spacing w:line="360" w:lineRule="auto"/>
              <w:rPr>
                <w:rFonts w:hint="eastAsia" w:ascii="宋体" w:hAnsi="宋体"/>
                <w:color w:val="auto"/>
                <w:sz w:val="21"/>
                <w:szCs w:val="21"/>
                <w:highlight w:val="none"/>
              </w:rPr>
            </w:pPr>
            <w:r>
              <w:rPr>
                <w:rFonts w:hint="eastAsia" w:ascii="宋体" w:hAnsi="宋体"/>
                <w:color w:val="auto"/>
                <w:sz w:val="21"/>
                <w:szCs w:val="21"/>
                <w:highlight w:val="none"/>
              </w:rPr>
              <w:t>电子邮箱：</w:t>
            </w:r>
          </w:p>
        </w:tc>
        <w:tc>
          <w:tcPr>
            <w:tcW w:w="4710" w:type="dxa"/>
            <w:vAlign w:val="center"/>
          </w:tcPr>
          <w:p>
            <w:pPr>
              <w:snapToGrid w:val="0"/>
              <w:spacing w:line="360" w:lineRule="auto"/>
              <w:rPr>
                <w:rFonts w:hint="eastAsia" w:ascii="宋体" w:hAnsi="宋体"/>
                <w:color w:val="auto"/>
                <w:sz w:val="21"/>
                <w:szCs w:val="21"/>
                <w:highlight w:val="none"/>
              </w:rPr>
            </w:pPr>
            <w:r>
              <w:rPr>
                <w:rFonts w:hint="eastAsia" w:ascii="宋体" w:hAnsi="宋体"/>
                <w:color w:val="auto"/>
                <w:sz w:val="21"/>
                <w:szCs w:val="21"/>
                <w:highlight w:val="none"/>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4709" w:type="dxa"/>
            <w:vAlign w:val="center"/>
          </w:tcPr>
          <w:p>
            <w:pPr>
              <w:snapToGrid w:val="0"/>
              <w:spacing w:line="360" w:lineRule="auto"/>
              <w:rPr>
                <w:rFonts w:hint="eastAsia" w:ascii="宋体" w:hAnsi="宋体"/>
                <w:color w:val="auto"/>
                <w:sz w:val="21"/>
                <w:szCs w:val="21"/>
                <w:highlight w:val="none"/>
              </w:rPr>
            </w:pPr>
            <w:r>
              <w:rPr>
                <w:rFonts w:hint="eastAsia" w:ascii="宋体" w:hAnsi="宋体"/>
                <w:color w:val="auto"/>
                <w:sz w:val="21"/>
                <w:szCs w:val="21"/>
                <w:highlight w:val="none"/>
              </w:rPr>
              <w:t>开户银行：</w:t>
            </w:r>
          </w:p>
        </w:tc>
        <w:tc>
          <w:tcPr>
            <w:tcW w:w="4710" w:type="dxa"/>
            <w:vAlign w:val="center"/>
          </w:tcPr>
          <w:p>
            <w:pPr>
              <w:snapToGrid w:val="0"/>
              <w:spacing w:line="360" w:lineRule="auto"/>
              <w:rPr>
                <w:rFonts w:hint="eastAsia" w:ascii="宋体" w:hAnsi="宋体"/>
                <w:color w:val="auto"/>
                <w:sz w:val="21"/>
                <w:szCs w:val="21"/>
                <w:highlight w:val="none"/>
              </w:rPr>
            </w:pPr>
            <w:r>
              <w:rPr>
                <w:rFonts w:hint="eastAsia" w:ascii="宋体" w:hAnsi="宋体"/>
                <w:color w:val="auto"/>
                <w:sz w:val="21"/>
                <w:szCs w:val="21"/>
                <w:highlight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4709" w:type="dxa"/>
            <w:vAlign w:val="center"/>
          </w:tcPr>
          <w:p>
            <w:pPr>
              <w:snapToGrid w:val="0"/>
              <w:spacing w:line="360" w:lineRule="auto"/>
              <w:rPr>
                <w:rFonts w:hint="eastAsia" w:ascii="宋体" w:hAnsi="宋体"/>
                <w:color w:val="auto"/>
                <w:sz w:val="21"/>
                <w:szCs w:val="21"/>
                <w:highlight w:val="none"/>
              </w:rPr>
            </w:pPr>
            <w:r>
              <w:rPr>
                <w:rFonts w:hint="eastAsia" w:ascii="宋体" w:hAnsi="宋体"/>
                <w:color w:val="auto"/>
                <w:sz w:val="21"/>
                <w:szCs w:val="21"/>
                <w:highlight w:val="none"/>
              </w:rPr>
              <w:t>账号：</w:t>
            </w:r>
          </w:p>
        </w:tc>
        <w:tc>
          <w:tcPr>
            <w:tcW w:w="4710" w:type="dxa"/>
            <w:vAlign w:val="center"/>
          </w:tcPr>
          <w:p>
            <w:pPr>
              <w:snapToGrid w:val="0"/>
              <w:spacing w:line="360" w:lineRule="auto"/>
              <w:rPr>
                <w:rFonts w:hint="eastAsia" w:ascii="宋体" w:hAnsi="宋体"/>
                <w:color w:val="auto"/>
                <w:sz w:val="21"/>
                <w:szCs w:val="21"/>
                <w:highlight w:val="none"/>
              </w:rPr>
            </w:pPr>
            <w:r>
              <w:rPr>
                <w:rFonts w:hint="eastAsia" w:ascii="宋体" w:hAnsi="宋体"/>
                <w:color w:val="auto"/>
                <w:sz w:val="21"/>
                <w:szCs w:val="21"/>
                <w:highlight w:val="none"/>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4709" w:type="dxa"/>
            <w:vAlign w:val="center"/>
          </w:tcPr>
          <w:p>
            <w:pPr>
              <w:snapToGrid w:val="0"/>
              <w:spacing w:line="360" w:lineRule="auto"/>
              <w:rPr>
                <w:rFonts w:hint="eastAsia" w:ascii="宋体" w:hAnsi="宋体"/>
                <w:color w:val="auto"/>
                <w:sz w:val="21"/>
                <w:szCs w:val="21"/>
                <w:highlight w:val="none"/>
              </w:rPr>
            </w:pPr>
            <w:r>
              <w:rPr>
                <w:rFonts w:hint="eastAsia" w:ascii="宋体" w:hAnsi="宋体"/>
                <w:color w:val="auto"/>
                <w:sz w:val="21"/>
                <w:szCs w:val="21"/>
                <w:highlight w:val="none"/>
              </w:rPr>
              <w:t>邮政编码：</w:t>
            </w:r>
          </w:p>
        </w:tc>
        <w:tc>
          <w:tcPr>
            <w:tcW w:w="4710" w:type="dxa"/>
            <w:vAlign w:val="center"/>
          </w:tcPr>
          <w:p>
            <w:pPr>
              <w:snapToGrid w:val="0"/>
              <w:spacing w:line="360" w:lineRule="auto"/>
              <w:rPr>
                <w:rFonts w:hint="eastAsia" w:ascii="宋体" w:hAnsi="宋体"/>
                <w:color w:val="auto"/>
                <w:sz w:val="21"/>
                <w:szCs w:val="21"/>
                <w:highlight w:val="none"/>
              </w:rPr>
            </w:pPr>
            <w:r>
              <w:rPr>
                <w:rFonts w:hint="eastAsia" w:ascii="宋体" w:hAnsi="宋体"/>
                <w:color w:val="auto"/>
                <w:sz w:val="21"/>
                <w:szCs w:val="21"/>
                <w:highlight w:val="none"/>
              </w:rPr>
              <w:t>邮政编码：</w:t>
            </w:r>
          </w:p>
        </w:tc>
      </w:tr>
    </w:tbl>
    <w:p>
      <w:pPr>
        <w:snapToGrid w:val="0"/>
        <w:spacing w:line="360" w:lineRule="auto"/>
        <w:jc w:val="center"/>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合 同 附 件</w:t>
      </w:r>
    </w:p>
    <w:p>
      <w:pPr>
        <w:snapToGrid w:val="0"/>
        <w:spacing w:line="360" w:lineRule="auto"/>
        <w:ind w:firstLine="720" w:firstLineChars="300"/>
        <w:rPr>
          <w:rFonts w:hint="eastAsia" w:ascii="宋体" w:hAnsi="宋体"/>
          <w:color w:val="auto"/>
          <w:sz w:val="24"/>
          <w:highlight w:val="none"/>
        </w:rPr>
      </w:pPr>
      <w:r>
        <w:rPr>
          <w:rFonts w:hint="eastAsia" w:ascii="宋体" w:hAnsi="宋体"/>
          <w:color w:val="auto"/>
          <w:sz w:val="24"/>
          <w:highlight w:val="none"/>
        </w:rPr>
        <w:t>一般货物类</w:t>
      </w:r>
    </w:p>
    <w:tbl>
      <w:tblPr>
        <w:tblStyle w:val="32"/>
        <w:tblW w:w="8522" w:type="dxa"/>
        <w:jc w:val="center"/>
        <w:tblLayout w:type="fixed"/>
        <w:tblCellMar>
          <w:top w:w="0" w:type="dxa"/>
          <w:left w:w="108" w:type="dxa"/>
          <w:bottom w:w="0" w:type="dxa"/>
          <w:right w:w="108" w:type="dxa"/>
        </w:tblCellMar>
      </w:tblPr>
      <w:tblGrid>
        <w:gridCol w:w="4263"/>
        <w:gridCol w:w="4259"/>
      </w:tblGrid>
      <w:tr>
        <w:tblPrEx>
          <w:tblCellMar>
            <w:top w:w="0" w:type="dxa"/>
            <w:left w:w="108" w:type="dxa"/>
            <w:bottom w:w="0" w:type="dxa"/>
            <w:right w:w="108" w:type="dxa"/>
          </w:tblCellMar>
        </w:tblPrEx>
        <w:trPr>
          <w:trHeight w:val="1226" w:hRule="atLeast"/>
          <w:jc w:val="center"/>
        </w:trPr>
        <w:tc>
          <w:tcPr>
            <w:tcW w:w="8522" w:type="dxa"/>
            <w:gridSpan w:val="2"/>
            <w:tcBorders>
              <w:top w:val="single" w:color="auto" w:sz="4" w:space="0"/>
              <w:left w:val="single" w:color="auto" w:sz="4" w:space="0"/>
              <w:right w:val="single" w:color="auto" w:sz="4" w:space="0"/>
            </w:tcBorders>
          </w:tcPr>
          <w:p>
            <w:pPr>
              <w:snapToGrid w:val="0"/>
              <w:spacing w:line="360" w:lineRule="auto"/>
              <w:rPr>
                <w:rFonts w:hint="eastAsia" w:ascii="宋体" w:hAnsi="宋体"/>
                <w:b/>
                <w:color w:val="auto"/>
                <w:sz w:val="24"/>
                <w:highlight w:val="none"/>
              </w:rPr>
            </w:pPr>
            <w:r>
              <w:rPr>
                <w:rFonts w:hint="eastAsia" w:ascii="宋体" w:hAnsi="宋体"/>
                <w:b/>
                <w:color w:val="auto"/>
                <w:sz w:val="24"/>
                <w:highlight w:val="none"/>
              </w:rPr>
              <w:t>1. 供应商承诺具体事项：</w:t>
            </w:r>
          </w:p>
        </w:tc>
      </w:tr>
      <w:tr>
        <w:tblPrEx>
          <w:tblCellMar>
            <w:top w:w="0" w:type="dxa"/>
            <w:left w:w="108" w:type="dxa"/>
            <w:bottom w:w="0" w:type="dxa"/>
            <w:right w:w="108" w:type="dxa"/>
          </w:tblCellMar>
        </w:tblPrEx>
        <w:trPr>
          <w:trHeight w:val="1228" w:hRule="atLeast"/>
          <w:jc w:val="center"/>
        </w:trPr>
        <w:tc>
          <w:tcPr>
            <w:tcW w:w="8522" w:type="dxa"/>
            <w:gridSpan w:val="2"/>
            <w:tcBorders>
              <w:top w:val="single" w:color="auto" w:sz="4" w:space="0"/>
              <w:left w:val="single" w:color="auto" w:sz="4" w:space="0"/>
              <w:right w:val="single" w:color="auto" w:sz="4" w:space="0"/>
            </w:tcBorders>
          </w:tcPr>
          <w:p>
            <w:pPr>
              <w:snapToGrid w:val="0"/>
              <w:spacing w:line="360" w:lineRule="auto"/>
              <w:rPr>
                <w:rFonts w:hint="eastAsia" w:ascii="宋体" w:hAnsi="宋体"/>
                <w:b/>
                <w:color w:val="auto"/>
                <w:sz w:val="24"/>
                <w:highlight w:val="none"/>
              </w:rPr>
            </w:pPr>
            <w:r>
              <w:rPr>
                <w:rFonts w:hint="eastAsia" w:ascii="宋体" w:hAnsi="宋体"/>
                <w:b/>
                <w:color w:val="auto"/>
                <w:sz w:val="24"/>
                <w:highlight w:val="none"/>
              </w:rPr>
              <w:t>2. 售后服务具体事项：</w:t>
            </w:r>
          </w:p>
        </w:tc>
      </w:tr>
      <w:tr>
        <w:tblPrEx>
          <w:tblCellMar>
            <w:top w:w="0" w:type="dxa"/>
            <w:left w:w="108" w:type="dxa"/>
            <w:bottom w:w="0" w:type="dxa"/>
            <w:right w:w="108" w:type="dxa"/>
          </w:tblCellMar>
        </w:tblPrEx>
        <w:trPr>
          <w:trHeight w:val="1088" w:hRule="atLeast"/>
          <w:jc w:val="center"/>
        </w:trPr>
        <w:tc>
          <w:tcPr>
            <w:tcW w:w="8522" w:type="dxa"/>
            <w:gridSpan w:val="2"/>
            <w:tcBorders>
              <w:top w:val="single" w:color="auto" w:sz="4" w:space="0"/>
              <w:left w:val="single" w:color="auto" w:sz="4" w:space="0"/>
              <w:right w:val="single" w:color="auto" w:sz="4" w:space="0"/>
            </w:tcBorders>
          </w:tcPr>
          <w:p>
            <w:pPr>
              <w:snapToGrid w:val="0"/>
              <w:spacing w:line="360" w:lineRule="auto"/>
              <w:rPr>
                <w:rFonts w:hint="eastAsia" w:ascii="宋体" w:hAnsi="宋体"/>
                <w:b/>
                <w:color w:val="auto"/>
                <w:sz w:val="24"/>
                <w:highlight w:val="none"/>
              </w:rPr>
            </w:pPr>
            <w:r>
              <w:rPr>
                <w:rFonts w:hint="eastAsia" w:ascii="宋体" w:hAnsi="宋体"/>
                <w:b/>
                <w:color w:val="auto"/>
                <w:sz w:val="24"/>
                <w:highlight w:val="none"/>
              </w:rPr>
              <w:t>3. 保修期责任：</w:t>
            </w:r>
          </w:p>
        </w:tc>
      </w:tr>
      <w:tr>
        <w:tblPrEx>
          <w:tblCellMar>
            <w:top w:w="0" w:type="dxa"/>
            <w:left w:w="108" w:type="dxa"/>
            <w:bottom w:w="0" w:type="dxa"/>
            <w:right w:w="108" w:type="dxa"/>
          </w:tblCellMar>
        </w:tblPrEx>
        <w:trPr>
          <w:trHeight w:val="1360" w:hRule="atLeast"/>
          <w:jc w:val="center"/>
        </w:trPr>
        <w:tc>
          <w:tcPr>
            <w:tcW w:w="8522" w:type="dxa"/>
            <w:gridSpan w:val="2"/>
            <w:tcBorders>
              <w:top w:val="single" w:color="auto" w:sz="4" w:space="0"/>
              <w:left w:val="single" w:color="auto" w:sz="4" w:space="0"/>
              <w:right w:val="single" w:color="auto" w:sz="4" w:space="0"/>
            </w:tcBorders>
          </w:tcPr>
          <w:p>
            <w:pPr>
              <w:snapToGrid w:val="0"/>
              <w:spacing w:line="360" w:lineRule="auto"/>
              <w:rPr>
                <w:rFonts w:hint="eastAsia" w:ascii="宋体" w:hAnsi="宋体"/>
                <w:b/>
                <w:color w:val="auto"/>
                <w:sz w:val="24"/>
                <w:highlight w:val="none"/>
              </w:rPr>
            </w:pPr>
            <w:r>
              <w:rPr>
                <w:rFonts w:hint="eastAsia" w:ascii="宋体" w:hAnsi="宋体"/>
                <w:b/>
                <w:color w:val="auto"/>
                <w:sz w:val="24"/>
                <w:highlight w:val="none"/>
              </w:rPr>
              <w:t>4. 其他具体事项：</w:t>
            </w:r>
          </w:p>
        </w:tc>
      </w:tr>
      <w:tr>
        <w:tblPrEx>
          <w:tblCellMar>
            <w:top w:w="0" w:type="dxa"/>
            <w:left w:w="108" w:type="dxa"/>
            <w:bottom w:w="0" w:type="dxa"/>
            <w:right w:w="108" w:type="dxa"/>
          </w:tblCellMar>
        </w:tblPrEx>
        <w:trPr>
          <w:trHeight w:val="1703" w:hRule="atLeast"/>
          <w:jc w:val="center"/>
        </w:trPr>
        <w:tc>
          <w:tcPr>
            <w:tcW w:w="426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b/>
                <w:color w:val="auto"/>
                <w:sz w:val="24"/>
                <w:highlight w:val="none"/>
              </w:rPr>
            </w:pPr>
            <w:r>
              <w:rPr>
                <w:rFonts w:hint="eastAsia" w:ascii="宋体" w:hAnsi="宋体"/>
                <w:b/>
                <w:color w:val="auto"/>
                <w:sz w:val="24"/>
                <w:highlight w:val="none"/>
              </w:rPr>
              <w:t>甲方（章）</w:t>
            </w:r>
          </w:p>
          <w:p>
            <w:pPr>
              <w:snapToGrid w:val="0"/>
              <w:spacing w:line="360" w:lineRule="auto"/>
              <w:ind w:firstLine="482" w:firstLineChars="200"/>
              <w:rPr>
                <w:rFonts w:hint="eastAsia" w:ascii="宋体" w:hAnsi="宋体"/>
                <w:b/>
                <w:color w:val="auto"/>
                <w:sz w:val="24"/>
                <w:highlight w:val="none"/>
              </w:rPr>
            </w:pPr>
          </w:p>
          <w:p>
            <w:pPr>
              <w:snapToGrid w:val="0"/>
              <w:spacing w:line="360" w:lineRule="auto"/>
              <w:rPr>
                <w:rFonts w:hint="eastAsia" w:ascii="宋体" w:hAnsi="宋体"/>
                <w:b/>
                <w:color w:val="auto"/>
                <w:sz w:val="24"/>
                <w:highlight w:val="none"/>
              </w:rPr>
            </w:pPr>
          </w:p>
          <w:p>
            <w:pPr>
              <w:snapToGrid w:val="0"/>
              <w:spacing w:line="360" w:lineRule="auto"/>
              <w:ind w:firstLine="482" w:firstLineChars="200"/>
              <w:rPr>
                <w:rFonts w:hint="eastAsia" w:ascii="宋体" w:hAnsi="宋体"/>
                <w:b/>
                <w:color w:val="auto"/>
                <w:sz w:val="24"/>
                <w:highlight w:val="none"/>
              </w:rPr>
            </w:pPr>
            <w:r>
              <w:rPr>
                <w:rFonts w:hint="eastAsia" w:ascii="宋体" w:hAnsi="宋体"/>
                <w:b/>
                <w:color w:val="auto"/>
                <w:sz w:val="24"/>
                <w:highlight w:val="none"/>
              </w:rPr>
              <w:t xml:space="preserve">               年   月   日 </w:t>
            </w:r>
          </w:p>
        </w:tc>
        <w:tc>
          <w:tcPr>
            <w:tcW w:w="425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b/>
                <w:color w:val="auto"/>
                <w:sz w:val="24"/>
                <w:highlight w:val="none"/>
              </w:rPr>
            </w:pPr>
            <w:r>
              <w:rPr>
                <w:rFonts w:hint="eastAsia" w:ascii="宋体" w:hAnsi="宋体"/>
                <w:b/>
                <w:color w:val="auto"/>
                <w:sz w:val="24"/>
                <w:highlight w:val="none"/>
              </w:rPr>
              <w:t>乙方（章）</w:t>
            </w:r>
          </w:p>
          <w:p>
            <w:pPr>
              <w:snapToGrid w:val="0"/>
              <w:spacing w:line="360" w:lineRule="auto"/>
              <w:ind w:firstLine="482" w:firstLineChars="200"/>
              <w:rPr>
                <w:rFonts w:hint="eastAsia" w:ascii="宋体" w:hAnsi="宋体"/>
                <w:b/>
                <w:color w:val="auto"/>
                <w:sz w:val="24"/>
                <w:highlight w:val="none"/>
              </w:rPr>
            </w:pPr>
          </w:p>
          <w:p>
            <w:pPr>
              <w:snapToGrid w:val="0"/>
              <w:spacing w:line="360" w:lineRule="auto"/>
              <w:rPr>
                <w:rFonts w:hint="eastAsia" w:ascii="宋体" w:hAnsi="宋体"/>
                <w:b/>
                <w:color w:val="auto"/>
                <w:sz w:val="24"/>
                <w:highlight w:val="none"/>
              </w:rPr>
            </w:pPr>
          </w:p>
          <w:p>
            <w:pPr>
              <w:snapToGrid w:val="0"/>
              <w:spacing w:line="360" w:lineRule="auto"/>
              <w:ind w:firstLine="482" w:firstLineChars="200"/>
              <w:rPr>
                <w:rFonts w:hint="eastAsia" w:ascii="宋体" w:hAnsi="宋体"/>
                <w:b/>
                <w:color w:val="auto"/>
                <w:sz w:val="24"/>
                <w:highlight w:val="none"/>
              </w:rPr>
            </w:pPr>
            <w:r>
              <w:rPr>
                <w:rFonts w:hint="eastAsia" w:ascii="宋体" w:hAnsi="宋体"/>
                <w:b/>
                <w:color w:val="auto"/>
                <w:sz w:val="24"/>
                <w:highlight w:val="none"/>
              </w:rPr>
              <w:t xml:space="preserve">                 年   月   日</w:t>
            </w:r>
          </w:p>
        </w:tc>
      </w:tr>
    </w:tbl>
    <w:p>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 xml:space="preserve">    注：售后服务事项填不下时可另加附页</w:t>
      </w:r>
    </w:p>
    <w:p>
      <w:pPr>
        <w:pStyle w:val="42"/>
        <w:rPr>
          <w:rFonts w:hint="eastAsia" w:ascii="宋体" w:hAnsi="宋体" w:eastAsia="宋体" w:cs="仿宋_GB2312"/>
          <w:bCs/>
          <w:color w:val="auto"/>
          <w:kern w:val="44"/>
          <w:sz w:val="44"/>
          <w:szCs w:val="44"/>
          <w:highlight w:val="none"/>
          <w:lang w:val="zh-CN"/>
        </w:rPr>
      </w:pPr>
    </w:p>
    <w:p>
      <w:pPr>
        <w:keepNext/>
        <w:keepLines/>
        <w:spacing w:before="340" w:after="330" w:line="578" w:lineRule="auto"/>
        <w:jc w:val="center"/>
        <w:outlineLvl w:val="0"/>
        <w:rPr>
          <w:rFonts w:hint="eastAsia" w:ascii="宋体" w:hAnsi="宋体" w:eastAsia="宋体" w:cs="仿宋_GB2312"/>
          <w:bCs/>
          <w:color w:val="auto"/>
          <w:kern w:val="44"/>
          <w:sz w:val="44"/>
          <w:szCs w:val="44"/>
          <w:highlight w:val="none"/>
          <w:lang w:val="zh-CN"/>
        </w:rPr>
      </w:pPr>
    </w:p>
    <w:p>
      <w:pPr>
        <w:pStyle w:val="42"/>
        <w:rPr>
          <w:rFonts w:hint="eastAsia" w:ascii="宋体" w:hAnsi="宋体" w:eastAsia="宋体" w:cs="仿宋_GB2312"/>
          <w:bCs/>
          <w:color w:val="auto"/>
          <w:kern w:val="44"/>
          <w:sz w:val="44"/>
          <w:szCs w:val="44"/>
          <w:highlight w:val="none"/>
          <w:lang w:val="zh-CN"/>
        </w:rPr>
      </w:pPr>
    </w:p>
    <w:p>
      <w:pPr>
        <w:pStyle w:val="42"/>
        <w:rPr>
          <w:rFonts w:hint="eastAsia" w:ascii="宋体" w:hAnsi="宋体" w:eastAsia="宋体" w:cs="仿宋_GB2312"/>
          <w:bCs/>
          <w:color w:val="auto"/>
          <w:kern w:val="44"/>
          <w:sz w:val="44"/>
          <w:szCs w:val="44"/>
          <w:highlight w:val="none"/>
          <w:lang w:val="zh-CN"/>
        </w:rPr>
      </w:pPr>
    </w:p>
    <w:p>
      <w:pPr>
        <w:pStyle w:val="42"/>
        <w:rPr>
          <w:rFonts w:hint="eastAsia" w:ascii="宋体" w:hAnsi="宋体" w:eastAsia="宋体" w:cs="仿宋_GB2312"/>
          <w:bCs/>
          <w:color w:val="auto"/>
          <w:kern w:val="44"/>
          <w:sz w:val="44"/>
          <w:szCs w:val="44"/>
          <w:highlight w:val="none"/>
          <w:lang w:val="zh-CN"/>
        </w:rPr>
      </w:pPr>
    </w:p>
    <w:p>
      <w:pPr>
        <w:pStyle w:val="42"/>
        <w:rPr>
          <w:rFonts w:hint="eastAsia" w:ascii="宋体" w:hAnsi="宋体" w:eastAsia="宋体" w:cs="仿宋_GB2312"/>
          <w:bCs/>
          <w:color w:val="auto"/>
          <w:kern w:val="44"/>
          <w:sz w:val="44"/>
          <w:szCs w:val="44"/>
          <w:highlight w:val="none"/>
          <w:lang w:val="zh-CN"/>
        </w:rPr>
      </w:pPr>
    </w:p>
    <w:p>
      <w:pPr>
        <w:pStyle w:val="42"/>
        <w:rPr>
          <w:rFonts w:hint="eastAsia" w:ascii="宋体" w:hAnsi="宋体" w:eastAsia="宋体" w:cs="仿宋_GB2312"/>
          <w:bCs/>
          <w:color w:val="auto"/>
          <w:kern w:val="44"/>
          <w:sz w:val="44"/>
          <w:szCs w:val="44"/>
          <w:highlight w:val="none"/>
          <w:lang w:val="zh-CN"/>
        </w:rPr>
      </w:pPr>
    </w:p>
    <w:p>
      <w:pPr>
        <w:pStyle w:val="42"/>
        <w:rPr>
          <w:rFonts w:hint="eastAsia" w:ascii="宋体" w:hAnsi="宋体" w:eastAsia="宋体" w:cs="仿宋_GB2312"/>
          <w:bCs/>
          <w:color w:val="auto"/>
          <w:kern w:val="44"/>
          <w:sz w:val="44"/>
          <w:szCs w:val="44"/>
          <w:highlight w:val="none"/>
          <w:lang w:val="zh-CN"/>
        </w:rPr>
      </w:pPr>
    </w:p>
    <w:p>
      <w:pPr>
        <w:keepNext/>
        <w:keepLines/>
        <w:spacing w:before="340" w:after="330" w:line="578" w:lineRule="auto"/>
        <w:jc w:val="center"/>
        <w:outlineLvl w:val="0"/>
        <w:rPr>
          <w:rFonts w:hint="eastAsia" w:ascii="宋体" w:hAnsi="宋体" w:eastAsia="宋体" w:cs="仿宋_GB2312"/>
          <w:b/>
          <w:bCs/>
          <w:color w:val="auto"/>
          <w:kern w:val="44"/>
          <w:sz w:val="44"/>
          <w:szCs w:val="44"/>
          <w:highlight w:val="none"/>
          <w:lang w:val="zh-CN"/>
        </w:rPr>
        <w:sectPr>
          <w:pgSz w:w="11910" w:h="16840"/>
          <w:pgMar w:top="1134" w:right="1134" w:bottom="1134" w:left="1134" w:header="720" w:footer="720" w:gutter="0"/>
          <w:pgNumType w:fmt="decimal"/>
          <w:cols w:space="720" w:num="1"/>
        </w:sectPr>
      </w:pPr>
      <w:bookmarkStart w:id="197" w:name="_Toc32254"/>
      <w:bookmarkStart w:id="198" w:name="_Toc5523"/>
      <w:bookmarkStart w:id="199" w:name="_Toc27629"/>
      <w:bookmarkStart w:id="200" w:name="_Toc24483"/>
      <w:bookmarkStart w:id="201" w:name="_Toc6393"/>
      <w:bookmarkStart w:id="202" w:name="_Toc25054"/>
      <w:bookmarkStart w:id="203" w:name="_Toc2169"/>
      <w:r>
        <w:rPr>
          <w:rFonts w:hint="eastAsia" w:ascii="宋体" w:hAnsi="宋体" w:eastAsia="宋体" w:cs="仿宋_GB2312"/>
          <w:bCs/>
          <w:color w:val="auto"/>
          <w:kern w:val="44"/>
          <w:sz w:val="44"/>
          <w:szCs w:val="44"/>
          <w:highlight w:val="none"/>
          <w:lang w:val="zh-CN"/>
        </w:rPr>
        <w:t>第七章 质疑、投诉材料格式</w:t>
      </w:r>
      <w:bookmarkEnd w:id="195"/>
      <w:bookmarkEnd w:id="196"/>
      <w:bookmarkEnd w:id="197"/>
      <w:bookmarkEnd w:id="198"/>
      <w:bookmarkEnd w:id="199"/>
      <w:bookmarkEnd w:id="200"/>
      <w:bookmarkEnd w:id="201"/>
      <w:bookmarkEnd w:id="202"/>
      <w:bookmarkEnd w:id="203"/>
    </w:p>
    <w:p>
      <w:pPr>
        <w:spacing w:line="360" w:lineRule="auto"/>
        <w:jc w:val="center"/>
        <w:rPr>
          <w:rFonts w:hint="eastAsia" w:ascii="宋体" w:hAnsi="宋体" w:eastAsia="宋体" w:cs="Times New Roman"/>
          <w:b/>
          <w:bCs/>
          <w:color w:val="auto"/>
          <w:sz w:val="32"/>
          <w:szCs w:val="32"/>
          <w:highlight w:val="none"/>
        </w:rPr>
      </w:pPr>
      <w:r>
        <w:rPr>
          <w:rFonts w:hint="eastAsia" w:ascii="宋体" w:hAnsi="宋体" w:eastAsia="宋体" w:cs="Times New Roman"/>
          <w:b/>
          <w:bCs/>
          <w:color w:val="auto"/>
          <w:sz w:val="32"/>
          <w:szCs w:val="32"/>
          <w:highlight w:val="none"/>
        </w:rPr>
        <w:t>质疑函（格式）</w:t>
      </w:r>
    </w:p>
    <w:p>
      <w:pPr>
        <w:spacing w:line="360" w:lineRule="auto"/>
        <w:ind w:firstLine="482" w:firstLineChars="200"/>
        <w:contextualSpacing/>
        <w:rPr>
          <w:rFonts w:hint="eastAsia" w:ascii="宋体" w:hAnsi="宋体" w:eastAsia="宋体" w:cs="Times New Roman"/>
          <w:b/>
          <w:bCs/>
          <w:color w:val="auto"/>
          <w:kern w:val="0"/>
          <w:sz w:val="24"/>
          <w:szCs w:val="24"/>
          <w:highlight w:val="none"/>
          <w:lang w:val="zh-CN"/>
        </w:rPr>
      </w:pPr>
      <w:r>
        <w:rPr>
          <w:rFonts w:hint="eastAsia" w:ascii="宋体" w:hAnsi="宋体" w:eastAsia="宋体" w:cs="Times New Roman"/>
          <w:b/>
          <w:bCs/>
          <w:color w:val="auto"/>
          <w:kern w:val="0"/>
          <w:sz w:val="24"/>
          <w:szCs w:val="24"/>
          <w:highlight w:val="none"/>
          <w:lang w:val="zh-CN"/>
        </w:rPr>
        <w:t>一、质疑供应商基本信息：</w:t>
      </w:r>
    </w:p>
    <w:p>
      <w:pPr>
        <w:spacing w:line="360" w:lineRule="auto"/>
        <w:ind w:firstLine="480" w:firstLineChars="200"/>
        <w:contextualSpacing/>
        <w:rPr>
          <w:rFonts w:hint="eastAsia" w:ascii="宋体" w:hAnsi="宋体" w:eastAsia="宋体" w:cs="Times New Roman"/>
          <w:bCs/>
          <w:color w:val="auto"/>
          <w:kern w:val="0"/>
          <w:sz w:val="24"/>
          <w:szCs w:val="24"/>
          <w:highlight w:val="none"/>
          <w:u w:val="single"/>
          <w:lang w:val="zh-CN"/>
        </w:rPr>
      </w:pPr>
      <w:r>
        <w:rPr>
          <w:rFonts w:hint="eastAsia" w:ascii="宋体" w:hAnsi="宋体" w:eastAsia="宋体" w:cs="Times New Roman"/>
          <w:bCs/>
          <w:color w:val="auto"/>
          <w:kern w:val="0"/>
          <w:sz w:val="24"/>
          <w:szCs w:val="24"/>
          <w:highlight w:val="none"/>
          <w:lang w:val="zh-CN"/>
        </w:rPr>
        <w:t>质疑供应商：</w:t>
      </w:r>
      <w:r>
        <w:rPr>
          <w:rFonts w:hint="eastAsia" w:ascii="宋体" w:hAnsi="宋体" w:eastAsia="宋体" w:cs="Times New Roman"/>
          <w:bCs/>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lang w:val="zh-CN"/>
        </w:rPr>
        <w:t xml:space="preserve">                 </w:t>
      </w:r>
    </w:p>
    <w:p>
      <w:pPr>
        <w:spacing w:line="360" w:lineRule="auto"/>
        <w:ind w:firstLine="480" w:firstLineChars="200"/>
        <w:contextualSpacing/>
        <w:rPr>
          <w:rFonts w:hint="eastAsia" w:ascii="宋体" w:hAnsi="宋体" w:eastAsia="宋体" w:cs="Times New Roman"/>
          <w:bCs/>
          <w:color w:val="auto"/>
          <w:kern w:val="0"/>
          <w:sz w:val="24"/>
          <w:szCs w:val="24"/>
          <w:highlight w:val="none"/>
          <w:lang w:val="zh-CN"/>
        </w:rPr>
      </w:pPr>
      <w:r>
        <w:rPr>
          <w:rFonts w:ascii="宋体" w:hAnsi="宋体" w:eastAsia="宋体" w:cs="Times New Roman"/>
          <w:bCs/>
          <w:color w:val="auto"/>
          <w:kern w:val="0"/>
          <w:sz w:val="24"/>
          <w:szCs w:val="24"/>
          <w:highlight w:val="none"/>
          <w:lang w:val="zh-CN"/>
        </w:rPr>
        <w:t>地址</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r>
        <w:rPr>
          <w:rFonts w:ascii="宋体" w:hAnsi="宋体" w:eastAsia="宋体" w:cs="Times New Roman"/>
          <w:bCs/>
          <w:color w:val="auto"/>
          <w:kern w:val="0"/>
          <w:sz w:val="24"/>
          <w:szCs w:val="24"/>
          <w:highlight w:val="none"/>
          <w:lang w:val="zh-CN"/>
        </w:rPr>
        <w:t>邮编</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lang w:val="zh-CN"/>
        </w:rPr>
        <w:t xml:space="preserve">                 </w:t>
      </w:r>
    </w:p>
    <w:p>
      <w:pPr>
        <w:spacing w:line="360" w:lineRule="auto"/>
        <w:ind w:firstLine="480" w:firstLineChars="200"/>
        <w:contextualSpacing/>
        <w:rPr>
          <w:rFonts w:hint="eastAsia" w:ascii="宋体" w:hAnsi="宋体" w:eastAsia="宋体" w:cs="Times New Roman"/>
          <w:bCs/>
          <w:color w:val="auto"/>
          <w:kern w:val="0"/>
          <w:sz w:val="24"/>
          <w:szCs w:val="24"/>
          <w:highlight w:val="none"/>
          <w:lang w:val="zh-CN"/>
        </w:rPr>
      </w:pPr>
      <w:r>
        <w:rPr>
          <w:rFonts w:ascii="宋体" w:hAnsi="宋体" w:eastAsia="宋体" w:cs="Times New Roman"/>
          <w:bCs/>
          <w:color w:val="auto"/>
          <w:kern w:val="0"/>
          <w:sz w:val="24"/>
          <w:szCs w:val="24"/>
          <w:highlight w:val="none"/>
          <w:lang w:val="zh-CN"/>
        </w:rPr>
        <w:t>联系人</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r>
        <w:rPr>
          <w:rFonts w:ascii="宋体" w:hAnsi="宋体" w:eastAsia="宋体" w:cs="Times New Roman"/>
          <w:bCs/>
          <w:color w:val="auto"/>
          <w:kern w:val="0"/>
          <w:sz w:val="24"/>
          <w:szCs w:val="24"/>
          <w:highlight w:val="none"/>
          <w:lang w:val="zh-CN"/>
        </w:rPr>
        <w:t>联系电话</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firstLine="480" w:firstLineChars="200"/>
        <w:contextualSpacing/>
        <w:rPr>
          <w:rFonts w:hint="eastAsia" w:ascii="宋体" w:hAnsi="宋体" w:eastAsia="宋体" w:cs="Times New Roman"/>
          <w:bCs/>
          <w:color w:val="auto"/>
          <w:kern w:val="0"/>
          <w:sz w:val="24"/>
          <w:szCs w:val="24"/>
          <w:highlight w:val="none"/>
          <w:lang w:val="zh-CN"/>
        </w:rPr>
      </w:pPr>
      <w:r>
        <w:rPr>
          <w:rFonts w:hint="eastAsia" w:ascii="宋体" w:hAnsi="宋体" w:eastAsia="宋体" w:cs="Times New Roman"/>
          <w:bCs/>
          <w:color w:val="auto"/>
          <w:kern w:val="0"/>
          <w:sz w:val="24"/>
          <w:szCs w:val="24"/>
          <w:highlight w:val="none"/>
          <w:lang w:val="zh-CN"/>
        </w:rPr>
        <w:t>授权代表：</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firstLine="480" w:firstLineChars="200"/>
        <w:contextualSpacing/>
        <w:rPr>
          <w:rFonts w:hint="eastAsia" w:ascii="宋体" w:hAnsi="宋体" w:eastAsia="宋体" w:cs="Times New Roman"/>
          <w:bCs/>
          <w:color w:val="auto"/>
          <w:kern w:val="0"/>
          <w:sz w:val="24"/>
          <w:szCs w:val="24"/>
          <w:highlight w:val="none"/>
          <w:u w:val="single"/>
          <w:lang w:val="zh-CN"/>
        </w:rPr>
      </w:pPr>
      <w:r>
        <w:rPr>
          <w:rFonts w:ascii="宋体" w:hAnsi="宋体" w:eastAsia="宋体" w:cs="Times New Roman"/>
          <w:bCs/>
          <w:color w:val="auto"/>
          <w:kern w:val="0"/>
          <w:sz w:val="24"/>
          <w:szCs w:val="24"/>
          <w:highlight w:val="none"/>
          <w:lang w:val="zh-CN"/>
        </w:rPr>
        <w:t>联系</w:t>
      </w:r>
      <w:r>
        <w:rPr>
          <w:rFonts w:hint="eastAsia" w:ascii="宋体" w:hAnsi="宋体" w:eastAsia="宋体" w:cs="Times New Roman"/>
          <w:bCs/>
          <w:color w:val="auto"/>
          <w:kern w:val="0"/>
          <w:sz w:val="24"/>
          <w:szCs w:val="24"/>
          <w:highlight w:val="none"/>
          <w:lang w:val="zh-CN"/>
        </w:rPr>
        <w:t>电话：</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firstLine="480" w:firstLineChars="200"/>
        <w:contextualSpacing/>
        <w:rPr>
          <w:rFonts w:hint="eastAsia" w:ascii="宋体" w:hAnsi="宋体" w:eastAsia="宋体" w:cs="Times New Roman"/>
          <w:bCs/>
          <w:color w:val="auto"/>
          <w:kern w:val="0"/>
          <w:sz w:val="24"/>
          <w:szCs w:val="24"/>
          <w:highlight w:val="none"/>
          <w:lang w:val="zh-CN"/>
        </w:rPr>
      </w:pPr>
      <w:r>
        <w:rPr>
          <w:rFonts w:ascii="宋体" w:hAnsi="宋体" w:eastAsia="宋体" w:cs="Times New Roman"/>
          <w:bCs/>
          <w:color w:val="auto"/>
          <w:kern w:val="0"/>
          <w:sz w:val="24"/>
          <w:szCs w:val="24"/>
          <w:highlight w:val="none"/>
          <w:lang w:val="zh-CN"/>
        </w:rPr>
        <w:t>地址</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r>
        <w:rPr>
          <w:rFonts w:ascii="宋体" w:hAnsi="宋体" w:eastAsia="宋体" w:cs="Times New Roman"/>
          <w:bCs/>
          <w:color w:val="auto"/>
          <w:kern w:val="0"/>
          <w:sz w:val="24"/>
          <w:szCs w:val="24"/>
          <w:highlight w:val="none"/>
          <w:lang w:val="zh-CN"/>
        </w:rPr>
        <w:t>邮编</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lang w:val="zh-CN"/>
        </w:rPr>
        <w:t xml:space="preserve">     </w:t>
      </w:r>
    </w:p>
    <w:p>
      <w:pPr>
        <w:spacing w:line="360" w:lineRule="auto"/>
        <w:ind w:firstLine="482" w:firstLineChars="200"/>
        <w:contextualSpacing/>
        <w:rPr>
          <w:rFonts w:hint="eastAsia" w:ascii="宋体" w:hAnsi="宋体" w:eastAsia="宋体" w:cs="Times New Roman"/>
          <w:b/>
          <w:bCs/>
          <w:color w:val="auto"/>
          <w:kern w:val="0"/>
          <w:sz w:val="24"/>
          <w:szCs w:val="24"/>
          <w:highlight w:val="none"/>
          <w:lang w:val="zh-CN"/>
        </w:rPr>
      </w:pPr>
      <w:r>
        <w:rPr>
          <w:rFonts w:hint="eastAsia" w:ascii="宋体" w:hAnsi="宋体" w:eastAsia="宋体" w:cs="Times New Roman"/>
          <w:b/>
          <w:bCs/>
          <w:color w:val="auto"/>
          <w:kern w:val="0"/>
          <w:sz w:val="24"/>
          <w:szCs w:val="24"/>
          <w:highlight w:val="none"/>
          <w:lang w:val="zh-CN"/>
        </w:rPr>
        <w:t>二、质疑项目基本情况：</w:t>
      </w:r>
    </w:p>
    <w:p>
      <w:pPr>
        <w:spacing w:line="360" w:lineRule="auto"/>
        <w:ind w:left="25" w:leftChars="12" w:firstLine="472" w:firstLineChars="197"/>
        <w:contextualSpacing/>
        <w:rPr>
          <w:rFonts w:hint="eastAsia" w:ascii="宋体" w:hAnsi="宋体" w:eastAsia="宋体" w:cs="Times New Roman"/>
          <w:color w:val="auto"/>
          <w:kern w:val="0"/>
          <w:sz w:val="24"/>
          <w:szCs w:val="24"/>
          <w:highlight w:val="none"/>
          <w:lang w:val="zh-CN"/>
        </w:rPr>
      </w:pPr>
      <w:r>
        <w:rPr>
          <w:rFonts w:hint="eastAsia" w:ascii="宋体" w:hAnsi="宋体" w:eastAsia="宋体" w:cs="Times New Roman"/>
          <w:bCs/>
          <w:color w:val="auto"/>
          <w:kern w:val="0"/>
          <w:sz w:val="24"/>
          <w:szCs w:val="24"/>
          <w:highlight w:val="none"/>
          <w:lang w:val="zh-CN"/>
        </w:rPr>
        <w:t>质疑</w:t>
      </w:r>
      <w:r>
        <w:rPr>
          <w:rFonts w:hint="eastAsia" w:ascii="宋体" w:hAnsi="宋体" w:eastAsia="宋体" w:cs="Times New Roman"/>
          <w:color w:val="auto"/>
          <w:kern w:val="0"/>
          <w:sz w:val="24"/>
          <w:szCs w:val="24"/>
          <w:highlight w:val="none"/>
          <w:lang w:val="zh-CN"/>
        </w:rPr>
        <w:t>项目的名称：</w:t>
      </w:r>
      <w:r>
        <w:rPr>
          <w:rFonts w:hint="eastAsia" w:ascii="宋体" w:hAnsi="宋体" w:eastAsia="宋体" w:cs="Times New Roman"/>
          <w:bCs/>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u w:val="single"/>
        </w:rPr>
        <w:t xml:space="preserve">                   </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left="25" w:leftChars="12" w:firstLine="472" w:firstLineChars="197"/>
        <w:contextualSpacing/>
        <w:rPr>
          <w:rFonts w:hint="eastAsia" w:ascii="宋体" w:hAnsi="宋体" w:eastAsia="宋体" w:cs="Times New Roman"/>
          <w:color w:val="auto"/>
          <w:kern w:val="0"/>
          <w:sz w:val="24"/>
          <w:szCs w:val="24"/>
          <w:highlight w:val="none"/>
          <w:lang w:val="zh-CN"/>
        </w:rPr>
      </w:pPr>
      <w:r>
        <w:rPr>
          <w:rFonts w:hint="eastAsia" w:ascii="宋体" w:hAnsi="宋体" w:eastAsia="宋体" w:cs="Times New Roman"/>
          <w:bCs/>
          <w:color w:val="auto"/>
          <w:kern w:val="0"/>
          <w:sz w:val="24"/>
          <w:szCs w:val="24"/>
          <w:highlight w:val="none"/>
          <w:lang w:val="zh-CN"/>
        </w:rPr>
        <w:t>质疑</w:t>
      </w:r>
      <w:r>
        <w:rPr>
          <w:rFonts w:hint="eastAsia" w:ascii="宋体" w:hAnsi="宋体" w:eastAsia="宋体" w:cs="Times New Roman"/>
          <w:color w:val="auto"/>
          <w:kern w:val="0"/>
          <w:sz w:val="24"/>
          <w:szCs w:val="24"/>
          <w:highlight w:val="none"/>
          <w:lang w:val="zh-CN"/>
        </w:rPr>
        <w:t>项目的编号：</w:t>
      </w:r>
      <w:r>
        <w:rPr>
          <w:rFonts w:hint="eastAsia" w:ascii="宋体" w:hAnsi="宋体" w:eastAsia="宋体" w:cs="Times New Roman"/>
          <w:bCs/>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u w:val="single"/>
        </w:rPr>
        <w:t xml:space="preserve">                    </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left="25" w:leftChars="12" w:firstLine="472" w:firstLineChars="197"/>
        <w:contextualSpacing/>
        <w:rPr>
          <w:rFonts w:hint="eastAsia"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采购人名称：</w:t>
      </w:r>
      <w:r>
        <w:rPr>
          <w:rFonts w:hint="eastAsia" w:ascii="宋体" w:hAnsi="宋体" w:eastAsia="宋体" w:cs="Times New Roman"/>
          <w:bCs/>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u w:val="single"/>
        </w:rPr>
        <w:t xml:space="preserve">         </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left="25" w:leftChars="12" w:firstLine="472" w:firstLineChars="197"/>
        <w:contextualSpacing/>
        <w:rPr>
          <w:rFonts w:hint="eastAsia"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质疑事项：</w:t>
      </w:r>
    </w:p>
    <w:p>
      <w:pPr>
        <w:spacing w:line="360" w:lineRule="auto"/>
        <w:ind w:left="25" w:leftChars="12" w:firstLine="352" w:firstLineChars="147"/>
        <w:contextualSpacing/>
        <w:rPr>
          <w:rFonts w:hint="eastAsia"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□采购文件   采购文件获取日期：</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left="25" w:leftChars="12" w:firstLine="352" w:firstLineChars="147"/>
        <w:contextualSpacing/>
        <w:rPr>
          <w:rFonts w:hint="eastAsia"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 xml:space="preserve">□采购过程   </w:t>
      </w:r>
    </w:p>
    <w:p>
      <w:pPr>
        <w:spacing w:line="360" w:lineRule="auto"/>
        <w:ind w:left="25" w:leftChars="12" w:firstLine="352" w:firstLineChars="147"/>
        <w:contextualSpacing/>
        <w:rPr>
          <w:rFonts w:hint="eastAsia" w:ascii="宋体" w:hAnsi="宋体" w:eastAsia="宋体" w:cs="Times New Roman"/>
          <w:bCs/>
          <w:color w:val="auto"/>
          <w:kern w:val="0"/>
          <w:sz w:val="24"/>
          <w:szCs w:val="24"/>
          <w:highlight w:val="none"/>
          <w:u w:val="single"/>
          <w:lang w:val="zh-CN"/>
        </w:rPr>
      </w:pPr>
      <w:r>
        <w:rPr>
          <w:rFonts w:hint="eastAsia" w:ascii="宋体" w:hAnsi="宋体" w:eastAsia="宋体" w:cs="Times New Roman"/>
          <w:color w:val="auto"/>
          <w:kern w:val="0"/>
          <w:sz w:val="24"/>
          <w:szCs w:val="24"/>
          <w:highlight w:val="none"/>
          <w:lang w:val="zh-CN"/>
        </w:rPr>
        <w:t xml:space="preserve">□成交结果   </w:t>
      </w:r>
    </w:p>
    <w:p>
      <w:pPr>
        <w:spacing w:line="360" w:lineRule="auto"/>
        <w:ind w:left="25" w:leftChars="12" w:firstLine="472" w:firstLineChars="196"/>
        <w:contextualSpacing/>
        <w:rPr>
          <w:rFonts w:hint="eastAsia"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三、质疑事项具体内容</w:t>
      </w:r>
    </w:p>
    <w:p>
      <w:pPr>
        <w:spacing w:line="360" w:lineRule="auto"/>
        <w:ind w:left="25" w:leftChars="12" w:firstLine="472" w:firstLineChars="197"/>
        <w:contextualSpacing/>
        <w:rPr>
          <w:rFonts w:hint="eastAsia"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质疑事项1：</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left="25" w:leftChars="12" w:firstLine="472" w:firstLineChars="197"/>
        <w:contextualSpacing/>
        <w:rPr>
          <w:rFonts w:hint="eastAsia"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事实依据：</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left="25" w:leftChars="12" w:firstLine="472" w:firstLineChars="197"/>
        <w:contextualSpacing/>
        <w:rPr>
          <w:rFonts w:hint="eastAsia"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法律依据：</w:t>
      </w:r>
      <w:r>
        <w:rPr>
          <w:rFonts w:hint="eastAsia" w:ascii="宋体" w:hAnsi="宋体" w:eastAsia="宋体" w:cs="Times New Roman"/>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left="25" w:leftChars="12" w:firstLine="472" w:firstLineChars="197"/>
        <w:contextualSpacing/>
        <w:rPr>
          <w:rFonts w:hint="eastAsia"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质疑事项2</w:t>
      </w:r>
    </w:p>
    <w:p>
      <w:pPr>
        <w:spacing w:line="360" w:lineRule="auto"/>
        <w:ind w:left="25" w:leftChars="12" w:firstLine="472" w:firstLineChars="197"/>
        <w:contextualSpacing/>
        <w:rPr>
          <w:rFonts w:hint="eastAsia" w:ascii="宋体" w:hAnsi="宋体" w:eastAsia="宋体" w:cs="Times New Roman"/>
          <w:color w:val="auto"/>
          <w:kern w:val="0"/>
          <w:sz w:val="24"/>
          <w:szCs w:val="24"/>
          <w:highlight w:val="none"/>
          <w:lang w:val="zh-CN"/>
        </w:rPr>
      </w:pPr>
      <w:r>
        <w:rPr>
          <w:rFonts w:ascii="宋体" w:hAnsi="宋体" w:eastAsia="宋体" w:cs="Times New Roman"/>
          <w:color w:val="auto"/>
          <w:kern w:val="0"/>
          <w:sz w:val="24"/>
          <w:szCs w:val="24"/>
          <w:highlight w:val="none"/>
          <w:lang w:val="zh-CN"/>
        </w:rPr>
        <w:t>……</w:t>
      </w:r>
    </w:p>
    <w:p>
      <w:pPr>
        <w:spacing w:line="360" w:lineRule="auto"/>
        <w:ind w:left="25" w:leftChars="12" w:firstLine="472" w:firstLineChars="197"/>
        <w:contextualSpacing/>
        <w:rPr>
          <w:rFonts w:hint="eastAsia"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四、与质疑事项相关的质疑请求：</w:t>
      </w:r>
    </w:p>
    <w:p>
      <w:pPr>
        <w:spacing w:line="360" w:lineRule="auto"/>
        <w:ind w:left="25" w:leftChars="12" w:firstLine="472" w:firstLineChars="197"/>
        <w:contextualSpacing/>
        <w:rPr>
          <w:rFonts w:hint="eastAsia"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请求：</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left="25" w:leftChars="12" w:firstLine="352" w:firstLineChars="147"/>
        <w:contextualSpacing/>
        <w:rPr>
          <w:rFonts w:hint="eastAsia" w:ascii="宋体" w:hAnsi="宋体" w:eastAsia="宋体" w:cs="Times New Roman"/>
          <w:color w:val="auto"/>
          <w:kern w:val="0"/>
          <w:sz w:val="24"/>
          <w:szCs w:val="24"/>
          <w:highlight w:val="none"/>
          <w:lang w:val="zh-CN"/>
        </w:rPr>
      </w:pPr>
    </w:p>
    <w:p>
      <w:pPr>
        <w:spacing w:line="360" w:lineRule="auto"/>
        <w:ind w:left="25" w:leftChars="12" w:firstLine="472" w:firstLineChars="197"/>
        <w:contextualSpacing/>
        <w:rPr>
          <w:rFonts w:hint="eastAsia"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签字（签章）：                                       公章：</w:t>
      </w:r>
    </w:p>
    <w:p>
      <w:pPr>
        <w:spacing w:line="360" w:lineRule="auto"/>
        <w:ind w:left="25" w:leftChars="12" w:firstLine="352" w:firstLineChars="147"/>
        <w:contextualSpacing/>
        <w:rPr>
          <w:rFonts w:hint="eastAsia" w:ascii="宋体" w:hAnsi="宋体" w:eastAsia="宋体" w:cs="Times New Roman"/>
          <w:color w:val="auto"/>
          <w:kern w:val="0"/>
          <w:sz w:val="24"/>
          <w:szCs w:val="24"/>
          <w:highlight w:val="none"/>
          <w:lang w:val="zh-CN"/>
        </w:rPr>
      </w:pPr>
    </w:p>
    <w:p>
      <w:pPr>
        <w:spacing w:line="360" w:lineRule="auto"/>
        <w:ind w:left="25" w:leftChars="12" w:firstLine="472" w:firstLineChars="197"/>
        <w:contextualSpacing/>
        <w:rPr>
          <w:rFonts w:hint="eastAsia"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日期：</w:t>
      </w:r>
    </w:p>
    <w:p>
      <w:pPr>
        <w:spacing w:line="360" w:lineRule="auto"/>
        <w:contextualSpacing/>
        <w:rPr>
          <w:rFonts w:hint="eastAsia" w:ascii="宋体" w:hAnsi="宋体" w:eastAsia="宋体" w:cs="Times New Roman"/>
          <w:b/>
          <w:color w:val="auto"/>
          <w:kern w:val="0"/>
          <w:sz w:val="24"/>
          <w:szCs w:val="24"/>
          <w:highlight w:val="none"/>
          <w:lang w:val="zh-CN"/>
        </w:rPr>
      </w:pPr>
    </w:p>
    <w:p>
      <w:pPr>
        <w:spacing w:line="360" w:lineRule="auto"/>
        <w:contextualSpacing/>
        <w:rPr>
          <w:rFonts w:hint="eastAsia" w:ascii="宋体" w:hAnsi="宋体" w:eastAsia="宋体" w:cs="Times New Roman"/>
          <w:b/>
          <w:color w:val="auto"/>
          <w:kern w:val="0"/>
          <w:sz w:val="24"/>
          <w:szCs w:val="24"/>
          <w:highlight w:val="none"/>
          <w:lang w:val="zh-CN"/>
        </w:rPr>
      </w:pPr>
    </w:p>
    <w:p>
      <w:pPr>
        <w:spacing w:line="360" w:lineRule="auto"/>
        <w:contextualSpacing/>
        <w:rPr>
          <w:rFonts w:hint="eastAsia"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说明：</w:t>
      </w:r>
    </w:p>
    <w:p>
      <w:pPr>
        <w:spacing w:line="360" w:lineRule="auto"/>
        <w:ind w:left="25" w:leftChars="12" w:firstLine="354" w:firstLineChars="147"/>
        <w:contextualSpacing/>
        <w:rPr>
          <w:rFonts w:hint="eastAsia" w:ascii="宋体" w:hAnsi="宋体" w:eastAsia="宋体" w:cs="Times New Roman"/>
          <w:b/>
          <w:bCs/>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1.供应商提出质疑时，应提交质疑函和必要的证明材料</w:t>
      </w:r>
      <w:r>
        <w:rPr>
          <w:rFonts w:hint="eastAsia" w:ascii="宋体" w:hAnsi="宋体" w:eastAsia="宋体" w:cs="Times New Roman"/>
          <w:b/>
          <w:bCs/>
          <w:color w:val="auto"/>
          <w:kern w:val="0"/>
          <w:sz w:val="24"/>
          <w:szCs w:val="24"/>
          <w:highlight w:val="none"/>
          <w:lang w:val="zh-CN"/>
        </w:rPr>
        <w:t>。</w:t>
      </w:r>
    </w:p>
    <w:p>
      <w:pPr>
        <w:spacing w:line="360" w:lineRule="auto"/>
        <w:ind w:left="25" w:leftChars="12" w:firstLine="354" w:firstLineChars="147"/>
        <w:contextualSpacing/>
        <w:rPr>
          <w:rFonts w:hint="eastAsia"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2.质疑供应商若委托代理人进行质疑的，质疑函应按要求列明“授权代表”的有关内容，并在附件中提交由质疑供应商签署的授权委托书、</w:t>
      </w:r>
      <w:r>
        <w:rPr>
          <w:rFonts w:hint="eastAsia" w:ascii="宋体" w:hAnsi="宋体" w:eastAsia="宋体" w:cs="Times New Roman"/>
          <w:b/>
          <w:color w:val="auto"/>
          <w:kern w:val="0"/>
          <w:sz w:val="24"/>
          <w:szCs w:val="24"/>
          <w:highlight w:val="none"/>
          <w:lang w:val="en-US" w:eastAsia="zh-CN"/>
        </w:rPr>
        <w:t>授权代表身份证复印件、法人身份证复印件</w:t>
      </w:r>
      <w:r>
        <w:rPr>
          <w:rFonts w:hint="eastAsia" w:ascii="宋体" w:hAnsi="宋体" w:eastAsia="宋体" w:cs="Times New Roman"/>
          <w:b/>
          <w:color w:val="auto"/>
          <w:kern w:val="0"/>
          <w:sz w:val="24"/>
          <w:szCs w:val="24"/>
          <w:highlight w:val="none"/>
          <w:lang w:val="zh-CN"/>
        </w:rPr>
        <w:t>。授权委托书应载明代理人的姓名或者名称、代理事项、具体权限、期限和相关事项。</w:t>
      </w:r>
    </w:p>
    <w:p>
      <w:pPr>
        <w:spacing w:line="360" w:lineRule="auto"/>
        <w:ind w:left="25" w:leftChars="12" w:firstLine="354" w:firstLineChars="147"/>
        <w:contextualSpacing/>
        <w:rPr>
          <w:rFonts w:hint="eastAsia"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3.质疑函的质疑事项应具体、明确，并有必要的事实依据和法律依据。</w:t>
      </w:r>
    </w:p>
    <w:p>
      <w:pPr>
        <w:spacing w:line="360" w:lineRule="auto"/>
        <w:ind w:left="25" w:leftChars="12" w:firstLine="354" w:firstLineChars="147"/>
        <w:contextualSpacing/>
        <w:rPr>
          <w:rFonts w:hint="eastAsia"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4.质疑函的质疑请求应与质疑事项相关。</w:t>
      </w:r>
    </w:p>
    <w:p>
      <w:pPr>
        <w:spacing w:line="360" w:lineRule="auto"/>
        <w:ind w:left="25" w:leftChars="12" w:firstLine="354" w:firstLineChars="147"/>
        <w:contextualSpacing/>
        <w:rPr>
          <w:rFonts w:hint="eastAsia" w:ascii="宋体" w:hAnsi="宋体" w:eastAsia="宋体" w:cs="Times New Roman"/>
          <w:b/>
          <w:color w:val="auto"/>
          <w:kern w:val="0"/>
          <w:sz w:val="20"/>
          <w:szCs w:val="21"/>
          <w:highlight w:val="none"/>
          <w:lang w:val="zh-CN"/>
        </w:rPr>
      </w:pPr>
      <w:r>
        <w:rPr>
          <w:rFonts w:hint="eastAsia" w:ascii="宋体" w:hAnsi="宋体" w:eastAsia="宋体" w:cs="Times New Roman"/>
          <w:b/>
          <w:color w:val="auto"/>
          <w:kern w:val="0"/>
          <w:sz w:val="24"/>
          <w:szCs w:val="24"/>
          <w:highlight w:val="none"/>
          <w:lang w:val="zh-CN"/>
        </w:rPr>
        <w:t>5.质疑供应商为法人或者其他组织的，质疑函应由法定代表人、主要负责人，或者其授权代表签字或者盖章，并加盖公章。</w:t>
      </w:r>
    </w:p>
    <w:p>
      <w:pPr>
        <w:snapToGrid w:val="0"/>
        <w:rPr>
          <w:rFonts w:ascii="宋体" w:hAnsi="Courier New" w:eastAsia="宋体" w:cs="Times New Roman"/>
          <w:b/>
          <w:color w:val="auto"/>
          <w:kern w:val="0"/>
          <w:sz w:val="24"/>
          <w:szCs w:val="24"/>
          <w:highlight w:val="none"/>
          <w:lang w:val="zh-CN"/>
        </w:rPr>
      </w:pPr>
    </w:p>
    <w:p>
      <w:pPr>
        <w:spacing w:line="460" w:lineRule="exact"/>
        <w:jc w:val="center"/>
        <w:rPr>
          <w:rFonts w:ascii="Times New Roman" w:hAnsi="Times New Roman" w:eastAsia="隶书" w:cs="Times New Roman"/>
          <w:color w:val="auto"/>
          <w:sz w:val="44"/>
          <w:szCs w:val="24"/>
          <w:highlight w:val="none"/>
        </w:rPr>
      </w:pPr>
      <w:r>
        <w:rPr>
          <w:rFonts w:ascii="Times New Roman" w:hAnsi="Times New Roman" w:eastAsia="隶书" w:cs="Times New Roman"/>
          <w:color w:val="auto"/>
          <w:sz w:val="44"/>
          <w:szCs w:val="24"/>
          <w:highlight w:val="none"/>
        </w:rPr>
        <w:br w:type="page"/>
      </w:r>
    </w:p>
    <w:p>
      <w:pPr>
        <w:spacing w:line="360" w:lineRule="auto"/>
        <w:jc w:val="center"/>
        <w:rPr>
          <w:rFonts w:hint="eastAsia" w:ascii="宋体" w:hAnsi="宋体" w:eastAsia="宋体" w:cs="Times New Roman"/>
          <w:b/>
          <w:bCs/>
          <w:color w:val="auto"/>
          <w:sz w:val="32"/>
          <w:szCs w:val="32"/>
          <w:highlight w:val="none"/>
        </w:rPr>
      </w:pPr>
      <w:r>
        <w:rPr>
          <w:rFonts w:hint="eastAsia" w:ascii="宋体" w:hAnsi="宋体" w:eastAsia="宋体" w:cs="Times New Roman"/>
          <w:b/>
          <w:bCs/>
          <w:color w:val="auto"/>
          <w:sz w:val="32"/>
          <w:szCs w:val="32"/>
          <w:highlight w:val="none"/>
        </w:rPr>
        <w:t>投诉书（格式）</w:t>
      </w:r>
    </w:p>
    <w:p>
      <w:pPr>
        <w:snapToGrid w:val="0"/>
        <w:spacing w:line="360" w:lineRule="auto"/>
        <w:ind w:firstLine="482" w:firstLineChars="200"/>
        <w:rPr>
          <w:rFonts w:hint="eastAsia" w:ascii="宋体" w:hAnsi="宋体" w:eastAsia="宋体" w:cs="Times New Roman"/>
          <w:b/>
          <w:bCs/>
          <w:color w:val="auto"/>
          <w:kern w:val="0"/>
          <w:sz w:val="24"/>
          <w:szCs w:val="24"/>
          <w:highlight w:val="none"/>
          <w:lang w:val="zh-CN"/>
        </w:rPr>
      </w:pPr>
      <w:r>
        <w:rPr>
          <w:rFonts w:hint="eastAsia" w:ascii="宋体" w:hAnsi="宋体" w:eastAsia="宋体" w:cs="Times New Roman"/>
          <w:b/>
          <w:bCs/>
          <w:color w:val="auto"/>
          <w:kern w:val="0"/>
          <w:sz w:val="24"/>
          <w:szCs w:val="24"/>
          <w:highlight w:val="none"/>
          <w:lang w:val="zh-CN"/>
        </w:rPr>
        <w:t>一、投诉相关主体基本情况：</w:t>
      </w:r>
    </w:p>
    <w:p>
      <w:pPr>
        <w:snapToGrid w:val="0"/>
        <w:spacing w:line="360" w:lineRule="auto"/>
        <w:ind w:firstLine="480" w:firstLineChars="200"/>
        <w:rPr>
          <w:rFonts w:hint="eastAsia" w:ascii="宋体" w:hAnsi="宋体" w:eastAsia="宋体" w:cs="Times New Roman"/>
          <w:bCs/>
          <w:color w:val="auto"/>
          <w:kern w:val="0"/>
          <w:sz w:val="24"/>
          <w:szCs w:val="24"/>
          <w:highlight w:val="none"/>
          <w:u w:val="single"/>
          <w:lang w:val="zh-CN"/>
        </w:rPr>
      </w:pPr>
      <w:r>
        <w:rPr>
          <w:rFonts w:hint="eastAsia" w:ascii="宋体" w:hAnsi="宋体" w:eastAsia="宋体" w:cs="Times New Roman"/>
          <w:bCs/>
          <w:color w:val="auto"/>
          <w:kern w:val="0"/>
          <w:sz w:val="24"/>
          <w:szCs w:val="24"/>
          <w:highlight w:val="none"/>
          <w:lang w:val="zh-CN"/>
        </w:rPr>
        <w:t>供应商：</w:t>
      </w:r>
      <w:r>
        <w:rPr>
          <w:rFonts w:hint="eastAsia" w:ascii="宋体" w:hAnsi="宋体" w:eastAsia="宋体" w:cs="Times New Roman"/>
          <w:bCs/>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lang w:val="zh-CN"/>
        </w:rPr>
        <w:t xml:space="preserve">                 </w:t>
      </w:r>
    </w:p>
    <w:p>
      <w:pPr>
        <w:snapToGrid w:val="0"/>
        <w:spacing w:line="360" w:lineRule="auto"/>
        <w:ind w:firstLine="480" w:firstLineChars="200"/>
        <w:rPr>
          <w:rFonts w:hint="eastAsia" w:ascii="宋体" w:hAnsi="宋体" w:eastAsia="宋体" w:cs="Times New Roman"/>
          <w:bCs/>
          <w:color w:val="auto"/>
          <w:kern w:val="0"/>
          <w:sz w:val="24"/>
          <w:szCs w:val="24"/>
          <w:highlight w:val="none"/>
          <w:lang w:val="zh-CN"/>
        </w:rPr>
      </w:pPr>
      <w:r>
        <w:rPr>
          <w:rFonts w:ascii="宋体" w:hAnsi="宋体" w:eastAsia="宋体" w:cs="Times New Roman"/>
          <w:bCs/>
          <w:color w:val="auto"/>
          <w:kern w:val="0"/>
          <w:sz w:val="24"/>
          <w:szCs w:val="24"/>
          <w:highlight w:val="none"/>
          <w:lang w:val="zh-CN"/>
        </w:rPr>
        <w:t>地址</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r>
        <w:rPr>
          <w:rFonts w:ascii="宋体" w:hAnsi="宋体" w:eastAsia="宋体" w:cs="Times New Roman"/>
          <w:bCs/>
          <w:color w:val="auto"/>
          <w:kern w:val="0"/>
          <w:sz w:val="24"/>
          <w:szCs w:val="24"/>
          <w:highlight w:val="none"/>
          <w:lang w:val="zh-CN"/>
        </w:rPr>
        <w:t>邮编</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lang w:val="zh-CN"/>
        </w:rPr>
        <w:t xml:space="preserve">                 </w:t>
      </w:r>
    </w:p>
    <w:p>
      <w:pPr>
        <w:snapToGrid w:val="0"/>
        <w:spacing w:line="360" w:lineRule="auto"/>
        <w:ind w:firstLine="480" w:firstLineChars="200"/>
        <w:rPr>
          <w:rFonts w:hint="eastAsia" w:ascii="宋体" w:hAnsi="宋体" w:eastAsia="宋体" w:cs="Times New Roman"/>
          <w:bCs/>
          <w:color w:val="auto"/>
          <w:kern w:val="0"/>
          <w:sz w:val="24"/>
          <w:szCs w:val="24"/>
          <w:highlight w:val="none"/>
          <w:u w:val="single"/>
          <w:lang w:val="zh-CN"/>
        </w:rPr>
      </w:pPr>
      <w:r>
        <w:rPr>
          <w:rFonts w:hint="eastAsia" w:ascii="宋体" w:hAnsi="宋体" w:eastAsia="宋体" w:cs="Times New Roman"/>
          <w:bCs/>
          <w:color w:val="auto"/>
          <w:kern w:val="0"/>
          <w:sz w:val="24"/>
          <w:szCs w:val="24"/>
          <w:highlight w:val="none"/>
          <w:lang w:val="zh-CN"/>
        </w:rPr>
        <w:t>法定代表人/主要负责人：</w:t>
      </w:r>
      <w:r>
        <w:rPr>
          <w:rFonts w:hint="eastAsia" w:ascii="宋体" w:hAnsi="宋体" w:eastAsia="宋体" w:cs="Times New Roman"/>
          <w:bCs/>
          <w:color w:val="auto"/>
          <w:kern w:val="0"/>
          <w:sz w:val="24"/>
          <w:szCs w:val="24"/>
          <w:highlight w:val="none"/>
          <w:u w:val="single"/>
          <w:lang w:val="zh-CN"/>
        </w:rPr>
        <w:t xml:space="preserve">                                                         </w:t>
      </w:r>
    </w:p>
    <w:p>
      <w:pPr>
        <w:snapToGrid w:val="0"/>
        <w:spacing w:line="360" w:lineRule="auto"/>
        <w:ind w:firstLine="480" w:firstLineChars="200"/>
        <w:rPr>
          <w:rFonts w:hint="eastAsia" w:ascii="宋体" w:hAnsi="宋体" w:eastAsia="宋体" w:cs="Times New Roman"/>
          <w:bCs/>
          <w:color w:val="auto"/>
          <w:kern w:val="0"/>
          <w:sz w:val="24"/>
          <w:szCs w:val="24"/>
          <w:highlight w:val="none"/>
          <w:lang w:val="zh-CN"/>
        </w:rPr>
      </w:pPr>
      <w:r>
        <w:rPr>
          <w:rFonts w:ascii="宋体" w:hAnsi="宋体" w:eastAsia="宋体" w:cs="Times New Roman"/>
          <w:bCs/>
          <w:color w:val="auto"/>
          <w:kern w:val="0"/>
          <w:sz w:val="24"/>
          <w:szCs w:val="24"/>
          <w:highlight w:val="none"/>
          <w:lang w:val="zh-CN"/>
        </w:rPr>
        <w:t>联系电话</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p>
    <w:p>
      <w:pPr>
        <w:snapToGrid w:val="0"/>
        <w:spacing w:line="360" w:lineRule="auto"/>
        <w:ind w:firstLine="480" w:firstLineChars="200"/>
        <w:rPr>
          <w:rFonts w:hint="eastAsia" w:ascii="宋体" w:hAnsi="宋体" w:eastAsia="宋体" w:cs="Times New Roman"/>
          <w:bCs/>
          <w:color w:val="auto"/>
          <w:kern w:val="0"/>
          <w:sz w:val="24"/>
          <w:szCs w:val="24"/>
          <w:highlight w:val="none"/>
          <w:u w:val="single"/>
          <w:lang w:val="zh-CN"/>
        </w:rPr>
      </w:pPr>
      <w:r>
        <w:rPr>
          <w:rFonts w:hint="eastAsia" w:ascii="宋体" w:hAnsi="宋体" w:eastAsia="宋体" w:cs="Times New Roman"/>
          <w:bCs/>
          <w:color w:val="auto"/>
          <w:kern w:val="0"/>
          <w:sz w:val="24"/>
          <w:szCs w:val="24"/>
          <w:highlight w:val="none"/>
          <w:lang w:val="zh-CN"/>
        </w:rPr>
        <w:t>授权代表：</w:t>
      </w:r>
      <w:r>
        <w:rPr>
          <w:rFonts w:hint="eastAsia" w:ascii="宋体" w:hAnsi="宋体" w:eastAsia="宋体" w:cs="Times New Roman"/>
          <w:bCs/>
          <w:color w:val="auto"/>
          <w:kern w:val="0"/>
          <w:sz w:val="24"/>
          <w:szCs w:val="24"/>
          <w:highlight w:val="none"/>
          <w:u w:val="single"/>
          <w:lang w:val="zh-CN"/>
        </w:rPr>
        <w:t xml:space="preserve">                               </w:t>
      </w:r>
      <w:r>
        <w:rPr>
          <w:rFonts w:ascii="宋体" w:hAnsi="宋体" w:eastAsia="宋体" w:cs="Times New Roman"/>
          <w:bCs/>
          <w:color w:val="auto"/>
          <w:kern w:val="0"/>
          <w:sz w:val="24"/>
          <w:szCs w:val="24"/>
          <w:highlight w:val="none"/>
          <w:lang w:val="zh-CN"/>
        </w:rPr>
        <w:t>联系</w:t>
      </w:r>
      <w:r>
        <w:rPr>
          <w:rFonts w:hint="eastAsia" w:ascii="宋体" w:hAnsi="宋体" w:eastAsia="宋体" w:cs="Times New Roman"/>
          <w:bCs/>
          <w:color w:val="auto"/>
          <w:kern w:val="0"/>
          <w:sz w:val="24"/>
          <w:szCs w:val="24"/>
          <w:highlight w:val="none"/>
          <w:lang w:val="zh-CN"/>
        </w:rPr>
        <w:t>电话：</w:t>
      </w:r>
      <w:r>
        <w:rPr>
          <w:rFonts w:hint="eastAsia" w:ascii="宋体" w:hAnsi="宋体" w:eastAsia="宋体" w:cs="Times New Roman"/>
          <w:bCs/>
          <w:color w:val="auto"/>
          <w:kern w:val="0"/>
          <w:sz w:val="24"/>
          <w:szCs w:val="24"/>
          <w:highlight w:val="none"/>
          <w:u w:val="single"/>
          <w:lang w:val="zh-CN"/>
        </w:rPr>
        <w:t xml:space="preserve">                   </w:t>
      </w:r>
    </w:p>
    <w:p>
      <w:pPr>
        <w:snapToGrid w:val="0"/>
        <w:spacing w:line="360" w:lineRule="auto"/>
        <w:ind w:firstLine="480" w:firstLineChars="200"/>
        <w:rPr>
          <w:rFonts w:hint="eastAsia" w:ascii="宋体" w:hAnsi="宋体" w:eastAsia="宋体" w:cs="Times New Roman"/>
          <w:bCs/>
          <w:color w:val="auto"/>
          <w:kern w:val="0"/>
          <w:sz w:val="24"/>
          <w:szCs w:val="24"/>
          <w:highlight w:val="none"/>
          <w:u w:val="single"/>
          <w:lang w:val="zh-CN"/>
        </w:rPr>
      </w:pPr>
      <w:r>
        <w:rPr>
          <w:rFonts w:ascii="宋体" w:hAnsi="宋体" w:eastAsia="宋体" w:cs="Times New Roman"/>
          <w:bCs/>
          <w:color w:val="auto"/>
          <w:kern w:val="0"/>
          <w:sz w:val="24"/>
          <w:szCs w:val="24"/>
          <w:highlight w:val="none"/>
          <w:lang w:val="zh-CN"/>
        </w:rPr>
        <w:t>地址</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p>
    <w:p>
      <w:pPr>
        <w:snapToGrid w:val="0"/>
        <w:spacing w:line="360" w:lineRule="auto"/>
        <w:ind w:firstLine="480" w:firstLineChars="200"/>
        <w:rPr>
          <w:rFonts w:hint="eastAsia" w:ascii="宋体" w:hAnsi="宋体" w:eastAsia="宋体" w:cs="Times New Roman"/>
          <w:bCs/>
          <w:color w:val="auto"/>
          <w:kern w:val="0"/>
          <w:sz w:val="24"/>
          <w:szCs w:val="24"/>
          <w:highlight w:val="none"/>
          <w:lang w:val="zh-CN"/>
        </w:rPr>
      </w:pPr>
      <w:r>
        <w:rPr>
          <w:rFonts w:ascii="宋体" w:hAnsi="宋体" w:eastAsia="宋体" w:cs="Times New Roman"/>
          <w:bCs/>
          <w:color w:val="auto"/>
          <w:kern w:val="0"/>
          <w:sz w:val="24"/>
          <w:szCs w:val="24"/>
          <w:highlight w:val="none"/>
          <w:lang w:val="zh-CN"/>
        </w:rPr>
        <w:t>邮编</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u w:val="single"/>
          <w:lang w:val="en-US" w:eastAsia="zh-CN"/>
        </w:rPr>
        <w:t xml:space="preserve">           </w:t>
      </w:r>
      <w:r>
        <w:rPr>
          <w:rFonts w:hint="eastAsia" w:ascii="宋体" w:hAnsi="宋体" w:eastAsia="宋体" w:cs="Times New Roman"/>
          <w:bCs/>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lang w:val="zh-CN"/>
        </w:rPr>
        <w:t xml:space="preserve">   </w:t>
      </w:r>
    </w:p>
    <w:p>
      <w:pPr>
        <w:snapToGrid w:val="0"/>
        <w:spacing w:line="360" w:lineRule="auto"/>
        <w:ind w:firstLine="480" w:firstLineChars="200"/>
        <w:rPr>
          <w:rFonts w:hint="eastAsia" w:ascii="宋体" w:hAnsi="宋体" w:eastAsia="宋体" w:cs="Times New Roman"/>
          <w:bCs/>
          <w:color w:val="auto"/>
          <w:kern w:val="0"/>
          <w:sz w:val="24"/>
          <w:szCs w:val="24"/>
          <w:highlight w:val="none"/>
          <w:lang w:val="zh-CN"/>
        </w:rPr>
      </w:pPr>
      <w:r>
        <w:rPr>
          <w:rFonts w:hint="eastAsia" w:ascii="宋体" w:hAnsi="宋体" w:eastAsia="宋体" w:cs="Times New Roman"/>
          <w:bCs/>
          <w:color w:val="auto"/>
          <w:kern w:val="0"/>
          <w:sz w:val="24"/>
          <w:szCs w:val="24"/>
          <w:highlight w:val="none"/>
          <w:lang w:val="zh-CN"/>
        </w:rPr>
        <w:t>被投诉人1：</w:t>
      </w:r>
    </w:p>
    <w:p>
      <w:pPr>
        <w:snapToGrid w:val="0"/>
        <w:spacing w:line="360" w:lineRule="auto"/>
        <w:ind w:firstLine="480" w:firstLineChars="200"/>
        <w:rPr>
          <w:rFonts w:hint="eastAsia" w:ascii="宋体" w:hAnsi="宋体" w:eastAsia="宋体" w:cs="Times New Roman"/>
          <w:bCs/>
          <w:color w:val="auto"/>
          <w:kern w:val="0"/>
          <w:sz w:val="24"/>
          <w:szCs w:val="24"/>
          <w:highlight w:val="none"/>
          <w:u w:val="single"/>
          <w:lang w:val="zh-CN"/>
        </w:rPr>
      </w:pPr>
      <w:r>
        <w:rPr>
          <w:rFonts w:hint="eastAsia" w:ascii="宋体" w:hAnsi="宋体" w:eastAsia="宋体" w:cs="Times New Roman"/>
          <w:bCs/>
          <w:color w:val="auto"/>
          <w:kern w:val="0"/>
          <w:sz w:val="24"/>
          <w:szCs w:val="24"/>
          <w:highlight w:val="none"/>
          <w:lang w:val="zh-CN"/>
        </w:rPr>
        <w:t>地址：</w:t>
      </w:r>
      <w:r>
        <w:rPr>
          <w:rFonts w:hint="eastAsia" w:ascii="宋体" w:hAnsi="宋体" w:eastAsia="宋体" w:cs="Times New Roman"/>
          <w:bCs/>
          <w:color w:val="auto"/>
          <w:kern w:val="0"/>
          <w:sz w:val="24"/>
          <w:szCs w:val="24"/>
          <w:highlight w:val="none"/>
          <w:u w:val="single"/>
          <w:lang w:val="zh-CN"/>
        </w:rPr>
        <w:t xml:space="preserve">                                                            </w:t>
      </w:r>
    </w:p>
    <w:p>
      <w:pPr>
        <w:snapToGrid w:val="0"/>
        <w:spacing w:line="360" w:lineRule="auto"/>
        <w:ind w:firstLine="480" w:firstLineChars="200"/>
        <w:rPr>
          <w:rFonts w:hint="eastAsia" w:ascii="宋体" w:hAnsi="宋体" w:eastAsia="宋体" w:cs="Times New Roman"/>
          <w:bCs/>
          <w:color w:val="auto"/>
          <w:kern w:val="0"/>
          <w:sz w:val="24"/>
          <w:szCs w:val="24"/>
          <w:highlight w:val="none"/>
          <w:lang w:val="zh-CN"/>
        </w:rPr>
      </w:pPr>
      <w:r>
        <w:rPr>
          <w:rFonts w:ascii="宋体" w:hAnsi="宋体" w:eastAsia="宋体" w:cs="Times New Roman"/>
          <w:bCs/>
          <w:color w:val="auto"/>
          <w:kern w:val="0"/>
          <w:sz w:val="24"/>
          <w:szCs w:val="24"/>
          <w:highlight w:val="none"/>
          <w:lang w:val="zh-CN"/>
        </w:rPr>
        <w:t>邮编</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u w:val="single"/>
          <w:lang w:val="en-US" w:eastAsia="zh-CN"/>
        </w:rPr>
        <w:t xml:space="preserve">            </w:t>
      </w:r>
      <w:r>
        <w:rPr>
          <w:rFonts w:hint="eastAsia" w:ascii="宋体" w:hAnsi="宋体" w:eastAsia="宋体" w:cs="Times New Roman"/>
          <w:bCs/>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lang w:val="zh-CN"/>
        </w:rPr>
        <w:t xml:space="preserve">  </w:t>
      </w:r>
    </w:p>
    <w:p>
      <w:pPr>
        <w:snapToGrid w:val="0"/>
        <w:spacing w:line="360" w:lineRule="auto"/>
        <w:ind w:firstLine="480" w:firstLineChars="200"/>
        <w:rPr>
          <w:rFonts w:hint="eastAsia" w:ascii="宋体" w:hAnsi="宋体" w:eastAsia="宋体" w:cs="Times New Roman"/>
          <w:bCs/>
          <w:color w:val="auto"/>
          <w:kern w:val="0"/>
          <w:sz w:val="24"/>
          <w:szCs w:val="24"/>
          <w:highlight w:val="none"/>
          <w:u w:val="single"/>
          <w:lang w:val="zh-CN"/>
        </w:rPr>
      </w:pPr>
      <w:r>
        <w:rPr>
          <w:rFonts w:hint="eastAsia" w:ascii="宋体" w:hAnsi="宋体" w:eastAsia="宋体" w:cs="Times New Roman"/>
          <w:bCs/>
          <w:color w:val="auto"/>
          <w:kern w:val="0"/>
          <w:sz w:val="24"/>
          <w:szCs w:val="24"/>
          <w:highlight w:val="none"/>
          <w:lang w:val="zh-CN"/>
        </w:rPr>
        <w:t>联系人：</w:t>
      </w:r>
      <w:r>
        <w:rPr>
          <w:rFonts w:hint="eastAsia" w:ascii="宋体" w:hAnsi="宋体" w:eastAsia="宋体" w:cs="Times New Roman"/>
          <w:bCs/>
          <w:color w:val="auto"/>
          <w:kern w:val="0"/>
          <w:sz w:val="24"/>
          <w:szCs w:val="24"/>
          <w:highlight w:val="none"/>
          <w:u w:val="single"/>
          <w:lang w:val="zh-CN"/>
        </w:rPr>
        <w:t xml:space="preserve">                             </w:t>
      </w:r>
      <w:r>
        <w:rPr>
          <w:rFonts w:ascii="宋体" w:hAnsi="宋体" w:eastAsia="宋体" w:cs="Times New Roman"/>
          <w:bCs/>
          <w:color w:val="auto"/>
          <w:kern w:val="0"/>
          <w:sz w:val="24"/>
          <w:szCs w:val="24"/>
          <w:highlight w:val="none"/>
          <w:lang w:val="zh-CN"/>
        </w:rPr>
        <w:t>联系</w:t>
      </w:r>
      <w:r>
        <w:rPr>
          <w:rFonts w:hint="eastAsia" w:ascii="宋体" w:hAnsi="宋体" w:eastAsia="宋体" w:cs="Times New Roman"/>
          <w:bCs/>
          <w:color w:val="auto"/>
          <w:kern w:val="0"/>
          <w:sz w:val="24"/>
          <w:szCs w:val="24"/>
          <w:highlight w:val="none"/>
          <w:lang w:val="zh-CN"/>
        </w:rPr>
        <w:t>电话：</w:t>
      </w:r>
      <w:r>
        <w:rPr>
          <w:rFonts w:hint="eastAsia" w:ascii="宋体" w:hAnsi="宋体" w:eastAsia="宋体" w:cs="Times New Roman"/>
          <w:bCs/>
          <w:color w:val="auto"/>
          <w:kern w:val="0"/>
          <w:sz w:val="24"/>
          <w:szCs w:val="24"/>
          <w:highlight w:val="none"/>
          <w:u w:val="single"/>
          <w:lang w:val="zh-CN"/>
        </w:rPr>
        <w:t xml:space="preserve">                </w:t>
      </w:r>
    </w:p>
    <w:p>
      <w:pPr>
        <w:snapToGrid w:val="0"/>
        <w:spacing w:line="360" w:lineRule="auto"/>
        <w:ind w:firstLine="480" w:firstLineChars="200"/>
        <w:rPr>
          <w:rFonts w:hint="eastAsia" w:ascii="宋体" w:hAnsi="宋体" w:eastAsia="宋体" w:cs="Times New Roman"/>
          <w:bCs/>
          <w:color w:val="auto"/>
          <w:kern w:val="0"/>
          <w:sz w:val="24"/>
          <w:szCs w:val="24"/>
          <w:highlight w:val="none"/>
          <w:lang w:val="zh-CN"/>
        </w:rPr>
      </w:pPr>
      <w:r>
        <w:rPr>
          <w:rFonts w:hint="eastAsia" w:ascii="宋体" w:hAnsi="宋体" w:eastAsia="宋体" w:cs="Times New Roman"/>
          <w:bCs/>
          <w:color w:val="auto"/>
          <w:kern w:val="0"/>
          <w:sz w:val="24"/>
          <w:szCs w:val="24"/>
          <w:highlight w:val="none"/>
          <w:lang w:val="zh-CN"/>
        </w:rPr>
        <w:t>被投诉人2：</w:t>
      </w:r>
    </w:p>
    <w:p>
      <w:pPr>
        <w:snapToGrid w:val="0"/>
        <w:spacing w:line="360" w:lineRule="auto"/>
        <w:ind w:firstLine="480" w:firstLineChars="200"/>
        <w:rPr>
          <w:rFonts w:hint="eastAsia" w:ascii="宋体" w:hAnsi="宋体" w:eastAsia="宋体" w:cs="Times New Roman"/>
          <w:bCs/>
          <w:color w:val="auto"/>
          <w:kern w:val="0"/>
          <w:sz w:val="24"/>
          <w:szCs w:val="24"/>
          <w:highlight w:val="none"/>
          <w:lang w:val="zh-CN"/>
        </w:rPr>
      </w:pPr>
      <w:r>
        <w:rPr>
          <w:rFonts w:ascii="宋体" w:hAnsi="宋体" w:eastAsia="宋体" w:cs="Times New Roman"/>
          <w:bCs/>
          <w:color w:val="auto"/>
          <w:kern w:val="0"/>
          <w:sz w:val="24"/>
          <w:szCs w:val="24"/>
          <w:highlight w:val="none"/>
          <w:lang w:val="zh-CN"/>
        </w:rPr>
        <w:t>……</w:t>
      </w:r>
    </w:p>
    <w:p>
      <w:pPr>
        <w:snapToGrid w:val="0"/>
        <w:spacing w:line="360" w:lineRule="auto"/>
        <w:ind w:firstLine="480" w:firstLineChars="200"/>
        <w:rPr>
          <w:rFonts w:hint="eastAsia" w:ascii="宋体" w:hAnsi="宋体" w:eastAsia="宋体" w:cs="Times New Roman"/>
          <w:bCs/>
          <w:color w:val="auto"/>
          <w:kern w:val="0"/>
          <w:sz w:val="24"/>
          <w:szCs w:val="24"/>
          <w:highlight w:val="none"/>
          <w:u w:val="single"/>
          <w:lang w:val="zh-CN"/>
        </w:rPr>
      </w:pPr>
      <w:r>
        <w:rPr>
          <w:rFonts w:hint="eastAsia" w:ascii="宋体" w:hAnsi="宋体" w:eastAsia="宋体" w:cs="Times New Roman"/>
          <w:bCs/>
          <w:color w:val="auto"/>
          <w:kern w:val="0"/>
          <w:sz w:val="24"/>
          <w:szCs w:val="24"/>
          <w:highlight w:val="none"/>
          <w:lang w:val="zh-CN"/>
        </w:rPr>
        <w:t>相关供应商：</w:t>
      </w:r>
      <w:r>
        <w:rPr>
          <w:rFonts w:hint="eastAsia" w:ascii="宋体" w:hAnsi="宋体" w:eastAsia="宋体" w:cs="Times New Roman"/>
          <w:bCs/>
          <w:color w:val="auto"/>
          <w:kern w:val="0"/>
          <w:sz w:val="24"/>
          <w:szCs w:val="24"/>
          <w:highlight w:val="none"/>
          <w:u w:val="single"/>
          <w:lang w:val="zh-CN"/>
        </w:rPr>
        <w:t xml:space="preserve">                                                                       </w:t>
      </w:r>
    </w:p>
    <w:p>
      <w:pPr>
        <w:snapToGrid w:val="0"/>
        <w:spacing w:line="360" w:lineRule="auto"/>
        <w:ind w:firstLine="480" w:firstLineChars="200"/>
        <w:rPr>
          <w:rFonts w:hint="eastAsia" w:ascii="宋体" w:hAnsi="宋体" w:eastAsia="宋体" w:cs="Times New Roman"/>
          <w:bCs/>
          <w:color w:val="auto"/>
          <w:kern w:val="0"/>
          <w:sz w:val="24"/>
          <w:szCs w:val="24"/>
          <w:highlight w:val="none"/>
          <w:u w:val="single"/>
          <w:lang w:val="zh-CN"/>
        </w:rPr>
      </w:pPr>
      <w:r>
        <w:rPr>
          <w:rFonts w:ascii="宋体" w:hAnsi="宋体" w:eastAsia="宋体" w:cs="Times New Roman"/>
          <w:bCs/>
          <w:color w:val="auto"/>
          <w:kern w:val="0"/>
          <w:sz w:val="24"/>
          <w:szCs w:val="24"/>
          <w:highlight w:val="none"/>
          <w:lang w:val="zh-CN"/>
        </w:rPr>
        <w:t>地址</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r>
        <w:rPr>
          <w:rFonts w:ascii="宋体" w:hAnsi="宋体" w:eastAsia="宋体" w:cs="Times New Roman"/>
          <w:bCs/>
          <w:color w:val="auto"/>
          <w:kern w:val="0"/>
          <w:sz w:val="24"/>
          <w:szCs w:val="24"/>
          <w:highlight w:val="none"/>
          <w:lang w:val="zh-CN"/>
        </w:rPr>
        <w:t>邮编</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p>
    <w:p>
      <w:pPr>
        <w:snapToGrid w:val="0"/>
        <w:spacing w:line="360" w:lineRule="auto"/>
        <w:ind w:firstLine="480" w:firstLineChars="200"/>
        <w:rPr>
          <w:rFonts w:hint="eastAsia" w:ascii="宋体" w:hAnsi="宋体" w:eastAsia="宋体" w:cs="Times New Roman"/>
          <w:bCs/>
          <w:color w:val="auto"/>
          <w:kern w:val="0"/>
          <w:sz w:val="24"/>
          <w:szCs w:val="24"/>
          <w:highlight w:val="none"/>
          <w:lang w:val="zh-CN"/>
        </w:rPr>
      </w:pPr>
      <w:r>
        <w:rPr>
          <w:rFonts w:hint="eastAsia" w:ascii="宋体" w:hAnsi="宋体" w:eastAsia="宋体" w:cs="Times New Roman"/>
          <w:bCs/>
          <w:color w:val="auto"/>
          <w:kern w:val="0"/>
          <w:sz w:val="24"/>
          <w:szCs w:val="24"/>
          <w:highlight w:val="none"/>
          <w:lang w:val="zh-CN"/>
        </w:rPr>
        <w:t>联系人：</w:t>
      </w:r>
      <w:r>
        <w:rPr>
          <w:rFonts w:hint="eastAsia" w:ascii="宋体" w:hAnsi="宋体" w:eastAsia="宋体" w:cs="Times New Roman"/>
          <w:bCs/>
          <w:color w:val="auto"/>
          <w:kern w:val="0"/>
          <w:sz w:val="24"/>
          <w:szCs w:val="24"/>
          <w:highlight w:val="none"/>
          <w:u w:val="single"/>
          <w:lang w:val="zh-CN"/>
        </w:rPr>
        <w:t xml:space="preserve">                                            </w:t>
      </w:r>
      <w:r>
        <w:rPr>
          <w:rFonts w:ascii="宋体" w:hAnsi="宋体" w:eastAsia="宋体" w:cs="Times New Roman"/>
          <w:bCs/>
          <w:color w:val="auto"/>
          <w:kern w:val="0"/>
          <w:sz w:val="24"/>
          <w:szCs w:val="24"/>
          <w:highlight w:val="none"/>
          <w:lang w:val="zh-CN"/>
        </w:rPr>
        <w:t>联系</w:t>
      </w:r>
      <w:r>
        <w:rPr>
          <w:rFonts w:hint="eastAsia" w:ascii="宋体" w:hAnsi="宋体" w:eastAsia="宋体" w:cs="Times New Roman"/>
          <w:bCs/>
          <w:color w:val="auto"/>
          <w:kern w:val="0"/>
          <w:sz w:val="24"/>
          <w:szCs w:val="24"/>
          <w:highlight w:val="none"/>
          <w:lang w:val="zh-CN"/>
        </w:rPr>
        <w:t>电话：</w:t>
      </w:r>
      <w:r>
        <w:rPr>
          <w:rFonts w:hint="eastAsia" w:ascii="宋体" w:hAnsi="宋体" w:eastAsia="宋体" w:cs="Times New Roman"/>
          <w:bCs/>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lang w:val="zh-CN"/>
        </w:rPr>
        <w:t xml:space="preserve">                </w:t>
      </w:r>
    </w:p>
    <w:p>
      <w:pPr>
        <w:snapToGrid w:val="0"/>
        <w:spacing w:line="360" w:lineRule="auto"/>
        <w:ind w:firstLine="482" w:firstLineChars="200"/>
        <w:rPr>
          <w:rFonts w:hint="eastAsia" w:ascii="宋体" w:hAnsi="宋体" w:eastAsia="宋体" w:cs="Times New Roman"/>
          <w:b/>
          <w:bCs/>
          <w:color w:val="auto"/>
          <w:kern w:val="0"/>
          <w:sz w:val="24"/>
          <w:szCs w:val="24"/>
          <w:highlight w:val="none"/>
          <w:lang w:val="zh-CN"/>
        </w:rPr>
      </w:pPr>
      <w:r>
        <w:rPr>
          <w:rFonts w:hint="eastAsia" w:ascii="宋体" w:hAnsi="宋体" w:eastAsia="宋体" w:cs="Times New Roman"/>
          <w:b/>
          <w:bCs/>
          <w:color w:val="auto"/>
          <w:kern w:val="0"/>
          <w:sz w:val="24"/>
          <w:szCs w:val="24"/>
          <w:highlight w:val="none"/>
          <w:lang w:val="zh-CN"/>
        </w:rPr>
        <w:t>二、投诉项目基本情况：</w:t>
      </w:r>
    </w:p>
    <w:p>
      <w:pPr>
        <w:spacing w:line="360" w:lineRule="auto"/>
        <w:ind w:left="25" w:leftChars="12" w:firstLine="472" w:firstLineChars="197"/>
        <w:rPr>
          <w:rFonts w:hint="eastAsia" w:ascii="宋体" w:hAnsi="宋体" w:eastAsia="宋体" w:cs="Times New Roman"/>
          <w:color w:val="auto"/>
          <w:kern w:val="0"/>
          <w:sz w:val="24"/>
          <w:szCs w:val="24"/>
          <w:highlight w:val="none"/>
          <w:lang w:val="zh-CN"/>
        </w:rPr>
      </w:pPr>
      <w:r>
        <w:rPr>
          <w:rFonts w:hint="eastAsia" w:ascii="宋体" w:hAnsi="宋体" w:eastAsia="宋体" w:cs="Times New Roman"/>
          <w:bCs/>
          <w:color w:val="auto"/>
          <w:kern w:val="0"/>
          <w:sz w:val="24"/>
          <w:szCs w:val="24"/>
          <w:highlight w:val="none"/>
          <w:lang w:val="zh-CN"/>
        </w:rPr>
        <w:t>采购</w:t>
      </w:r>
      <w:r>
        <w:rPr>
          <w:rFonts w:hint="eastAsia" w:ascii="宋体" w:hAnsi="宋体" w:eastAsia="宋体" w:cs="Times New Roman"/>
          <w:color w:val="auto"/>
          <w:kern w:val="0"/>
          <w:sz w:val="24"/>
          <w:szCs w:val="24"/>
          <w:highlight w:val="none"/>
          <w:lang w:val="zh-CN"/>
        </w:rPr>
        <w:t>项目的名称：</w:t>
      </w:r>
      <w:r>
        <w:rPr>
          <w:rFonts w:hint="eastAsia" w:ascii="宋体" w:hAnsi="宋体" w:eastAsia="宋体" w:cs="Times New Roman"/>
          <w:bCs/>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u w:val="single"/>
        </w:rPr>
        <w:t xml:space="preserve">                 </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left="25" w:leftChars="12" w:firstLine="472" w:firstLineChars="197"/>
        <w:rPr>
          <w:rFonts w:hint="eastAsia" w:ascii="宋体" w:hAnsi="宋体" w:eastAsia="宋体" w:cs="Times New Roman"/>
          <w:color w:val="auto"/>
          <w:kern w:val="0"/>
          <w:sz w:val="24"/>
          <w:szCs w:val="24"/>
          <w:highlight w:val="none"/>
        </w:rPr>
      </w:pPr>
      <w:r>
        <w:rPr>
          <w:rFonts w:hint="eastAsia" w:ascii="宋体" w:hAnsi="宋体" w:eastAsia="宋体" w:cs="Times New Roman"/>
          <w:bCs/>
          <w:color w:val="auto"/>
          <w:kern w:val="0"/>
          <w:sz w:val="24"/>
          <w:szCs w:val="24"/>
          <w:highlight w:val="none"/>
          <w:lang w:val="zh-CN"/>
        </w:rPr>
        <w:t>采购</w:t>
      </w:r>
      <w:r>
        <w:rPr>
          <w:rFonts w:hint="eastAsia" w:ascii="宋体" w:hAnsi="宋体" w:eastAsia="宋体" w:cs="Times New Roman"/>
          <w:color w:val="auto"/>
          <w:kern w:val="0"/>
          <w:sz w:val="24"/>
          <w:szCs w:val="24"/>
          <w:highlight w:val="none"/>
          <w:lang w:val="zh-CN"/>
        </w:rPr>
        <w:t>项目的编号：</w:t>
      </w:r>
      <w:r>
        <w:rPr>
          <w:rFonts w:hint="eastAsia" w:ascii="宋体" w:hAnsi="宋体" w:eastAsia="宋体" w:cs="Times New Roman"/>
          <w:bCs/>
          <w:color w:val="auto"/>
          <w:kern w:val="0"/>
          <w:sz w:val="24"/>
          <w:szCs w:val="24"/>
          <w:highlight w:val="none"/>
          <w:u w:val="single"/>
        </w:rPr>
        <w:t xml:space="preserve">                 </w:t>
      </w:r>
    </w:p>
    <w:p>
      <w:pPr>
        <w:spacing w:line="360" w:lineRule="auto"/>
        <w:ind w:left="25" w:leftChars="12" w:firstLine="472" w:firstLineChars="197"/>
        <w:rPr>
          <w:rFonts w:hint="eastAsia" w:ascii="宋体" w:hAnsi="宋体" w:eastAsia="宋体" w:cs="Times New Roman"/>
          <w:bCs/>
          <w:color w:val="auto"/>
          <w:kern w:val="0"/>
          <w:sz w:val="24"/>
          <w:szCs w:val="24"/>
          <w:highlight w:val="none"/>
          <w:u w:val="single"/>
          <w:lang w:val="zh-CN"/>
        </w:rPr>
      </w:pPr>
      <w:r>
        <w:rPr>
          <w:rFonts w:hint="eastAsia" w:ascii="宋体" w:hAnsi="宋体" w:eastAsia="宋体" w:cs="Times New Roman"/>
          <w:color w:val="auto"/>
          <w:kern w:val="0"/>
          <w:sz w:val="24"/>
          <w:szCs w:val="24"/>
          <w:highlight w:val="none"/>
          <w:lang w:val="zh-CN"/>
        </w:rPr>
        <w:t>采购人名称：</w:t>
      </w:r>
      <w:r>
        <w:rPr>
          <w:rFonts w:hint="eastAsia" w:ascii="宋体" w:hAnsi="宋体" w:eastAsia="宋体" w:cs="Times New Roman"/>
          <w:bCs/>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u w:val="single"/>
        </w:rPr>
        <w:t xml:space="preserve">           </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left="25" w:leftChars="12" w:firstLine="472" w:firstLineChars="197"/>
        <w:rPr>
          <w:rFonts w:hint="eastAsia" w:ascii="宋体" w:hAnsi="宋体" w:eastAsia="宋体" w:cs="Times New Roman"/>
          <w:bCs/>
          <w:color w:val="auto"/>
          <w:kern w:val="0"/>
          <w:sz w:val="24"/>
          <w:szCs w:val="24"/>
          <w:highlight w:val="none"/>
          <w:u w:val="single"/>
          <w:lang w:val="zh-CN"/>
        </w:rPr>
      </w:pPr>
      <w:r>
        <w:rPr>
          <w:rFonts w:hint="eastAsia" w:ascii="宋体" w:hAnsi="宋体" w:eastAsia="宋体" w:cs="Times New Roman"/>
          <w:color w:val="auto"/>
          <w:kern w:val="0"/>
          <w:sz w:val="24"/>
          <w:szCs w:val="24"/>
          <w:highlight w:val="none"/>
          <w:lang w:val="zh-CN"/>
        </w:rPr>
        <w:t>代理机构名称：</w:t>
      </w:r>
      <w:r>
        <w:rPr>
          <w:rFonts w:hint="eastAsia" w:ascii="宋体" w:hAnsi="宋体" w:eastAsia="宋体" w:cs="Times New Roman"/>
          <w:bCs/>
          <w:color w:val="auto"/>
          <w:kern w:val="0"/>
          <w:sz w:val="24"/>
          <w:szCs w:val="24"/>
          <w:highlight w:val="none"/>
          <w:u w:val="single"/>
        </w:rPr>
        <w:t xml:space="preserve">               </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left="25" w:leftChars="12" w:firstLine="472" w:firstLineChars="197"/>
        <w:rPr>
          <w:rFonts w:hint="eastAsia" w:ascii="宋体" w:hAnsi="宋体" w:eastAsia="宋体" w:cs="Times New Roman"/>
          <w:bCs/>
          <w:color w:val="auto"/>
          <w:kern w:val="0"/>
          <w:sz w:val="24"/>
          <w:szCs w:val="24"/>
          <w:highlight w:val="none"/>
          <w:u w:val="single"/>
          <w:lang w:val="zh-CN"/>
        </w:rPr>
      </w:pPr>
      <w:r>
        <w:rPr>
          <w:rFonts w:hint="eastAsia" w:ascii="宋体" w:hAnsi="宋体" w:eastAsia="宋体" w:cs="Times New Roman"/>
          <w:bCs/>
          <w:color w:val="auto"/>
          <w:kern w:val="0"/>
          <w:sz w:val="24"/>
          <w:szCs w:val="24"/>
          <w:highlight w:val="none"/>
        </w:rPr>
        <w:t>采购</w:t>
      </w:r>
      <w:r>
        <w:rPr>
          <w:rFonts w:hint="eastAsia" w:ascii="宋体" w:hAnsi="宋体" w:eastAsia="宋体" w:cs="Times New Roman"/>
          <w:bCs/>
          <w:color w:val="auto"/>
          <w:kern w:val="0"/>
          <w:sz w:val="24"/>
          <w:szCs w:val="24"/>
          <w:highlight w:val="none"/>
          <w:lang w:val="zh-CN"/>
        </w:rPr>
        <w:t>文件公告：</w:t>
      </w:r>
      <w:r>
        <w:rPr>
          <w:rFonts w:hint="eastAsia" w:ascii="宋体" w:hAnsi="宋体" w:eastAsia="宋体" w:cs="Times New Roman"/>
          <w:bCs/>
          <w:color w:val="auto"/>
          <w:kern w:val="0"/>
          <w:sz w:val="24"/>
          <w:szCs w:val="24"/>
          <w:highlight w:val="none"/>
          <w:u w:val="single"/>
          <w:lang w:val="zh-CN"/>
        </w:rPr>
        <w:t>是/否</w:t>
      </w:r>
      <w:r>
        <w:rPr>
          <w:rFonts w:hint="eastAsia" w:ascii="宋体" w:hAnsi="宋体" w:eastAsia="宋体" w:cs="Times New Roman"/>
          <w:bCs/>
          <w:color w:val="auto"/>
          <w:kern w:val="0"/>
          <w:sz w:val="24"/>
          <w:szCs w:val="24"/>
          <w:highlight w:val="none"/>
          <w:lang w:val="zh-CN"/>
        </w:rPr>
        <w:t>公告期限：</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left="25" w:leftChars="12" w:firstLine="472" w:firstLineChars="197"/>
        <w:rPr>
          <w:rFonts w:hint="eastAsia" w:ascii="宋体" w:hAnsi="宋体" w:eastAsia="宋体" w:cs="Times New Roman"/>
          <w:b/>
          <w:color w:val="auto"/>
          <w:kern w:val="0"/>
          <w:sz w:val="24"/>
          <w:szCs w:val="24"/>
          <w:highlight w:val="none"/>
          <w:lang w:val="zh-CN"/>
        </w:rPr>
      </w:pPr>
      <w:r>
        <w:rPr>
          <w:rFonts w:hint="eastAsia" w:ascii="宋体" w:hAnsi="宋体" w:eastAsia="宋体" w:cs="Times New Roman"/>
          <w:bCs/>
          <w:color w:val="auto"/>
          <w:kern w:val="0"/>
          <w:sz w:val="24"/>
          <w:szCs w:val="24"/>
          <w:highlight w:val="none"/>
          <w:lang w:val="zh-CN"/>
        </w:rPr>
        <w:t>采购结果公告：</w:t>
      </w:r>
      <w:r>
        <w:rPr>
          <w:rFonts w:hint="eastAsia" w:ascii="宋体" w:hAnsi="宋体" w:eastAsia="宋体" w:cs="Times New Roman"/>
          <w:bCs/>
          <w:color w:val="auto"/>
          <w:kern w:val="0"/>
          <w:sz w:val="24"/>
          <w:szCs w:val="24"/>
          <w:highlight w:val="none"/>
          <w:u w:val="single"/>
          <w:lang w:val="zh-CN"/>
        </w:rPr>
        <w:t>是/否</w:t>
      </w:r>
      <w:r>
        <w:rPr>
          <w:rFonts w:hint="eastAsia" w:ascii="宋体" w:hAnsi="宋体" w:eastAsia="宋体" w:cs="Times New Roman"/>
          <w:bCs/>
          <w:color w:val="auto"/>
          <w:kern w:val="0"/>
          <w:sz w:val="24"/>
          <w:szCs w:val="24"/>
          <w:highlight w:val="none"/>
          <w:lang w:val="zh-CN"/>
        </w:rPr>
        <w:t>公告期限：</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left="25" w:leftChars="12" w:firstLine="472" w:firstLineChars="196"/>
        <w:rPr>
          <w:rFonts w:hint="eastAsia"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三、质疑基本情况</w:t>
      </w:r>
    </w:p>
    <w:p>
      <w:pPr>
        <w:spacing w:line="360" w:lineRule="auto"/>
        <w:ind w:firstLine="480" w:firstLineChars="200"/>
        <w:rPr>
          <w:rFonts w:hint="eastAsia"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投诉人于</w:t>
      </w:r>
      <w:r>
        <w:rPr>
          <w:rFonts w:hint="eastAsia" w:ascii="宋体" w:hAnsi="宋体" w:eastAsia="宋体" w:cs="Times New Roman"/>
          <w:color w:val="auto"/>
          <w:kern w:val="0"/>
          <w:sz w:val="24"/>
          <w:szCs w:val="24"/>
          <w:highlight w:val="none"/>
          <w:u w:val="single"/>
          <w:lang w:val="zh-CN"/>
        </w:rPr>
        <w:t xml:space="preserve">      </w:t>
      </w:r>
      <w:r>
        <w:rPr>
          <w:rFonts w:hint="eastAsia" w:ascii="宋体" w:hAnsi="宋体" w:eastAsia="宋体" w:cs="Times New Roman"/>
          <w:color w:val="auto"/>
          <w:kern w:val="0"/>
          <w:sz w:val="24"/>
          <w:szCs w:val="24"/>
          <w:highlight w:val="none"/>
          <w:lang w:val="zh-CN"/>
        </w:rPr>
        <w:t>年</w:t>
      </w:r>
      <w:r>
        <w:rPr>
          <w:rFonts w:hint="eastAsia" w:ascii="宋体" w:hAnsi="宋体" w:eastAsia="宋体" w:cs="Times New Roman"/>
          <w:color w:val="auto"/>
          <w:kern w:val="0"/>
          <w:sz w:val="24"/>
          <w:szCs w:val="24"/>
          <w:highlight w:val="none"/>
          <w:u w:val="single"/>
          <w:lang w:val="zh-CN"/>
        </w:rPr>
        <w:t xml:space="preserve">   </w:t>
      </w:r>
      <w:r>
        <w:rPr>
          <w:rFonts w:hint="eastAsia" w:ascii="宋体" w:hAnsi="宋体" w:eastAsia="宋体" w:cs="Times New Roman"/>
          <w:color w:val="auto"/>
          <w:kern w:val="0"/>
          <w:sz w:val="24"/>
          <w:szCs w:val="24"/>
          <w:highlight w:val="none"/>
          <w:lang w:val="zh-CN"/>
        </w:rPr>
        <w:t>月</w:t>
      </w:r>
      <w:r>
        <w:rPr>
          <w:rFonts w:hint="eastAsia" w:ascii="宋体" w:hAnsi="宋体" w:eastAsia="宋体" w:cs="Times New Roman"/>
          <w:color w:val="auto"/>
          <w:kern w:val="0"/>
          <w:sz w:val="24"/>
          <w:szCs w:val="24"/>
          <w:highlight w:val="none"/>
          <w:u w:val="single"/>
          <w:lang w:val="zh-CN"/>
        </w:rPr>
        <w:t xml:space="preserve">   </w:t>
      </w:r>
      <w:r>
        <w:rPr>
          <w:rFonts w:hint="eastAsia" w:ascii="宋体" w:hAnsi="宋体" w:eastAsia="宋体" w:cs="Times New Roman"/>
          <w:color w:val="auto"/>
          <w:kern w:val="0"/>
          <w:sz w:val="24"/>
          <w:szCs w:val="24"/>
          <w:highlight w:val="none"/>
          <w:lang w:val="zh-CN"/>
        </w:rPr>
        <w:t>日，向</w:t>
      </w:r>
      <w:r>
        <w:rPr>
          <w:rFonts w:hint="eastAsia" w:ascii="宋体" w:hAnsi="宋体" w:eastAsia="宋体" w:cs="Times New Roman"/>
          <w:color w:val="auto"/>
          <w:kern w:val="0"/>
          <w:sz w:val="24"/>
          <w:szCs w:val="24"/>
          <w:highlight w:val="none"/>
          <w:u w:val="single"/>
          <w:lang w:val="zh-CN"/>
        </w:rPr>
        <w:t xml:space="preserve">                                </w:t>
      </w:r>
      <w:r>
        <w:rPr>
          <w:rFonts w:hint="eastAsia" w:ascii="宋体" w:hAnsi="宋体" w:eastAsia="宋体" w:cs="Times New Roman"/>
          <w:color w:val="auto"/>
          <w:kern w:val="0"/>
          <w:sz w:val="24"/>
          <w:szCs w:val="24"/>
          <w:highlight w:val="none"/>
          <w:lang w:val="zh-CN"/>
        </w:rPr>
        <w:t>提出质疑，质疑事项为：</w:t>
      </w:r>
    </w:p>
    <w:p>
      <w:pPr>
        <w:spacing w:line="360" w:lineRule="auto"/>
        <w:ind w:firstLine="241"/>
        <w:rPr>
          <w:rFonts w:hint="eastAsia" w:ascii="宋体" w:hAnsi="宋体" w:eastAsia="宋体" w:cs="Times New Roman"/>
          <w:bCs/>
          <w:color w:val="auto"/>
          <w:kern w:val="0"/>
          <w:sz w:val="24"/>
          <w:szCs w:val="24"/>
          <w:highlight w:val="none"/>
          <w:u w:val="single"/>
          <w:lang w:val="zh-CN"/>
        </w:rPr>
      </w:pPr>
      <w:r>
        <w:rPr>
          <w:rFonts w:hint="eastAsia" w:ascii="宋体" w:hAnsi="宋体" w:eastAsia="宋体" w:cs="Times New Roman"/>
          <w:color w:val="auto"/>
          <w:kern w:val="0"/>
          <w:sz w:val="24"/>
          <w:szCs w:val="24"/>
          <w:highlight w:val="none"/>
          <w:lang w:val="zh-CN"/>
        </w:rPr>
        <w:t xml:space="preserve">    </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firstLine="241"/>
        <w:rPr>
          <w:rFonts w:hint="eastAsia" w:ascii="宋体" w:hAnsi="宋体" w:eastAsia="宋体" w:cs="Times New Roman"/>
          <w:bCs/>
          <w:color w:val="auto"/>
          <w:kern w:val="0"/>
          <w:sz w:val="24"/>
          <w:szCs w:val="24"/>
          <w:highlight w:val="none"/>
          <w:u w:val="single"/>
          <w:lang w:val="zh-CN"/>
        </w:rPr>
      </w:pPr>
      <w:r>
        <w:rPr>
          <w:rFonts w:hint="eastAsia" w:ascii="宋体" w:hAnsi="宋体" w:eastAsia="宋体" w:cs="Times New Roman"/>
          <w:bCs/>
          <w:color w:val="auto"/>
          <w:kern w:val="0"/>
          <w:sz w:val="24"/>
          <w:szCs w:val="24"/>
          <w:highlight w:val="none"/>
          <w:lang w:val="zh-CN"/>
        </w:rPr>
        <w:t xml:space="preserve">    </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firstLine="480" w:firstLineChars="200"/>
        <w:rPr>
          <w:rFonts w:hint="eastAsia" w:ascii="宋体" w:hAnsi="宋体" w:eastAsia="宋体" w:cs="Times New Roman"/>
          <w:color w:val="auto"/>
          <w:kern w:val="0"/>
          <w:sz w:val="24"/>
          <w:szCs w:val="24"/>
          <w:highlight w:val="none"/>
          <w:lang w:val="zh-CN"/>
        </w:rPr>
      </w:pPr>
      <w:r>
        <w:rPr>
          <w:rFonts w:hint="eastAsia" w:ascii="宋体" w:hAnsi="宋体" w:eastAsia="宋体" w:cs="Times New Roman"/>
          <w:bCs/>
          <w:color w:val="auto"/>
          <w:kern w:val="0"/>
          <w:sz w:val="24"/>
          <w:szCs w:val="24"/>
          <w:highlight w:val="none"/>
          <w:u w:val="single"/>
          <w:lang w:val="zh-CN"/>
        </w:rPr>
        <w:t>采购人/代理机构</w:t>
      </w:r>
      <w:r>
        <w:rPr>
          <w:rFonts w:hint="eastAsia" w:ascii="宋体" w:hAnsi="宋体" w:eastAsia="宋体" w:cs="Times New Roman"/>
          <w:bCs/>
          <w:color w:val="auto"/>
          <w:kern w:val="0"/>
          <w:sz w:val="24"/>
          <w:szCs w:val="24"/>
          <w:highlight w:val="none"/>
          <w:lang w:val="zh-CN"/>
        </w:rPr>
        <w:t>于</w:t>
      </w:r>
      <w:r>
        <w:rPr>
          <w:rFonts w:hint="eastAsia" w:ascii="宋体" w:hAnsi="宋体" w:eastAsia="宋体" w:cs="Times New Roman"/>
          <w:color w:val="auto"/>
          <w:kern w:val="0"/>
          <w:sz w:val="24"/>
          <w:szCs w:val="24"/>
          <w:highlight w:val="none"/>
          <w:u w:val="single"/>
          <w:lang w:val="zh-CN"/>
        </w:rPr>
        <w:t xml:space="preserve">      </w:t>
      </w:r>
      <w:r>
        <w:rPr>
          <w:rFonts w:hint="eastAsia" w:ascii="宋体" w:hAnsi="宋体" w:eastAsia="宋体" w:cs="Times New Roman"/>
          <w:color w:val="auto"/>
          <w:kern w:val="0"/>
          <w:sz w:val="24"/>
          <w:szCs w:val="24"/>
          <w:highlight w:val="none"/>
          <w:lang w:val="zh-CN"/>
        </w:rPr>
        <w:t>年</w:t>
      </w:r>
      <w:r>
        <w:rPr>
          <w:rFonts w:hint="eastAsia" w:ascii="宋体" w:hAnsi="宋体" w:eastAsia="宋体" w:cs="Times New Roman"/>
          <w:color w:val="auto"/>
          <w:kern w:val="0"/>
          <w:sz w:val="24"/>
          <w:szCs w:val="24"/>
          <w:highlight w:val="none"/>
          <w:u w:val="single"/>
          <w:lang w:val="zh-CN"/>
        </w:rPr>
        <w:t xml:space="preserve">   </w:t>
      </w:r>
      <w:r>
        <w:rPr>
          <w:rFonts w:hint="eastAsia" w:ascii="宋体" w:hAnsi="宋体" w:eastAsia="宋体" w:cs="Times New Roman"/>
          <w:color w:val="auto"/>
          <w:kern w:val="0"/>
          <w:sz w:val="24"/>
          <w:szCs w:val="24"/>
          <w:highlight w:val="none"/>
          <w:lang w:val="zh-CN"/>
        </w:rPr>
        <w:t>月</w:t>
      </w:r>
      <w:r>
        <w:rPr>
          <w:rFonts w:hint="eastAsia" w:ascii="宋体" w:hAnsi="宋体" w:eastAsia="宋体" w:cs="Times New Roman"/>
          <w:color w:val="auto"/>
          <w:kern w:val="0"/>
          <w:sz w:val="24"/>
          <w:szCs w:val="24"/>
          <w:highlight w:val="none"/>
          <w:u w:val="single"/>
          <w:lang w:val="zh-CN"/>
        </w:rPr>
        <w:t xml:space="preserve">   </w:t>
      </w:r>
      <w:r>
        <w:rPr>
          <w:rFonts w:hint="eastAsia" w:ascii="宋体" w:hAnsi="宋体" w:eastAsia="宋体" w:cs="Times New Roman"/>
          <w:color w:val="auto"/>
          <w:kern w:val="0"/>
          <w:sz w:val="24"/>
          <w:szCs w:val="24"/>
          <w:highlight w:val="none"/>
          <w:lang w:val="zh-CN"/>
        </w:rPr>
        <w:t>日，</w:t>
      </w:r>
      <w:r>
        <w:rPr>
          <w:rFonts w:hint="eastAsia" w:ascii="宋体" w:hAnsi="宋体" w:eastAsia="宋体" w:cs="Times New Roman"/>
          <w:bCs/>
          <w:color w:val="auto"/>
          <w:kern w:val="0"/>
          <w:sz w:val="24"/>
          <w:szCs w:val="24"/>
          <w:highlight w:val="none"/>
          <w:lang w:val="zh-CN"/>
        </w:rPr>
        <w:t xml:space="preserve">就质疑事项作出了答复/没有在法定期限内作出答复。                                                                                             </w:t>
      </w:r>
    </w:p>
    <w:p>
      <w:pPr>
        <w:spacing w:line="360" w:lineRule="auto"/>
        <w:ind w:left="25" w:leftChars="12" w:firstLine="472" w:firstLineChars="196"/>
        <w:rPr>
          <w:rFonts w:hint="eastAsia"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四、投诉事项具体内容</w:t>
      </w:r>
    </w:p>
    <w:p>
      <w:pPr>
        <w:spacing w:line="360" w:lineRule="auto"/>
        <w:ind w:left="25" w:leftChars="12" w:firstLine="472" w:firstLineChars="197"/>
        <w:rPr>
          <w:rFonts w:hint="eastAsia" w:ascii="宋体" w:hAnsi="宋体" w:eastAsia="宋体" w:cs="Times New Roman"/>
          <w:bCs/>
          <w:color w:val="auto"/>
          <w:kern w:val="0"/>
          <w:sz w:val="24"/>
          <w:szCs w:val="24"/>
          <w:highlight w:val="none"/>
          <w:u w:val="single"/>
          <w:lang w:val="zh-CN"/>
        </w:rPr>
      </w:pPr>
      <w:r>
        <w:rPr>
          <w:rFonts w:hint="eastAsia" w:ascii="宋体" w:hAnsi="宋体" w:eastAsia="宋体" w:cs="Times New Roman"/>
          <w:color w:val="auto"/>
          <w:kern w:val="0"/>
          <w:sz w:val="24"/>
          <w:szCs w:val="24"/>
          <w:highlight w:val="none"/>
          <w:lang w:val="zh-CN"/>
        </w:rPr>
        <w:t>投诉事项1：</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firstLine="480" w:firstLineChars="200"/>
        <w:rPr>
          <w:rFonts w:hint="eastAsia" w:ascii="宋体" w:hAnsi="宋体" w:eastAsia="宋体" w:cs="Times New Roman"/>
          <w:bCs/>
          <w:color w:val="auto"/>
          <w:kern w:val="0"/>
          <w:sz w:val="24"/>
          <w:szCs w:val="24"/>
          <w:highlight w:val="none"/>
          <w:u w:val="single"/>
          <w:lang w:val="zh-CN"/>
        </w:rPr>
      </w:pPr>
      <w:r>
        <w:rPr>
          <w:rFonts w:hint="eastAsia" w:ascii="宋体" w:hAnsi="宋体" w:eastAsia="宋体" w:cs="Times New Roman"/>
          <w:bCs/>
          <w:color w:val="auto"/>
          <w:kern w:val="0"/>
          <w:sz w:val="24"/>
          <w:szCs w:val="24"/>
          <w:highlight w:val="none"/>
          <w:lang w:val="zh-CN"/>
        </w:rPr>
        <w:t>事实依据：</w:t>
      </w:r>
      <w:r>
        <w:rPr>
          <w:rFonts w:hint="eastAsia" w:ascii="宋体" w:hAnsi="宋体" w:eastAsia="宋体" w:cs="Times New Roman"/>
          <w:color w:val="auto"/>
          <w:kern w:val="0"/>
          <w:sz w:val="24"/>
          <w:szCs w:val="24"/>
          <w:highlight w:val="none"/>
          <w:lang w:val="zh-CN"/>
        </w:rPr>
        <w:t xml:space="preserve"> </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left="25" w:leftChars="12" w:firstLine="472" w:firstLineChars="197"/>
        <w:rPr>
          <w:rFonts w:hint="eastAsia" w:ascii="宋体" w:hAnsi="宋体" w:eastAsia="宋体" w:cs="Times New Roman"/>
          <w:color w:val="auto"/>
          <w:kern w:val="0"/>
          <w:sz w:val="24"/>
          <w:szCs w:val="24"/>
          <w:highlight w:val="none"/>
          <w:lang w:val="zh-CN"/>
        </w:rPr>
      </w:pPr>
      <w:r>
        <w:rPr>
          <w:rFonts w:hint="eastAsia" w:ascii="宋体" w:hAnsi="宋体" w:eastAsia="宋体" w:cs="Times New Roman"/>
          <w:bCs/>
          <w:color w:val="auto"/>
          <w:kern w:val="0"/>
          <w:sz w:val="24"/>
          <w:szCs w:val="24"/>
          <w:highlight w:val="none"/>
          <w:u w:val="single"/>
          <w:lang w:val="zh-CN"/>
        </w:rPr>
        <w:t xml:space="preserve">                                                                                        </w:t>
      </w:r>
    </w:p>
    <w:p>
      <w:pPr>
        <w:spacing w:line="360" w:lineRule="auto"/>
        <w:ind w:firstLine="480" w:firstLineChars="200"/>
        <w:rPr>
          <w:rFonts w:hint="eastAsia" w:ascii="宋体" w:hAnsi="宋体" w:eastAsia="宋体" w:cs="Times New Roman"/>
          <w:bCs/>
          <w:color w:val="auto"/>
          <w:kern w:val="0"/>
          <w:sz w:val="24"/>
          <w:szCs w:val="24"/>
          <w:highlight w:val="none"/>
          <w:u w:val="single"/>
          <w:lang w:val="zh-CN"/>
        </w:rPr>
      </w:pPr>
      <w:r>
        <w:rPr>
          <w:rFonts w:hint="eastAsia" w:ascii="宋体" w:hAnsi="宋体" w:eastAsia="宋体" w:cs="Times New Roman"/>
          <w:bCs/>
          <w:color w:val="auto"/>
          <w:kern w:val="0"/>
          <w:sz w:val="24"/>
          <w:szCs w:val="24"/>
          <w:highlight w:val="none"/>
          <w:lang w:val="zh-CN"/>
        </w:rPr>
        <w:t>法律依据：</w:t>
      </w:r>
      <w:r>
        <w:rPr>
          <w:rFonts w:hint="eastAsia" w:ascii="宋体" w:hAnsi="宋体" w:eastAsia="宋体" w:cs="Times New Roman"/>
          <w:color w:val="auto"/>
          <w:kern w:val="0"/>
          <w:sz w:val="24"/>
          <w:szCs w:val="24"/>
          <w:highlight w:val="none"/>
          <w:lang w:val="zh-CN"/>
        </w:rPr>
        <w:t xml:space="preserve"> </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left="25" w:leftChars="12" w:firstLine="352" w:firstLineChars="147"/>
        <w:rPr>
          <w:rFonts w:hint="eastAsia" w:ascii="宋体" w:hAnsi="宋体" w:eastAsia="宋体" w:cs="Times New Roman"/>
          <w:bCs/>
          <w:color w:val="auto"/>
          <w:kern w:val="0"/>
          <w:sz w:val="24"/>
          <w:szCs w:val="24"/>
          <w:highlight w:val="none"/>
          <w:u w:val="single"/>
          <w:lang w:val="zh-CN"/>
        </w:rPr>
      </w:pPr>
      <w:r>
        <w:rPr>
          <w:rFonts w:hint="eastAsia" w:ascii="宋体" w:hAnsi="宋体" w:eastAsia="宋体" w:cs="Times New Roman"/>
          <w:bCs/>
          <w:color w:val="auto"/>
          <w:kern w:val="0"/>
          <w:sz w:val="24"/>
          <w:szCs w:val="24"/>
          <w:highlight w:val="none"/>
          <w:lang w:val="zh-CN"/>
        </w:rPr>
        <w:t xml:space="preserve"> </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left="25" w:leftChars="12" w:firstLine="472" w:firstLineChars="197"/>
        <w:rPr>
          <w:rFonts w:hint="eastAsia" w:ascii="宋体" w:hAnsi="宋体" w:eastAsia="宋体" w:cs="Times New Roman"/>
          <w:bCs/>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 xml:space="preserve">投诉事项2  </w:t>
      </w:r>
      <w:r>
        <w:rPr>
          <w:rFonts w:hint="eastAsia" w:ascii="宋体" w:hAnsi="宋体" w:eastAsia="宋体" w:cs="Times New Roman"/>
          <w:bCs/>
          <w:color w:val="auto"/>
          <w:kern w:val="0"/>
          <w:sz w:val="24"/>
          <w:szCs w:val="24"/>
          <w:highlight w:val="none"/>
          <w:lang w:val="zh-CN"/>
        </w:rPr>
        <w:t xml:space="preserve">   </w:t>
      </w:r>
    </w:p>
    <w:p>
      <w:pPr>
        <w:spacing w:line="360" w:lineRule="auto"/>
        <w:ind w:left="25" w:leftChars="12" w:firstLine="472" w:firstLineChars="197"/>
        <w:rPr>
          <w:rFonts w:hint="eastAsia" w:ascii="宋体" w:hAnsi="宋体" w:eastAsia="宋体" w:cs="Times New Roman"/>
          <w:bCs/>
          <w:color w:val="auto"/>
          <w:kern w:val="0"/>
          <w:sz w:val="24"/>
          <w:szCs w:val="24"/>
          <w:highlight w:val="none"/>
          <w:lang w:val="zh-CN"/>
        </w:rPr>
      </w:pPr>
      <w:r>
        <w:rPr>
          <w:rFonts w:ascii="宋体" w:hAnsi="宋体" w:eastAsia="宋体" w:cs="Times New Roman"/>
          <w:bCs/>
          <w:color w:val="auto"/>
          <w:kern w:val="0"/>
          <w:sz w:val="24"/>
          <w:szCs w:val="24"/>
          <w:highlight w:val="none"/>
          <w:lang w:val="zh-CN"/>
        </w:rPr>
        <w:t>……</w:t>
      </w:r>
    </w:p>
    <w:p>
      <w:pPr>
        <w:spacing w:line="360" w:lineRule="auto"/>
        <w:ind w:left="25" w:leftChars="12" w:firstLine="472" w:firstLineChars="196"/>
        <w:rPr>
          <w:rFonts w:hint="eastAsia"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五、与投诉事项相关的投诉请求：</w:t>
      </w:r>
    </w:p>
    <w:p>
      <w:pPr>
        <w:spacing w:line="360" w:lineRule="auto"/>
        <w:ind w:left="25" w:leftChars="12" w:firstLine="472" w:firstLineChars="197"/>
        <w:rPr>
          <w:rFonts w:hint="eastAsia"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请求：</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left="25" w:leftChars="12" w:firstLine="472" w:firstLineChars="197"/>
        <w:rPr>
          <w:rFonts w:hint="eastAsia"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签字（签章）：                                       公章：</w:t>
      </w:r>
    </w:p>
    <w:p>
      <w:pPr>
        <w:spacing w:line="360" w:lineRule="auto"/>
        <w:ind w:left="25" w:leftChars="12" w:firstLine="352" w:firstLineChars="147"/>
        <w:rPr>
          <w:rFonts w:hint="eastAsia" w:ascii="宋体" w:hAnsi="宋体" w:eastAsia="宋体" w:cs="Times New Roman"/>
          <w:color w:val="auto"/>
          <w:kern w:val="0"/>
          <w:sz w:val="24"/>
          <w:szCs w:val="24"/>
          <w:highlight w:val="none"/>
          <w:lang w:val="zh-CN"/>
        </w:rPr>
      </w:pPr>
    </w:p>
    <w:p>
      <w:pPr>
        <w:spacing w:line="360" w:lineRule="auto"/>
        <w:ind w:left="25" w:leftChars="12" w:firstLine="472" w:firstLineChars="197"/>
        <w:rPr>
          <w:rFonts w:hint="eastAsia"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日期：</w:t>
      </w:r>
    </w:p>
    <w:p>
      <w:pPr>
        <w:spacing w:line="360" w:lineRule="auto"/>
        <w:ind w:left="25" w:leftChars="12" w:firstLine="472" w:firstLineChars="197"/>
        <w:rPr>
          <w:rFonts w:hint="eastAsia" w:ascii="宋体" w:hAnsi="宋体" w:eastAsia="宋体" w:cs="Times New Roman"/>
          <w:b/>
          <w:color w:val="auto"/>
          <w:kern w:val="0"/>
          <w:sz w:val="24"/>
          <w:szCs w:val="24"/>
          <w:highlight w:val="none"/>
          <w:lang w:val="zh-CN"/>
        </w:rPr>
      </w:pPr>
      <w:r>
        <w:rPr>
          <w:rFonts w:hint="eastAsia" w:ascii="宋体" w:hAnsi="宋体" w:eastAsia="宋体" w:cs="Times New Roman"/>
          <w:bCs/>
          <w:color w:val="auto"/>
          <w:kern w:val="0"/>
          <w:sz w:val="24"/>
          <w:szCs w:val="24"/>
          <w:highlight w:val="none"/>
          <w:lang w:val="zh-CN"/>
        </w:rPr>
        <w:t xml:space="preserve">                                                                              </w:t>
      </w:r>
    </w:p>
    <w:p>
      <w:pPr>
        <w:snapToGrid w:val="0"/>
        <w:spacing w:line="360" w:lineRule="auto"/>
        <w:rPr>
          <w:rFonts w:hint="eastAsia"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说明：</w:t>
      </w:r>
    </w:p>
    <w:p>
      <w:pPr>
        <w:spacing w:line="360" w:lineRule="auto"/>
        <w:ind w:left="25" w:leftChars="12" w:firstLine="354" w:firstLineChars="147"/>
        <w:rPr>
          <w:rFonts w:hint="eastAsia" w:ascii="宋体" w:hAnsi="宋体" w:eastAsia="宋体" w:cs="Times New Roman"/>
          <w:b/>
          <w:bCs/>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1.投诉人提起投诉时，应当提交投诉书和必要的证明材料，并按照被投诉人和与投诉事项有关的供应商数量提供投诉书副本</w:t>
      </w:r>
      <w:r>
        <w:rPr>
          <w:rFonts w:hint="eastAsia" w:ascii="宋体" w:hAnsi="宋体" w:eastAsia="宋体" w:cs="Times New Roman"/>
          <w:b/>
          <w:bCs/>
          <w:color w:val="auto"/>
          <w:kern w:val="0"/>
          <w:sz w:val="24"/>
          <w:szCs w:val="24"/>
          <w:highlight w:val="none"/>
          <w:lang w:val="zh-CN"/>
        </w:rPr>
        <w:t>。</w:t>
      </w:r>
    </w:p>
    <w:p>
      <w:pPr>
        <w:spacing w:line="360" w:lineRule="auto"/>
        <w:ind w:left="25" w:leftChars="12" w:firstLine="354" w:firstLineChars="147"/>
        <w:rPr>
          <w:rFonts w:hint="eastAsia"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2.投诉人若委托代理人进行投诉的，投诉书应按要求列明“授权代表”的有关内容，并在附件中提交由投诉人签署的授权委托书。授权委托书应当载明代理人的姓名或者名称、代理事项、具体权限、期限和相关事项。</w:t>
      </w:r>
    </w:p>
    <w:p>
      <w:pPr>
        <w:spacing w:line="360" w:lineRule="auto"/>
        <w:ind w:left="25" w:leftChars="12" w:firstLine="354" w:firstLineChars="147"/>
        <w:rPr>
          <w:rFonts w:hint="eastAsia"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3.投诉书应简要列明质疑事项，质疑函、质疑答复等作为附件材料提供。</w:t>
      </w:r>
    </w:p>
    <w:p>
      <w:pPr>
        <w:spacing w:line="360" w:lineRule="auto"/>
        <w:ind w:left="25" w:leftChars="12" w:firstLine="354" w:firstLineChars="147"/>
        <w:rPr>
          <w:rFonts w:hint="eastAsia"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4.投诉书的投诉事项应具体、明确，并有必要的事实依据和法律依据。</w:t>
      </w:r>
    </w:p>
    <w:p>
      <w:pPr>
        <w:spacing w:line="360" w:lineRule="auto"/>
        <w:ind w:left="25" w:leftChars="12" w:firstLine="354" w:firstLineChars="147"/>
        <w:rPr>
          <w:rFonts w:hint="eastAsia"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5.投诉书的投诉请求应与投诉事项相关。</w:t>
      </w:r>
    </w:p>
    <w:p>
      <w:pPr>
        <w:spacing w:line="360" w:lineRule="auto"/>
        <w:ind w:left="25" w:leftChars="12" w:firstLine="354" w:firstLineChars="147"/>
        <w:rPr>
          <w:rFonts w:hint="eastAsia" w:ascii="宋体" w:hAnsi="宋体" w:eastAsia="宋体" w:cs="Times New Roman"/>
          <w:b/>
          <w:color w:val="auto"/>
          <w:kern w:val="0"/>
          <w:sz w:val="20"/>
          <w:szCs w:val="21"/>
          <w:highlight w:val="none"/>
          <w:lang w:val="zh-CN"/>
        </w:rPr>
      </w:pPr>
      <w:r>
        <w:rPr>
          <w:rFonts w:hint="eastAsia" w:ascii="宋体" w:hAnsi="宋体" w:eastAsia="宋体" w:cs="Times New Roman"/>
          <w:b/>
          <w:color w:val="auto"/>
          <w:kern w:val="0"/>
          <w:sz w:val="24"/>
          <w:szCs w:val="24"/>
          <w:highlight w:val="none"/>
          <w:lang w:val="zh-CN"/>
        </w:rPr>
        <w:t>6.投诉人为法人或者其他组织的，投诉书应由法定代表人、主要负责人，或者其授权代表签字或者盖章，并加盖公章。</w:t>
      </w:r>
    </w:p>
    <w:p>
      <w:pPr>
        <w:rPr>
          <w:rFonts w:ascii="Times New Roman" w:hAnsi="Times New Roman" w:eastAsia="宋体" w:cs="Times New Roman"/>
          <w:color w:val="auto"/>
          <w:szCs w:val="24"/>
          <w:highlight w:val="none"/>
          <w:lang w:val="zh-CN"/>
        </w:rPr>
      </w:pPr>
    </w:p>
    <w:p>
      <w:pPr>
        <w:rPr>
          <w:rFonts w:ascii="Times New Roman" w:hAnsi="Times New Roman" w:eastAsia="宋体" w:cs="Times New Roman"/>
          <w:color w:val="auto"/>
          <w:szCs w:val="24"/>
          <w:highlight w:val="none"/>
        </w:rPr>
      </w:pPr>
    </w:p>
    <w:p>
      <w:pPr>
        <w:rPr>
          <w:color w:val="auto"/>
          <w:highlight w:val="none"/>
        </w:rPr>
      </w:pPr>
    </w:p>
    <w:sectPr>
      <w:footerReference r:id="rId14" w:type="first"/>
      <w:footerReference r:id="rId13" w:type="default"/>
      <w:pgSz w:w="11910" w:h="16840"/>
      <w:pgMar w:top="1340" w:right="1500" w:bottom="280" w:left="1680" w:header="720" w:footer="72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00000" w:csb1="00000000"/>
  </w:font>
  <w:font w:name="Calibri Light">
    <w:panose1 w:val="020F03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 w:name="方正小标宋_GBK">
    <w:altName w:val="微软雅黑"/>
    <w:panose1 w:val="00000000000000000000"/>
    <w:charset w:val="86"/>
    <w:family w:val="script"/>
    <w:pitch w:val="default"/>
    <w:sig w:usb0="00000000" w:usb1="00000000" w:usb2="00082016" w:usb3="00000000" w:csb0="00040001" w:csb1="00000000"/>
  </w:font>
  <w:font w:name="方正小标宋简体">
    <w:altName w:val="黑体"/>
    <w:panose1 w:val="03000509000000000000"/>
    <w:charset w:val="86"/>
    <w:family w:val="script"/>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enter" w:pos="4439"/>
        <w:tab w:val="clear" w:pos="4153"/>
      </w:tabs>
      <w:jc w:val="both"/>
    </w:pP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enter" w:pos="4439"/>
        <w:tab w:val="clear" w:pos="4153"/>
      </w:tabs>
    </w:pPr>
    <w:r>
      <w:rPr>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6pebnPAAAABQEAAA8AAAAAAAAAAQAgAAAAIgAAAGRycy9kb3ducmV2&#10;LnhtbFBLAQIUABQAAAAIAIdO4kCGLlBtBQIAAAYEAAAOAAAAAAAAAAEAIAAAAB4BAABkcnMvZTJv&#10;RG9jLnhtbFBLBQYAAAAABgAGAFkBAACVBQAAAAA=&#10;">
              <v:fill on="f" focussize="0,0"/>
              <v:stroke on="f"/>
              <v:imagedata o:title=""/>
              <o:lock v:ext="edit" aspectratio="f"/>
              <v:textbox inset="0mm,0mm,0mm,0mm" style="mso-fit-shape-to-text:t;">
                <w:txbxContent>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enter" w:pos="4439"/>
        <w:tab w:val="clear" w:pos="4153"/>
      </w:tabs>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0</w:t>
                    </w:r>
                    <w:r>
                      <w:fldChar w:fldCharType="end"/>
                    </w:r>
                  </w:p>
                </w:txbxContent>
              </v:textbox>
            </v:shape>
          </w:pict>
        </mc:Fallback>
      </mc:AlternateContent>
    </w:r>
  </w:p>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enter" w:pos="4439"/>
        <w:tab w:val="clear" w:pos="4153"/>
      </w:tabs>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r>
      <w:rPr>
        <w:lang w:val="en-US"/>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ql5uc8AAAAFAQAADwAAAAAAAAABACAAAAAiAAAAZHJzL2Rvd25yZXYu&#10;eG1sUEsBAhQAFAAAAAgAh07iQDc+5psEAgAABAQAAA4AAAAAAAAAAQAgAAAAHgEAAGRycy9lMm9E&#10;b2MueG1sUEsFBgAAAAAGAAYAWQEAAJQFAAAAAA==&#10;">
              <v:fill on="f" focussize="0,0"/>
              <v:stroke on="f"/>
              <v:imagedata o:title=""/>
              <o:lock v:ext="edit" aspectratio="f"/>
              <v:textbox inset="0mm,0mm,0mm,0mm" style="mso-fit-shape-to-text:t;">
                <w:txbxContent>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enter" w:pos="4819"/>
        <w:tab w:val="clear" w:pos="4153"/>
      </w:tabs>
      <w:jc w:val="both"/>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p>
    <w:pPr>
      <w:pStyle w:val="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420" w:hanging="420"/>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44</w:t>
                    </w:r>
                    <w:r>
                      <w:fldChar w:fldCharType="end"/>
                    </w:r>
                  </w:p>
                </w:txbxContent>
              </v:textbox>
            </v:shape>
          </w:pict>
        </mc:Fallback>
      </mc:AlternateContent>
    </w:r>
  </w:p>
  <w:p>
    <w:pPr>
      <w:pStyle w:val="2"/>
      <w:ind w:left="420" w:hanging="42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110</w:t>
                    </w:r>
                    <w:r>
                      <w:fldChar w:fldCharType="end"/>
                    </w:r>
                  </w:p>
                </w:txbxContent>
              </v:textbox>
            </v:shape>
          </w:pict>
        </mc:Fallback>
      </mc:AlternateContent>
    </w:r>
  </w:p>
  <w:p>
    <w:pPr>
      <w:pStyle w:val="2"/>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lang w:val="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rPr>
                              <w:lang w:val="en-US"/>
                            </w:rPr>
                            <w:t>63</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OqXm5zwAAAAUBAAAPAAAAAAAAAAEAIAAAACIAAABkcnMvZG93&#10;bnJldi54bWxQSwECFAAUAAAACACHTuJApgBt3wkCAAAUBAAADgAAAAAAAAABACAAAAAeAQAAZHJz&#10;L2Uyb0RvYy54bWxQSwUGAAAAAAYABgBZAQAAmQUAAAAA&#10;">
              <v:fill on="f" focussize="0,0"/>
              <v:stroke on="f"/>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rPr>
                        <w:lang w:val="en-US"/>
                      </w:rPr>
                      <w:t>63</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E112EE"/>
    <w:multiLevelType w:val="singleLevel"/>
    <w:tmpl w:val="88E112EE"/>
    <w:lvl w:ilvl="0" w:tentative="0">
      <w:start w:val="1"/>
      <w:numFmt w:val="decimal"/>
      <w:suff w:val="nothing"/>
      <w:lvlText w:val="（%1）"/>
      <w:lvlJc w:val="left"/>
    </w:lvl>
  </w:abstractNum>
  <w:abstractNum w:abstractNumId="1">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lNTI0ZTk3ZWJjMGYyMzY0MWFiMTRkN2Y1Njk4NDYifQ=="/>
  </w:docVars>
  <w:rsids>
    <w:rsidRoot w:val="007C21E9"/>
    <w:rsid w:val="000126B7"/>
    <w:rsid w:val="00013A77"/>
    <w:rsid w:val="00044C1D"/>
    <w:rsid w:val="00045A4A"/>
    <w:rsid w:val="00052AB5"/>
    <w:rsid w:val="00066F40"/>
    <w:rsid w:val="000903CF"/>
    <w:rsid w:val="00092716"/>
    <w:rsid w:val="00094A16"/>
    <w:rsid w:val="000957F5"/>
    <w:rsid w:val="000976E9"/>
    <w:rsid w:val="000C4A75"/>
    <w:rsid w:val="00101A1C"/>
    <w:rsid w:val="00131824"/>
    <w:rsid w:val="001377C7"/>
    <w:rsid w:val="00142034"/>
    <w:rsid w:val="0014358B"/>
    <w:rsid w:val="00153B10"/>
    <w:rsid w:val="00153E12"/>
    <w:rsid w:val="00162460"/>
    <w:rsid w:val="00163158"/>
    <w:rsid w:val="0017272A"/>
    <w:rsid w:val="001809D0"/>
    <w:rsid w:val="001846F6"/>
    <w:rsid w:val="001A410E"/>
    <w:rsid w:val="001A56CA"/>
    <w:rsid w:val="001D1ECE"/>
    <w:rsid w:val="002069D7"/>
    <w:rsid w:val="002160FE"/>
    <w:rsid w:val="002230C4"/>
    <w:rsid w:val="0022662B"/>
    <w:rsid w:val="00275FE5"/>
    <w:rsid w:val="00293058"/>
    <w:rsid w:val="002936E3"/>
    <w:rsid w:val="00294A6D"/>
    <w:rsid w:val="002A2CA7"/>
    <w:rsid w:val="002B6928"/>
    <w:rsid w:val="00301A34"/>
    <w:rsid w:val="0030226F"/>
    <w:rsid w:val="00326F62"/>
    <w:rsid w:val="00330EE0"/>
    <w:rsid w:val="00340902"/>
    <w:rsid w:val="0034167D"/>
    <w:rsid w:val="003673B9"/>
    <w:rsid w:val="00373F41"/>
    <w:rsid w:val="00384F92"/>
    <w:rsid w:val="00386BCC"/>
    <w:rsid w:val="003A3563"/>
    <w:rsid w:val="003A6CDF"/>
    <w:rsid w:val="003C14C1"/>
    <w:rsid w:val="003C7072"/>
    <w:rsid w:val="003C7AF8"/>
    <w:rsid w:val="00410669"/>
    <w:rsid w:val="00435B8B"/>
    <w:rsid w:val="0044024C"/>
    <w:rsid w:val="0044139D"/>
    <w:rsid w:val="0047066C"/>
    <w:rsid w:val="00474CFC"/>
    <w:rsid w:val="004A01B9"/>
    <w:rsid w:val="004A34B8"/>
    <w:rsid w:val="004B2CFC"/>
    <w:rsid w:val="004B3219"/>
    <w:rsid w:val="004C3578"/>
    <w:rsid w:val="004D7926"/>
    <w:rsid w:val="004E24EA"/>
    <w:rsid w:val="005456B9"/>
    <w:rsid w:val="0058622A"/>
    <w:rsid w:val="0059131E"/>
    <w:rsid w:val="005D62D0"/>
    <w:rsid w:val="00611BB2"/>
    <w:rsid w:val="00675346"/>
    <w:rsid w:val="0067773C"/>
    <w:rsid w:val="006A0C46"/>
    <w:rsid w:val="006C28F0"/>
    <w:rsid w:val="006E60EE"/>
    <w:rsid w:val="006F0BAE"/>
    <w:rsid w:val="00735834"/>
    <w:rsid w:val="00771550"/>
    <w:rsid w:val="00787A78"/>
    <w:rsid w:val="007C21E9"/>
    <w:rsid w:val="007C2700"/>
    <w:rsid w:val="007C29AA"/>
    <w:rsid w:val="007C4EFC"/>
    <w:rsid w:val="007D13D6"/>
    <w:rsid w:val="007D61FC"/>
    <w:rsid w:val="007E682F"/>
    <w:rsid w:val="008012B0"/>
    <w:rsid w:val="008173A8"/>
    <w:rsid w:val="00830A6D"/>
    <w:rsid w:val="0086051C"/>
    <w:rsid w:val="00861FA7"/>
    <w:rsid w:val="00865EF9"/>
    <w:rsid w:val="00865F45"/>
    <w:rsid w:val="008C2444"/>
    <w:rsid w:val="008C2D7A"/>
    <w:rsid w:val="008F5EF4"/>
    <w:rsid w:val="008F6ADE"/>
    <w:rsid w:val="00907474"/>
    <w:rsid w:val="00915391"/>
    <w:rsid w:val="00915EAE"/>
    <w:rsid w:val="00940EAB"/>
    <w:rsid w:val="009511CD"/>
    <w:rsid w:val="00993D5F"/>
    <w:rsid w:val="009D4C9D"/>
    <w:rsid w:val="009D5BE7"/>
    <w:rsid w:val="009D7A73"/>
    <w:rsid w:val="009E7892"/>
    <w:rsid w:val="009F1FB1"/>
    <w:rsid w:val="009F6765"/>
    <w:rsid w:val="00A06B78"/>
    <w:rsid w:val="00A36AD5"/>
    <w:rsid w:val="00A404AB"/>
    <w:rsid w:val="00A44EBE"/>
    <w:rsid w:val="00A612AB"/>
    <w:rsid w:val="00A6302F"/>
    <w:rsid w:val="00A84ABB"/>
    <w:rsid w:val="00AC3B63"/>
    <w:rsid w:val="00AC455F"/>
    <w:rsid w:val="00AD6C54"/>
    <w:rsid w:val="00B14ACF"/>
    <w:rsid w:val="00B15196"/>
    <w:rsid w:val="00B50C60"/>
    <w:rsid w:val="00B70362"/>
    <w:rsid w:val="00B83AD7"/>
    <w:rsid w:val="00BA48D1"/>
    <w:rsid w:val="00BB4F4B"/>
    <w:rsid w:val="00C02FF4"/>
    <w:rsid w:val="00C23A54"/>
    <w:rsid w:val="00C24FD7"/>
    <w:rsid w:val="00C74D20"/>
    <w:rsid w:val="00C9177D"/>
    <w:rsid w:val="00C91CC4"/>
    <w:rsid w:val="00C94E26"/>
    <w:rsid w:val="00CC3482"/>
    <w:rsid w:val="00D064A0"/>
    <w:rsid w:val="00D07B73"/>
    <w:rsid w:val="00D525F8"/>
    <w:rsid w:val="00D84019"/>
    <w:rsid w:val="00DB10F2"/>
    <w:rsid w:val="00DB5A31"/>
    <w:rsid w:val="00E26BD4"/>
    <w:rsid w:val="00E3133A"/>
    <w:rsid w:val="00E37B43"/>
    <w:rsid w:val="00E4032C"/>
    <w:rsid w:val="00E5206A"/>
    <w:rsid w:val="00E543C4"/>
    <w:rsid w:val="00E54CEE"/>
    <w:rsid w:val="00E55035"/>
    <w:rsid w:val="00F21695"/>
    <w:rsid w:val="00F27EFB"/>
    <w:rsid w:val="00F27FA0"/>
    <w:rsid w:val="00F911D4"/>
    <w:rsid w:val="00FD00E9"/>
    <w:rsid w:val="00FF4B64"/>
    <w:rsid w:val="0116477C"/>
    <w:rsid w:val="011D075F"/>
    <w:rsid w:val="01271AC8"/>
    <w:rsid w:val="01396E33"/>
    <w:rsid w:val="0152082E"/>
    <w:rsid w:val="01741A52"/>
    <w:rsid w:val="01887124"/>
    <w:rsid w:val="01AA03CC"/>
    <w:rsid w:val="01BE4AF4"/>
    <w:rsid w:val="01CB02C6"/>
    <w:rsid w:val="01D450F3"/>
    <w:rsid w:val="01E26B54"/>
    <w:rsid w:val="01E50C84"/>
    <w:rsid w:val="01FF46E4"/>
    <w:rsid w:val="020B5786"/>
    <w:rsid w:val="0210389F"/>
    <w:rsid w:val="0216348C"/>
    <w:rsid w:val="021D2497"/>
    <w:rsid w:val="02217A18"/>
    <w:rsid w:val="0232202D"/>
    <w:rsid w:val="02441B02"/>
    <w:rsid w:val="024457B0"/>
    <w:rsid w:val="0250392C"/>
    <w:rsid w:val="025978D8"/>
    <w:rsid w:val="02597A07"/>
    <w:rsid w:val="0262017F"/>
    <w:rsid w:val="02642FF8"/>
    <w:rsid w:val="02700A12"/>
    <w:rsid w:val="02775A28"/>
    <w:rsid w:val="027E52DE"/>
    <w:rsid w:val="027F4BED"/>
    <w:rsid w:val="028615F5"/>
    <w:rsid w:val="0299209F"/>
    <w:rsid w:val="02B16DC4"/>
    <w:rsid w:val="02CD52F1"/>
    <w:rsid w:val="02D81677"/>
    <w:rsid w:val="02E55AA5"/>
    <w:rsid w:val="02F33579"/>
    <w:rsid w:val="02F8405A"/>
    <w:rsid w:val="03036BF9"/>
    <w:rsid w:val="03214847"/>
    <w:rsid w:val="032D48CD"/>
    <w:rsid w:val="034266EE"/>
    <w:rsid w:val="03443E2C"/>
    <w:rsid w:val="03504DE9"/>
    <w:rsid w:val="035C29D6"/>
    <w:rsid w:val="035D53D7"/>
    <w:rsid w:val="036201B8"/>
    <w:rsid w:val="036B6560"/>
    <w:rsid w:val="0372245E"/>
    <w:rsid w:val="037F62D3"/>
    <w:rsid w:val="03854D08"/>
    <w:rsid w:val="03930F0A"/>
    <w:rsid w:val="03B10190"/>
    <w:rsid w:val="03BB5239"/>
    <w:rsid w:val="03C235A6"/>
    <w:rsid w:val="03D27A7B"/>
    <w:rsid w:val="03E301C6"/>
    <w:rsid w:val="03FB16C0"/>
    <w:rsid w:val="03FD5441"/>
    <w:rsid w:val="04137485"/>
    <w:rsid w:val="04153CED"/>
    <w:rsid w:val="042F4EB9"/>
    <w:rsid w:val="043C7217"/>
    <w:rsid w:val="04425896"/>
    <w:rsid w:val="044D3710"/>
    <w:rsid w:val="044F16F0"/>
    <w:rsid w:val="045F3FFA"/>
    <w:rsid w:val="046520CC"/>
    <w:rsid w:val="046C04BB"/>
    <w:rsid w:val="046D7BBB"/>
    <w:rsid w:val="048054C4"/>
    <w:rsid w:val="04936167"/>
    <w:rsid w:val="049F7B95"/>
    <w:rsid w:val="04A54B88"/>
    <w:rsid w:val="04BD7573"/>
    <w:rsid w:val="04C54BFC"/>
    <w:rsid w:val="04CB16A5"/>
    <w:rsid w:val="04CE5DB1"/>
    <w:rsid w:val="04EB6C9E"/>
    <w:rsid w:val="04F472B8"/>
    <w:rsid w:val="051B13D5"/>
    <w:rsid w:val="05296E4A"/>
    <w:rsid w:val="05304A58"/>
    <w:rsid w:val="053813CE"/>
    <w:rsid w:val="05440EDB"/>
    <w:rsid w:val="054B7AFF"/>
    <w:rsid w:val="055535F9"/>
    <w:rsid w:val="05637420"/>
    <w:rsid w:val="05651152"/>
    <w:rsid w:val="05786B54"/>
    <w:rsid w:val="05790628"/>
    <w:rsid w:val="05827A6F"/>
    <w:rsid w:val="0589736D"/>
    <w:rsid w:val="05B10123"/>
    <w:rsid w:val="05B96FC6"/>
    <w:rsid w:val="05BA0F6E"/>
    <w:rsid w:val="05C85B6F"/>
    <w:rsid w:val="05DB4964"/>
    <w:rsid w:val="05DE403A"/>
    <w:rsid w:val="05F17190"/>
    <w:rsid w:val="05F55A06"/>
    <w:rsid w:val="05FA2B93"/>
    <w:rsid w:val="06164C37"/>
    <w:rsid w:val="061C77CE"/>
    <w:rsid w:val="06304B8C"/>
    <w:rsid w:val="063E3117"/>
    <w:rsid w:val="06430846"/>
    <w:rsid w:val="064324C4"/>
    <w:rsid w:val="06502347"/>
    <w:rsid w:val="06594FCF"/>
    <w:rsid w:val="065B47F7"/>
    <w:rsid w:val="06627DE3"/>
    <w:rsid w:val="06695A20"/>
    <w:rsid w:val="06852C34"/>
    <w:rsid w:val="06896EB2"/>
    <w:rsid w:val="06B45B9F"/>
    <w:rsid w:val="06BF405D"/>
    <w:rsid w:val="06CE7026"/>
    <w:rsid w:val="06D21E10"/>
    <w:rsid w:val="06D62B5E"/>
    <w:rsid w:val="06E64FC3"/>
    <w:rsid w:val="07032602"/>
    <w:rsid w:val="072F5E18"/>
    <w:rsid w:val="07303C13"/>
    <w:rsid w:val="073B51E3"/>
    <w:rsid w:val="074E7208"/>
    <w:rsid w:val="075D0B31"/>
    <w:rsid w:val="07673A1A"/>
    <w:rsid w:val="076A70D7"/>
    <w:rsid w:val="076C2F34"/>
    <w:rsid w:val="07772C60"/>
    <w:rsid w:val="078556FE"/>
    <w:rsid w:val="07865643"/>
    <w:rsid w:val="078D4B82"/>
    <w:rsid w:val="079077ED"/>
    <w:rsid w:val="07AF4BE1"/>
    <w:rsid w:val="07E278AB"/>
    <w:rsid w:val="07EF73D0"/>
    <w:rsid w:val="08016B55"/>
    <w:rsid w:val="080A1651"/>
    <w:rsid w:val="08162E97"/>
    <w:rsid w:val="082A70DC"/>
    <w:rsid w:val="08440553"/>
    <w:rsid w:val="08452B36"/>
    <w:rsid w:val="085E3710"/>
    <w:rsid w:val="08687B52"/>
    <w:rsid w:val="086E0B2B"/>
    <w:rsid w:val="087D3545"/>
    <w:rsid w:val="08841649"/>
    <w:rsid w:val="0892386F"/>
    <w:rsid w:val="08955F46"/>
    <w:rsid w:val="0896540B"/>
    <w:rsid w:val="08A72DDC"/>
    <w:rsid w:val="08B44A65"/>
    <w:rsid w:val="08C022DD"/>
    <w:rsid w:val="08CC7772"/>
    <w:rsid w:val="08D95445"/>
    <w:rsid w:val="08DB7137"/>
    <w:rsid w:val="08E40B8D"/>
    <w:rsid w:val="08E73C68"/>
    <w:rsid w:val="08E951FE"/>
    <w:rsid w:val="08F711CC"/>
    <w:rsid w:val="090B3A39"/>
    <w:rsid w:val="090D436A"/>
    <w:rsid w:val="091820A9"/>
    <w:rsid w:val="09265A43"/>
    <w:rsid w:val="094521FA"/>
    <w:rsid w:val="094914DC"/>
    <w:rsid w:val="094F496B"/>
    <w:rsid w:val="09516593"/>
    <w:rsid w:val="095732AD"/>
    <w:rsid w:val="095C4258"/>
    <w:rsid w:val="096F5B1B"/>
    <w:rsid w:val="097256CC"/>
    <w:rsid w:val="09786076"/>
    <w:rsid w:val="098E29CC"/>
    <w:rsid w:val="09AF056B"/>
    <w:rsid w:val="09BD5AD7"/>
    <w:rsid w:val="09CE6D29"/>
    <w:rsid w:val="09CF3FB8"/>
    <w:rsid w:val="09D15281"/>
    <w:rsid w:val="09E46E3B"/>
    <w:rsid w:val="09E918B1"/>
    <w:rsid w:val="09F12419"/>
    <w:rsid w:val="0A0A59EB"/>
    <w:rsid w:val="0A0B7D82"/>
    <w:rsid w:val="0A1C5FD7"/>
    <w:rsid w:val="0A2D2358"/>
    <w:rsid w:val="0A303492"/>
    <w:rsid w:val="0A3053D9"/>
    <w:rsid w:val="0A374E1B"/>
    <w:rsid w:val="0A3E04EE"/>
    <w:rsid w:val="0A3E13A8"/>
    <w:rsid w:val="0A4531C8"/>
    <w:rsid w:val="0A4D49DC"/>
    <w:rsid w:val="0A7D2FA4"/>
    <w:rsid w:val="0AA17A99"/>
    <w:rsid w:val="0AA72E4B"/>
    <w:rsid w:val="0ABC57B1"/>
    <w:rsid w:val="0AE75E13"/>
    <w:rsid w:val="0B097343"/>
    <w:rsid w:val="0B1E797A"/>
    <w:rsid w:val="0B254482"/>
    <w:rsid w:val="0B2D703C"/>
    <w:rsid w:val="0B340129"/>
    <w:rsid w:val="0B396189"/>
    <w:rsid w:val="0B4A3976"/>
    <w:rsid w:val="0B520597"/>
    <w:rsid w:val="0B5551FE"/>
    <w:rsid w:val="0B570858"/>
    <w:rsid w:val="0B571D8E"/>
    <w:rsid w:val="0B8F0142"/>
    <w:rsid w:val="0B914008"/>
    <w:rsid w:val="0BA83124"/>
    <w:rsid w:val="0BA85E8E"/>
    <w:rsid w:val="0BCF46DA"/>
    <w:rsid w:val="0BEA62BE"/>
    <w:rsid w:val="0BF42D78"/>
    <w:rsid w:val="0C045A54"/>
    <w:rsid w:val="0C2748B3"/>
    <w:rsid w:val="0C3A0EA2"/>
    <w:rsid w:val="0C423B4C"/>
    <w:rsid w:val="0C55043B"/>
    <w:rsid w:val="0C5532A7"/>
    <w:rsid w:val="0C5F7EC9"/>
    <w:rsid w:val="0C64361A"/>
    <w:rsid w:val="0C763BCD"/>
    <w:rsid w:val="0C7975C1"/>
    <w:rsid w:val="0C7D0D4A"/>
    <w:rsid w:val="0C846C10"/>
    <w:rsid w:val="0CA25589"/>
    <w:rsid w:val="0CA87A4E"/>
    <w:rsid w:val="0CB72F3E"/>
    <w:rsid w:val="0CBC262F"/>
    <w:rsid w:val="0CC61B2F"/>
    <w:rsid w:val="0CCC4DA5"/>
    <w:rsid w:val="0CD1284A"/>
    <w:rsid w:val="0CDD3BCD"/>
    <w:rsid w:val="0CE76116"/>
    <w:rsid w:val="0CF3028A"/>
    <w:rsid w:val="0CF80021"/>
    <w:rsid w:val="0D2224C9"/>
    <w:rsid w:val="0D22418C"/>
    <w:rsid w:val="0D2274EF"/>
    <w:rsid w:val="0D2C7FCD"/>
    <w:rsid w:val="0D30158F"/>
    <w:rsid w:val="0D4314F7"/>
    <w:rsid w:val="0D46764F"/>
    <w:rsid w:val="0D4A5B83"/>
    <w:rsid w:val="0D4F3378"/>
    <w:rsid w:val="0D72538D"/>
    <w:rsid w:val="0D72646C"/>
    <w:rsid w:val="0D8900CC"/>
    <w:rsid w:val="0D92122F"/>
    <w:rsid w:val="0D982CF5"/>
    <w:rsid w:val="0D9B41DD"/>
    <w:rsid w:val="0DBA1896"/>
    <w:rsid w:val="0DCF45A5"/>
    <w:rsid w:val="0DF44EF1"/>
    <w:rsid w:val="0E022BDA"/>
    <w:rsid w:val="0E2860EE"/>
    <w:rsid w:val="0E343CE0"/>
    <w:rsid w:val="0E353853"/>
    <w:rsid w:val="0E411532"/>
    <w:rsid w:val="0E5A016E"/>
    <w:rsid w:val="0E616ECB"/>
    <w:rsid w:val="0E690136"/>
    <w:rsid w:val="0E752256"/>
    <w:rsid w:val="0E7C6ECA"/>
    <w:rsid w:val="0E9D4D60"/>
    <w:rsid w:val="0EAE428B"/>
    <w:rsid w:val="0EC1744B"/>
    <w:rsid w:val="0EC41AF2"/>
    <w:rsid w:val="0EC838E6"/>
    <w:rsid w:val="0ECA4573"/>
    <w:rsid w:val="0ED76162"/>
    <w:rsid w:val="0EF00EF4"/>
    <w:rsid w:val="0F224AE9"/>
    <w:rsid w:val="0F2C2E76"/>
    <w:rsid w:val="0F2E21F6"/>
    <w:rsid w:val="0F3038CA"/>
    <w:rsid w:val="0F305B6B"/>
    <w:rsid w:val="0F3504E0"/>
    <w:rsid w:val="0F4466C5"/>
    <w:rsid w:val="0F4930D9"/>
    <w:rsid w:val="0F6A1F1A"/>
    <w:rsid w:val="0F6F0B41"/>
    <w:rsid w:val="0F7A2703"/>
    <w:rsid w:val="0F7C03B6"/>
    <w:rsid w:val="0F7C513B"/>
    <w:rsid w:val="0F7E6819"/>
    <w:rsid w:val="0F8065DE"/>
    <w:rsid w:val="0F8D1D3B"/>
    <w:rsid w:val="0FA55D25"/>
    <w:rsid w:val="0FB55CA2"/>
    <w:rsid w:val="0FC81674"/>
    <w:rsid w:val="0FCA66C9"/>
    <w:rsid w:val="0FD36916"/>
    <w:rsid w:val="0FF410EA"/>
    <w:rsid w:val="1001271D"/>
    <w:rsid w:val="1018013C"/>
    <w:rsid w:val="101F264D"/>
    <w:rsid w:val="10240EAE"/>
    <w:rsid w:val="10267F1F"/>
    <w:rsid w:val="104027E9"/>
    <w:rsid w:val="1048405B"/>
    <w:rsid w:val="10586187"/>
    <w:rsid w:val="106A4FF5"/>
    <w:rsid w:val="107C111A"/>
    <w:rsid w:val="10873C17"/>
    <w:rsid w:val="108924FE"/>
    <w:rsid w:val="109E1CBC"/>
    <w:rsid w:val="10C845AF"/>
    <w:rsid w:val="10CF7081"/>
    <w:rsid w:val="10D2164E"/>
    <w:rsid w:val="11004354"/>
    <w:rsid w:val="1102743D"/>
    <w:rsid w:val="111326AB"/>
    <w:rsid w:val="111407FF"/>
    <w:rsid w:val="1136394B"/>
    <w:rsid w:val="113E5504"/>
    <w:rsid w:val="113F075A"/>
    <w:rsid w:val="11514792"/>
    <w:rsid w:val="11534D38"/>
    <w:rsid w:val="11694069"/>
    <w:rsid w:val="116C2CA8"/>
    <w:rsid w:val="11702477"/>
    <w:rsid w:val="117F5778"/>
    <w:rsid w:val="1181395C"/>
    <w:rsid w:val="11856D23"/>
    <w:rsid w:val="11972CDA"/>
    <w:rsid w:val="119A30B8"/>
    <w:rsid w:val="119E326A"/>
    <w:rsid w:val="11A56003"/>
    <w:rsid w:val="11AB207C"/>
    <w:rsid w:val="11B56492"/>
    <w:rsid w:val="11BE25D8"/>
    <w:rsid w:val="11D26172"/>
    <w:rsid w:val="11EF6458"/>
    <w:rsid w:val="12013B8C"/>
    <w:rsid w:val="12035828"/>
    <w:rsid w:val="12290F0E"/>
    <w:rsid w:val="122B6114"/>
    <w:rsid w:val="122D7A28"/>
    <w:rsid w:val="12412737"/>
    <w:rsid w:val="12415A70"/>
    <w:rsid w:val="12564A26"/>
    <w:rsid w:val="125E6E7A"/>
    <w:rsid w:val="128053FC"/>
    <w:rsid w:val="128E5246"/>
    <w:rsid w:val="12B14A74"/>
    <w:rsid w:val="12C66D28"/>
    <w:rsid w:val="12D762D5"/>
    <w:rsid w:val="12DA7718"/>
    <w:rsid w:val="12DB1FEF"/>
    <w:rsid w:val="12E77597"/>
    <w:rsid w:val="12EE40B1"/>
    <w:rsid w:val="12F67BB8"/>
    <w:rsid w:val="12FC289B"/>
    <w:rsid w:val="12FC28BE"/>
    <w:rsid w:val="130009D7"/>
    <w:rsid w:val="131468C3"/>
    <w:rsid w:val="13264E55"/>
    <w:rsid w:val="13405A87"/>
    <w:rsid w:val="134402E0"/>
    <w:rsid w:val="13700994"/>
    <w:rsid w:val="13813795"/>
    <w:rsid w:val="138153A3"/>
    <w:rsid w:val="138A650F"/>
    <w:rsid w:val="139D238D"/>
    <w:rsid w:val="13B128C5"/>
    <w:rsid w:val="13BF3162"/>
    <w:rsid w:val="13C023F9"/>
    <w:rsid w:val="13CC58CF"/>
    <w:rsid w:val="13E32EE9"/>
    <w:rsid w:val="13E71044"/>
    <w:rsid w:val="13EC6D28"/>
    <w:rsid w:val="13F24D5E"/>
    <w:rsid w:val="13F44897"/>
    <w:rsid w:val="13F61207"/>
    <w:rsid w:val="140A45FC"/>
    <w:rsid w:val="143A0B3D"/>
    <w:rsid w:val="144933C4"/>
    <w:rsid w:val="1454104D"/>
    <w:rsid w:val="146F13F3"/>
    <w:rsid w:val="14741614"/>
    <w:rsid w:val="1477630D"/>
    <w:rsid w:val="147C11C1"/>
    <w:rsid w:val="147D4F72"/>
    <w:rsid w:val="148A3D0B"/>
    <w:rsid w:val="1497248C"/>
    <w:rsid w:val="149C28BF"/>
    <w:rsid w:val="14A136D6"/>
    <w:rsid w:val="14A23940"/>
    <w:rsid w:val="14A45FB0"/>
    <w:rsid w:val="14A6243D"/>
    <w:rsid w:val="14AB192A"/>
    <w:rsid w:val="14AB25B1"/>
    <w:rsid w:val="14B15786"/>
    <w:rsid w:val="14BE75D9"/>
    <w:rsid w:val="14C40355"/>
    <w:rsid w:val="14C44422"/>
    <w:rsid w:val="14C87812"/>
    <w:rsid w:val="14FE0762"/>
    <w:rsid w:val="15141AAA"/>
    <w:rsid w:val="152A0D1B"/>
    <w:rsid w:val="152C3A7F"/>
    <w:rsid w:val="15412561"/>
    <w:rsid w:val="15491A7F"/>
    <w:rsid w:val="15520B0B"/>
    <w:rsid w:val="155234DD"/>
    <w:rsid w:val="156A7853"/>
    <w:rsid w:val="15746AF1"/>
    <w:rsid w:val="15790FD7"/>
    <w:rsid w:val="15810990"/>
    <w:rsid w:val="158A10C8"/>
    <w:rsid w:val="158E19C1"/>
    <w:rsid w:val="159B7CA7"/>
    <w:rsid w:val="159C4EFE"/>
    <w:rsid w:val="15C60DCC"/>
    <w:rsid w:val="162611E2"/>
    <w:rsid w:val="162C2366"/>
    <w:rsid w:val="162F52A8"/>
    <w:rsid w:val="163A1332"/>
    <w:rsid w:val="16415A71"/>
    <w:rsid w:val="16493163"/>
    <w:rsid w:val="165401BC"/>
    <w:rsid w:val="16576AE2"/>
    <w:rsid w:val="165E170D"/>
    <w:rsid w:val="16622C66"/>
    <w:rsid w:val="166C5666"/>
    <w:rsid w:val="167C40D7"/>
    <w:rsid w:val="16A0567C"/>
    <w:rsid w:val="16A353AA"/>
    <w:rsid w:val="16BA0FCD"/>
    <w:rsid w:val="16C14BCE"/>
    <w:rsid w:val="16D1745F"/>
    <w:rsid w:val="16E46F14"/>
    <w:rsid w:val="16E87E3D"/>
    <w:rsid w:val="16F52191"/>
    <w:rsid w:val="17083517"/>
    <w:rsid w:val="17120F22"/>
    <w:rsid w:val="1713355E"/>
    <w:rsid w:val="171F0F1C"/>
    <w:rsid w:val="173364D6"/>
    <w:rsid w:val="1736426D"/>
    <w:rsid w:val="17410E5B"/>
    <w:rsid w:val="17460521"/>
    <w:rsid w:val="17780F55"/>
    <w:rsid w:val="178E73E6"/>
    <w:rsid w:val="179C641F"/>
    <w:rsid w:val="179D2AA3"/>
    <w:rsid w:val="17B32DED"/>
    <w:rsid w:val="17B86748"/>
    <w:rsid w:val="17BA0187"/>
    <w:rsid w:val="17BD082D"/>
    <w:rsid w:val="17C02893"/>
    <w:rsid w:val="17C375A1"/>
    <w:rsid w:val="17C47764"/>
    <w:rsid w:val="17E3570D"/>
    <w:rsid w:val="17E413A1"/>
    <w:rsid w:val="17F606C0"/>
    <w:rsid w:val="18023817"/>
    <w:rsid w:val="183C5D37"/>
    <w:rsid w:val="18461532"/>
    <w:rsid w:val="186268BD"/>
    <w:rsid w:val="186436F7"/>
    <w:rsid w:val="188D6481"/>
    <w:rsid w:val="18927CF1"/>
    <w:rsid w:val="18974E94"/>
    <w:rsid w:val="189824E5"/>
    <w:rsid w:val="189D29F4"/>
    <w:rsid w:val="189F703B"/>
    <w:rsid w:val="18AF432C"/>
    <w:rsid w:val="18DA42E0"/>
    <w:rsid w:val="18DF0FE7"/>
    <w:rsid w:val="18E25D4D"/>
    <w:rsid w:val="18E30ED6"/>
    <w:rsid w:val="19072175"/>
    <w:rsid w:val="19150AEF"/>
    <w:rsid w:val="191E61A8"/>
    <w:rsid w:val="195B17F6"/>
    <w:rsid w:val="196F7D5A"/>
    <w:rsid w:val="197B6835"/>
    <w:rsid w:val="198E56A0"/>
    <w:rsid w:val="1992381E"/>
    <w:rsid w:val="199505C2"/>
    <w:rsid w:val="199E0DC0"/>
    <w:rsid w:val="19AA594A"/>
    <w:rsid w:val="19AC7FD2"/>
    <w:rsid w:val="19BC734C"/>
    <w:rsid w:val="19BE4B96"/>
    <w:rsid w:val="19C21A99"/>
    <w:rsid w:val="19C40971"/>
    <w:rsid w:val="19C51FBF"/>
    <w:rsid w:val="19CC23BE"/>
    <w:rsid w:val="19E46E1D"/>
    <w:rsid w:val="19F17C09"/>
    <w:rsid w:val="19F36457"/>
    <w:rsid w:val="19FD6095"/>
    <w:rsid w:val="19FF4CB5"/>
    <w:rsid w:val="1A043AF4"/>
    <w:rsid w:val="1A0C05D9"/>
    <w:rsid w:val="1A0E41E2"/>
    <w:rsid w:val="1A1B57CD"/>
    <w:rsid w:val="1A285CC2"/>
    <w:rsid w:val="1A542DB4"/>
    <w:rsid w:val="1A603DC4"/>
    <w:rsid w:val="1A6744B2"/>
    <w:rsid w:val="1A6A04F8"/>
    <w:rsid w:val="1A6A4676"/>
    <w:rsid w:val="1A6E2C04"/>
    <w:rsid w:val="1A74720F"/>
    <w:rsid w:val="1A7D169C"/>
    <w:rsid w:val="1A7F3176"/>
    <w:rsid w:val="1A8228B4"/>
    <w:rsid w:val="1A884D1F"/>
    <w:rsid w:val="1A98283F"/>
    <w:rsid w:val="1A99412E"/>
    <w:rsid w:val="1AB33A4E"/>
    <w:rsid w:val="1AC43E85"/>
    <w:rsid w:val="1AC71182"/>
    <w:rsid w:val="1AE64D67"/>
    <w:rsid w:val="1AEF38D5"/>
    <w:rsid w:val="1AF53DAD"/>
    <w:rsid w:val="1AF67D2B"/>
    <w:rsid w:val="1B1661A3"/>
    <w:rsid w:val="1B1904FB"/>
    <w:rsid w:val="1B382423"/>
    <w:rsid w:val="1B4D5278"/>
    <w:rsid w:val="1B4E247D"/>
    <w:rsid w:val="1B5003D3"/>
    <w:rsid w:val="1B56170E"/>
    <w:rsid w:val="1B5909BD"/>
    <w:rsid w:val="1B5F4FC5"/>
    <w:rsid w:val="1B6612C9"/>
    <w:rsid w:val="1B8A5845"/>
    <w:rsid w:val="1B972B55"/>
    <w:rsid w:val="1BA063C0"/>
    <w:rsid w:val="1BA75F7D"/>
    <w:rsid w:val="1BBA1B7D"/>
    <w:rsid w:val="1BBC7BDE"/>
    <w:rsid w:val="1BC35473"/>
    <w:rsid w:val="1BCB5828"/>
    <w:rsid w:val="1BE41A08"/>
    <w:rsid w:val="1BF3022C"/>
    <w:rsid w:val="1BF64E38"/>
    <w:rsid w:val="1C096E21"/>
    <w:rsid w:val="1C0B1233"/>
    <w:rsid w:val="1C0F2192"/>
    <w:rsid w:val="1C110426"/>
    <w:rsid w:val="1C252D11"/>
    <w:rsid w:val="1C347061"/>
    <w:rsid w:val="1C3B6356"/>
    <w:rsid w:val="1C3D560A"/>
    <w:rsid w:val="1C4A28E3"/>
    <w:rsid w:val="1C4B2D23"/>
    <w:rsid w:val="1C4F1CA9"/>
    <w:rsid w:val="1C64250D"/>
    <w:rsid w:val="1C642B1A"/>
    <w:rsid w:val="1C643E00"/>
    <w:rsid w:val="1C705B78"/>
    <w:rsid w:val="1C8062F9"/>
    <w:rsid w:val="1C830837"/>
    <w:rsid w:val="1C8B2EA7"/>
    <w:rsid w:val="1C8B3BC6"/>
    <w:rsid w:val="1C960A70"/>
    <w:rsid w:val="1C990CD0"/>
    <w:rsid w:val="1C9E6531"/>
    <w:rsid w:val="1CAB5E94"/>
    <w:rsid w:val="1CB75DAF"/>
    <w:rsid w:val="1CC5557A"/>
    <w:rsid w:val="1CF63844"/>
    <w:rsid w:val="1D2233C9"/>
    <w:rsid w:val="1D5860E0"/>
    <w:rsid w:val="1D724EB4"/>
    <w:rsid w:val="1D7853F7"/>
    <w:rsid w:val="1D791EBF"/>
    <w:rsid w:val="1D8A2C26"/>
    <w:rsid w:val="1D8A4E7B"/>
    <w:rsid w:val="1D915452"/>
    <w:rsid w:val="1D9836B0"/>
    <w:rsid w:val="1D9D1A60"/>
    <w:rsid w:val="1D9E0182"/>
    <w:rsid w:val="1DB409DB"/>
    <w:rsid w:val="1DC34DD9"/>
    <w:rsid w:val="1DDD2BEF"/>
    <w:rsid w:val="1DE541AF"/>
    <w:rsid w:val="1E147321"/>
    <w:rsid w:val="1E33033A"/>
    <w:rsid w:val="1E396C74"/>
    <w:rsid w:val="1E415936"/>
    <w:rsid w:val="1E487F9E"/>
    <w:rsid w:val="1E5753E0"/>
    <w:rsid w:val="1E6E4A92"/>
    <w:rsid w:val="1E6E6747"/>
    <w:rsid w:val="1E703DB9"/>
    <w:rsid w:val="1E74383F"/>
    <w:rsid w:val="1E8C745D"/>
    <w:rsid w:val="1E941792"/>
    <w:rsid w:val="1E9D5E53"/>
    <w:rsid w:val="1EB7105D"/>
    <w:rsid w:val="1EB92499"/>
    <w:rsid w:val="1EC111FD"/>
    <w:rsid w:val="1ED60FB6"/>
    <w:rsid w:val="1F002B00"/>
    <w:rsid w:val="1F0840C0"/>
    <w:rsid w:val="1F0C4D92"/>
    <w:rsid w:val="1F166DCB"/>
    <w:rsid w:val="1F1E75C5"/>
    <w:rsid w:val="1F2A0E70"/>
    <w:rsid w:val="1F2D669E"/>
    <w:rsid w:val="1F3D4768"/>
    <w:rsid w:val="1F526FB3"/>
    <w:rsid w:val="1F573DB5"/>
    <w:rsid w:val="1F731F8D"/>
    <w:rsid w:val="1F807A5E"/>
    <w:rsid w:val="1F813F89"/>
    <w:rsid w:val="1F8F38DB"/>
    <w:rsid w:val="1F9F7F10"/>
    <w:rsid w:val="1FA60322"/>
    <w:rsid w:val="1FC4206E"/>
    <w:rsid w:val="1FC73078"/>
    <w:rsid w:val="1FC9696C"/>
    <w:rsid w:val="1FF5004C"/>
    <w:rsid w:val="1FF67E6D"/>
    <w:rsid w:val="200E1A0A"/>
    <w:rsid w:val="20106230"/>
    <w:rsid w:val="201B279C"/>
    <w:rsid w:val="2029041F"/>
    <w:rsid w:val="203647AA"/>
    <w:rsid w:val="2043534D"/>
    <w:rsid w:val="20654239"/>
    <w:rsid w:val="20682955"/>
    <w:rsid w:val="206A1062"/>
    <w:rsid w:val="206F45D9"/>
    <w:rsid w:val="20700891"/>
    <w:rsid w:val="20703FDE"/>
    <w:rsid w:val="209F6526"/>
    <w:rsid w:val="20A02F96"/>
    <w:rsid w:val="20A22E61"/>
    <w:rsid w:val="20AA183D"/>
    <w:rsid w:val="20D11800"/>
    <w:rsid w:val="20D17529"/>
    <w:rsid w:val="20DC1BC4"/>
    <w:rsid w:val="20DF35F5"/>
    <w:rsid w:val="20E078AD"/>
    <w:rsid w:val="20E60491"/>
    <w:rsid w:val="20F71370"/>
    <w:rsid w:val="210431F4"/>
    <w:rsid w:val="211D4B06"/>
    <w:rsid w:val="21317AF7"/>
    <w:rsid w:val="2149415F"/>
    <w:rsid w:val="214D1347"/>
    <w:rsid w:val="214D436C"/>
    <w:rsid w:val="215C59D3"/>
    <w:rsid w:val="21661858"/>
    <w:rsid w:val="216B36F2"/>
    <w:rsid w:val="218E49DB"/>
    <w:rsid w:val="21962F2C"/>
    <w:rsid w:val="21D224B0"/>
    <w:rsid w:val="21DA13C0"/>
    <w:rsid w:val="21DB43E4"/>
    <w:rsid w:val="21DB5AB4"/>
    <w:rsid w:val="21FE4245"/>
    <w:rsid w:val="220B2862"/>
    <w:rsid w:val="221670A8"/>
    <w:rsid w:val="22316151"/>
    <w:rsid w:val="223A547D"/>
    <w:rsid w:val="224B187A"/>
    <w:rsid w:val="224C4E3C"/>
    <w:rsid w:val="225B1540"/>
    <w:rsid w:val="22621B6A"/>
    <w:rsid w:val="227C25D8"/>
    <w:rsid w:val="229E2670"/>
    <w:rsid w:val="22A14CB0"/>
    <w:rsid w:val="22A84E25"/>
    <w:rsid w:val="22AD570A"/>
    <w:rsid w:val="230107DF"/>
    <w:rsid w:val="230B0491"/>
    <w:rsid w:val="231057D2"/>
    <w:rsid w:val="231878C3"/>
    <w:rsid w:val="231E655E"/>
    <w:rsid w:val="23227345"/>
    <w:rsid w:val="2338459A"/>
    <w:rsid w:val="233F18A9"/>
    <w:rsid w:val="234006EC"/>
    <w:rsid w:val="2352251D"/>
    <w:rsid w:val="235D59EF"/>
    <w:rsid w:val="237130FB"/>
    <w:rsid w:val="237A74F0"/>
    <w:rsid w:val="237F7B4B"/>
    <w:rsid w:val="238306FE"/>
    <w:rsid w:val="23993600"/>
    <w:rsid w:val="239B7D19"/>
    <w:rsid w:val="239D6F3C"/>
    <w:rsid w:val="23CA7D6F"/>
    <w:rsid w:val="23D15758"/>
    <w:rsid w:val="23EC2B26"/>
    <w:rsid w:val="23EC6867"/>
    <w:rsid w:val="2401320B"/>
    <w:rsid w:val="24076EE0"/>
    <w:rsid w:val="242171C1"/>
    <w:rsid w:val="24230B74"/>
    <w:rsid w:val="243107C7"/>
    <w:rsid w:val="24367BD5"/>
    <w:rsid w:val="243D27A3"/>
    <w:rsid w:val="244B606F"/>
    <w:rsid w:val="245B23CF"/>
    <w:rsid w:val="245C50AD"/>
    <w:rsid w:val="24603FA7"/>
    <w:rsid w:val="246F2458"/>
    <w:rsid w:val="247F57C7"/>
    <w:rsid w:val="24910693"/>
    <w:rsid w:val="24963CCF"/>
    <w:rsid w:val="24986210"/>
    <w:rsid w:val="24B81ED1"/>
    <w:rsid w:val="24BC52F1"/>
    <w:rsid w:val="24C1596E"/>
    <w:rsid w:val="24CC7AE7"/>
    <w:rsid w:val="24E000F6"/>
    <w:rsid w:val="24E15797"/>
    <w:rsid w:val="24E753E1"/>
    <w:rsid w:val="24F36015"/>
    <w:rsid w:val="24F93F35"/>
    <w:rsid w:val="250059A5"/>
    <w:rsid w:val="25285A33"/>
    <w:rsid w:val="25290C20"/>
    <w:rsid w:val="2544425A"/>
    <w:rsid w:val="254E3BE9"/>
    <w:rsid w:val="25644CFB"/>
    <w:rsid w:val="258830E8"/>
    <w:rsid w:val="258D733A"/>
    <w:rsid w:val="25924D10"/>
    <w:rsid w:val="25A06DE0"/>
    <w:rsid w:val="25BF3B53"/>
    <w:rsid w:val="25C17777"/>
    <w:rsid w:val="25C17B97"/>
    <w:rsid w:val="25C84173"/>
    <w:rsid w:val="25CF27C6"/>
    <w:rsid w:val="25D81CFE"/>
    <w:rsid w:val="25DE4D65"/>
    <w:rsid w:val="25FA77AA"/>
    <w:rsid w:val="260333EF"/>
    <w:rsid w:val="26037C97"/>
    <w:rsid w:val="261017C6"/>
    <w:rsid w:val="26203D3E"/>
    <w:rsid w:val="263F5510"/>
    <w:rsid w:val="2641436D"/>
    <w:rsid w:val="26425671"/>
    <w:rsid w:val="265440D7"/>
    <w:rsid w:val="266153E4"/>
    <w:rsid w:val="26650CFE"/>
    <w:rsid w:val="266C5638"/>
    <w:rsid w:val="266E33AC"/>
    <w:rsid w:val="266F5212"/>
    <w:rsid w:val="2670621F"/>
    <w:rsid w:val="2680228A"/>
    <w:rsid w:val="26815D1A"/>
    <w:rsid w:val="26866639"/>
    <w:rsid w:val="26931184"/>
    <w:rsid w:val="26B17E46"/>
    <w:rsid w:val="26D8755C"/>
    <w:rsid w:val="26DB604A"/>
    <w:rsid w:val="26E45D07"/>
    <w:rsid w:val="26F2574A"/>
    <w:rsid w:val="26F8589B"/>
    <w:rsid w:val="271A2C96"/>
    <w:rsid w:val="27261C55"/>
    <w:rsid w:val="272C2121"/>
    <w:rsid w:val="274204A2"/>
    <w:rsid w:val="2745690B"/>
    <w:rsid w:val="274715AA"/>
    <w:rsid w:val="274D06D6"/>
    <w:rsid w:val="278A09FD"/>
    <w:rsid w:val="279865C2"/>
    <w:rsid w:val="27996369"/>
    <w:rsid w:val="279A76B8"/>
    <w:rsid w:val="279F1523"/>
    <w:rsid w:val="27A060EE"/>
    <w:rsid w:val="27A83535"/>
    <w:rsid w:val="27B839C1"/>
    <w:rsid w:val="27BF551C"/>
    <w:rsid w:val="27D35EB6"/>
    <w:rsid w:val="27DD6030"/>
    <w:rsid w:val="27F62352"/>
    <w:rsid w:val="27F70088"/>
    <w:rsid w:val="27F80870"/>
    <w:rsid w:val="28033475"/>
    <w:rsid w:val="2806626A"/>
    <w:rsid w:val="282310EA"/>
    <w:rsid w:val="283E178A"/>
    <w:rsid w:val="283E7BF4"/>
    <w:rsid w:val="2852151F"/>
    <w:rsid w:val="285E1230"/>
    <w:rsid w:val="285E2CA9"/>
    <w:rsid w:val="286B40D0"/>
    <w:rsid w:val="287D7284"/>
    <w:rsid w:val="28802BA7"/>
    <w:rsid w:val="288D2BA7"/>
    <w:rsid w:val="28A56D74"/>
    <w:rsid w:val="28A72C93"/>
    <w:rsid w:val="28B17AFC"/>
    <w:rsid w:val="28CA5E86"/>
    <w:rsid w:val="28E03BAC"/>
    <w:rsid w:val="28E0766B"/>
    <w:rsid w:val="29095871"/>
    <w:rsid w:val="290C539D"/>
    <w:rsid w:val="29132204"/>
    <w:rsid w:val="29230B26"/>
    <w:rsid w:val="293D6886"/>
    <w:rsid w:val="295335C6"/>
    <w:rsid w:val="296D6704"/>
    <w:rsid w:val="29705D44"/>
    <w:rsid w:val="297635ED"/>
    <w:rsid w:val="297B1949"/>
    <w:rsid w:val="298E4DCE"/>
    <w:rsid w:val="299506CD"/>
    <w:rsid w:val="299F3E73"/>
    <w:rsid w:val="29A90AEE"/>
    <w:rsid w:val="29BF7193"/>
    <w:rsid w:val="29D61C04"/>
    <w:rsid w:val="29E10367"/>
    <w:rsid w:val="29E1562F"/>
    <w:rsid w:val="29EF02F3"/>
    <w:rsid w:val="2A046273"/>
    <w:rsid w:val="2A077C31"/>
    <w:rsid w:val="2A0A792B"/>
    <w:rsid w:val="2A0E329E"/>
    <w:rsid w:val="2A2D5253"/>
    <w:rsid w:val="2A415CB0"/>
    <w:rsid w:val="2A4223DA"/>
    <w:rsid w:val="2A4C1CBA"/>
    <w:rsid w:val="2A580C7F"/>
    <w:rsid w:val="2A6016D6"/>
    <w:rsid w:val="2A692050"/>
    <w:rsid w:val="2A7E12DF"/>
    <w:rsid w:val="2A831526"/>
    <w:rsid w:val="2A900557"/>
    <w:rsid w:val="2A9D29C0"/>
    <w:rsid w:val="2AA07BC7"/>
    <w:rsid w:val="2AB96B3B"/>
    <w:rsid w:val="2AD01E8E"/>
    <w:rsid w:val="2ADB3552"/>
    <w:rsid w:val="2AEA63A2"/>
    <w:rsid w:val="2AF31700"/>
    <w:rsid w:val="2AF72DD8"/>
    <w:rsid w:val="2AFF713C"/>
    <w:rsid w:val="2B0C0DAA"/>
    <w:rsid w:val="2B1F56FE"/>
    <w:rsid w:val="2B426EE1"/>
    <w:rsid w:val="2B55197B"/>
    <w:rsid w:val="2B564195"/>
    <w:rsid w:val="2B5A7FF7"/>
    <w:rsid w:val="2B5F51ED"/>
    <w:rsid w:val="2B606D53"/>
    <w:rsid w:val="2B9D5D15"/>
    <w:rsid w:val="2BB31691"/>
    <w:rsid w:val="2BCF2EA1"/>
    <w:rsid w:val="2BE72198"/>
    <w:rsid w:val="2BE74F7F"/>
    <w:rsid w:val="2BE87133"/>
    <w:rsid w:val="2C132F13"/>
    <w:rsid w:val="2C17787B"/>
    <w:rsid w:val="2C18479F"/>
    <w:rsid w:val="2C327C2A"/>
    <w:rsid w:val="2C50160E"/>
    <w:rsid w:val="2C510D8C"/>
    <w:rsid w:val="2C526025"/>
    <w:rsid w:val="2C5741F8"/>
    <w:rsid w:val="2C594637"/>
    <w:rsid w:val="2C693A8C"/>
    <w:rsid w:val="2C882884"/>
    <w:rsid w:val="2CA912D0"/>
    <w:rsid w:val="2CB0095D"/>
    <w:rsid w:val="2CB814C7"/>
    <w:rsid w:val="2CD900B6"/>
    <w:rsid w:val="2CE7299B"/>
    <w:rsid w:val="2CEE0749"/>
    <w:rsid w:val="2CFC10D9"/>
    <w:rsid w:val="2CFC7DA1"/>
    <w:rsid w:val="2D0C7BAE"/>
    <w:rsid w:val="2D0D404F"/>
    <w:rsid w:val="2D1235E8"/>
    <w:rsid w:val="2D2C7429"/>
    <w:rsid w:val="2D354F55"/>
    <w:rsid w:val="2D3A4579"/>
    <w:rsid w:val="2D3B1434"/>
    <w:rsid w:val="2D482DF1"/>
    <w:rsid w:val="2D581270"/>
    <w:rsid w:val="2D586C07"/>
    <w:rsid w:val="2D5B0444"/>
    <w:rsid w:val="2D6B5423"/>
    <w:rsid w:val="2D6D16C5"/>
    <w:rsid w:val="2D6F2D58"/>
    <w:rsid w:val="2D742CEC"/>
    <w:rsid w:val="2D987C5C"/>
    <w:rsid w:val="2D9E434B"/>
    <w:rsid w:val="2DB539CE"/>
    <w:rsid w:val="2DB91479"/>
    <w:rsid w:val="2DC30723"/>
    <w:rsid w:val="2DE52580"/>
    <w:rsid w:val="2E1B26CF"/>
    <w:rsid w:val="2E1E0904"/>
    <w:rsid w:val="2E267AAE"/>
    <w:rsid w:val="2E27148B"/>
    <w:rsid w:val="2E2D0682"/>
    <w:rsid w:val="2E3E3EC9"/>
    <w:rsid w:val="2E5D7317"/>
    <w:rsid w:val="2E8E29D8"/>
    <w:rsid w:val="2EB90909"/>
    <w:rsid w:val="2EBC5ED0"/>
    <w:rsid w:val="2EC73BAC"/>
    <w:rsid w:val="2EE43201"/>
    <w:rsid w:val="2EF45FDD"/>
    <w:rsid w:val="2EF818D0"/>
    <w:rsid w:val="2F0012FC"/>
    <w:rsid w:val="2F165E76"/>
    <w:rsid w:val="2F28021B"/>
    <w:rsid w:val="2F30688E"/>
    <w:rsid w:val="2F3B6D01"/>
    <w:rsid w:val="2F3E6982"/>
    <w:rsid w:val="2F4460DD"/>
    <w:rsid w:val="2F464E20"/>
    <w:rsid w:val="2F4E0AC1"/>
    <w:rsid w:val="2F546A5B"/>
    <w:rsid w:val="2F586D29"/>
    <w:rsid w:val="2F6061FA"/>
    <w:rsid w:val="2F801A83"/>
    <w:rsid w:val="2F835441"/>
    <w:rsid w:val="2FA11555"/>
    <w:rsid w:val="2FAE1719"/>
    <w:rsid w:val="2FB4479F"/>
    <w:rsid w:val="2FC54A11"/>
    <w:rsid w:val="2FCB3AD3"/>
    <w:rsid w:val="2FD405AB"/>
    <w:rsid w:val="2FE54BD7"/>
    <w:rsid w:val="2FE6259D"/>
    <w:rsid w:val="2FFA6E34"/>
    <w:rsid w:val="300A2253"/>
    <w:rsid w:val="300A330D"/>
    <w:rsid w:val="300F463E"/>
    <w:rsid w:val="301536F0"/>
    <w:rsid w:val="30335021"/>
    <w:rsid w:val="30341880"/>
    <w:rsid w:val="30581CD0"/>
    <w:rsid w:val="30643430"/>
    <w:rsid w:val="306E18C1"/>
    <w:rsid w:val="307A7FB1"/>
    <w:rsid w:val="307C438B"/>
    <w:rsid w:val="308E4E8D"/>
    <w:rsid w:val="30905E99"/>
    <w:rsid w:val="30CC1865"/>
    <w:rsid w:val="30D22ED3"/>
    <w:rsid w:val="30D73ECF"/>
    <w:rsid w:val="30DE42A1"/>
    <w:rsid w:val="30EC5718"/>
    <w:rsid w:val="30F377D3"/>
    <w:rsid w:val="30F56C6E"/>
    <w:rsid w:val="31013CC3"/>
    <w:rsid w:val="31217A1D"/>
    <w:rsid w:val="31306402"/>
    <w:rsid w:val="31396EFD"/>
    <w:rsid w:val="31450DEE"/>
    <w:rsid w:val="31456C33"/>
    <w:rsid w:val="314A776A"/>
    <w:rsid w:val="31550607"/>
    <w:rsid w:val="31647AAC"/>
    <w:rsid w:val="316629F9"/>
    <w:rsid w:val="31733CCA"/>
    <w:rsid w:val="317D1200"/>
    <w:rsid w:val="31B54A45"/>
    <w:rsid w:val="31B95D43"/>
    <w:rsid w:val="31D06C42"/>
    <w:rsid w:val="31DF66F8"/>
    <w:rsid w:val="31FE64F7"/>
    <w:rsid w:val="32077110"/>
    <w:rsid w:val="32095497"/>
    <w:rsid w:val="3216323D"/>
    <w:rsid w:val="321C46BC"/>
    <w:rsid w:val="323B2880"/>
    <w:rsid w:val="323E0DF6"/>
    <w:rsid w:val="32597EB9"/>
    <w:rsid w:val="326049B5"/>
    <w:rsid w:val="3294295C"/>
    <w:rsid w:val="329514F5"/>
    <w:rsid w:val="32A67D44"/>
    <w:rsid w:val="32AA4AAD"/>
    <w:rsid w:val="32AF3A8A"/>
    <w:rsid w:val="32B4131B"/>
    <w:rsid w:val="32B9110C"/>
    <w:rsid w:val="32C963C0"/>
    <w:rsid w:val="32DA429C"/>
    <w:rsid w:val="32F068DB"/>
    <w:rsid w:val="32FC0218"/>
    <w:rsid w:val="33043D22"/>
    <w:rsid w:val="33064CF1"/>
    <w:rsid w:val="331C5AD4"/>
    <w:rsid w:val="332018FF"/>
    <w:rsid w:val="333655ED"/>
    <w:rsid w:val="333957DB"/>
    <w:rsid w:val="333C6AAF"/>
    <w:rsid w:val="333F343F"/>
    <w:rsid w:val="335C4EDA"/>
    <w:rsid w:val="3368441C"/>
    <w:rsid w:val="33696733"/>
    <w:rsid w:val="336E38A2"/>
    <w:rsid w:val="33701C5E"/>
    <w:rsid w:val="33722773"/>
    <w:rsid w:val="33914FBA"/>
    <w:rsid w:val="33A45D96"/>
    <w:rsid w:val="33B04C93"/>
    <w:rsid w:val="33C5268F"/>
    <w:rsid w:val="33EB3020"/>
    <w:rsid w:val="33F36E6A"/>
    <w:rsid w:val="34104D6D"/>
    <w:rsid w:val="342437A7"/>
    <w:rsid w:val="34243E61"/>
    <w:rsid w:val="342F3889"/>
    <w:rsid w:val="34317897"/>
    <w:rsid w:val="343674A1"/>
    <w:rsid w:val="34555347"/>
    <w:rsid w:val="345722F4"/>
    <w:rsid w:val="34613F15"/>
    <w:rsid w:val="3463243E"/>
    <w:rsid w:val="34743D26"/>
    <w:rsid w:val="348273D4"/>
    <w:rsid w:val="34831DEB"/>
    <w:rsid w:val="34863656"/>
    <w:rsid w:val="34B66CA2"/>
    <w:rsid w:val="34CC28C6"/>
    <w:rsid w:val="34D77B87"/>
    <w:rsid w:val="34E225AA"/>
    <w:rsid w:val="34FE36EA"/>
    <w:rsid w:val="34FF2296"/>
    <w:rsid w:val="35015C8F"/>
    <w:rsid w:val="35054DB5"/>
    <w:rsid w:val="351F32FB"/>
    <w:rsid w:val="352D0A6E"/>
    <w:rsid w:val="353906E9"/>
    <w:rsid w:val="353D7AC0"/>
    <w:rsid w:val="354262A8"/>
    <w:rsid w:val="35447101"/>
    <w:rsid w:val="35480275"/>
    <w:rsid w:val="3567106F"/>
    <w:rsid w:val="356963EF"/>
    <w:rsid w:val="35882E55"/>
    <w:rsid w:val="359A4309"/>
    <w:rsid w:val="359C3F8A"/>
    <w:rsid w:val="35B4523A"/>
    <w:rsid w:val="35BC10A1"/>
    <w:rsid w:val="35E7420C"/>
    <w:rsid w:val="35EA4635"/>
    <w:rsid w:val="35EE5FE2"/>
    <w:rsid w:val="35EF1431"/>
    <w:rsid w:val="35F5353E"/>
    <w:rsid w:val="363539B2"/>
    <w:rsid w:val="3642553F"/>
    <w:rsid w:val="365F03BF"/>
    <w:rsid w:val="365F7460"/>
    <w:rsid w:val="367624D9"/>
    <w:rsid w:val="367A5C07"/>
    <w:rsid w:val="3680524F"/>
    <w:rsid w:val="36847BBB"/>
    <w:rsid w:val="36885F45"/>
    <w:rsid w:val="368D08AD"/>
    <w:rsid w:val="368F2BEB"/>
    <w:rsid w:val="368F71DF"/>
    <w:rsid w:val="36996539"/>
    <w:rsid w:val="36AA02D3"/>
    <w:rsid w:val="36B17CE4"/>
    <w:rsid w:val="36B53B20"/>
    <w:rsid w:val="36B967BC"/>
    <w:rsid w:val="36BC5FEB"/>
    <w:rsid w:val="36BD7F50"/>
    <w:rsid w:val="36BF6E15"/>
    <w:rsid w:val="36D04089"/>
    <w:rsid w:val="36D13CC6"/>
    <w:rsid w:val="36D64D94"/>
    <w:rsid w:val="36DE7383"/>
    <w:rsid w:val="36DF163C"/>
    <w:rsid w:val="36F6627E"/>
    <w:rsid w:val="3717778E"/>
    <w:rsid w:val="371F5976"/>
    <w:rsid w:val="3724787C"/>
    <w:rsid w:val="37307DA0"/>
    <w:rsid w:val="37373799"/>
    <w:rsid w:val="373B15E6"/>
    <w:rsid w:val="3747202B"/>
    <w:rsid w:val="374B3131"/>
    <w:rsid w:val="374E017D"/>
    <w:rsid w:val="375B57D6"/>
    <w:rsid w:val="376C581A"/>
    <w:rsid w:val="37756826"/>
    <w:rsid w:val="37820475"/>
    <w:rsid w:val="37AC1F65"/>
    <w:rsid w:val="37B517FA"/>
    <w:rsid w:val="37B868A2"/>
    <w:rsid w:val="37BF2E0D"/>
    <w:rsid w:val="37C31D4B"/>
    <w:rsid w:val="37C410E3"/>
    <w:rsid w:val="37C90503"/>
    <w:rsid w:val="37D85F99"/>
    <w:rsid w:val="37DB3873"/>
    <w:rsid w:val="37E54FA0"/>
    <w:rsid w:val="37E6666B"/>
    <w:rsid w:val="37F0066B"/>
    <w:rsid w:val="37FD2E72"/>
    <w:rsid w:val="381A1731"/>
    <w:rsid w:val="38233DE5"/>
    <w:rsid w:val="382F2AB4"/>
    <w:rsid w:val="383179F9"/>
    <w:rsid w:val="38425BDA"/>
    <w:rsid w:val="38444C84"/>
    <w:rsid w:val="38482654"/>
    <w:rsid w:val="38482684"/>
    <w:rsid w:val="384C2DA8"/>
    <w:rsid w:val="384E79F8"/>
    <w:rsid w:val="385A55DE"/>
    <w:rsid w:val="385F2FBF"/>
    <w:rsid w:val="386629E9"/>
    <w:rsid w:val="387C1787"/>
    <w:rsid w:val="38845E7E"/>
    <w:rsid w:val="38A3375B"/>
    <w:rsid w:val="38A70067"/>
    <w:rsid w:val="38B56191"/>
    <w:rsid w:val="38BC699C"/>
    <w:rsid w:val="38BF292E"/>
    <w:rsid w:val="38C3660C"/>
    <w:rsid w:val="38D60B41"/>
    <w:rsid w:val="38D926C7"/>
    <w:rsid w:val="38DE3F67"/>
    <w:rsid w:val="38F35031"/>
    <w:rsid w:val="39013815"/>
    <w:rsid w:val="39032616"/>
    <w:rsid w:val="390B4155"/>
    <w:rsid w:val="39195460"/>
    <w:rsid w:val="39204C99"/>
    <w:rsid w:val="392A049E"/>
    <w:rsid w:val="39441B37"/>
    <w:rsid w:val="39553A19"/>
    <w:rsid w:val="396B2BEC"/>
    <w:rsid w:val="3970374E"/>
    <w:rsid w:val="39855E95"/>
    <w:rsid w:val="39886599"/>
    <w:rsid w:val="39894A1A"/>
    <w:rsid w:val="39896FBD"/>
    <w:rsid w:val="398A077C"/>
    <w:rsid w:val="399D0FAB"/>
    <w:rsid w:val="39A122D0"/>
    <w:rsid w:val="39AB655A"/>
    <w:rsid w:val="39B079CB"/>
    <w:rsid w:val="39B730CA"/>
    <w:rsid w:val="39B95146"/>
    <w:rsid w:val="39C103DA"/>
    <w:rsid w:val="39C54356"/>
    <w:rsid w:val="39DA6BB7"/>
    <w:rsid w:val="39E16DE1"/>
    <w:rsid w:val="39EA2F5F"/>
    <w:rsid w:val="39F03604"/>
    <w:rsid w:val="39FD4DBB"/>
    <w:rsid w:val="3A054B67"/>
    <w:rsid w:val="3A2E4BE8"/>
    <w:rsid w:val="3A3A1FDD"/>
    <w:rsid w:val="3A5A096E"/>
    <w:rsid w:val="3A5B056F"/>
    <w:rsid w:val="3A6A4AE7"/>
    <w:rsid w:val="3A6F521E"/>
    <w:rsid w:val="3A756C76"/>
    <w:rsid w:val="3A771D02"/>
    <w:rsid w:val="3A9F4B60"/>
    <w:rsid w:val="3AB30FC3"/>
    <w:rsid w:val="3ABD7FBE"/>
    <w:rsid w:val="3ABF3EF4"/>
    <w:rsid w:val="3ACB483F"/>
    <w:rsid w:val="3ADD73C6"/>
    <w:rsid w:val="3AE53F9C"/>
    <w:rsid w:val="3AEA785E"/>
    <w:rsid w:val="3AF675FE"/>
    <w:rsid w:val="3AFA7826"/>
    <w:rsid w:val="3B081418"/>
    <w:rsid w:val="3B1C6D1C"/>
    <w:rsid w:val="3B3D06C1"/>
    <w:rsid w:val="3B5509C6"/>
    <w:rsid w:val="3B60275C"/>
    <w:rsid w:val="3B7A3826"/>
    <w:rsid w:val="3B9201D1"/>
    <w:rsid w:val="3B994577"/>
    <w:rsid w:val="3BA260E2"/>
    <w:rsid w:val="3BB728EB"/>
    <w:rsid w:val="3BC84D19"/>
    <w:rsid w:val="3C0A28BB"/>
    <w:rsid w:val="3C270BE1"/>
    <w:rsid w:val="3C35269B"/>
    <w:rsid w:val="3C355B1A"/>
    <w:rsid w:val="3C596FA8"/>
    <w:rsid w:val="3C632D56"/>
    <w:rsid w:val="3C8243D1"/>
    <w:rsid w:val="3C864A14"/>
    <w:rsid w:val="3C89787F"/>
    <w:rsid w:val="3C8C59A8"/>
    <w:rsid w:val="3C9012E0"/>
    <w:rsid w:val="3CB238B3"/>
    <w:rsid w:val="3CD03719"/>
    <w:rsid w:val="3CD177A5"/>
    <w:rsid w:val="3CD321D2"/>
    <w:rsid w:val="3CD92F2B"/>
    <w:rsid w:val="3CDC6722"/>
    <w:rsid w:val="3CDD26E6"/>
    <w:rsid w:val="3CE720A5"/>
    <w:rsid w:val="3CF6323C"/>
    <w:rsid w:val="3CFF4663"/>
    <w:rsid w:val="3D055824"/>
    <w:rsid w:val="3D213BF6"/>
    <w:rsid w:val="3D2D2373"/>
    <w:rsid w:val="3D3B536E"/>
    <w:rsid w:val="3D505CFA"/>
    <w:rsid w:val="3D6861D2"/>
    <w:rsid w:val="3D6B7F80"/>
    <w:rsid w:val="3D757314"/>
    <w:rsid w:val="3D7A3ED4"/>
    <w:rsid w:val="3D881B26"/>
    <w:rsid w:val="3D8E50A4"/>
    <w:rsid w:val="3D8F6352"/>
    <w:rsid w:val="3DB135FF"/>
    <w:rsid w:val="3DB339C8"/>
    <w:rsid w:val="3DB51BFC"/>
    <w:rsid w:val="3DDE30D7"/>
    <w:rsid w:val="3DF6186C"/>
    <w:rsid w:val="3DF72E28"/>
    <w:rsid w:val="3E082B8C"/>
    <w:rsid w:val="3E140A26"/>
    <w:rsid w:val="3E1C5682"/>
    <w:rsid w:val="3E2E75BE"/>
    <w:rsid w:val="3E351BF4"/>
    <w:rsid w:val="3E3E403C"/>
    <w:rsid w:val="3E5C28BB"/>
    <w:rsid w:val="3E646774"/>
    <w:rsid w:val="3E686C7D"/>
    <w:rsid w:val="3E736717"/>
    <w:rsid w:val="3E862809"/>
    <w:rsid w:val="3E880339"/>
    <w:rsid w:val="3E9C0A83"/>
    <w:rsid w:val="3E9E490C"/>
    <w:rsid w:val="3EA215A6"/>
    <w:rsid w:val="3ED80B2E"/>
    <w:rsid w:val="3EDC2530"/>
    <w:rsid w:val="3EE03D79"/>
    <w:rsid w:val="3EF732F4"/>
    <w:rsid w:val="3F060785"/>
    <w:rsid w:val="3F1F460F"/>
    <w:rsid w:val="3F2C3542"/>
    <w:rsid w:val="3F302E94"/>
    <w:rsid w:val="3F3514F6"/>
    <w:rsid w:val="3F3538AF"/>
    <w:rsid w:val="3F5D6FAF"/>
    <w:rsid w:val="3F646EED"/>
    <w:rsid w:val="3F6C516D"/>
    <w:rsid w:val="3F93322F"/>
    <w:rsid w:val="3F967FAC"/>
    <w:rsid w:val="3FA20366"/>
    <w:rsid w:val="3FAE1F3A"/>
    <w:rsid w:val="3FAE3300"/>
    <w:rsid w:val="3FAF321B"/>
    <w:rsid w:val="3FB670F9"/>
    <w:rsid w:val="3FC1296F"/>
    <w:rsid w:val="3FD253F9"/>
    <w:rsid w:val="3FD3306E"/>
    <w:rsid w:val="3FD54C06"/>
    <w:rsid w:val="3FDD2A8F"/>
    <w:rsid w:val="3FE17866"/>
    <w:rsid w:val="3FFB07ED"/>
    <w:rsid w:val="3FFF0E43"/>
    <w:rsid w:val="40142AAB"/>
    <w:rsid w:val="402E3D3E"/>
    <w:rsid w:val="40367ED5"/>
    <w:rsid w:val="403F2197"/>
    <w:rsid w:val="4048611C"/>
    <w:rsid w:val="404F338B"/>
    <w:rsid w:val="40577688"/>
    <w:rsid w:val="405B6FC5"/>
    <w:rsid w:val="40672FCC"/>
    <w:rsid w:val="406820FE"/>
    <w:rsid w:val="4071177C"/>
    <w:rsid w:val="407B3F61"/>
    <w:rsid w:val="407C448C"/>
    <w:rsid w:val="40853C52"/>
    <w:rsid w:val="40890989"/>
    <w:rsid w:val="40C4190E"/>
    <w:rsid w:val="40DA01AA"/>
    <w:rsid w:val="40E6355F"/>
    <w:rsid w:val="40F61E34"/>
    <w:rsid w:val="410459C4"/>
    <w:rsid w:val="412664EB"/>
    <w:rsid w:val="412A4DF8"/>
    <w:rsid w:val="412C0C24"/>
    <w:rsid w:val="414448A1"/>
    <w:rsid w:val="41480BFA"/>
    <w:rsid w:val="4156169D"/>
    <w:rsid w:val="4164006C"/>
    <w:rsid w:val="416750F2"/>
    <w:rsid w:val="41696467"/>
    <w:rsid w:val="417141B2"/>
    <w:rsid w:val="41793E0F"/>
    <w:rsid w:val="419A0BD5"/>
    <w:rsid w:val="41BE6E1B"/>
    <w:rsid w:val="41C3102A"/>
    <w:rsid w:val="41C64225"/>
    <w:rsid w:val="41E927CD"/>
    <w:rsid w:val="41EA200B"/>
    <w:rsid w:val="41F35E7D"/>
    <w:rsid w:val="41FF056E"/>
    <w:rsid w:val="42087D0C"/>
    <w:rsid w:val="420E7F39"/>
    <w:rsid w:val="420F229C"/>
    <w:rsid w:val="421760F3"/>
    <w:rsid w:val="421D470E"/>
    <w:rsid w:val="421D4EA6"/>
    <w:rsid w:val="423A69B9"/>
    <w:rsid w:val="423B39A1"/>
    <w:rsid w:val="425A2949"/>
    <w:rsid w:val="42733C6F"/>
    <w:rsid w:val="42766D6B"/>
    <w:rsid w:val="427D5BBD"/>
    <w:rsid w:val="427E7942"/>
    <w:rsid w:val="427F1068"/>
    <w:rsid w:val="42826E1F"/>
    <w:rsid w:val="429320CB"/>
    <w:rsid w:val="42993D4D"/>
    <w:rsid w:val="42B36835"/>
    <w:rsid w:val="42D07534"/>
    <w:rsid w:val="42D742D1"/>
    <w:rsid w:val="42EB443B"/>
    <w:rsid w:val="42F05AF9"/>
    <w:rsid w:val="42F129A1"/>
    <w:rsid w:val="42F645BD"/>
    <w:rsid w:val="42FE0ECA"/>
    <w:rsid w:val="430867ED"/>
    <w:rsid w:val="430D14F2"/>
    <w:rsid w:val="432A5A06"/>
    <w:rsid w:val="43524737"/>
    <w:rsid w:val="43587409"/>
    <w:rsid w:val="436446AC"/>
    <w:rsid w:val="43656323"/>
    <w:rsid w:val="43777787"/>
    <w:rsid w:val="437F6034"/>
    <w:rsid w:val="43830D3E"/>
    <w:rsid w:val="43912053"/>
    <w:rsid w:val="439628F6"/>
    <w:rsid w:val="43A95474"/>
    <w:rsid w:val="43C87895"/>
    <w:rsid w:val="43D15605"/>
    <w:rsid w:val="43D227C4"/>
    <w:rsid w:val="43EE1E21"/>
    <w:rsid w:val="43F5652A"/>
    <w:rsid w:val="43FA0D9A"/>
    <w:rsid w:val="43FA3C05"/>
    <w:rsid w:val="4415104C"/>
    <w:rsid w:val="44242B4E"/>
    <w:rsid w:val="44473DD4"/>
    <w:rsid w:val="44490E95"/>
    <w:rsid w:val="4452204C"/>
    <w:rsid w:val="44674C73"/>
    <w:rsid w:val="446C3689"/>
    <w:rsid w:val="4472318E"/>
    <w:rsid w:val="4479576C"/>
    <w:rsid w:val="447F61FD"/>
    <w:rsid w:val="4497149C"/>
    <w:rsid w:val="44A03543"/>
    <w:rsid w:val="44CE4B84"/>
    <w:rsid w:val="44D44A53"/>
    <w:rsid w:val="44E60D79"/>
    <w:rsid w:val="44F00076"/>
    <w:rsid w:val="44F50092"/>
    <w:rsid w:val="44F52C26"/>
    <w:rsid w:val="452B4CAC"/>
    <w:rsid w:val="45386DA3"/>
    <w:rsid w:val="454241CE"/>
    <w:rsid w:val="45432136"/>
    <w:rsid w:val="45493E2E"/>
    <w:rsid w:val="454D0A3A"/>
    <w:rsid w:val="4572404B"/>
    <w:rsid w:val="45732B43"/>
    <w:rsid w:val="457635EC"/>
    <w:rsid w:val="459C6E95"/>
    <w:rsid w:val="45A271CF"/>
    <w:rsid w:val="45B46C32"/>
    <w:rsid w:val="45C04752"/>
    <w:rsid w:val="45CE6836"/>
    <w:rsid w:val="45EB7501"/>
    <w:rsid w:val="45F54D27"/>
    <w:rsid w:val="45F778F0"/>
    <w:rsid w:val="45FA7CB5"/>
    <w:rsid w:val="46025D9C"/>
    <w:rsid w:val="4624449B"/>
    <w:rsid w:val="46382E6D"/>
    <w:rsid w:val="46397012"/>
    <w:rsid w:val="46483B4B"/>
    <w:rsid w:val="465C5446"/>
    <w:rsid w:val="4662163F"/>
    <w:rsid w:val="468948B3"/>
    <w:rsid w:val="468B2CAD"/>
    <w:rsid w:val="469640DE"/>
    <w:rsid w:val="46B57629"/>
    <w:rsid w:val="46C14906"/>
    <w:rsid w:val="46C56785"/>
    <w:rsid w:val="46C94C42"/>
    <w:rsid w:val="46CB0A6B"/>
    <w:rsid w:val="46CE73EA"/>
    <w:rsid w:val="46E870E2"/>
    <w:rsid w:val="46ED0231"/>
    <w:rsid w:val="47045B50"/>
    <w:rsid w:val="47072173"/>
    <w:rsid w:val="471717BE"/>
    <w:rsid w:val="472C05EE"/>
    <w:rsid w:val="473D387B"/>
    <w:rsid w:val="47514530"/>
    <w:rsid w:val="4762121A"/>
    <w:rsid w:val="47633125"/>
    <w:rsid w:val="4768159F"/>
    <w:rsid w:val="477158E6"/>
    <w:rsid w:val="47775A7B"/>
    <w:rsid w:val="47937301"/>
    <w:rsid w:val="47B0283A"/>
    <w:rsid w:val="47BB51E8"/>
    <w:rsid w:val="47C8182E"/>
    <w:rsid w:val="47EE76AB"/>
    <w:rsid w:val="47F409BD"/>
    <w:rsid w:val="47F704B5"/>
    <w:rsid w:val="47FB3498"/>
    <w:rsid w:val="47FC6B7A"/>
    <w:rsid w:val="481868B4"/>
    <w:rsid w:val="485052D8"/>
    <w:rsid w:val="485540D4"/>
    <w:rsid w:val="485F073C"/>
    <w:rsid w:val="48685BA7"/>
    <w:rsid w:val="48780B5A"/>
    <w:rsid w:val="487A19D6"/>
    <w:rsid w:val="48A13519"/>
    <w:rsid w:val="48AE2506"/>
    <w:rsid w:val="48CF747F"/>
    <w:rsid w:val="48F93E8A"/>
    <w:rsid w:val="48FA2A51"/>
    <w:rsid w:val="490D6A9A"/>
    <w:rsid w:val="491403CF"/>
    <w:rsid w:val="49156D95"/>
    <w:rsid w:val="491D6308"/>
    <w:rsid w:val="49247E0F"/>
    <w:rsid w:val="493424A6"/>
    <w:rsid w:val="494749D8"/>
    <w:rsid w:val="4955729B"/>
    <w:rsid w:val="495855AE"/>
    <w:rsid w:val="495B04FB"/>
    <w:rsid w:val="496074EF"/>
    <w:rsid w:val="496F7073"/>
    <w:rsid w:val="49714CFD"/>
    <w:rsid w:val="49882C0E"/>
    <w:rsid w:val="498976A6"/>
    <w:rsid w:val="498F1A34"/>
    <w:rsid w:val="49965291"/>
    <w:rsid w:val="499D56E0"/>
    <w:rsid w:val="49A2731F"/>
    <w:rsid w:val="49C05B5F"/>
    <w:rsid w:val="49C26AF7"/>
    <w:rsid w:val="49CA56E4"/>
    <w:rsid w:val="49CC5CF4"/>
    <w:rsid w:val="49CD7AD1"/>
    <w:rsid w:val="49D8660C"/>
    <w:rsid w:val="49D9570B"/>
    <w:rsid w:val="49DF4588"/>
    <w:rsid w:val="49E014E1"/>
    <w:rsid w:val="49F16E20"/>
    <w:rsid w:val="49F3708B"/>
    <w:rsid w:val="4A085C5C"/>
    <w:rsid w:val="4A0F4768"/>
    <w:rsid w:val="4A1258A3"/>
    <w:rsid w:val="4A1C3D8B"/>
    <w:rsid w:val="4A27127D"/>
    <w:rsid w:val="4A286C52"/>
    <w:rsid w:val="4A3009D4"/>
    <w:rsid w:val="4A302258"/>
    <w:rsid w:val="4A383960"/>
    <w:rsid w:val="4A3A7371"/>
    <w:rsid w:val="4A4016CC"/>
    <w:rsid w:val="4A4871ED"/>
    <w:rsid w:val="4A4A2573"/>
    <w:rsid w:val="4A502D0F"/>
    <w:rsid w:val="4A563CE5"/>
    <w:rsid w:val="4A8406A9"/>
    <w:rsid w:val="4A843730"/>
    <w:rsid w:val="4A9E5D7B"/>
    <w:rsid w:val="4A9E7AB6"/>
    <w:rsid w:val="4ADC2979"/>
    <w:rsid w:val="4AE61714"/>
    <w:rsid w:val="4B0163AF"/>
    <w:rsid w:val="4B0515BD"/>
    <w:rsid w:val="4B07648B"/>
    <w:rsid w:val="4B1B05A1"/>
    <w:rsid w:val="4B29541F"/>
    <w:rsid w:val="4B402AB5"/>
    <w:rsid w:val="4B4C42EA"/>
    <w:rsid w:val="4B4C6B5F"/>
    <w:rsid w:val="4B531011"/>
    <w:rsid w:val="4B56223B"/>
    <w:rsid w:val="4B5B5F59"/>
    <w:rsid w:val="4B5F6648"/>
    <w:rsid w:val="4B651054"/>
    <w:rsid w:val="4B741C91"/>
    <w:rsid w:val="4B762575"/>
    <w:rsid w:val="4B790C73"/>
    <w:rsid w:val="4B8438BD"/>
    <w:rsid w:val="4B9925A9"/>
    <w:rsid w:val="4BA57E94"/>
    <w:rsid w:val="4BA874DD"/>
    <w:rsid w:val="4BB626BF"/>
    <w:rsid w:val="4BBC5966"/>
    <w:rsid w:val="4BC57DDA"/>
    <w:rsid w:val="4BC7189F"/>
    <w:rsid w:val="4BC8612A"/>
    <w:rsid w:val="4BCC5A8A"/>
    <w:rsid w:val="4BD1723B"/>
    <w:rsid w:val="4BDB0594"/>
    <w:rsid w:val="4BDF5949"/>
    <w:rsid w:val="4BE000FF"/>
    <w:rsid w:val="4BE67354"/>
    <w:rsid w:val="4BE815B5"/>
    <w:rsid w:val="4BF52E1B"/>
    <w:rsid w:val="4C086CCB"/>
    <w:rsid w:val="4C1F79BB"/>
    <w:rsid w:val="4C2B02D4"/>
    <w:rsid w:val="4C353356"/>
    <w:rsid w:val="4C357A96"/>
    <w:rsid w:val="4C3D0C4A"/>
    <w:rsid w:val="4C3F6109"/>
    <w:rsid w:val="4C5A0F89"/>
    <w:rsid w:val="4C6657B1"/>
    <w:rsid w:val="4C7A781B"/>
    <w:rsid w:val="4C8A0551"/>
    <w:rsid w:val="4C8E6715"/>
    <w:rsid w:val="4C9734BF"/>
    <w:rsid w:val="4C9E5CED"/>
    <w:rsid w:val="4CA853B8"/>
    <w:rsid w:val="4CCC41C0"/>
    <w:rsid w:val="4CE13B50"/>
    <w:rsid w:val="4CF4135C"/>
    <w:rsid w:val="4CF97816"/>
    <w:rsid w:val="4CFE646D"/>
    <w:rsid w:val="4D075106"/>
    <w:rsid w:val="4D1C2E8A"/>
    <w:rsid w:val="4D2E6FC4"/>
    <w:rsid w:val="4D2E7493"/>
    <w:rsid w:val="4D394CB6"/>
    <w:rsid w:val="4D4A034A"/>
    <w:rsid w:val="4D767F1E"/>
    <w:rsid w:val="4D8F32A0"/>
    <w:rsid w:val="4D91475A"/>
    <w:rsid w:val="4D9973BC"/>
    <w:rsid w:val="4D9B3FF3"/>
    <w:rsid w:val="4DD16A27"/>
    <w:rsid w:val="4E023513"/>
    <w:rsid w:val="4E0D7324"/>
    <w:rsid w:val="4E1A512D"/>
    <w:rsid w:val="4E1F3EE9"/>
    <w:rsid w:val="4E2509D2"/>
    <w:rsid w:val="4E374B25"/>
    <w:rsid w:val="4E3F0E64"/>
    <w:rsid w:val="4E5D0DBD"/>
    <w:rsid w:val="4E614C78"/>
    <w:rsid w:val="4E6605CA"/>
    <w:rsid w:val="4E6F6750"/>
    <w:rsid w:val="4E830E1E"/>
    <w:rsid w:val="4EA12107"/>
    <w:rsid w:val="4EAB0114"/>
    <w:rsid w:val="4EB2609A"/>
    <w:rsid w:val="4EB701B0"/>
    <w:rsid w:val="4EB702FA"/>
    <w:rsid w:val="4EC21D09"/>
    <w:rsid w:val="4EE96625"/>
    <w:rsid w:val="4EF607B6"/>
    <w:rsid w:val="4F005A74"/>
    <w:rsid w:val="4F0409F3"/>
    <w:rsid w:val="4F044D97"/>
    <w:rsid w:val="4F0A3C0E"/>
    <w:rsid w:val="4F0D705E"/>
    <w:rsid w:val="4F2503AF"/>
    <w:rsid w:val="4F4F29EA"/>
    <w:rsid w:val="4F522C31"/>
    <w:rsid w:val="4F5A4104"/>
    <w:rsid w:val="4F654F68"/>
    <w:rsid w:val="4F6B5950"/>
    <w:rsid w:val="4F8003E4"/>
    <w:rsid w:val="4F8254D6"/>
    <w:rsid w:val="4F8D576D"/>
    <w:rsid w:val="4F8E15DA"/>
    <w:rsid w:val="4F8F6D42"/>
    <w:rsid w:val="4F94624A"/>
    <w:rsid w:val="4FA908D9"/>
    <w:rsid w:val="4FE966F4"/>
    <w:rsid w:val="4FEE6883"/>
    <w:rsid w:val="4FEF61AD"/>
    <w:rsid w:val="4FF138FE"/>
    <w:rsid w:val="4FF66F7E"/>
    <w:rsid w:val="500408DE"/>
    <w:rsid w:val="500A7FBC"/>
    <w:rsid w:val="500B65F9"/>
    <w:rsid w:val="50163486"/>
    <w:rsid w:val="503C2CE4"/>
    <w:rsid w:val="504A12A2"/>
    <w:rsid w:val="50577A06"/>
    <w:rsid w:val="505E4C9B"/>
    <w:rsid w:val="507241CA"/>
    <w:rsid w:val="5080374E"/>
    <w:rsid w:val="50850DFC"/>
    <w:rsid w:val="50932B8C"/>
    <w:rsid w:val="50933941"/>
    <w:rsid w:val="5097410C"/>
    <w:rsid w:val="50A14F50"/>
    <w:rsid w:val="50B27017"/>
    <w:rsid w:val="50C6631B"/>
    <w:rsid w:val="50D52E3B"/>
    <w:rsid w:val="50FC5596"/>
    <w:rsid w:val="50FF53A9"/>
    <w:rsid w:val="51002837"/>
    <w:rsid w:val="51056A0E"/>
    <w:rsid w:val="51083745"/>
    <w:rsid w:val="510B03DA"/>
    <w:rsid w:val="51251B2F"/>
    <w:rsid w:val="5147293F"/>
    <w:rsid w:val="514B6354"/>
    <w:rsid w:val="516850BA"/>
    <w:rsid w:val="516F3258"/>
    <w:rsid w:val="51701E2B"/>
    <w:rsid w:val="517A52D9"/>
    <w:rsid w:val="51873006"/>
    <w:rsid w:val="518C2C3D"/>
    <w:rsid w:val="5190504B"/>
    <w:rsid w:val="51A01538"/>
    <w:rsid w:val="51AD470D"/>
    <w:rsid w:val="51B1339A"/>
    <w:rsid w:val="51B55EA3"/>
    <w:rsid w:val="51C36465"/>
    <w:rsid w:val="51CD49C8"/>
    <w:rsid w:val="51DB39B9"/>
    <w:rsid w:val="51E46B68"/>
    <w:rsid w:val="5203531B"/>
    <w:rsid w:val="520A1683"/>
    <w:rsid w:val="521E5155"/>
    <w:rsid w:val="521F55F1"/>
    <w:rsid w:val="521F7E78"/>
    <w:rsid w:val="52214DEA"/>
    <w:rsid w:val="5257234F"/>
    <w:rsid w:val="52665790"/>
    <w:rsid w:val="52720BC3"/>
    <w:rsid w:val="527A2805"/>
    <w:rsid w:val="527C55E3"/>
    <w:rsid w:val="528604F0"/>
    <w:rsid w:val="52922181"/>
    <w:rsid w:val="52A34524"/>
    <w:rsid w:val="52AB41DD"/>
    <w:rsid w:val="52CF1650"/>
    <w:rsid w:val="52DD5D4B"/>
    <w:rsid w:val="52E0467E"/>
    <w:rsid w:val="52ED67CF"/>
    <w:rsid w:val="52F6182A"/>
    <w:rsid w:val="52F8183E"/>
    <w:rsid w:val="5303269D"/>
    <w:rsid w:val="53070C6E"/>
    <w:rsid w:val="53082A12"/>
    <w:rsid w:val="5317565E"/>
    <w:rsid w:val="53236C8C"/>
    <w:rsid w:val="532924FD"/>
    <w:rsid w:val="5334454D"/>
    <w:rsid w:val="53746B8D"/>
    <w:rsid w:val="5385626C"/>
    <w:rsid w:val="538C78B4"/>
    <w:rsid w:val="53AE36E2"/>
    <w:rsid w:val="53BD77D0"/>
    <w:rsid w:val="53BE0835"/>
    <w:rsid w:val="53BE59EE"/>
    <w:rsid w:val="53C4320D"/>
    <w:rsid w:val="53EB2313"/>
    <w:rsid w:val="5405684E"/>
    <w:rsid w:val="541378E1"/>
    <w:rsid w:val="54154CB7"/>
    <w:rsid w:val="541F6F1A"/>
    <w:rsid w:val="54256540"/>
    <w:rsid w:val="542B6926"/>
    <w:rsid w:val="542E308F"/>
    <w:rsid w:val="543A1458"/>
    <w:rsid w:val="544131DC"/>
    <w:rsid w:val="54510D56"/>
    <w:rsid w:val="54567CD5"/>
    <w:rsid w:val="5463114F"/>
    <w:rsid w:val="54652931"/>
    <w:rsid w:val="546A0247"/>
    <w:rsid w:val="546B79B9"/>
    <w:rsid w:val="54887D86"/>
    <w:rsid w:val="54AB4637"/>
    <w:rsid w:val="54AD202B"/>
    <w:rsid w:val="54B20A58"/>
    <w:rsid w:val="54B836B4"/>
    <w:rsid w:val="54C77974"/>
    <w:rsid w:val="54D336A0"/>
    <w:rsid w:val="54D77047"/>
    <w:rsid w:val="54DC3F89"/>
    <w:rsid w:val="54E258CE"/>
    <w:rsid w:val="550C20D5"/>
    <w:rsid w:val="550E69C8"/>
    <w:rsid w:val="55117EFB"/>
    <w:rsid w:val="55172D74"/>
    <w:rsid w:val="551B16A3"/>
    <w:rsid w:val="552F1E34"/>
    <w:rsid w:val="55514833"/>
    <w:rsid w:val="555E20EE"/>
    <w:rsid w:val="55652A9B"/>
    <w:rsid w:val="556663F3"/>
    <w:rsid w:val="557B55A4"/>
    <w:rsid w:val="557C72B7"/>
    <w:rsid w:val="55894560"/>
    <w:rsid w:val="559258C7"/>
    <w:rsid w:val="55A1249C"/>
    <w:rsid w:val="55A62B8A"/>
    <w:rsid w:val="55B93F88"/>
    <w:rsid w:val="55D65E78"/>
    <w:rsid w:val="55DF61D7"/>
    <w:rsid w:val="55DF6414"/>
    <w:rsid w:val="55EE75C0"/>
    <w:rsid w:val="55F06C6D"/>
    <w:rsid w:val="55F36882"/>
    <w:rsid w:val="56096307"/>
    <w:rsid w:val="56155BB7"/>
    <w:rsid w:val="56235D24"/>
    <w:rsid w:val="563B4721"/>
    <w:rsid w:val="56477D8E"/>
    <w:rsid w:val="564A12F8"/>
    <w:rsid w:val="566B3EB2"/>
    <w:rsid w:val="56897838"/>
    <w:rsid w:val="568D7B85"/>
    <w:rsid w:val="56936561"/>
    <w:rsid w:val="569531AF"/>
    <w:rsid w:val="5698643C"/>
    <w:rsid w:val="569F1989"/>
    <w:rsid w:val="56A82B3F"/>
    <w:rsid w:val="56BC3C0F"/>
    <w:rsid w:val="56BC64CE"/>
    <w:rsid w:val="56CD2E78"/>
    <w:rsid w:val="56F31E5F"/>
    <w:rsid w:val="56F67C83"/>
    <w:rsid w:val="56FE3162"/>
    <w:rsid w:val="570538D3"/>
    <w:rsid w:val="57061B4B"/>
    <w:rsid w:val="571768BE"/>
    <w:rsid w:val="571C0E7C"/>
    <w:rsid w:val="5736758D"/>
    <w:rsid w:val="573A3817"/>
    <w:rsid w:val="57515444"/>
    <w:rsid w:val="57560E52"/>
    <w:rsid w:val="57636BF7"/>
    <w:rsid w:val="5766386C"/>
    <w:rsid w:val="57670253"/>
    <w:rsid w:val="576E0CCC"/>
    <w:rsid w:val="577242C3"/>
    <w:rsid w:val="577352F5"/>
    <w:rsid w:val="57775CAB"/>
    <w:rsid w:val="57802C5C"/>
    <w:rsid w:val="57833DBD"/>
    <w:rsid w:val="57895367"/>
    <w:rsid w:val="578E6489"/>
    <w:rsid w:val="57900228"/>
    <w:rsid w:val="57AB500F"/>
    <w:rsid w:val="57AC1BE5"/>
    <w:rsid w:val="57C60CD7"/>
    <w:rsid w:val="57CB2142"/>
    <w:rsid w:val="57CD7318"/>
    <w:rsid w:val="57D30501"/>
    <w:rsid w:val="57DD0052"/>
    <w:rsid w:val="57DE367D"/>
    <w:rsid w:val="57DF5467"/>
    <w:rsid w:val="57E30AE1"/>
    <w:rsid w:val="57EB014A"/>
    <w:rsid w:val="580954F6"/>
    <w:rsid w:val="580C421F"/>
    <w:rsid w:val="58127246"/>
    <w:rsid w:val="581773FE"/>
    <w:rsid w:val="58311AAA"/>
    <w:rsid w:val="58361C31"/>
    <w:rsid w:val="583B7D66"/>
    <w:rsid w:val="584E04C9"/>
    <w:rsid w:val="5855579C"/>
    <w:rsid w:val="58646AC6"/>
    <w:rsid w:val="58663347"/>
    <w:rsid w:val="58943D4E"/>
    <w:rsid w:val="58955A10"/>
    <w:rsid w:val="58984351"/>
    <w:rsid w:val="58AF1DF6"/>
    <w:rsid w:val="58B43FEA"/>
    <w:rsid w:val="58C27B64"/>
    <w:rsid w:val="58D11D9B"/>
    <w:rsid w:val="58E25FF4"/>
    <w:rsid w:val="58F84C93"/>
    <w:rsid w:val="58FA27D7"/>
    <w:rsid w:val="58FA76E7"/>
    <w:rsid w:val="59130CC1"/>
    <w:rsid w:val="591D4DE0"/>
    <w:rsid w:val="592438F8"/>
    <w:rsid w:val="593F20D6"/>
    <w:rsid w:val="59540C9F"/>
    <w:rsid w:val="596078FE"/>
    <w:rsid w:val="597F637D"/>
    <w:rsid w:val="59882C3D"/>
    <w:rsid w:val="59980303"/>
    <w:rsid w:val="599B19F7"/>
    <w:rsid w:val="59A01A61"/>
    <w:rsid w:val="59B04FE8"/>
    <w:rsid w:val="59BF56A8"/>
    <w:rsid w:val="59C06FE9"/>
    <w:rsid w:val="59C91ACF"/>
    <w:rsid w:val="59CB739A"/>
    <w:rsid w:val="59D91D7F"/>
    <w:rsid w:val="59E30E1F"/>
    <w:rsid w:val="59EC3ED5"/>
    <w:rsid w:val="59F53FE4"/>
    <w:rsid w:val="5A107157"/>
    <w:rsid w:val="5A1233D7"/>
    <w:rsid w:val="5A2426EB"/>
    <w:rsid w:val="5A332E9C"/>
    <w:rsid w:val="5A3426BC"/>
    <w:rsid w:val="5A454117"/>
    <w:rsid w:val="5A501676"/>
    <w:rsid w:val="5A6D5C4E"/>
    <w:rsid w:val="5A6E50B9"/>
    <w:rsid w:val="5AAC1340"/>
    <w:rsid w:val="5AC039E7"/>
    <w:rsid w:val="5AC1221A"/>
    <w:rsid w:val="5AEA4543"/>
    <w:rsid w:val="5AEE26CA"/>
    <w:rsid w:val="5AEE4EAE"/>
    <w:rsid w:val="5AF63771"/>
    <w:rsid w:val="5B0A12CC"/>
    <w:rsid w:val="5B0B331A"/>
    <w:rsid w:val="5B1672BC"/>
    <w:rsid w:val="5B195D4F"/>
    <w:rsid w:val="5B21679D"/>
    <w:rsid w:val="5B2C167F"/>
    <w:rsid w:val="5B2F6F83"/>
    <w:rsid w:val="5B3926EE"/>
    <w:rsid w:val="5B450578"/>
    <w:rsid w:val="5B4C010D"/>
    <w:rsid w:val="5B673AB6"/>
    <w:rsid w:val="5B6F17AB"/>
    <w:rsid w:val="5B835D00"/>
    <w:rsid w:val="5B912183"/>
    <w:rsid w:val="5B956676"/>
    <w:rsid w:val="5BB140EE"/>
    <w:rsid w:val="5BB66465"/>
    <w:rsid w:val="5BCE2B31"/>
    <w:rsid w:val="5BCF1759"/>
    <w:rsid w:val="5BCF5517"/>
    <w:rsid w:val="5BD504D9"/>
    <w:rsid w:val="5BD61BB0"/>
    <w:rsid w:val="5C0025B3"/>
    <w:rsid w:val="5C0360B7"/>
    <w:rsid w:val="5C056636"/>
    <w:rsid w:val="5C067F8B"/>
    <w:rsid w:val="5C141790"/>
    <w:rsid w:val="5C232770"/>
    <w:rsid w:val="5C33344D"/>
    <w:rsid w:val="5C352B43"/>
    <w:rsid w:val="5C47491A"/>
    <w:rsid w:val="5C653A49"/>
    <w:rsid w:val="5C7215C2"/>
    <w:rsid w:val="5CA5043C"/>
    <w:rsid w:val="5CAC7FF0"/>
    <w:rsid w:val="5CB7107E"/>
    <w:rsid w:val="5CB94636"/>
    <w:rsid w:val="5CBE0434"/>
    <w:rsid w:val="5CC15F16"/>
    <w:rsid w:val="5CC4676D"/>
    <w:rsid w:val="5CC83EA7"/>
    <w:rsid w:val="5CCE18CF"/>
    <w:rsid w:val="5CD00EAA"/>
    <w:rsid w:val="5D10610F"/>
    <w:rsid w:val="5D293D84"/>
    <w:rsid w:val="5D3662B3"/>
    <w:rsid w:val="5D3B0092"/>
    <w:rsid w:val="5D3D0E3B"/>
    <w:rsid w:val="5D4413AE"/>
    <w:rsid w:val="5D65289B"/>
    <w:rsid w:val="5D6621FB"/>
    <w:rsid w:val="5D66629F"/>
    <w:rsid w:val="5D6A7321"/>
    <w:rsid w:val="5D727693"/>
    <w:rsid w:val="5D82193F"/>
    <w:rsid w:val="5D8954A0"/>
    <w:rsid w:val="5D8D1FB6"/>
    <w:rsid w:val="5D9224DA"/>
    <w:rsid w:val="5D9C7622"/>
    <w:rsid w:val="5DBC2E9F"/>
    <w:rsid w:val="5DD82C75"/>
    <w:rsid w:val="5DE3535B"/>
    <w:rsid w:val="5DF302D4"/>
    <w:rsid w:val="5E006713"/>
    <w:rsid w:val="5E326B7D"/>
    <w:rsid w:val="5E343772"/>
    <w:rsid w:val="5E4173F2"/>
    <w:rsid w:val="5E467691"/>
    <w:rsid w:val="5E493FE8"/>
    <w:rsid w:val="5E566771"/>
    <w:rsid w:val="5E5F3ECB"/>
    <w:rsid w:val="5E6C6963"/>
    <w:rsid w:val="5E8400EC"/>
    <w:rsid w:val="5E8C11C5"/>
    <w:rsid w:val="5EA00D2C"/>
    <w:rsid w:val="5EC04439"/>
    <w:rsid w:val="5ECA1FC9"/>
    <w:rsid w:val="5ECB4F8C"/>
    <w:rsid w:val="5ED42812"/>
    <w:rsid w:val="5ED5673A"/>
    <w:rsid w:val="5EE65064"/>
    <w:rsid w:val="5EEE5B65"/>
    <w:rsid w:val="5EFA3655"/>
    <w:rsid w:val="5F141469"/>
    <w:rsid w:val="5F406AF7"/>
    <w:rsid w:val="5F4B6652"/>
    <w:rsid w:val="5F667A6A"/>
    <w:rsid w:val="5F692A19"/>
    <w:rsid w:val="5F6B7B9D"/>
    <w:rsid w:val="5F703EC9"/>
    <w:rsid w:val="5F76621D"/>
    <w:rsid w:val="5F9D643E"/>
    <w:rsid w:val="5FA944AC"/>
    <w:rsid w:val="5FAC32ED"/>
    <w:rsid w:val="5FB3694F"/>
    <w:rsid w:val="5FB54B12"/>
    <w:rsid w:val="5FB970DF"/>
    <w:rsid w:val="5FC5106F"/>
    <w:rsid w:val="5FD170ED"/>
    <w:rsid w:val="5FD21DA9"/>
    <w:rsid w:val="5FDB6C7B"/>
    <w:rsid w:val="5FF519D0"/>
    <w:rsid w:val="600F33B6"/>
    <w:rsid w:val="60126829"/>
    <w:rsid w:val="601E3E49"/>
    <w:rsid w:val="60203B3D"/>
    <w:rsid w:val="602D199B"/>
    <w:rsid w:val="602F6B06"/>
    <w:rsid w:val="6048729B"/>
    <w:rsid w:val="60510E39"/>
    <w:rsid w:val="6057691E"/>
    <w:rsid w:val="60595417"/>
    <w:rsid w:val="60620641"/>
    <w:rsid w:val="60711F15"/>
    <w:rsid w:val="607131DD"/>
    <w:rsid w:val="607169C6"/>
    <w:rsid w:val="609C008D"/>
    <w:rsid w:val="60A42C31"/>
    <w:rsid w:val="60A56862"/>
    <w:rsid w:val="60B90E90"/>
    <w:rsid w:val="60BC3E74"/>
    <w:rsid w:val="60C166EF"/>
    <w:rsid w:val="60CE77E7"/>
    <w:rsid w:val="60E4592E"/>
    <w:rsid w:val="60EB3462"/>
    <w:rsid w:val="60EC6C56"/>
    <w:rsid w:val="60F3473F"/>
    <w:rsid w:val="610358C6"/>
    <w:rsid w:val="610E3558"/>
    <w:rsid w:val="611857DD"/>
    <w:rsid w:val="612647AE"/>
    <w:rsid w:val="614421A1"/>
    <w:rsid w:val="614B0915"/>
    <w:rsid w:val="614E60D8"/>
    <w:rsid w:val="61533697"/>
    <w:rsid w:val="61673AB0"/>
    <w:rsid w:val="61734C5D"/>
    <w:rsid w:val="617952B6"/>
    <w:rsid w:val="61B03543"/>
    <w:rsid w:val="61C25864"/>
    <w:rsid w:val="61C72942"/>
    <w:rsid w:val="61C92098"/>
    <w:rsid w:val="61D62E9B"/>
    <w:rsid w:val="61E01682"/>
    <w:rsid w:val="61E87411"/>
    <w:rsid w:val="61E933C0"/>
    <w:rsid w:val="61F30E62"/>
    <w:rsid w:val="61FC7438"/>
    <w:rsid w:val="61FD59BC"/>
    <w:rsid w:val="62057807"/>
    <w:rsid w:val="620938BD"/>
    <w:rsid w:val="6219747B"/>
    <w:rsid w:val="624409C0"/>
    <w:rsid w:val="62585A7C"/>
    <w:rsid w:val="626557F0"/>
    <w:rsid w:val="62954E79"/>
    <w:rsid w:val="6299063F"/>
    <w:rsid w:val="629A5011"/>
    <w:rsid w:val="62A754F8"/>
    <w:rsid w:val="62B563CE"/>
    <w:rsid w:val="62DF391A"/>
    <w:rsid w:val="62EE71CA"/>
    <w:rsid w:val="63026FAC"/>
    <w:rsid w:val="630D016D"/>
    <w:rsid w:val="63156D86"/>
    <w:rsid w:val="63397EC3"/>
    <w:rsid w:val="63400C10"/>
    <w:rsid w:val="63403FBC"/>
    <w:rsid w:val="63700ACF"/>
    <w:rsid w:val="638C05C9"/>
    <w:rsid w:val="638F7433"/>
    <w:rsid w:val="63AF79F5"/>
    <w:rsid w:val="63B91A80"/>
    <w:rsid w:val="63BD730C"/>
    <w:rsid w:val="63C57239"/>
    <w:rsid w:val="63CB32E9"/>
    <w:rsid w:val="63D124F5"/>
    <w:rsid w:val="63D43630"/>
    <w:rsid w:val="63DC415A"/>
    <w:rsid w:val="63E956DB"/>
    <w:rsid w:val="63F4531A"/>
    <w:rsid w:val="63F54556"/>
    <w:rsid w:val="64083C3F"/>
    <w:rsid w:val="64117515"/>
    <w:rsid w:val="641D1D57"/>
    <w:rsid w:val="64266D68"/>
    <w:rsid w:val="64323514"/>
    <w:rsid w:val="643711BC"/>
    <w:rsid w:val="64441FD9"/>
    <w:rsid w:val="64477515"/>
    <w:rsid w:val="64637306"/>
    <w:rsid w:val="64714BA0"/>
    <w:rsid w:val="64857D05"/>
    <w:rsid w:val="649557C1"/>
    <w:rsid w:val="64A2506B"/>
    <w:rsid w:val="64A65841"/>
    <w:rsid w:val="64B70D07"/>
    <w:rsid w:val="64B77BC7"/>
    <w:rsid w:val="64C51ACF"/>
    <w:rsid w:val="64C51F94"/>
    <w:rsid w:val="64CC7737"/>
    <w:rsid w:val="64D375A3"/>
    <w:rsid w:val="64E42288"/>
    <w:rsid w:val="64E46D1A"/>
    <w:rsid w:val="64ED3A94"/>
    <w:rsid w:val="64FC3B9A"/>
    <w:rsid w:val="65247F7A"/>
    <w:rsid w:val="652F5305"/>
    <w:rsid w:val="653D1B90"/>
    <w:rsid w:val="655D015B"/>
    <w:rsid w:val="656C1E51"/>
    <w:rsid w:val="656C3B50"/>
    <w:rsid w:val="659B7170"/>
    <w:rsid w:val="65DA6397"/>
    <w:rsid w:val="65DA6E5E"/>
    <w:rsid w:val="65E311C3"/>
    <w:rsid w:val="65EA6E69"/>
    <w:rsid w:val="65FD47A4"/>
    <w:rsid w:val="65FE6D3A"/>
    <w:rsid w:val="66052F39"/>
    <w:rsid w:val="66086F6A"/>
    <w:rsid w:val="660A0B49"/>
    <w:rsid w:val="661908DF"/>
    <w:rsid w:val="661F6354"/>
    <w:rsid w:val="66290BAB"/>
    <w:rsid w:val="66374F48"/>
    <w:rsid w:val="66403993"/>
    <w:rsid w:val="664D5A12"/>
    <w:rsid w:val="665138CC"/>
    <w:rsid w:val="666B47EA"/>
    <w:rsid w:val="6672235B"/>
    <w:rsid w:val="6677718C"/>
    <w:rsid w:val="668A4D5C"/>
    <w:rsid w:val="66A02DED"/>
    <w:rsid w:val="66BF0F94"/>
    <w:rsid w:val="66C6117D"/>
    <w:rsid w:val="66D137F4"/>
    <w:rsid w:val="66D622C8"/>
    <w:rsid w:val="66DE1386"/>
    <w:rsid w:val="66E17AC7"/>
    <w:rsid w:val="66E452AB"/>
    <w:rsid w:val="66EF7CB6"/>
    <w:rsid w:val="67045800"/>
    <w:rsid w:val="670612D1"/>
    <w:rsid w:val="67303947"/>
    <w:rsid w:val="67321D40"/>
    <w:rsid w:val="673422A1"/>
    <w:rsid w:val="673D1BBD"/>
    <w:rsid w:val="673D6B47"/>
    <w:rsid w:val="67445100"/>
    <w:rsid w:val="674C6803"/>
    <w:rsid w:val="674E2499"/>
    <w:rsid w:val="6751510E"/>
    <w:rsid w:val="675237C7"/>
    <w:rsid w:val="67677DBA"/>
    <w:rsid w:val="6774799F"/>
    <w:rsid w:val="678455C3"/>
    <w:rsid w:val="67855FB8"/>
    <w:rsid w:val="67B0102D"/>
    <w:rsid w:val="67B43BF2"/>
    <w:rsid w:val="67B84974"/>
    <w:rsid w:val="67DD352F"/>
    <w:rsid w:val="67EE5572"/>
    <w:rsid w:val="67F021C3"/>
    <w:rsid w:val="68136BD7"/>
    <w:rsid w:val="68166C13"/>
    <w:rsid w:val="682C19E2"/>
    <w:rsid w:val="682F280A"/>
    <w:rsid w:val="684652E9"/>
    <w:rsid w:val="68552E02"/>
    <w:rsid w:val="68585D4B"/>
    <w:rsid w:val="685B5350"/>
    <w:rsid w:val="685B6425"/>
    <w:rsid w:val="687A2479"/>
    <w:rsid w:val="687F6274"/>
    <w:rsid w:val="68986CC6"/>
    <w:rsid w:val="68A15869"/>
    <w:rsid w:val="68AE6441"/>
    <w:rsid w:val="68BA149C"/>
    <w:rsid w:val="68BE6802"/>
    <w:rsid w:val="68CA586D"/>
    <w:rsid w:val="68D92243"/>
    <w:rsid w:val="68EC2B74"/>
    <w:rsid w:val="68F168B7"/>
    <w:rsid w:val="68FF69BE"/>
    <w:rsid w:val="690D6941"/>
    <w:rsid w:val="691C2C81"/>
    <w:rsid w:val="691D6BEF"/>
    <w:rsid w:val="692270F9"/>
    <w:rsid w:val="692B0929"/>
    <w:rsid w:val="69411343"/>
    <w:rsid w:val="695E0CA3"/>
    <w:rsid w:val="696238F4"/>
    <w:rsid w:val="696635C7"/>
    <w:rsid w:val="69693549"/>
    <w:rsid w:val="69725991"/>
    <w:rsid w:val="6984779F"/>
    <w:rsid w:val="698A7029"/>
    <w:rsid w:val="69A24299"/>
    <w:rsid w:val="69A74C01"/>
    <w:rsid w:val="69A74CEC"/>
    <w:rsid w:val="69CA08FD"/>
    <w:rsid w:val="69DC0891"/>
    <w:rsid w:val="69EC7A0C"/>
    <w:rsid w:val="6A125FEB"/>
    <w:rsid w:val="6A151732"/>
    <w:rsid w:val="6A243EFF"/>
    <w:rsid w:val="6A310ACA"/>
    <w:rsid w:val="6A33711A"/>
    <w:rsid w:val="6A3B09DC"/>
    <w:rsid w:val="6A475C3C"/>
    <w:rsid w:val="6A762D68"/>
    <w:rsid w:val="6A7F2149"/>
    <w:rsid w:val="6A8230BA"/>
    <w:rsid w:val="6A8D524E"/>
    <w:rsid w:val="6AA66D7C"/>
    <w:rsid w:val="6ACA6E39"/>
    <w:rsid w:val="6ACB2D3F"/>
    <w:rsid w:val="6AE54395"/>
    <w:rsid w:val="6AE97230"/>
    <w:rsid w:val="6AF86250"/>
    <w:rsid w:val="6B072B94"/>
    <w:rsid w:val="6B31373A"/>
    <w:rsid w:val="6B4526D0"/>
    <w:rsid w:val="6B542D63"/>
    <w:rsid w:val="6B545906"/>
    <w:rsid w:val="6B7226E0"/>
    <w:rsid w:val="6B7554DF"/>
    <w:rsid w:val="6B7D604D"/>
    <w:rsid w:val="6BA742AC"/>
    <w:rsid w:val="6BA77944"/>
    <w:rsid w:val="6BA81731"/>
    <w:rsid w:val="6BB9071D"/>
    <w:rsid w:val="6BBC39AC"/>
    <w:rsid w:val="6BDA195D"/>
    <w:rsid w:val="6BDA2004"/>
    <w:rsid w:val="6BDB7D87"/>
    <w:rsid w:val="6BF37332"/>
    <w:rsid w:val="6C0B6D4F"/>
    <w:rsid w:val="6C131243"/>
    <w:rsid w:val="6C1508EB"/>
    <w:rsid w:val="6C18471C"/>
    <w:rsid w:val="6C1B069D"/>
    <w:rsid w:val="6C1D3760"/>
    <w:rsid w:val="6C1D7BCE"/>
    <w:rsid w:val="6C1E7A1C"/>
    <w:rsid w:val="6C21415E"/>
    <w:rsid w:val="6C5C7431"/>
    <w:rsid w:val="6C663333"/>
    <w:rsid w:val="6C6B2C20"/>
    <w:rsid w:val="6C74103E"/>
    <w:rsid w:val="6C790792"/>
    <w:rsid w:val="6C793FCF"/>
    <w:rsid w:val="6C7C4979"/>
    <w:rsid w:val="6C800049"/>
    <w:rsid w:val="6C820C0F"/>
    <w:rsid w:val="6C947AB0"/>
    <w:rsid w:val="6CA4362D"/>
    <w:rsid w:val="6CA8627A"/>
    <w:rsid w:val="6CB64910"/>
    <w:rsid w:val="6CBE5109"/>
    <w:rsid w:val="6CC30557"/>
    <w:rsid w:val="6CD20281"/>
    <w:rsid w:val="6CD21729"/>
    <w:rsid w:val="6CD46F14"/>
    <w:rsid w:val="6CD8269F"/>
    <w:rsid w:val="6CDC5EBB"/>
    <w:rsid w:val="6CE43AF7"/>
    <w:rsid w:val="6D167FE2"/>
    <w:rsid w:val="6D2C14AD"/>
    <w:rsid w:val="6D311F7D"/>
    <w:rsid w:val="6D39117E"/>
    <w:rsid w:val="6D4042F1"/>
    <w:rsid w:val="6D556E3C"/>
    <w:rsid w:val="6D5D2B62"/>
    <w:rsid w:val="6D5E58B7"/>
    <w:rsid w:val="6D6745F5"/>
    <w:rsid w:val="6D7B3CDC"/>
    <w:rsid w:val="6D8117F8"/>
    <w:rsid w:val="6DB07FFA"/>
    <w:rsid w:val="6DB56881"/>
    <w:rsid w:val="6DCE40CE"/>
    <w:rsid w:val="6DD40D81"/>
    <w:rsid w:val="6DE75033"/>
    <w:rsid w:val="6DFB70B6"/>
    <w:rsid w:val="6E0809B1"/>
    <w:rsid w:val="6E09106D"/>
    <w:rsid w:val="6E0923D8"/>
    <w:rsid w:val="6E127AFC"/>
    <w:rsid w:val="6E2E1A6D"/>
    <w:rsid w:val="6E362CCF"/>
    <w:rsid w:val="6E3F2877"/>
    <w:rsid w:val="6E482931"/>
    <w:rsid w:val="6E6648EE"/>
    <w:rsid w:val="6E7243FD"/>
    <w:rsid w:val="6E78008B"/>
    <w:rsid w:val="6E833393"/>
    <w:rsid w:val="6E8610ED"/>
    <w:rsid w:val="6E94384D"/>
    <w:rsid w:val="6E9532FA"/>
    <w:rsid w:val="6EA06A3C"/>
    <w:rsid w:val="6EA16137"/>
    <w:rsid w:val="6ECC2851"/>
    <w:rsid w:val="6EF01BCF"/>
    <w:rsid w:val="6EF126E3"/>
    <w:rsid w:val="6F131AD9"/>
    <w:rsid w:val="6F140FE6"/>
    <w:rsid w:val="6F2E1F3D"/>
    <w:rsid w:val="6F3D70DA"/>
    <w:rsid w:val="6F41302D"/>
    <w:rsid w:val="6F42354B"/>
    <w:rsid w:val="6F4300A0"/>
    <w:rsid w:val="6F5324B5"/>
    <w:rsid w:val="6F610C1F"/>
    <w:rsid w:val="6F780A9C"/>
    <w:rsid w:val="6F931E11"/>
    <w:rsid w:val="6F933F5B"/>
    <w:rsid w:val="6F9D5714"/>
    <w:rsid w:val="6FBE3AB1"/>
    <w:rsid w:val="6FCA221F"/>
    <w:rsid w:val="6FCE7735"/>
    <w:rsid w:val="6FD93DB4"/>
    <w:rsid w:val="6FE43380"/>
    <w:rsid w:val="70307F15"/>
    <w:rsid w:val="703A4DE0"/>
    <w:rsid w:val="70522332"/>
    <w:rsid w:val="705A50F3"/>
    <w:rsid w:val="706207E5"/>
    <w:rsid w:val="706B1943"/>
    <w:rsid w:val="707B198B"/>
    <w:rsid w:val="70AB67CF"/>
    <w:rsid w:val="70B87A79"/>
    <w:rsid w:val="70BB6549"/>
    <w:rsid w:val="70C8462E"/>
    <w:rsid w:val="70D00039"/>
    <w:rsid w:val="70D9311B"/>
    <w:rsid w:val="70E16376"/>
    <w:rsid w:val="70FD314E"/>
    <w:rsid w:val="711322DF"/>
    <w:rsid w:val="711557D2"/>
    <w:rsid w:val="711A3121"/>
    <w:rsid w:val="71290211"/>
    <w:rsid w:val="714810E1"/>
    <w:rsid w:val="7156088F"/>
    <w:rsid w:val="71611A45"/>
    <w:rsid w:val="7163560D"/>
    <w:rsid w:val="716B1837"/>
    <w:rsid w:val="716D637C"/>
    <w:rsid w:val="71762C26"/>
    <w:rsid w:val="71920147"/>
    <w:rsid w:val="71974966"/>
    <w:rsid w:val="71A0693C"/>
    <w:rsid w:val="71A74636"/>
    <w:rsid w:val="71B62D75"/>
    <w:rsid w:val="71C64795"/>
    <w:rsid w:val="71DE3202"/>
    <w:rsid w:val="71E068B0"/>
    <w:rsid w:val="71E13CF8"/>
    <w:rsid w:val="71E36583"/>
    <w:rsid w:val="71E661C1"/>
    <w:rsid w:val="71EB3471"/>
    <w:rsid w:val="71EC182A"/>
    <w:rsid w:val="71EF64BF"/>
    <w:rsid w:val="71F5344F"/>
    <w:rsid w:val="71FC3136"/>
    <w:rsid w:val="720A1AC4"/>
    <w:rsid w:val="720B694C"/>
    <w:rsid w:val="721676A2"/>
    <w:rsid w:val="72197A69"/>
    <w:rsid w:val="721A6020"/>
    <w:rsid w:val="722331A5"/>
    <w:rsid w:val="722902E6"/>
    <w:rsid w:val="7229583B"/>
    <w:rsid w:val="72345FC4"/>
    <w:rsid w:val="72360F62"/>
    <w:rsid w:val="724044F2"/>
    <w:rsid w:val="725C3A76"/>
    <w:rsid w:val="726E72DD"/>
    <w:rsid w:val="72716757"/>
    <w:rsid w:val="72717CBC"/>
    <w:rsid w:val="72755AAD"/>
    <w:rsid w:val="727C121B"/>
    <w:rsid w:val="7281304D"/>
    <w:rsid w:val="729A6D3C"/>
    <w:rsid w:val="729D5541"/>
    <w:rsid w:val="72C429AD"/>
    <w:rsid w:val="72D002E0"/>
    <w:rsid w:val="72D73503"/>
    <w:rsid w:val="72E53841"/>
    <w:rsid w:val="72EE21D4"/>
    <w:rsid w:val="72F53F87"/>
    <w:rsid w:val="730D1CCA"/>
    <w:rsid w:val="731D5552"/>
    <w:rsid w:val="731F0F7C"/>
    <w:rsid w:val="732539AE"/>
    <w:rsid w:val="73281380"/>
    <w:rsid w:val="734E18AE"/>
    <w:rsid w:val="734E1DFC"/>
    <w:rsid w:val="7350232C"/>
    <w:rsid w:val="735143BA"/>
    <w:rsid w:val="73597C8A"/>
    <w:rsid w:val="736413B0"/>
    <w:rsid w:val="737F23C2"/>
    <w:rsid w:val="73802173"/>
    <w:rsid w:val="738C7846"/>
    <w:rsid w:val="73946DE8"/>
    <w:rsid w:val="73956BEF"/>
    <w:rsid w:val="73B93F95"/>
    <w:rsid w:val="73BB617F"/>
    <w:rsid w:val="73CD4ED4"/>
    <w:rsid w:val="73D86D67"/>
    <w:rsid w:val="73EB46AD"/>
    <w:rsid w:val="73EF6ABA"/>
    <w:rsid w:val="73F13BF6"/>
    <w:rsid w:val="74035F0C"/>
    <w:rsid w:val="741572BE"/>
    <w:rsid w:val="741E4D72"/>
    <w:rsid w:val="743254BC"/>
    <w:rsid w:val="744637BC"/>
    <w:rsid w:val="747F0E60"/>
    <w:rsid w:val="748010C6"/>
    <w:rsid w:val="748D2C82"/>
    <w:rsid w:val="74C15EA3"/>
    <w:rsid w:val="74C760A8"/>
    <w:rsid w:val="74C97E89"/>
    <w:rsid w:val="74DC5087"/>
    <w:rsid w:val="74F5031E"/>
    <w:rsid w:val="75023CFC"/>
    <w:rsid w:val="75066CC8"/>
    <w:rsid w:val="75220121"/>
    <w:rsid w:val="7526156F"/>
    <w:rsid w:val="75371179"/>
    <w:rsid w:val="753D2E6F"/>
    <w:rsid w:val="753E5B2C"/>
    <w:rsid w:val="754444B6"/>
    <w:rsid w:val="7551416C"/>
    <w:rsid w:val="756D69D5"/>
    <w:rsid w:val="758449E9"/>
    <w:rsid w:val="758E4672"/>
    <w:rsid w:val="75AB26BB"/>
    <w:rsid w:val="75B349B0"/>
    <w:rsid w:val="75C10251"/>
    <w:rsid w:val="75D51592"/>
    <w:rsid w:val="75DE3A90"/>
    <w:rsid w:val="75E0148D"/>
    <w:rsid w:val="762C3780"/>
    <w:rsid w:val="7639273F"/>
    <w:rsid w:val="76393874"/>
    <w:rsid w:val="763A4A42"/>
    <w:rsid w:val="763D6C92"/>
    <w:rsid w:val="76401CC0"/>
    <w:rsid w:val="76443C72"/>
    <w:rsid w:val="7647717D"/>
    <w:rsid w:val="764D6A4B"/>
    <w:rsid w:val="76545F0B"/>
    <w:rsid w:val="768B2013"/>
    <w:rsid w:val="769979B2"/>
    <w:rsid w:val="769F05AF"/>
    <w:rsid w:val="76AD636B"/>
    <w:rsid w:val="76AE11FD"/>
    <w:rsid w:val="76C02375"/>
    <w:rsid w:val="76CB1E88"/>
    <w:rsid w:val="76DF70E1"/>
    <w:rsid w:val="76E45D4E"/>
    <w:rsid w:val="76E538A6"/>
    <w:rsid w:val="77030DE2"/>
    <w:rsid w:val="770A2BAD"/>
    <w:rsid w:val="770B541D"/>
    <w:rsid w:val="772103AE"/>
    <w:rsid w:val="77345A04"/>
    <w:rsid w:val="77361AE6"/>
    <w:rsid w:val="773F2A18"/>
    <w:rsid w:val="77547417"/>
    <w:rsid w:val="775556D0"/>
    <w:rsid w:val="7765236E"/>
    <w:rsid w:val="777664D0"/>
    <w:rsid w:val="77775D89"/>
    <w:rsid w:val="777A369C"/>
    <w:rsid w:val="77865594"/>
    <w:rsid w:val="77875AFD"/>
    <w:rsid w:val="778827F0"/>
    <w:rsid w:val="779C20FF"/>
    <w:rsid w:val="77A7245B"/>
    <w:rsid w:val="77AB774B"/>
    <w:rsid w:val="77BC0F27"/>
    <w:rsid w:val="77D5375D"/>
    <w:rsid w:val="77DA667F"/>
    <w:rsid w:val="77DD4D27"/>
    <w:rsid w:val="77DE766F"/>
    <w:rsid w:val="77EE5C9C"/>
    <w:rsid w:val="78021845"/>
    <w:rsid w:val="78166FF5"/>
    <w:rsid w:val="781B6F23"/>
    <w:rsid w:val="784573F7"/>
    <w:rsid w:val="78473797"/>
    <w:rsid w:val="78674783"/>
    <w:rsid w:val="786848AD"/>
    <w:rsid w:val="78685C72"/>
    <w:rsid w:val="788E2B01"/>
    <w:rsid w:val="788E4FCD"/>
    <w:rsid w:val="78954711"/>
    <w:rsid w:val="78A45166"/>
    <w:rsid w:val="78A52233"/>
    <w:rsid w:val="78AC1AE9"/>
    <w:rsid w:val="78DE7D9E"/>
    <w:rsid w:val="78FE3DD4"/>
    <w:rsid w:val="790D1655"/>
    <w:rsid w:val="791023BA"/>
    <w:rsid w:val="79152DDB"/>
    <w:rsid w:val="792A7B89"/>
    <w:rsid w:val="793F0B00"/>
    <w:rsid w:val="79447889"/>
    <w:rsid w:val="7966655A"/>
    <w:rsid w:val="79680051"/>
    <w:rsid w:val="796B515F"/>
    <w:rsid w:val="79890482"/>
    <w:rsid w:val="79AD438E"/>
    <w:rsid w:val="79AF1C2F"/>
    <w:rsid w:val="79B34790"/>
    <w:rsid w:val="79C10D1D"/>
    <w:rsid w:val="79C64B1D"/>
    <w:rsid w:val="79C74800"/>
    <w:rsid w:val="79CF280D"/>
    <w:rsid w:val="79D92C52"/>
    <w:rsid w:val="7A0523AC"/>
    <w:rsid w:val="7A263151"/>
    <w:rsid w:val="7A2F5664"/>
    <w:rsid w:val="7A3709AF"/>
    <w:rsid w:val="7A3C57B4"/>
    <w:rsid w:val="7A3E2FCE"/>
    <w:rsid w:val="7A40213B"/>
    <w:rsid w:val="7A416AE8"/>
    <w:rsid w:val="7A6016BC"/>
    <w:rsid w:val="7A633642"/>
    <w:rsid w:val="7A780B2F"/>
    <w:rsid w:val="7A78350B"/>
    <w:rsid w:val="7A960BCF"/>
    <w:rsid w:val="7AA92729"/>
    <w:rsid w:val="7AA97D3A"/>
    <w:rsid w:val="7AB35B04"/>
    <w:rsid w:val="7AC14F90"/>
    <w:rsid w:val="7ACF0F5F"/>
    <w:rsid w:val="7AD0558D"/>
    <w:rsid w:val="7AD263B8"/>
    <w:rsid w:val="7AF32EC7"/>
    <w:rsid w:val="7AF71457"/>
    <w:rsid w:val="7AF96CEC"/>
    <w:rsid w:val="7B0B3A59"/>
    <w:rsid w:val="7B140B3F"/>
    <w:rsid w:val="7B181296"/>
    <w:rsid w:val="7B2265B0"/>
    <w:rsid w:val="7B307F57"/>
    <w:rsid w:val="7B344379"/>
    <w:rsid w:val="7B3F19BB"/>
    <w:rsid w:val="7B423C5A"/>
    <w:rsid w:val="7B46197D"/>
    <w:rsid w:val="7B534688"/>
    <w:rsid w:val="7B5559C8"/>
    <w:rsid w:val="7B56348E"/>
    <w:rsid w:val="7B602190"/>
    <w:rsid w:val="7B7245C1"/>
    <w:rsid w:val="7B757E41"/>
    <w:rsid w:val="7B8405E7"/>
    <w:rsid w:val="7B95459C"/>
    <w:rsid w:val="7B9619B6"/>
    <w:rsid w:val="7BB861D2"/>
    <w:rsid w:val="7BBC6CC3"/>
    <w:rsid w:val="7BBD43B9"/>
    <w:rsid w:val="7BC17811"/>
    <w:rsid w:val="7BC77F3E"/>
    <w:rsid w:val="7BD7176C"/>
    <w:rsid w:val="7BD73672"/>
    <w:rsid w:val="7BDA577B"/>
    <w:rsid w:val="7BEA7349"/>
    <w:rsid w:val="7C0B68C6"/>
    <w:rsid w:val="7C0F6958"/>
    <w:rsid w:val="7C194312"/>
    <w:rsid w:val="7C1973BE"/>
    <w:rsid w:val="7C207C89"/>
    <w:rsid w:val="7C247CA2"/>
    <w:rsid w:val="7C4645D9"/>
    <w:rsid w:val="7C47271E"/>
    <w:rsid w:val="7C5400E1"/>
    <w:rsid w:val="7C5610DE"/>
    <w:rsid w:val="7C6764B7"/>
    <w:rsid w:val="7C6D03C2"/>
    <w:rsid w:val="7C74092F"/>
    <w:rsid w:val="7C7D6A0E"/>
    <w:rsid w:val="7C824FF2"/>
    <w:rsid w:val="7C977DA4"/>
    <w:rsid w:val="7CAB1251"/>
    <w:rsid w:val="7CB742E4"/>
    <w:rsid w:val="7CB93C75"/>
    <w:rsid w:val="7CC649F4"/>
    <w:rsid w:val="7CD14019"/>
    <w:rsid w:val="7CE80ED9"/>
    <w:rsid w:val="7CF16334"/>
    <w:rsid w:val="7CF3413E"/>
    <w:rsid w:val="7D1E05D4"/>
    <w:rsid w:val="7D3A60D5"/>
    <w:rsid w:val="7D6062EB"/>
    <w:rsid w:val="7D61609A"/>
    <w:rsid w:val="7D630980"/>
    <w:rsid w:val="7D703770"/>
    <w:rsid w:val="7D796D95"/>
    <w:rsid w:val="7D8708EF"/>
    <w:rsid w:val="7DA72C8C"/>
    <w:rsid w:val="7DA94EE7"/>
    <w:rsid w:val="7DAB2A7A"/>
    <w:rsid w:val="7DC83C58"/>
    <w:rsid w:val="7DCC36D7"/>
    <w:rsid w:val="7DDF6880"/>
    <w:rsid w:val="7DEA16C0"/>
    <w:rsid w:val="7E077EAD"/>
    <w:rsid w:val="7E081D9F"/>
    <w:rsid w:val="7E184E34"/>
    <w:rsid w:val="7E1D367D"/>
    <w:rsid w:val="7E213C36"/>
    <w:rsid w:val="7E2D0177"/>
    <w:rsid w:val="7E312A34"/>
    <w:rsid w:val="7E36490C"/>
    <w:rsid w:val="7E3E1F98"/>
    <w:rsid w:val="7E3E6585"/>
    <w:rsid w:val="7E3F68A0"/>
    <w:rsid w:val="7E4137A6"/>
    <w:rsid w:val="7E5C2E35"/>
    <w:rsid w:val="7E600DC3"/>
    <w:rsid w:val="7E694279"/>
    <w:rsid w:val="7E765D97"/>
    <w:rsid w:val="7E7E700C"/>
    <w:rsid w:val="7E857DAD"/>
    <w:rsid w:val="7E9303BC"/>
    <w:rsid w:val="7EA50B70"/>
    <w:rsid w:val="7EB43BC0"/>
    <w:rsid w:val="7EC47289"/>
    <w:rsid w:val="7ED50E6D"/>
    <w:rsid w:val="7EE069B6"/>
    <w:rsid w:val="7EE9384F"/>
    <w:rsid w:val="7EEF0E7A"/>
    <w:rsid w:val="7EF621FE"/>
    <w:rsid w:val="7EFD0989"/>
    <w:rsid w:val="7F0251EE"/>
    <w:rsid w:val="7F263D72"/>
    <w:rsid w:val="7F284CFC"/>
    <w:rsid w:val="7F2E72D9"/>
    <w:rsid w:val="7F4F0A7E"/>
    <w:rsid w:val="7F5A4CF0"/>
    <w:rsid w:val="7F5C31CD"/>
    <w:rsid w:val="7F632921"/>
    <w:rsid w:val="7F6B5095"/>
    <w:rsid w:val="7F812C76"/>
    <w:rsid w:val="7F857B2A"/>
    <w:rsid w:val="7FA00E7C"/>
    <w:rsid w:val="7FA12889"/>
    <w:rsid w:val="7FA147C6"/>
    <w:rsid w:val="7FB41999"/>
    <w:rsid w:val="7FC17032"/>
    <w:rsid w:val="7FD41BDA"/>
    <w:rsid w:val="7FE50115"/>
    <w:rsid w:val="7FE63EB7"/>
    <w:rsid w:val="7FEC244E"/>
    <w:rsid w:val="7FEE66E4"/>
    <w:rsid w:val="7FEF0C9A"/>
    <w:rsid w:val="7FF96F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7"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99" w:name="Body Text First Indent 2"/>
    <w:lsdException w:uiPriority="99" w:name="Note Heading"/>
    <w:lsdException w:uiPriority="99" w:name="Body Text 2"/>
    <w:lsdException w:qFormat="1" w:uiPriority="99" w:semiHidden="0"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7" w:semiHidden="0" w:name="Table Grid"/>
    <w:lsdException w:uiPriority="99" w:name="Table Theme"/>
    <w:lsdException w:qFormat="1" w:unhideWhenUsed="0" w:uiPriority="5"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49"/>
    <w:qFormat/>
    <w:uiPriority w:val="7"/>
    <w:pPr>
      <w:keepNext/>
      <w:keepLines/>
      <w:spacing w:before="340" w:after="330" w:line="578" w:lineRule="auto"/>
      <w:outlineLvl w:val="0"/>
    </w:pPr>
    <w:rPr>
      <w:rFonts w:ascii="Times New Roman" w:hAnsi="Times New Roman" w:eastAsia="宋体" w:cs="Times New Roman"/>
      <w:b/>
      <w:bCs/>
      <w:kern w:val="44"/>
      <w:sz w:val="44"/>
      <w:szCs w:val="44"/>
      <w:lang w:val="zh-CN"/>
    </w:rPr>
  </w:style>
  <w:style w:type="paragraph" w:styleId="4">
    <w:name w:val="heading 2"/>
    <w:basedOn w:val="1"/>
    <w:next w:val="1"/>
    <w:link w:val="50"/>
    <w:qFormat/>
    <w:uiPriority w:val="9"/>
    <w:pPr>
      <w:keepNext/>
      <w:keepLines/>
      <w:spacing w:before="260" w:after="260" w:line="416" w:lineRule="auto"/>
      <w:outlineLvl w:val="1"/>
    </w:pPr>
    <w:rPr>
      <w:rFonts w:ascii="Cambria" w:hAnsi="Cambria" w:eastAsia="宋体" w:cs="Times New Roman"/>
      <w:b/>
      <w:bCs/>
      <w:sz w:val="32"/>
      <w:szCs w:val="32"/>
      <w:lang w:val="zh-CN"/>
    </w:rPr>
  </w:style>
  <w:style w:type="paragraph" w:styleId="5">
    <w:name w:val="heading 3"/>
    <w:basedOn w:val="1"/>
    <w:next w:val="1"/>
    <w:link w:val="51"/>
    <w:qFormat/>
    <w:uiPriority w:val="9"/>
    <w:pPr>
      <w:keepNext/>
      <w:keepLines/>
      <w:spacing w:before="260" w:after="260" w:line="416" w:lineRule="auto"/>
      <w:outlineLvl w:val="2"/>
    </w:pPr>
    <w:rPr>
      <w:rFonts w:ascii="Times New Roman" w:hAnsi="Times New Roman" w:eastAsia="宋体" w:cs="Times New Roman"/>
      <w:b/>
      <w:bCs/>
      <w:sz w:val="32"/>
      <w:szCs w:val="32"/>
      <w:lang w:val="zh-CN"/>
    </w:rPr>
  </w:style>
  <w:style w:type="paragraph" w:styleId="6">
    <w:name w:val="heading 4"/>
    <w:basedOn w:val="1"/>
    <w:next w:val="1"/>
    <w:link w:val="121"/>
    <w:qFormat/>
    <w:uiPriority w:val="0"/>
    <w:pPr>
      <w:keepNext/>
      <w:keepLines/>
      <w:spacing w:before="280" w:after="290" w:line="376" w:lineRule="auto"/>
      <w:outlineLvl w:val="3"/>
    </w:pPr>
    <w:rPr>
      <w:rFonts w:ascii="Arial" w:hAnsi="Arial" w:eastAsia="黑体" w:cs="Times New Roman"/>
      <w:b/>
      <w:bCs/>
      <w:sz w:val="28"/>
      <w:szCs w:val="28"/>
    </w:rPr>
  </w:style>
  <w:style w:type="paragraph" w:styleId="7">
    <w:name w:val="heading 5"/>
    <w:basedOn w:val="1"/>
    <w:next w:val="8"/>
    <w:link w:val="52"/>
    <w:qFormat/>
    <w:uiPriority w:val="9"/>
    <w:pPr>
      <w:keepNext/>
      <w:keepLines/>
      <w:spacing w:before="280" w:after="290" w:line="376" w:lineRule="auto"/>
      <w:outlineLvl w:val="4"/>
    </w:pPr>
    <w:rPr>
      <w:rFonts w:ascii="Times New Roman" w:hAnsi="Times New Roman" w:eastAsia="宋体" w:cs="Times New Roman"/>
      <w:b/>
      <w:bCs/>
      <w:sz w:val="28"/>
      <w:szCs w:val="28"/>
      <w:lang w:val="zh-CN"/>
    </w:rPr>
  </w:style>
  <w:style w:type="paragraph" w:styleId="9">
    <w:name w:val="heading 8"/>
    <w:basedOn w:val="1"/>
    <w:next w:val="1"/>
    <w:link w:val="53"/>
    <w:qFormat/>
    <w:uiPriority w:val="9"/>
    <w:pPr>
      <w:keepNext/>
      <w:keepLines/>
      <w:spacing w:before="240" w:after="64" w:line="320" w:lineRule="auto"/>
      <w:outlineLvl w:val="7"/>
    </w:pPr>
    <w:rPr>
      <w:rFonts w:ascii="等线 Light" w:hAnsi="等线 Light" w:eastAsia="等线 Light" w:cs="Times New Roman"/>
      <w:sz w:val="24"/>
      <w:szCs w:val="24"/>
      <w:lang w:val="zh-CN"/>
    </w:rPr>
  </w:style>
  <w:style w:type="paragraph" w:styleId="10">
    <w:name w:val="heading 9"/>
    <w:basedOn w:val="1"/>
    <w:next w:val="1"/>
    <w:link w:val="54"/>
    <w:qFormat/>
    <w:uiPriority w:val="9"/>
    <w:pPr>
      <w:keepNext/>
      <w:keepLines/>
      <w:spacing w:before="240" w:after="64" w:line="320" w:lineRule="auto"/>
      <w:outlineLvl w:val="8"/>
    </w:pPr>
    <w:rPr>
      <w:rFonts w:ascii="Cambria" w:hAnsi="Cambria" w:eastAsia="宋体" w:cs="Times New Roman"/>
      <w:szCs w:val="21"/>
      <w:lang w:val="zh-CN"/>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link w:val="71"/>
    <w:unhideWhenUsed/>
    <w:qFormat/>
    <w:uiPriority w:val="99"/>
    <w:pPr>
      <w:tabs>
        <w:tab w:val="center" w:pos="4153"/>
        <w:tab w:val="right" w:pos="8306"/>
      </w:tabs>
      <w:snapToGrid w:val="0"/>
      <w:jc w:val="left"/>
    </w:pPr>
    <w:rPr>
      <w:rFonts w:ascii="Times New Roman" w:hAnsi="Times New Roman" w:eastAsia="宋体" w:cs="Times New Roman"/>
      <w:kern w:val="0"/>
      <w:sz w:val="18"/>
      <w:szCs w:val="18"/>
      <w:lang w:val="zh-CN"/>
    </w:rPr>
  </w:style>
  <w:style w:type="paragraph" w:styleId="8">
    <w:name w:val="Normal Indent"/>
    <w:basedOn w:val="1"/>
    <w:qFormat/>
    <w:uiPriority w:val="0"/>
    <w:pPr>
      <w:ind w:firstLine="420"/>
    </w:pPr>
    <w:rPr>
      <w:rFonts w:ascii="Times New Roman" w:hAnsi="Times New Roman" w:eastAsia="宋体" w:cs="Times New Roman"/>
      <w:szCs w:val="20"/>
    </w:rPr>
  </w:style>
  <w:style w:type="paragraph" w:styleId="11">
    <w:name w:val="index 8"/>
    <w:basedOn w:val="1"/>
    <w:next w:val="1"/>
    <w:qFormat/>
    <w:uiPriority w:val="0"/>
    <w:pPr>
      <w:ind w:left="2940"/>
    </w:pPr>
  </w:style>
  <w:style w:type="paragraph" w:styleId="12">
    <w:name w:val="List Number"/>
    <w:basedOn w:val="1"/>
    <w:qFormat/>
    <w:uiPriority w:val="0"/>
    <w:pPr>
      <w:widowControl/>
      <w:tabs>
        <w:tab w:val="left" w:pos="454"/>
        <w:tab w:val="left" w:pos="720"/>
        <w:tab w:val="left" w:pos="840"/>
      </w:tabs>
      <w:spacing w:after="50" w:afterLines="50"/>
      <w:ind w:left="454" w:hanging="284"/>
      <w:jc w:val="left"/>
    </w:pPr>
    <w:rPr>
      <w:rFonts w:ascii="Times New Roman" w:hAnsi="Times New Roman" w:eastAsia="宋体" w:cs="Times New Roman"/>
      <w:kern w:val="0"/>
      <w:sz w:val="24"/>
      <w:szCs w:val="20"/>
    </w:rPr>
  </w:style>
  <w:style w:type="paragraph" w:styleId="13">
    <w:name w:val="annotation text"/>
    <w:basedOn w:val="1"/>
    <w:link w:val="56"/>
    <w:qFormat/>
    <w:uiPriority w:val="0"/>
    <w:pPr>
      <w:jc w:val="left"/>
    </w:pPr>
    <w:rPr>
      <w:rFonts w:ascii="Times New Roman" w:hAnsi="Times New Roman" w:eastAsia="宋体" w:cs="Times New Roman"/>
      <w:szCs w:val="24"/>
      <w:lang w:val="zh-CN"/>
    </w:rPr>
  </w:style>
  <w:style w:type="paragraph" w:styleId="14">
    <w:name w:val="Body Text 3"/>
    <w:basedOn w:val="1"/>
    <w:link w:val="58"/>
    <w:unhideWhenUsed/>
    <w:qFormat/>
    <w:uiPriority w:val="99"/>
    <w:pPr>
      <w:spacing w:after="120"/>
    </w:pPr>
    <w:rPr>
      <w:rFonts w:ascii="Times New Roman" w:hAnsi="Times New Roman" w:eastAsia="宋体" w:cs="Times New Roman"/>
      <w:sz w:val="16"/>
      <w:szCs w:val="16"/>
      <w:lang w:val="zh-CN"/>
    </w:rPr>
  </w:style>
  <w:style w:type="paragraph" w:styleId="15">
    <w:name w:val="Body Text"/>
    <w:basedOn w:val="1"/>
    <w:next w:val="16"/>
    <w:link w:val="60"/>
    <w:unhideWhenUsed/>
    <w:qFormat/>
    <w:uiPriority w:val="0"/>
    <w:pPr>
      <w:spacing w:after="120"/>
    </w:pPr>
    <w:rPr>
      <w:rFonts w:ascii="Times New Roman" w:hAnsi="Times New Roman" w:eastAsia="宋体" w:cs="Times New Roman"/>
      <w:szCs w:val="24"/>
      <w:lang w:val="zh-CN"/>
    </w:rPr>
  </w:style>
  <w:style w:type="paragraph" w:styleId="16">
    <w:name w:val="Body Text First Indent 2"/>
    <w:basedOn w:val="1"/>
    <w:link w:val="112"/>
    <w:semiHidden/>
    <w:unhideWhenUsed/>
    <w:qFormat/>
    <w:uiPriority w:val="99"/>
    <w:pPr>
      <w:spacing w:after="120"/>
      <w:ind w:left="420" w:leftChars="200" w:firstLine="420" w:firstLineChars="200"/>
    </w:pPr>
    <w:rPr>
      <w:rFonts w:ascii="Times New Roman" w:eastAsia="宋体"/>
      <w:szCs w:val="24"/>
    </w:rPr>
  </w:style>
  <w:style w:type="paragraph" w:styleId="17">
    <w:name w:val="Body Text Indent"/>
    <w:basedOn w:val="1"/>
    <w:link w:val="62"/>
    <w:qFormat/>
    <w:uiPriority w:val="0"/>
    <w:pPr>
      <w:ind w:firstLine="830" w:firstLineChars="352"/>
    </w:pPr>
    <w:rPr>
      <w:rFonts w:ascii="仿宋_GB2312" w:hAnsi="Times New Roman" w:eastAsia="仿宋_GB2312" w:cs="Times New Roman"/>
      <w:kern w:val="0"/>
      <w:sz w:val="32"/>
      <w:szCs w:val="20"/>
      <w:lang w:val="zh-CN"/>
    </w:rPr>
  </w:style>
  <w:style w:type="paragraph" w:styleId="18">
    <w:name w:val="List 2"/>
    <w:basedOn w:val="1"/>
    <w:unhideWhenUsed/>
    <w:qFormat/>
    <w:uiPriority w:val="99"/>
    <w:pPr>
      <w:ind w:left="100" w:leftChars="200" w:hanging="200" w:hangingChars="200"/>
      <w:contextualSpacing/>
    </w:pPr>
    <w:rPr>
      <w:rFonts w:ascii="Times New Roman" w:hAnsi="Times New Roman" w:eastAsia="宋体" w:cs="Times New Roman"/>
      <w:szCs w:val="24"/>
    </w:rPr>
  </w:style>
  <w:style w:type="paragraph" w:styleId="19">
    <w:name w:val="toc 3"/>
    <w:basedOn w:val="1"/>
    <w:next w:val="1"/>
    <w:semiHidden/>
    <w:unhideWhenUsed/>
    <w:qFormat/>
    <w:uiPriority w:val="39"/>
    <w:pPr>
      <w:ind w:left="840" w:leftChars="400"/>
    </w:pPr>
  </w:style>
  <w:style w:type="paragraph" w:styleId="20">
    <w:name w:val="Plain Text"/>
    <w:basedOn w:val="1"/>
    <w:next w:val="6"/>
    <w:link w:val="66"/>
    <w:qFormat/>
    <w:uiPriority w:val="0"/>
    <w:rPr>
      <w:rFonts w:ascii="宋体" w:hAnsi="Courier New" w:eastAsia="宋体" w:cs="Times New Roman"/>
      <w:kern w:val="0"/>
      <w:sz w:val="20"/>
      <w:szCs w:val="21"/>
      <w:lang w:val="zh-CN"/>
    </w:rPr>
  </w:style>
  <w:style w:type="paragraph" w:styleId="21">
    <w:name w:val="Date"/>
    <w:basedOn w:val="1"/>
    <w:next w:val="1"/>
    <w:link w:val="68"/>
    <w:unhideWhenUsed/>
    <w:qFormat/>
    <w:uiPriority w:val="99"/>
    <w:pPr>
      <w:ind w:left="100" w:leftChars="2500"/>
    </w:pPr>
    <w:rPr>
      <w:rFonts w:ascii="Times New Roman" w:hAnsi="Times New Roman" w:eastAsia="宋体" w:cs="Times New Roman"/>
      <w:szCs w:val="24"/>
      <w:lang w:val="zh-CN"/>
    </w:rPr>
  </w:style>
  <w:style w:type="paragraph" w:styleId="22">
    <w:name w:val="Body Text Indent 2"/>
    <w:basedOn w:val="1"/>
    <w:next w:val="23"/>
    <w:qFormat/>
    <w:uiPriority w:val="99"/>
    <w:pPr>
      <w:spacing w:after="120" w:line="480" w:lineRule="auto"/>
      <w:ind w:left="420" w:leftChars="200"/>
    </w:pPr>
    <w:rPr>
      <w:sz w:val="24"/>
      <w:szCs w:val="20"/>
    </w:rPr>
  </w:style>
  <w:style w:type="paragraph" w:customStyle="1" w:styleId="23">
    <w:name w:val="正文缩进1"/>
    <w:basedOn w:val="1"/>
    <w:next w:val="1"/>
    <w:qFormat/>
    <w:uiPriority w:val="0"/>
    <w:pPr>
      <w:autoSpaceDE w:val="0"/>
      <w:autoSpaceDN w:val="0"/>
      <w:adjustRightInd w:val="0"/>
      <w:snapToGrid w:val="0"/>
      <w:spacing w:after="120" w:line="360" w:lineRule="auto"/>
      <w:ind w:left="420" w:leftChars="200" w:firstLine="480" w:firstLineChars="200"/>
    </w:pPr>
    <w:rPr>
      <w:rFonts w:ascii="Times New Roman" w:hAnsi="Times New Roman" w:eastAsia="宋体" w:cs="Times New Roman"/>
      <w:sz w:val="24"/>
      <w:szCs w:val="21"/>
    </w:rPr>
  </w:style>
  <w:style w:type="paragraph" w:styleId="24">
    <w:name w:val="Balloon Text"/>
    <w:basedOn w:val="1"/>
    <w:link w:val="103"/>
    <w:semiHidden/>
    <w:qFormat/>
    <w:uiPriority w:val="0"/>
    <w:rPr>
      <w:rFonts w:ascii="Times New Roman" w:hAnsi="Times New Roman" w:eastAsia="宋体" w:cs="Times New Roman"/>
      <w:sz w:val="18"/>
      <w:szCs w:val="18"/>
    </w:rPr>
  </w:style>
  <w:style w:type="paragraph" w:styleId="25">
    <w:name w:val="header"/>
    <w:basedOn w:val="1"/>
    <w:link w:val="73"/>
    <w:unhideWhenUsed/>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lang w:val="zh-CN"/>
    </w:rPr>
  </w:style>
  <w:style w:type="paragraph" w:styleId="26">
    <w:name w:val="toc 1"/>
    <w:basedOn w:val="1"/>
    <w:next w:val="1"/>
    <w:semiHidden/>
    <w:unhideWhenUsed/>
    <w:qFormat/>
    <w:uiPriority w:val="39"/>
  </w:style>
  <w:style w:type="paragraph" w:styleId="27">
    <w:name w:val="List"/>
    <w:basedOn w:val="1"/>
    <w:unhideWhenUsed/>
    <w:qFormat/>
    <w:uiPriority w:val="99"/>
    <w:pPr>
      <w:ind w:left="200" w:hanging="200" w:hangingChars="200"/>
      <w:contextualSpacing/>
    </w:pPr>
    <w:rPr>
      <w:rFonts w:ascii="Times New Roman" w:hAnsi="Times New Roman" w:eastAsia="宋体" w:cs="Times New Roman"/>
      <w:szCs w:val="24"/>
    </w:rPr>
  </w:style>
  <w:style w:type="paragraph" w:styleId="28">
    <w:name w:val="toc 2"/>
    <w:basedOn w:val="1"/>
    <w:next w:val="1"/>
    <w:semiHidden/>
    <w:unhideWhenUsed/>
    <w:qFormat/>
    <w:uiPriority w:val="39"/>
    <w:pPr>
      <w:ind w:left="420" w:leftChars="200"/>
    </w:pPr>
  </w:style>
  <w:style w:type="paragraph" w:styleId="29">
    <w:name w:val="Normal (Web)"/>
    <w:basedOn w:val="1"/>
    <w:unhideWhenUsed/>
    <w:qFormat/>
    <w:uiPriority w:val="99"/>
    <w:rPr>
      <w:rFonts w:ascii="Calibri" w:hAnsi="Calibri" w:eastAsia="宋体" w:cs="Times New Roman"/>
      <w:kern w:val="0"/>
      <w:sz w:val="24"/>
      <w:szCs w:val="24"/>
    </w:rPr>
  </w:style>
  <w:style w:type="paragraph" w:styleId="30">
    <w:name w:val="Title"/>
    <w:basedOn w:val="1"/>
    <w:next w:val="1"/>
    <w:link w:val="75"/>
    <w:qFormat/>
    <w:uiPriority w:val="10"/>
    <w:pPr>
      <w:widowControl/>
      <w:overflowPunct w:val="0"/>
      <w:autoSpaceDE w:val="0"/>
      <w:autoSpaceDN w:val="0"/>
      <w:adjustRightInd w:val="0"/>
      <w:jc w:val="center"/>
      <w:textAlignment w:val="baseline"/>
    </w:pPr>
    <w:rPr>
      <w:rFonts w:ascii="Cambria" w:hAnsi="Cambria" w:eastAsia="宋体" w:cs="Times New Roman"/>
      <w:b/>
      <w:bCs/>
      <w:sz w:val="32"/>
      <w:szCs w:val="32"/>
      <w:lang w:val="zh-CN"/>
    </w:rPr>
  </w:style>
  <w:style w:type="paragraph" w:styleId="31">
    <w:name w:val="annotation subject"/>
    <w:basedOn w:val="13"/>
    <w:next w:val="13"/>
    <w:link w:val="77"/>
    <w:qFormat/>
    <w:uiPriority w:val="0"/>
    <w:rPr>
      <w:b/>
      <w:bCs/>
    </w:rPr>
  </w:style>
  <w:style w:type="table" w:styleId="33">
    <w:name w:val="Table Grid"/>
    <w:basedOn w:val="32"/>
    <w:qFormat/>
    <w:uiPriority w:val="37"/>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5">
    <w:name w:val="Strong"/>
    <w:basedOn w:val="34"/>
    <w:qFormat/>
    <w:uiPriority w:val="0"/>
    <w:rPr>
      <w:b/>
    </w:rPr>
  </w:style>
  <w:style w:type="character" w:styleId="36">
    <w:name w:val="endnote reference"/>
    <w:unhideWhenUsed/>
    <w:qFormat/>
    <w:uiPriority w:val="99"/>
    <w:rPr>
      <w:vertAlign w:val="superscript"/>
    </w:rPr>
  </w:style>
  <w:style w:type="character" w:styleId="37">
    <w:name w:val="page number"/>
    <w:qFormat/>
    <w:uiPriority w:val="0"/>
    <w:rPr>
      <w:rFonts w:ascii="Arial" w:hAnsi="Arial" w:eastAsia="黑体" w:cs="Arial"/>
      <w:snapToGrid w:val="0"/>
      <w:kern w:val="0"/>
      <w:szCs w:val="21"/>
    </w:rPr>
  </w:style>
  <w:style w:type="character" w:styleId="38">
    <w:name w:val="FollowedHyperlink"/>
    <w:basedOn w:val="34"/>
    <w:unhideWhenUsed/>
    <w:qFormat/>
    <w:uiPriority w:val="99"/>
    <w:rPr>
      <w:color w:val="800080"/>
      <w:u w:val="single"/>
    </w:rPr>
  </w:style>
  <w:style w:type="character" w:styleId="39">
    <w:name w:val="Hyperlink"/>
    <w:unhideWhenUsed/>
    <w:qFormat/>
    <w:uiPriority w:val="99"/>
    <w:rPr>
      <w:color w:val="0000FF"/>
      <w:u w:val="single"/>
    </w:rPr>
  </w:style>
  <w:style w:type="character" w:styleId="40">
    <w:name w:val="annotation reference"/>
    <w:qFormat/>
    <w:uiPriority w:val="0"/>
    <w:rPr>
      <w:sz w:val="21"/>
      <w:szCs w:val="21"/>
    </w:rPr>
  </w:style>
  <w:style w:type="character" w:styleId="41">
    <w:name w:val="HTML Sample"/>
    <w:basedOn w:val="34"/>
    <w:semiHidden/>
    <w:unhideWhenUsed/>
    <w:qFormat/>
    <w:uiPriority w:val="99"/>
    <w:rPr>
      <w:rFonts w:ascii="Courier New" w:hAnsi="Courier New"/>
    </w:rPr>
  </w:style>
  <w:style w:type="paragraph" w:customStyle="1" w:styleId="42">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43">
    <w:name w:val="标题 2 Char"/>
    <w:basedOn w:val="34"/>
    <w:qFormat/>
    <w:uiPriority w:val="9"/>
    <w:rPr>
      <w:rFonts w:asciiTheme="majorHAnsi" w:hAnsiTheme="majorHAnsi" w:eastAsiaTheme="majorEastAsia" w:cstheme="majorBidi"/>
      <w:b/>
      <w:bCs/>
      <w:sz w:val="32"/>
      <w:szCs w:val="32"/>
    </w:rPr>
  </w:style>
  <w:style w:type="character" w:customStyle="1" w:styleId="44">
    <w:name w:val="标题 3 Char"/>
    <w:basedOn w:val="34"/>
    <w:qFormat/>
    <w:uiPriority w:val="9"/>
    <w:rPr>
      <w:b/>
      <w:bCs/>
      <w:sz w:val="32"/>
      <w:szCs w:val="32"/>
    </w:rPr>
  </w:style>
  <w:style w:type="character" w:customStyle="1" w:styleId="45">
    <w:name w:val="标题 1 Char"/>
    <w:basedOn w:val="34"/>
    <w:qFormat/>
    <w:uiPriority w:val="9"/>
    <w:rPr>
      <w:b/>
      <w:bCs/>
      <w:kern w:val="44"/>
      <w:sz w:val="44"/>
      <w:szCs w:val="44"/>
    </w:rPr>
  </w:style>
  <w:style w:type="character" w:customStyle="1" w:styleId="46">
    <w:name w:val="标题 5 Char"/>
    <w:basedOn w:val="34"/>
    <w:qFormat/>
    <w:uiPriority w:val="9"/>
    <w:rPr>
      <w:b/>
      <w:bCs/>
      <w:sz w:val="28"/>
      <w:szCs w:val="28"/>
    </w:rPr>
  </w:style>
  <w:style w:type="character" w:customStyle="1" w:styleId="47">
    <w:name w:val="标题 8 Char"/>
    <w:basedOn w:val="34"/>
    <w:qFormat/>
    <w:uiPriority w:val="0"/>
    <w:rPr>
      <w:rFonts w:asciiTheme="majorHAnsi" w:hAnsiTheme="majorHAnsi" w:eastAsiaTheme="majorEastAsia" w:cstheme="majorBidi"/>
      <w:sz w:val="24"/>
      <w:szCs w:val="24"/>
    </w:rPr>
  </w:style>
  <w:style w:type="character" w:customStyle="1" w:styleId="48">
    <w:name w:val="标题 9 Char"/>
    <w:basedOn w:val="34"/>
    <w:semiHidden/>
    <w:qFormat/>
    <w:uiPriority w:val="9"/>
    <w:rPr>
      <w:rFonts w:asciiTheme="majorHAnsi" w:hAnsiTheme="majorHAnsi" w:eastAsiaTheme="majorEastAsia" w:cstheme="majorBidi"/>
      <w:szCs w:val="21"/>
    </w:rPr>
  </w:style>
  <w:style w:type="character" w:customStyle="1" w:styleId="49">
    <w:name w:val="标题 1 字符"/>
    <w:link w:val="3"/>
    <w:qFormat/>
    <w:uiPriority w:val="9"/>
    <w:rPr>
      <w:rFonts w:ascii="Times New Roman" w:hAnsi="Times New Roman" w:eastAsia="宋体" w:cs="Times New Roman"/>
      <w:b/>
      <w:bCs/>
      <w:kern w:val="44"/>
      <w:sz w:val="44"/>
      <w:szCs w:val="44"/>
      <w:lang w:val="zh-CN" w:eastAsia="zh-CN"/>
    </w:rPr>
  </w:style>
  <w:style w:type="character" w:customStyle="1" w:styleId="50">
    <w:name w:val="标题 2 字符"/>
    <w:link w:val="4"/>
    <w:qFormat/>
    <w:uiPriority w:val="9"/>
    <w:rPr>
      <w:rFonts w:ascii="Cambria" w:hAnsi="Cambria" w:eastAsia="宋体" w:cs="Times New Roman"/>
      <w:b/>
      <w:bCs/>
      <w:sz w:val="32"/>
      <w:szCs w:val="32"/>
      <w:lang w:val="zh-CN" w:eastAsia="zh-CN"/>
    </w:rPr>
  </w:style>
  <w:style w:type="character" w:customStyle="1" w:styleId="51">
    <w:name w:val="标题 3 字符"/>
    <w:link w:val="5"/>
    <w:qFormat/>
    <w:uiPriority w:val="9"/>
    <w:rPr>
      <w:rFonts w:ascii="Times New Roman" w:hAnsi="Times New Roman" w:eastAsia="宋体" w:cs="Times New Roman"/>
      <w:b/>
      <w:bCs/>
      <w:sz w:val="32"/>
      <w:szCs w:val="32"/>
      <w:lang w:val="zh-CN" w:eastAsia="zh-CN"/>
    </w:rPr>
  </w:style>
  <w:style w:type="character" w:customStyle="1" w:styleId="52">
    <w:name w:val="标题 5 字符"/>
    <w:link w:val="7"/>
    <w:qFormat/>
    <w:uiPriority w:val="9"/>
    <w:rPr>
      <w:rFonts w:ascii="Times New Roman" w:hAnsi="Times New Roman" w:eastAsia="宋体" w:cs="Times New Roman"/>
      <w:b/>
      <w:bCs/>
      <w:sz w:val="28"/>
      <w:szCs w:val="28"/>
      <w:lang w:val="zh-CN" w:eastAsia="zh-CN"/>
    </w:rPr>
  </w:style>
  <w:style w:type="character" w:customStyle="1" w:styleId="53">
    <w:name w:val="标题 8 字符"/>
    <w:link w:val="9"/>
    <w:qFormat/>
    <w:uiPriority w:val="9"/>
    <w:rPr>
      <w:rFonts w:ascii="等线 Light" w:hAnsi="等线 Light" w:eastAsia="等线 Light" w:cs="Times New Roman"/>
      <w:sz w:val="24"/>
      <w:szCs w:val="24"/>
      <w:lang w:val="zh-CN" w:eastAsia="zh-CN"/>
    </w:rPr>
  </w:style>
  <w:style w:type="character" w:customStyle="1" w:styleId="54">
    <w:name w:val="标题 9 字符"/>
    <w:link w:val="10"/>
    <w:qFormat/>
    <w:uiPriority w:val="9"/>
    <w:rPr>
      <w:rFonts w:ascii="Cambria" w:hAnsi="Cambria" w:eastAsia="宋体" w:cs="Times New Roman"/>
      <w:szCs w:val="21"/>
      <w:lang w:val="zh-CN" w:eastAsia="zh-CN"/>
    </w:rPr>
  </w:style>
  <w:style w:type="character" w:customStyle="1" w:styleId="55">
    <w:name w:val="批注文字 Char"/>
    <w:basedOn w:val="34"/>
    <w:qFormat/>
    <w:uiPriority w:val="0"/>
  </w:style>
  <w:style w:type="character" w:customStyle="1" w:styleId="56">
    <w:name w:val="批注文字 字符2"/>
    <w:link w:val="13"/>
    <w:qFormat/>
    <w:uiPriority w:val="0"/>
    <w:rPr>
      <w:rFonts w:ascii="Times New Roman" w:hAnsi="Times New Roman" w:eastAsia="宋体" w:cs="Times New Roman"/>
      <w:szCs w:val="24"/>
      <w:lang w:val="zh-CN" w:eastAsia="zh-CN"/>
    </w:rPr>
  </w:style>
  <w:style w:type="character" w:customStyle="1" w:styleId="57">
    <w:name w:val="正文文本 3 Char"/>
    <w:basedOn w:val="34"/>
    <w:qFormat/>
    <w:uiPriority w:val="99"/>
    <w:rPr>
      <w:sz w:val="16"/>
      <w:szCs w:val="16"/>
    </w:rPr>
  </w:style>
  <w:style w:type="character" w:customStyle="1" w:styleId="58">
    <w:name w:val="正文文本 3 字符"/>
    <w:link w:val="14"/>
    <w:qFormat/>
    <w:uiPriority w:val="99"/>
    <w:rPr>
      <w:rFonts w:ascii="Times New Roman" w:hAnsi="Times New Roman" w:eastAsia="宋体" w:cs="Times New Roman"/>
      <w:sz w:val="16"/>
      <w:szCs w:val="16"/>
      <w:lang w:val="zh-CN" w:eastAsia="zh-CN"/>
    </w:rPr>
  </w:style>
  <w:style w:type="character" w:customStyle="1" w:styleId="59">
    <w:name w:val="正文文本 Char"/>
    <w:basedOn w:val="34"/>
    <w:qFormat/>
    <w:uiPriority w:val="0"/>
  </w:style>
  <w:style w:type="character" w:customStyle="1" w:styleId="60">
    <w:name w:val="正文文本 字符1"/>
    <w:link w:val="15"/>
    <w:qFormat/>
    <w:uiPriority w:val="0"/>
    <w:rPr>
      <w:rFonts w:ascii="Times New Roman" w:hAnsi="Times New Roman" w:eastAsia="宋体" w:cs="Times New Roman"/>
      <w:szCs w:val="24"/>
      <w:lang w:val="zh-CN" w:eastAsia="zh-CN"/>
    </w:rPr>
  </w:style>
  <w:style w:type="character" w:customStyle="1" w:styleId="61">
    <w:name w:val="正文文本缩进 Char"/>
    <w:basedOn w:val="34"/>
    <w:qFormat/>
    <w:uiPriority w:val="0"/>
  </w:style>
  <w:style w:type="character" w:customStyle="1" w:styleId="62">
    <w:name w:val="正文文本缩进 字符1"/>
    <w:link w:val="17"/>
    <w:qFormat/>
    <w:uiPriority w:val="0"/>
    <w:rPr>
      <w:rFonts w:ascii="仿宋_GB2312" w:hAnsi="Times New Roman" w:eastAsia="仿宋_GB2312" w:cs="Times New Roman"/>
      <w:kern w:val="0"/>
      <w:sz w:val="32"/>
      <w:szCs w:val="20"/>
      <w:lang w:val="zh-CN" w:eastAsia="zh-CN"/>
    </w:rPr>
  </w:style>
  <w:style w:type="paragraph" w:customStyle="1" w:styleId="63">
    <w:name w:val="_Style 36"/>
    <w:basedOn w:val="1"/>
    <w:next w:val="64"/>
    <w:qFormat/>
    <w:uiPriority w:val="99"/>
    <w:pPr>
      <w:ind w:firstLine="420" w:firstLineChars="200"/>
    </w:pPr>
    <w:rPr>
      <w:rFonts w:ascii="Times New Roman" w:hAnsi="Times New Roman" w:eastAsia="宋体" w:cs="Times New Roman"/>
      <w:szCs w:val="24"/>
    </w:rPr>
  </w:style>
  <w:style w:type="paragraph" w:styleId="64">
    <w:name w:val="List Paragraph"/>
    <w:basedOn w:val="1"/>
    <w:link w:val="118"/>
    <w:qFormat/>
    <w:uiPriority w:val="26"/>
    <w:pPr>
      <w:ind w:firstLine="420" w:firstLineChars="200"/>
    </w:pPr>
    <w:rPr>
      <w:rFonts w:ascii="Times New Roman" w:hAnsi="Times New Roman" w:eastAsia="宋体" w:cs="Times New Roman"/>
      <w:szCs w:val="24"/>
    </w:rPr>
  </w:style>
  <w:style w:type="character" w:customStyle="1" w:styleId="65">
    <w:name w:val="纯文本 Char"/>
    <w:basedOn w:val="34"/>
    <w:qFormat/>
    <w:uiPriority w:val="0"/>
    <w:rPr>
      <w:rFonts w:ascii="宋体" w:hAnsi="Courier New" w:eastAsia="宋体" w:cs="Courier New"/>
      <w:szCs w:val="21"/>
    </w:rPr>
  </w:style>
  <w:style w:type="character" w:customStyle="1" w:styleId="66">
    <w:name w:val="纯文本 字符3"/>
    <w:link w:val="20"/>
    <w:qFormat/>
    <w:uiPriority w:val="0"/>
    <w:rPr>
      <w:rFonts w:ascii="宋体" w:hAnsi="Courier New" w:eastAsia="宋体" w:cs="Times New Roman"/>
      <w:kern w:val="0"/>
      <w:sz w:val="20"/>
      <w:szCs w:val="21"/>
      <w:lang w:val="zh-CN" w:eastAsia="zh-CN"/>
    </w:rPr>
  </w:style>
  <w:style w:type="character" w:customStyle="1" w:styleId="67">
    <w:name w:val="日期 Char"/>
    <w:basedOn w:val="34"/>
    <w:qFormat/>
    <w:uiPriority w:val="99"/>
  </w:style>
  <w:style w:type="character" w:customStyle="1" w:styleId="68">
    <w:name w:val="日期 字符"/>
    <w:link w:val="21"/>
    <w:qFormat/>
    <w:uiPriority w:val="99"/>
    <w:rPr>
      <w:rFonts w:ascii="Times New Roman" w:hAnsi="Times New Roman" w:eastAsia="宋体" w:cs="Times New Roman"/>
      <w:szCs w:val="24"/>
      <w:lang w:val="zh-CN" w:eastAsia="zh-CN"/>
    </w:rPr>
  </w:style>
  <w:style w:type="character" w:customStyle="1" w:styleId="69">
    <w:name w:val="批注框文本 Char"/>
    <w:basedOn w:val="34"/>
    <w:semiHidden/>
    <w:qFormat/>
    <w:uiPriority w:val="0"/>
    <w:rPr>
      <w:sz w:val="18"/>
      <w:szCs w:val="18"/>
    </w:rPr>
  </w:style>
  <w:style w:type="character" w:customStyle="1" w:styleId="70">
    <w:name w:val="页脚 Char"/>
    <w:basedOn w:val="34"/>
    <w:qFormat/>
    <w:uiPriority w:val="99"/>
    <w:rPr>
      <w:sz w:val="18"/>
      <w:szCs w:val="18"/>
    </w:rPr>
  </w:style>
  <w:style w:type="character" w:customStyle="1" w:styleId="71">
    <w:name w:val="页脚 字符"/>
    <w:link w:val="2"/>
    <w:qFormat/>
    <w:uiPriority w:val="99"/>
    <w:rPr>
      <w:rFonts w:ascii="Times New Roman" w:hAnsi="Times New Roman" w:eastAsia="宋体" w:cs="Times New Roman"/>
      <w:kern w:val="0"/>
      <w:sz w:val="18"/>
      <w:szCs w:val="18"/>
      <w:lang w:val="zh-CN" w:eastAsia="zh-CN"/>
    </w:rPr>
  </w:style>
  <w:style w:type="character" w:customStyle="1" w:styleId="72">
    <w:name w:val="页眉 Char"/>
    <w:basedOn w:val="34"/>
    <w:qFormat/>
    <w:uiPriority w:val="99"/>
    <w:rPr>
      <w:sz w:val="18"/>
      <w:szCs w:val="18"/>
    </w:rPr>
  </w:style>
  <w:style w:type="character" w:customStyle="1" w:styleId="73">
    <w:name w:val="页眉 字符"/>
    <w:link w:val="25"/>
    <w:qFormat/>
    <w:uiPriority w:val="0"/>
    <w:rPr>
      <w:rFonts w:ascii="Times New Roman" w:hAnsi="Times New Roman" w:eastAsia="宋体" w:cs="Times New Roman"/>
      <w:kern w:val="0"/>
      <w:sz w:val="18"/>
      <w:szCs w:val="18"/>
      <w:lang w:val="zh-CN" w:eastAsia="zh-CN"/>
    </w:rPr>
  </w:style>
  <w:style w:type="character" w:customStyle="1" w:styleId="74">
    <w:name w:val="标题 Char"/>
    <w:basedOn w:val="34"/>
    <w:qFormat/>
    <w:uiPriority w:val="10"/>
    <w:rPr>
      <w:rFonts w:eastAsia="宋体" w:asciiTheme="majorHAnsi" w:hAnsiTheme="majorHAnsi" w:cstheme="majorBidi"/>
      <w:b/>
      <w:bCs/>
      <w:sz w:val="32"/>
      <w:szCs w:val="32"/>
    </w:rPr>
  </w:style>
  <w:style w:type="character" w:customStyle="1" w:styleId="75">
    <w:name w:val="标题 字符"/>
    <w:link w:val="30"/>
    <w:qFormat/>
    <w:uiPriority w:val="10"/>
    <w:rPr>
      <w:rFonts w:ascii="Cambria" w:hAnsi="Cambria" w:eastAsia="宋体" w:cs="Times New Roman"/>
      <w:b/>
      <w:bCs/>
      <w:sz w:val="32"/>
      <w:szCs w:val="32"/>
      <w:lang w:val="zh-CN" w:eastAsia="zh-CN"/>
    </w:rPr>
  </w:style>
  <w:style w:type="character" w:customStyle="1" w:styleId="76">
    <w:name w:val="批注主题 Char"/>
    <w:basedOn w:val="55"/>
    <w:qFormat/>
    <w:uiPriority w:val="99"/>
    <w:rPr>
      <w:b/>
      <w:bCs/>
    </w:rPr>
  </w:style>
  <w:style w:type="character" w:customStyle="1" w:styleId="77">
    <w:name w:val="批注主题 字符"/>
    <w:link w:val="31"/>
    <w:qFormat/>
    <w:uiPriority w:val="0"/>
    <w:rPr>
      <w:rFonts w:ascii="Times New Roman" w:hAnsi="Times New Roman" w:eastAsia="宋体" w:cs="Times New Roman"/>
      <w:b/>
      <w:bCs/>
      <w:szCs w:val="24"/>
      <w:lang w:val="zh-CN" w:eastAsia="zh-CN"/>
    </w:rPr>
  </w:style>
  <w:style w:type="character" w:customStyle="1" w:styleId="78">
    <w:name w:val="正文文本首行缩进 2 字符"/>
    <w:qFormat/>
    <w:uiPriority w:val="99"/>
    <w:rPr>
      <w:kern w:val="2"/>
      <w:sz w:val="21"/>
      <w:szCs w:val="24"/>
    </w:rPr>
  </w:style>
  <w:style w:type="character" w:customStyle="1" w:styleId="79">
    <w:name w:val="标题 Char1"/>
    <w:qFormat/>
    <w:uiPriority w:val="0"/>
    <w:rPr>
      <w:rFonts w:ascii="Calibri" w:hAnsi="Calibri"/>
      <w:b/>
      <w:sz w:val="24"/>
      <w:lang w:val="en-GB"/>
    </w:rPr>
  </w:style>
  <w:style w:type="character" w:customStyle="1" w:styleId="80">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81">
    <w:name w:val="正文文本 字符"/>
    <w:qFormat/>
    <w:uiPriority w:val="0"/>
    <w:rPr>
      <w:rFonts w:ascii="Times New Roman" w:hAnsi="Times New Roman"/>
      <w:kern w:val="2"/>
      <w:sz w:val="21"/>
      <w:szCs w:val="24"/>
    </w:rPr>
  </w:style>
  <w:style w:type="character" w:customStyle="1" w:styleId="82">
    <w:name w:val="批注文字 字符1"/>
    <w:qFormat/>
    <w:uiPriority w:val="0"/>
    <w:rPr>
      <w:rFonts w:ascii="Times New Roman" w:hAnsi="Times New Roman"/>
      <w:kern w:val="2"/>
      <w:sz w:val="21"/>
      <w:szCs w:val="24"/>
    </w:rPr>
  </w:style>
  <w:style w:type="character" w:customStyle="1" w:styleId="83">
    <w:name w:val="批注文字 字符"/>
    <w:qFormat/>
    <w:uiPriority w:val="0"/>
    <w:rPr>
      <w:rFonts w:ascii="Times New Roman" w:hAnsi="Times New Roman"/>
      <w:kern w:val="2"/>
      <w:sz w:val="21"/>
      <w:szCs w:val="24"/>
    </w:rPr>
  </w:style>
  <w:style w:type="character" w:customStyle="1" w:styleId="84">
    <w:name w:val="未处理的提及1"/>
    <w:unhideWhenUsed/>
    <w:qFormat/>
    <w:uiPriority w:val="99"/>
    <w:rPr>
      <w:color w:val="605E5C"/>
      <w:shd w:val="clear" w:color="auto" w:fill="E1DFDD"/>
    </w:rPr>
  </w:style>
  <w:style w:type="character" w:customStyle="1" w:styleId="85">
    <w:name w:val="apple-style-span"/>
    <w:qFormat/>
    <w:uiPriority w:val="0"/>
  </w:style>
  <w:style w:type="character" w:customStyle="1" w:styleId="86">
    <w:name w:val="纯文本 字符2"/>
    <w:qFormat/>
    <w:uiPriority w:val="0"/>
    <w:rPr>
      <w:rFonts w:ascii="宋体" w:hAnsi="Courier New" w:eastAsia="宋体" w:cs="Courier New"/>
      <w:szCs w:val="21"/>
    </w:rPr>
  </w:style>
  <w:style w:type="character" w:customStyle="1" w:styleId="87">
    <w:name w:val="textcontents"/>
    <w:qFormat/>
    <w:uiPriority w:val="0"/>
  </w:style>
  <w:style w:type="character" w:customStyle="1" w:styleId="88">
    <w:name w:val="纯文本 字符1"/>
    <w:qFormat/>
    <w:uiPriority w:val="0"/>
    <w:rPr>
      <w:rFonts w:ascii="宋体" w:hAnsi="Courier New"/>
    </w:rPr>
  </w:style>
  <w:style w:type="character" w:customStyle="1" w:styleId="89">
    <w:name w:val="标题 1 字符1"/>
    <w:qFormat/>
    <w:uiPriority w:val="0"/>
    <w:rPr>
      <w:b/>
      <w:bCs/>
      <w:kern w:val="44"/>
      <w:sz w:val="44"/>
      <w:szCs w:val="44"/>
    </w:rPr>
  </w:style>
  <w:style w:type="character" w:customStyle="1" w:styleId="90">
    <w:name w:val="纯文本 字符"/>
    <w:qFormat/>
    <w:uiPriority w:val="0"/>
    <w:rPr>
      <w:rFonts w:ascii="宋体" w:hAnsi="Courier New" w:eastAsia="宋体" w:cs="Courier New"/>
      <w:szCs w:val="21"/>
    </w:rPr>
  </w:style>
  <w:style w:type="paragraph" w:customStyle="1" w:styleId="91">
    <w:name w:val="Char Char Char Char"/>
    <w:basedOn w:val="1"/>
    <w:qFormat/>
    <w:uiPriority w:val="0"/>
    <w:pPr>
      <w:widowControl/>
      <w:spacing w:line="240" w:lineRule="exact"/>
      <w:jc w:val="left"/>
    </w:pPr>
    <w:rPr>
      <w:rFonts w:ascii="Times New Roman" w:hAnsi="Times New Roman" w:eastAsia="宋体" w:cs="Times New Roman"/>
      <w:szCs w:val="24"/>
    </w:rPr>
  </w:style>
  <w:style w:type="paragraph" w:customStyle="1" w:styleId="92">
    <w:name w:val="默认段落字体 Para Char Char Char Char Char Char Char Char Char1 Char Char Char Char"/>
    <w:basedOn w:val="1"/>
    <w:qFormat/>
    <w:uiPriority w:val="0"/>
    <w:rPr>
      <w:rFonts w:ascii="Tahoma" w:hAnsi="Tahoma" w:eastAsia="宋体" w:cs="Times New Roman"/>
      <w:sz w:val="24"/>
      <w:szCs w:val="20"/>
    </w:rPr>
  </w:style>
  <w:style w:type="paragraph" w:customStyle="1" w:styleId="93">
    <w:name w:val="TOC 标题1"/>
    <w:basedOn w:val="3"/>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lang w:val="en-US"/>
    </w:rPr>
  </w:style>
  <w:style w:type="paragraph" w:customStyle="1" w:styleId="94">
    <w:name w:val="表内文字"/>
    <w:basedOn w:val="1"/>
    <w:qFormat/>
    <w:uiPriority w:val="0"/>
    <w:pPr>
      <w:snapToGrid w:val="0"/>
      <w:spacing w:before="50" w:after="50"/>
      <w:jc w:val="center"/>
    </w:pPr>
    <w:rPr>
      <w:rFonts w:ascii="仿宋_GB2312" w:hAnsi="宋体" w:eastAsia="仿宋_GB2312" w:cs="Times New Roman"/>
      <w:b/>
      <w:color w:val="000000"/>
      <w:sz w:val="32"/>
      <w:szCs w:val="32"/>
    </w:rPr>
  </w:style>
  <w:style w:type="paragraph" w:customStyle="1" w:styleId="95">
    <w:name w:val="Table Paragraph"/>
    <w:basedOn w:val="1"/>
    <w:qFormat/>
    <w:uiPriority w:val="1"/>
    <w:pPr>
      <w:jc w:val="left"/>
    </w:pPr>
    <w:rPr>
      <w:rFonts w:ascii="Calibri" w:hAnsi="Calibri" w:eastAsia="宋体" w:cs="Times New Roman"/>
      <w:kern w:val="0"/>
      <w:sz w:val="22"/>
      <w:lang w:eastAsia="en-US"/>
    </w:rPr>
  </w:style>
  <w:style w:type="character" w:customStyle="1" w:styleId="96">
    <w:name w:val="正文文本缩进 字符"/>
    <w:qFormat/>
    <w:uiPriority w:val="0"/>
    <w:rPr>
      <w:rFonts w:ascii="仿宋_GB2312" w:hAnsi="Times New Roman" w:eastAsia="仿宋_GB2312" w:cs="Times New Roman"/>
      <w:sz w:val="32"/>
      <w:szCs w:val="20"/>
    </w:rPr>
  </w:style>
  <w:style w:type="character" w:customStyle="1" w:styleId="97">
    <w:name w:val="正文2 Char Char"/>
    <w:link w:val="98"/>
    <w:qFormat/>
    <w:uiPriority w:val="0"/>
    <w:rPr>
      <w:sz w:val="24"/>
    </w:rPr>
  </w:style>
  <w:style w:type="paragraph" w:customStyle="1" w:styleId="98">
    <w:name w:val="正文2"/>
    <w:basedOn w:val="1"/>
    <w:link w:val="97"/>
    <w:qFormat/>
    <w:uiPriority w:val="0"/>
    <w:pPr>
      <w:adjustRightInd w:val="0"/>
      <w:spacing w:before="156" w:line="360" w:lineRule="auto"/>
      <w:ind w:firstLine="510" w:firstLineChars="200"/>
    </w:pPr>
    <w:rPr>
      <w:sz w:val="24"/>
    </w:rPr>
  </w:style>
  <w:style w:type="character" w:customStyle="1" w:styleId="99">
    <w:name w:val="纯文本 Char2"/>
    <w:qFormat/>
    <w:uiPriority w:val="0"/>
    <w:rPr>
      <w:rFonts w:ascii="宋体" w:hAnsi="Courier New" w:cs="Arial"/>
      <w:snapToGrid w:val="0"/>
      <w:szCs w:val="21"/>
    </w:rPr>
  </w:style>
  <w:style w:type="paragraph" w:customStyle="1" w:styleId="100">
    <w:name w:val="表格文字"/>
    <w:basedOn w:val="1"/>
    <w:next w:val="15"/>
    <w:qFormat/>
    <w:uiPriority w:val="0"/>
    <w:pPr>
      <w:adjustRightInd w:val="0"/>
      <w:spacing w:line="420" w:lineRule="atLeast"/>
      <w:jc w:val="left"/>
      <w:textAlignment w:val="baseline"/>
    </w:pPr>
    <w:rPr>
      <w:rFonts w:ascii="Times New Roman" w:hAnsi="Times New Roman" w:eastAsia="宋体" w:cs="Times New Roman"/>
      <w:kern w:val="0"/>
      <w:szCs w:val="24"/>
    </w:rPr>
  </w:style>
  <w:style w:type="paragraph" w:customStyle="1" w:styleId="101">
    <w:name w:val="样式5"/>
    <w:basedOn w:val="1"/>
    <w:qFormat/>
    <w:uiPriority w:val="0"/>
    <w:pPr>
      <w:adjustRightInd w:val="0"/>
      <w:spacing w:line="440" w:lineRule="exact"/>
      <w:ind w:left="2" w:firstLine="480" w:firstLineChars="200"/>
    </w:pPr>
    <w:rPr>
      <w:rFonts w:ascii="仿宋_GB2312" w:hAnsi="仿宋" w:eastAsia="仿宋_GB2312" w:cs="Times New Roman"/>
      <w:sz w:val="24"/>
      <w:szCs w:val="24"/>
    </w:rPr>
  </w:style>
  <w:style w:type="character" w:customStyle="1" w:styleId="102">
    <w:name w:val="NormalCharacter"/>
    <w:qFormat/>
    <w:uiPriority w:val="0"/>
  </w:style>
  <w:style w:type="character" w:customStyle="1" w:styleId="103">
    <w:name w:val="批注框文本 字符"/>
    <w:link w:val="24"/>
    <w:semiHidden/>
    <w:qFormat/>
    <w:uiPriority w:val="0"/>
    <w:rPr>
      <w:rFonts w:ascii="Times New Roman" w:hAnsi="Times New Roman" w:eastAsia="宋体" w:cs="Times New Roman"/>
      <w:sz w:val="18"/>
      <w:szCs w:val="18"/>
    </w:rPr>
  </w:style>
  <w:style w:type="character" w:customStyle="1" w:styleId="104">
    <w:name w:val="正文首行缩进 2 字符"/>
    <w:qFormat/>
    <w:uiPriority w:val="99"/>
    <w:rPr>
      <w:rFonts w:ascii="仿宋_GB2312" w:hAnsi="Times New Roman" w:eastAsia="仿宋_GB2312" w:cs="Times New Roman"/>
      <w:kern w:val="2"/>
      <w:sz w:val="21"/>
      <w:szCs w:val="24"/>
    </w:rPr>
  </w:style>
  <w:style w:type="character" w:customStyle="1" w:styleId="105">
    <w:name w:val="纯文本 Char1"/>
    <w:qFormat/>
    <w:uiPriority w:val="0"/>
    <w:rPr>
      <w:rFonts w:ascii="宋体" w:hAnsi="Courier New" w:eastAsia="宋体" w:cs="Times New Roman"/>
      <w:kern w:val="0"/>
      <w:sz w:val="20"/>
      <w:szCs w:val="21"/>
    </w:rPr>
  </w:style>
  <w:style w:type="character" w:customStyle="1" w:styleId="106">
    <w:name w:val="标题 2 Char1"/>
    <w:qFormat/>
    <w:uiPriority w:val="9"/>
    <w:rPr>
      <w:rFonts w:ascii="Cambria" w:hAnsi="Cambria"/>
      <w:b/>
      <w:bCs/>
      <w:kern w:val="2"/>
      <w:sz w:val="32"/>
      <w:szCs w:val="32"/>
      <w:lang w:val="zh-CN" w:eastAsia="zh-CN"/>
    </w:rPr>
  </w:style>
  <w:style w:type="character" w:customStyle="1" w:styleId="107">
    <w:name w:val="标题 8 Char1"/>
    <w:qFormat/>
    <w:uiPriority w:val="9"/>
    <w:rPr>
      <w:rFonts w:ascii="等线 Light" w:hAnsi="等线 Light" w:eastAsia="等线 Light"/>
      <w:kern w:val="2"/>
      <w:sz w:val="24"/>
      <w:szCs w:val="24"/>
      <w:lang w:val="zh-CN" w:eastAsia="zh-CN"/>
    </w:rPr>
  </w:style>
  <w:style w:type="character" w:customStyle="1" w:styleId="108">
    <w:name w:val="批注文字 Char1"/>
    <w:qFormat/>
    <w:uiPriority w:val="0"/>
    <w:rPr>
      <w:kern w:val="2"/>
      <w:sz w:val="21"/>
      <w:szCs w:val="24"/>
      <w:lang w:val="zh-CN" w:eastAsia="zh-CN"/>
    </w:rPr>
  </w:style>
  <w:style w:type="character" w:customStyle="1" w:styleId="109">
    <w:name w:val="正文文本 Char1"/>
    <w:qFormat/>
    <w:uiPriority w:val="0"/>
    <w:rPr>
      <w:kern w:val="2"/>
      <w:sz w:val="21"/>
      <w:szCs w:val="24"/>
      <w:lang w:val="zh-CN" w:eastAsia="zh-CN"/>
    </w:rPr>
  </w:style>
  <w:style w:type="character" w:customStyle="1" w:styleId="110">
    <w:name w:val="正文首行缩进 2 字符1"/>
    <w:semiHidden/>
    <w:qFormat/>
    <w:uiPriority w:val="99"/>
    <w:rPr>
      <w:rFonts w:ascii="仿宋_GB2312" w:hAnsi="Times New Roman" w:eastAsia="仿宋_GB2312" w:cs="Times New Roman"/>
      <w:kern w:val="2"/>
      <w:sz w:val="21"/>
      <w:szCs w:val="24"/>
      <w:lang w:val="zh-CN" w:eastAsia="zh-CN"/>
    </w:rPr>
  </w:style>
  <w:style w:type="character" w:customStyle="1" w:styleId="111">
    <w:name w:val="正文首行缩进 2 字符2"/>
    <w:semiHidden/>
    <w:qFormat/>
    <w:uiPriority w:val="99"/>
    <w:rPr>
      <w:rFonts w:ascii="仿宋_GB2312" w:hAnsi="Times New Roman" w:eastAsia="仿宋_GB2312" w:cs="Times New Roman"/>
      <w:kern w:val="2"/>
      <w:sz w:val="21"/>
      <w:szCs w:val="24"/>
      <w:lang w:val="zh-CN" w:eastAsia="zh-CN"/>
    </w:rPr>
  </w:style>
  <w:style w:type="character" w:customStyle="1" w:styleId="112">
    <w:name w:val="正文文本首行缩进 2 字符1"/>
    <w:basedOn w:val="61"/>
    <w:link w:val="16"/>
    <w:semiHidden/>
    <w:qFormat/>
    <w:uiPriority w:val="99"/>
    <w:rPr>
      <w:rFonts w:ascii="Times New Roman" w:hAnsi="Times New Roman" w:eastAsia="宋体" w:cs="Times New Roman"/>
      <w:szCs w:val="24"/>
    </w:rPr>
  </w:style>
  <w:style w:type="paragraph" w:customStyle="1" w:styleId="113">
    <w:name w:val="Heading2"/>
    <w:basedOn w:val="1"/>
    <w:next w:val="1"/>
    <w:qFormat/>
    <w:uiPriority w:val="0"/>
    <w:pPr>
      <w:keepNext/>
      <w:keepLines/>
      <w:spacing w:before="260" w:after="260" w:line="416" w:lineRule="auto"/>
    </w:pPr>
    <w:rPr>
      <w:rFonts w:ascii="Arial" w:hAnsi="Arial" w:eastAsia="黑体" w:cs="Times New Roman"/>
      <w:b/>
      <w:bCs/>
      <w:kern w:val="0"/>
      <w:sz w:val="32"/>
      <w:szCs w:val="32"/>
    </w:rPr>
  </w:style>
  <w:style w:type="paragraph" w:customStyle="1" w:styleId="114">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styleId="115">
    <w:name w:val="No Spacing"/>
    <w:qFormat/>
    <w:uiPriority w:val="5"/>
    <w:pPr>
      <w:spacing w:before="120" w:line="300" w:lineRule="auto"/>
      <w:jc w:val="both"/>
    </w:pPr>
    <w:rPr>
      <w:rFonts w:ascii="宋体" w:hAnsi="宋体" w:eastAsia="宋体" w:cs="Times New Roman"/>
      <w:color w:val="000000"/>
      <w:sz w:val="18"/>
      <w:szCs w:val="18"/>
      <w:lang w:val="en-US" w:eastAsia="zh-CN" w:bidi="ar-SA"/>
    </w:rPr>
  </w:style>
  <w:style w:type="paragraph" w:customStyle="1" w:styleId="116">
    <w:name w:val="Table Text"/>
    <w:basedOn w:val="1"/>
    <w:link w:val="117"/>
    <w:qFormat/>
    <w:uiPriority w:val="0"/>
    <w:pPr>
      <w:widowControl/>
      <w:snapToGrid w:val="0"/>
      <w:spacing w:before="80" w:after="80" w:line="240" w:lineRule="atLeast"/>
      <w:ind w:left="420" w:hanging="420"/>
      <w:jc w:val="left"/>
    </w:pPr>
    <w:rPr>
      <w:rFonts w:ascii="Times New Roman" w:hAnsi="Times New Roman" w:eastAsia="宋体" w:cs="Arial"/>
      <w:kern w:val="0"/>
      <w:szCs w:val="21"/>
    </w:rPr>
  </w:style>
  <w:style w:type="character" w:customStyle="1" w:styleId="117">
    <w:name w:val="Table Text Char"/>
    <w:basedOn w:val="34"/>
    <w:link w:val="116"/>
    <w:qFormat/>
    <w:uiPriority w:val="0"/>
    <w:rPr>
      <w:rFonts w:cs="Arial"/>
      <w:sz w:val="21"/>
      <w:szCs w:val="21"/>
    </w:rPr>
  </w:style>
  <w:style w:type="character" w:customStyle="1" w:styleId="118">
    <w:name w:val="列表段落 字符"/>
    <w:link w:val="64"/>
    <w:qFormat/>
    <w:uiPriority w:val="26"/>
    <w:rPr>
      <w:kern w:val="2"/>
      <w:sz w:val="21"/>
      <w:szCs w:val="24"/>
    </w:rPr>
  </w:style>
  <w:style w:type="paragraph" w:customStyle="1" w:styleId="119">
    <w:name w:val="p15"/>
    <w:basedOn w:val="1"/>
    <w:qFormat/>
    <w:uiPriority w:val="0"/>
    <w:pPr>
      <w:widowControl/>
      <w:spacing w:after="0" w:line="240" w:lineRule="auto"/>
      <w:ind w:left="420" w:firstLine="420"/>
      <w:jc w:val="left"/>
    </w:pPr>
    <w:rPr>
      <w:rFonts w:ascii="Calibri" w:hAnsi="Calibri" w:cs="Calibri"/>
      <w:kern w:val="0"/>
      <w:szCs w:val="21"/>
    </w:rPr>
  </w:style>
  <w:style w:type="paragraph" w:customStyle="1" w:styleId="120">
    <w:name w:val="修订11"/>
    <w:hidden/>
    <w:semiHidden/>
    <w:qFormat/>
    <w:uiPriority w:val="99"/>
    <w:rPr>
      <w:rFonts w:asciiTheme="minorHAnsi" w:hAnsiTheme="minorHAnsi" w:eastAsiaTheme="minorEastAsia" w:cstheme="minorBidi"/>
      <w:sz w:val="21"/>
      <w:szCs w:val="21"/>
      <w:lang w:val="en-US" w:eastAsia="zh-CN" w:bidi="ar-SA"/>
    </w:rPr>
  </w:style>
  <w:style w:type="character" w:customStyle="1" w:styleId="121">
    <w:name w:val="标题 4 字符"/>
    <w:basedOn w:val="34"/>
    <w:link w:val="6"/>
    <w:qFormat/>
    <w:uiPriority w:val="0"/>
    <w:rPr>
      <w:rFonts w:ascii="Arial" w:hAnsi="Arial" w:eastAsia="黑体"/>
      <w:b/>
      <w:bCs/>
      <w:kern w:val="2"/>
      <w:sz w:val="28"/>
      <w:szCs w:val="28"/>
    </w:rPr>
  </w:style>
  <w:style w:type="character" w:customStyle="1" w:styleId="122">
    <w:name w:val="font01"/>
    <w:basedOn w:val="34"/>
    <w:qFormat/>
    <w:uiPriority w:val="0"/>
    <w:rPr>
      <w:rFonts w:hint="eastAsia" w:ascii="宋体" w:hAnsi="宋体" w:eastAsia="宋体" w:cs="宋体"/>
      <w:color w:val="000000"/>
      <w:sz w:val="22"/>
      <w:szCs w:val="22"/>
      <w:u w:val="none"/>
    </w:rPr>
  </w:style>
  <w:style w:type="character" w:customStyle="1" w:styleId="123">
    <w:name w:val="font31"/>
    <w:basedOn w:val="34"/>
    <w:qFormat/>
    <w:uiPriority w:val="0"/>
    <w:rPr>
      <w:rFonts w:hint="eastAsia" w:ascii="宋体" w:hAnsi="宋体" w:eastAsia="宋体" w:cs="宋体"/>
      <w:color w:val="000000"/>
      <w:sz w:val="22"/>
      <w:szCs w:val="22"/>
      <w:u w:val="none"/>
    </w:rPr>
  </w:style>
  <w:style w:type="character" w:customStyle="1" w:styleId="124">
    <w:name w:val="font11"/>
    <w:basedOn w:val="34"/>
    <w:qFormat/>
    <w:uiPriority w:val="0"/>
    <w:rPr>
      <w:rFonts w:hint="eastAsia" w:ascii="宋体" w:hAnsi="宋体" w:eastAsia="宋体" w:cs="宋体"/>
      <w:color w:val="000000"/>
      <w:sz w:val="22"/>
      <w:szCs w:val="22"/>
      <w:u w:val="none"/>
    </w:rPr>
  </w:style>
  <w:style w:type="character" w:customStyle="1" w:styleId="125">
    <w:name w:val="font51"/>
    <w:basedOn w:val="34"/>
    <w:qFormat/>
    <w:uiPriority w:val="0"/>
    <w:rPr>
      <w:rFonts w:hint="eastAsia" w:ascii="宋体" w:hAnsi="宋体" w:eastAsia="宋体" w:cs="宋体"/>
      <w:color w:val="C00000"/>
      <w:sz w:val="22"/>
      <w:szCs w:val="22"/>
      <w:u w:val="none"/>
    </w:rPr>
  </w:style>
  <w:style w:type="character" w:customStyle="1" w:styleId="126">
    <w:name w:val="font61"/>
    <w:basedOn w:val="34"/>
    <w:qFormat/>
    <w:uiPriority w:val="0"/>
    <w:rPr>
      <w:rFonts w:hint="eastAsia" w:ascii="宋体" w:hAnsi="宋体" w:eastAsia="宋体" w:cs="宋体"/>
      <w:b/>
      <w:bCs/>
      <w:color w:val="000000"/>
      <w:sz w:val="22"/>
      <w:szCs w:val="22"/>
      <w:u w:val="none"/>
    </w:rPr>
  </w:style>
  <w:style w:type="character" w:customStyle="1" w:styleId="127">
    <w:name w:val="font71"/>
    <w:basedOn w:val="34"/>
    <w:qFormat/>
    <w:uiPriority w:val="0"/>
    <w:rPr>
      <w:rFonts w:hint="eastAsia" w:ascii="宋体" w:hAnsi="宋体" w:eastAsia="宋体" w:cs="宋体"/>
      <w:color w:val="0070C0"/>
      <w:sz w:val="22"/>
      <w:szCs w:val="22"/>
      <w:u w:val="none"/>
    </w:rPr>
  </w:style>
  <w:style w:type="paragraph" w:customStyle="1" w:styleId="128">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29">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30">
    <w:name w:val="font41"/>
    <w:basedOn w:val="3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116</Pages>
  <Words>20424</Words>
  <Characters>23015</Characters>
  <Lines>537</Lines>
  <Paragraphs>151</Paragraphs>
  <TotalTime>1</TotalTime>
  <ScaleCrop>false</ScaleCrop>
  <LinksUpToDate>false</LinksUpToDate>
  <CharactersWithSpaces>23431</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2022-03-23T06:45:00Z</dcterms:created>
  <dc:creator>个人用户</dc:creator>
  <cp:lastModifiedBy>Administrator</cp:lastModifiedBy>
  <cp:lastPrinted>2025-07-02T03:48:00Z</cp:lastPrinted>
  <dcterms:modified xsi:type="dcterms:W3CDTF">2026-01-30T09:15:11Z</dcterms:modified>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9A15646266BA46F1ACB07FD67CB990A8_13</vt:lpwstr>
  </property>
  <property fmtid="{D5CDD505-2E9C-101B-9397-08002B2CF9AE}" pid="4" name="KSOTemplateDocerSaveRecord">
    <vt:lpwstr>eyJoZGlkIjoiYWZlNTI0ZTk3ZWJjMGYyMzY0MWFiMTRkN2Y1Njk4NDYiLCJ1c2VySWQiOiI0NTY3MTcwNjgifQ==</vt:lpwstr>
  </property>
</Properties>
</file>