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color w:val="auto"/>
          <w:sz w:val="72"/>
          <w:szCs w:val="72"/>
          <w:highlight w:val="none"/>
          <w:lang w:eastAsia="zh-CN"/>
        </w:rPr>
      </w:pPr>
    </w:p>
    <w:p w14:paraId="48DEF16C">
      <w:pPr>
        <w:jc w:val="center"/>
        <w:rPr>
          <w:rFonts w:hint="eastAsia" w:ascii="仿宋_GB2312" w:hAnsi="仿宋_GB2312" w:eastAsia="仿宋_GB2312" w:cs="仿宋_GB2312"/>
          <w:color w:val="auto"/>
          <w:sz w:val="72"/>
          <w:szCs w:val="72"/>
          <w:highlight w:val="none"/>
          <w:lang w:eastAsia="zh-CN"/>
        </w:rPr>
      </w:pPr>
    </w:p>
    <w:p w14:paraId="53DC484B">
      <w:pPr>
        <w:jc w:val="center"/>
        <w:rPr>
          <w:rFonts w:hint="eastAsia" w:ascii="仿宋_GB2312" w:hAnsi="仿宋_GB2312" w:eastAsia="仿宋_GB2312" w:cs="仿宋_GB2312"/>
          <w:color w:val="auto"/>
          <w:sz w:val="72"/>
          <w:szCs w:val="72"/>
          <w:highlight w:val="none"/>
          <w:lang w:eastAsia="zh-CN"/>
        </w:rPr>
      </w:pPr>
    </w:p>
    <w:p w14:paraId="31F19068">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竞争性磋商文件</w:t>
      </w:r>
      <w:bookmarkEnd w:id="0"/>
    </w:p>
    <w:p w14:paraId="5F710A42">
      <w:pPr>
        <w:jc w:val="center"/>
        <w:rPr>
          <w:rFonts w:hint="eastAsia" w:ascii="仿宋_GB2312" w:hAnsi="仿宋_GB2312" w:eastAsia="仿宋_GB2312" w:cs="仿宋_GB2312"/>
          <w:color w:val="auto"/>
          <w:sz w:val="32"/>
          <w:szCs w:val="32"/>
          <w:highlight w:val="none"/>
          <w:lang w:eastAsia="zh-CN"/>
        </w:rPr>
      </w:pPr>
    </w:p>
    <w:p w14:paraId="1CD3B561">
      <w:pPr>
        <w:jc w:val="center"/>
        <w:rPr>
          <w:rFonts w:hint="eastAsia" w:ascii="仿宋_GB2312" w:hAnsi="仿宋_GB2312" w:eastAsia="仿宋_GB2312" w:cs="仿宋_GB2312"/>
          <w:color w:val="auto"/>
          <w:sz w:val="32"/>
          <w:szCs w:val="32"/>
          <w:highlight w:val="none"/>
          <w:lang w:eastAsia="zh-CN"/>
        </w:rPr>
      </w:pPr>
    </w:p>
    <w:p w14:paraId="35C9FA7D">
      <w:pPr>
        <w:jc w:val="both"/>
        <w:rPr>
          <w:rFonts w:hint="eastAsia" w:ascii="仿宋_GB2312" w:hAnsi="仿宋_GB2312" w:eastAsia="仿宋_GB2312" w:cs="仿宋_GB2312"/>
          <w:color w:val="auto"/>
          <w:sz w:val="32"/>
          <w:szCs w:val="32"/>
          <w:highlight w:val="none"/>
          <w:lang w:eastAsia="zh-CN"/>
        </w:rPr>
      </w:pPr>
    </w:p>
    <w:p w14:paraId="4A7D3DF7">
      <w:pPr>
        <w:jc w:val="center"/>
        <w:rPr>
          <w:rFonts w:hint="eastAsia" w:ascii="仿宋_GB2312" w:hAnsi="仿宋_GB2312" w:eastAsia="仿宋_GB2312" w:cs="仿宋_GB2312"/>
          <w:color w:val="auto"/>
          <w:sz w:val="32"/>
          <w:szCs w:val="32"/>
          <w:highlight w:val="none"/>
          <w:lang w:eastAsia="zh-CN"/>
        </w:rPr>
      </w:pPr>
    </w:p>
    <w:p w14:paraId="469A9B76">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项目编号：</w:t>
      </w:r>
      <w:r>
        <w:rPr>
          <w:rFonts w:hint="eastAsia" w:asciiTheme="minorEastAsia" w:hAnsiTheme="minorEastAsia" w:cstheme="minorEastAsia"/>
          <w:b/>
          <w:bCs/>
          <w:color w:val="auto"/>
          <w:sz w:val="32"/>
          <w:szCs w:val="32"/>
          <w:highlight w:val="none"/>
          <w:lang w:eastAsia="zh-CN"/>
        </w:rPr>
        <w:t>CZZC2026-C3-810006-CZSZ</w:t>
      </w:r>
    </w:p>
    <w:p w14:paraId="7A0E19D5">
      <w:pPr>
        <w:ind w:firstLine="1285" w:firstLineChars="400"/>
        <w:jc w:val="left"/>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z w:val="32"/>
          <w:szCs w:val="32"/>
          <w:highlight w:val="none"/>
          <w:lang w:eastAsia="zh-CN"/>
        </w:rPr>
        <w:t>项目名称：</w:t>
      </w:r>
      <w:r>
        <w:rPr>
          <w:rFonts w:hint="eastAsia" w:asciiTheme="minorEastAsia" w:hAnsiTheme="minorEastAsia" w:cstheme="minorEastAsia"/>
          <w:b/>
          <w:bCs/>
          <w:color w:val="auto"/>
          <w:sz w:val="32"/>
          <w:szCs w:val="32"/>
          <w:highlight w:val="none"/>
          <w:lang w:eastAsia="zh-CN"/>
        </w:rPr>
        <w:t>凭祥市人民医院物业管理服务采购项目</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color w:val="auto"/>
          <w:sz w:val="32"/>
          <w:szCs w:val="32"/>
          <w:highlight w:val="none"/>
          <w:lang w:eastAsia="zh-CN"/>
        </w:rPr>
      </w:pPr>
      <w:r>
        <w:rPr>
          <w:rFonts w:hint="eastAsia" w:asciiTheme="minorEastAsia" w:hAnsiTheme="minorEastAsia" w:eastAsiaTheme="minorEastAsia" w:cstheme="minorEastAsia"/>
          <w:b/>
          <w:bCs/>
          <w:color w:val="auto"/>
          <w:spacing w:val="34"/>
          <w:sz w:val="32"/>
          <w:szCs w:val="32"/>
          <w:highlight w:val="none"/>
          <w:lang w:eastAsia="zh-CN"/>
        </w:rPr>
        <w:t>采购人</w:t>
      </w:r>
      <w:r>
        <w:rPr>
          <w:rFonts w:hint="eastAsia" w:asciiTheme="minorEastAsia" w:hAnsiTheme="minorEastAsia" w:eastAsiaTheme="minorEastAsia" w:cstheme="minorEastAsia"/>
          <w:b/>
          <w:bCs/>
          <w:color w:val="auto"/>
          <w:spacing w:val="11"/>
          <w:sz w:val="32"/>
          <w:szCs w:val="32"/>
          <w:highlight w:val="none"/>
          <w:lang w:eastAsia="zh-CN"/>
        </w:rPr>
        <w:t>：</w:t>
      </w:r>
      <w:r>
        <w:rPr>
          <w:rFonts w:hint="eastAsia" w:asciiTheme="minorEastAsia" w:hAnsiTheme="minorEastAsia" w:cstheme="minorEastAsia"/>
          <w:b/>
          <w:bCs/>
          <w:color w:val="auto"/>
          <w:spacing w:val="11"/>
          <w:sz w:val="32"/>
          <w:szCs w:val="32"/>
          <w:highlight w:val="none"/>
          <w:lang w:eastAsia="zh-CN"/>
        </w:rPr>
        <w:t>凭祥市人民医院</w:t>
      </w:r>
    </w:p>
    <w:p w14:paraId="2AE7D37B">
      <w:pPr>
        <w:jc w:val="center"/>
        <w:rPr>
          <w:rFonts w:hint="eastAsia" w:ascii="仿宋_GB2312" w:hAnsi="仿宋_GB2312" w:eastAsia="仿宋_GB2312" w:cs="仿宋_GB2312"/>
          <w:color w:val="auto"/>
          <w:sz w:val="32"/>
          <w:szCs w:val="32"/>
          <w:highlight w:val="none"/>
          <w:lang w:eastAsia="zh-CN"/>
        </w:rPr>
      </w:pPr>
    </w:p>
    <w:p w14:paraId="31F70A0F">
      <w:pPr>
        <w:jc w:val="center"/>
        <w:rPr>
          <w:rFonts w:hint="eastAsia" w:ascii="仿宋_GB2312" w:hAnsi="仿宋_GB2312" w:eastAsia="仿宋_GB2312" w:cs="仿宋_GB2312"/>
          <w:color w:val="auto"/>
          <w:sz w:val="32"/>
          <w:szCs w:val="32"/>
          <w:highlight w:val="none"/>
          <w:lang w:eastAsia="zh-CN"/>
        </w:rPr>
      </w:pPr>
    </w:p>
    <w:p w14:paraId="216E5E93">
      <w:pPr>
        <w:jc w:val="center"/>
        <w:rPr>
          <w:rFonts w:hint="eastAsia" w:ascii="仿宋_GB2312" w:hAnsi="仿宋_GB2312" w:eastAsia="仿宋_GB2312" w:cs="仿宋_GB2312"/>
          <w:color w:val="auto"/>
          <w:sz w:val="32"/>
          <w:szCs w:val="32"/>
          <w:highlight w:val="none"/>
          <w:lang w:eastAsia="zh-CN"/>
        </w:rPr>
      </w:pPr>
    </w:p>
    <w:p w14:paraId="76B74239">
      <w:pPr>
        <w:jc w:val="center"/>
        <w:rPr>
          <w:rFonts w:hint="eastAsia" w:ascii="仿宋_GB2312" w:hAnsi="仿宋_GB2312" w:eastAsia="仿宋_GB2312" w:cs="仿宋_GB2312"/>
          <w:color w:val="auto"/>
          <w:sz w:val="32"/>
          <w:szCs w:val="32"/>
          <w:highlight w:val="none"/>
          <w:lang w:eastAsia="zh-CN"/>
        </w:rPr>
      </w:pPr>
    </w:p>
    <w:p w14:paraId="7F608FBE">
      <w:pPr>
        <w:jc w:val="center"/>
        <w:rPr>
          <w:rFonts w:hint="eastAsia" w:ascii="仿宋_GB2312" w:hAnsi="仿宋_GB2312" w:eastAsia="仿宋_GB2312" w:cs="仿宋_GB2312"/>
          <w:color w:val="auto"/>
          <w:sz w:val="32"/>
          <w:szCs w:val="32"/>
          <w:highlight w:val="none"/>
          <w:lang w:eastAsia="zh-CN"/>
        </w:rPr>
      </w:pPr>
    </w:p>
    <w:p w14:paraId="7049871F">
      <w:pPr>
        <w:jc w:val="center"/>
        <w:rPr>
          <w:rFonts w:hint="eastAsia" w:ascii="仿宋_GB2312" w:hAnsi="仿宋_GB2312" w:eastAsia="仿宋_GB2312" w:cs="仿宋_GB2312"/>
          <w:color w:val="auto"/>
          <w:sz w:val="32"/>
          <w:szCs w:val="32"/>
          <w:highlight w:val="none"/>
          <w:lang w:eastAsia="zh-CN"/>
        </w:rPr>
      </w:pPr>
    </w:p>
    <w:p w14:paraId="62E12300">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14:paraId="64449806">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2026年3月</w:t>
      </w:r>
    </w:p>
    <w:p w14:paraId="445EBE6D">
      <w:pPr>
        <w:jc w:val="center"/>
        <w:rPr>
          <w:rFonts w:hint="eastAsia" w:ascii="仿宋_GB2312" w:hAnsi="仿宋_GB2312" w:eastAsia="仿宋_GB2312" w:cs="仿宋_GB2312"/>
          <w:b/>
          <w:bCs/>
          <w:color w:val="auto"/>
          <w:sz w:val="32"/>
          <w:szCs w:val="32"/>
          <w:highlight w:val="none"/>
          <w:lang w:val="en-US" w:eastAsia="zh-CN"/>
        </w:rPr>
      </w:pPr>
    </w:p>
    <w:p w14:paraId="3991F4F0">
      <w:pPr>
        <w:jc w:val="center"/>
        <w:rPr>
          <w:rFonts w:hint="eastAsia" w:ascii="仿宋_GB2312" w:hAnsi="仿宋_GB2312" w:eastAsia="仿宋_GB2312" w:cs="仿宋_GB2312"/>
          <w:b/>
          <w:bCs/>
          <w:color w:val="auto"/>
          <w:sz w:val="32"/>
          <w:szCs w:val="32"/>
          <w:highlight w:val="none"/>
          <w:lang w:val="en-US" w:eastAsia="zh-CN"/>
        </w:rPr>
      </w:pPr>
    </w:p>
    <w:p w14:paraId="7783F9E3">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9"/>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14:paraId="262BE643">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14:paraId="24BF802B">
          <w:pPr>
            <w:pStyle w:val="35"/>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14:paraId="0F7A5BB9">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3A90E2F9">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05E05DD">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DB5304E">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221E21EE">
          <w:pPr>
            <w:pStyle w:val="35"/>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49</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14422D81">
          <w:pPr>
            <w:pStyle w:val="35"/>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评分方法及评分标准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14:paraId="6E9581CC">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14:paraId="4666F9DC">
      <w:pPr>
        <w:pStyle w:val="15"/>
        <w:jc w:val="center"/>
        <w:rPr>
          <w:rFonts w:hint="eastAsia"/>
          <w:color w:val="auto"/>
          <w:highlight w:val="none"/>
          <w:lang w:val="en-US" w:eastAsia="zh-CN"/>
        </w:rPr>
      </w:pPr>
    </w:p>
    <w:p w14:paraId="656DEF50">
      <w:pPr>
        <w:jc w:val="center"/>
        <w:rPr>
          <w:rFonts w:hint="eastAsia" w:ascii="仿宋_GB2312" w:hAnsi="仿宋_GB2312" w:eastAsia="仿宋_GB2312" w:cs="仿宋_GB2312"/>
          <w:b/>
          <w:bCs/>
          <w:color w:val="auto"/>
          <w:sz w:val="32"/>
          <w:szCs w:val="32"/>
          <w:highlight w:val="none"/>
          <w:lang w:val="en-US" w:eastAsia="zh-CN"/>
        </w:rPr>
      </w:pPr>
    </w:p>
    <w:p w14:paraId="582494FB">
      <w:pPr>
        <w:jc w:val="center"/>
        <w:rPr>
          <w:rFonts w:hint="eastAsia" w:ascii="仿宋_GB2312" w:hAnsi="仿宋_GB2312" w:eastAsia="仿宋_GB2312" w:cs="仿宋_GB2312"/>
          <w:b/>
          <w:bCs/>
          <w:color w:val="auto"/>
          <w:sz w:val="32"/>
          <w:szCs w:val="32"/>
          <w:highlight w:val="none"/>
          <w:lang w:val="en-US" w:eastAsia="zh-CN"/>
        </w:rPr>
      </w:pPr>
    </w:p>
    <w:p w14:paraId="75B9B7E0">
      <w:pPr>
        <w:jc w:val="center"/>
        <w:rPr>
          <w:rFonts w:hint="eastAsia" w:ascii="仿宋_GB2312" w:hAnsi="仿宋_GB2312" w:eastAsia="仿宋_GB2312" w:cs="仿宋_GB2312"/>
          <w:b/>
          <w:bCs/>
          <w:color w:val="auto"/>
          <w:sz w:val="32"/>
          <w:szCs w:val="32"/>
          <w:highlight w:val="none"/>
          <w:lang w:val="en-US" w:eastAsia="zh-CN"/>
        </w:rPr>
      </w:pPr>
    </w:p>
    <w:p w14:paraId="273B3CD5">
      <w:pPr>
        <w:jc w:val="center"/>
        <w:rPr>
          <w:rFonts w:hint="eastAsia" w:ascii="仿宋_GB2312" w:hAnsi="仿宋_GB2312" w:eastAsia="仿宋_GB2312" w:cs="仿宋_GB2312"/>
          <w:b/>
          <w:bCs/>
          <w:color w:val="auto"/>
          <w:sz w:val="32"/>
          <w:szCs w:val="32"/>
          <w:highlight w:val="none"/>
          <w:lang w:val="en-US" w:eastAsia="zh-CN"/>
        </w:rPr>
      </w:pPr>
    </w:p>
    <w:p w14:paraId="37D707AF">
      <w:pPr>
        <w:jc w:val="center"/>
        <w:rPr>
          <w:rFonts w:hint="eastAsia" w:ascii="仿宋_GB2312" w:hAnsi="仿宋_GB2312" w:eastAsia="仿宋_GB2312" w:cs="仿宋_GB2312"/>
          <w:b/>
          <w:bCs/>
          <w:color w:val="auto"/>
          <w:sz w:val="32"/>
          <w:szCs w:val="32"/>
          <w:highlight w:val="none"/>
          <w:lang w:val="en-US" w:eastAsia="zh-CN"/>
        </w:rPr>
      </w:pPr>
    </w:p>
    <w:p w14:paraId="02AECC19">
      <w:pPr>
        <w:jc w:val="center"/>
        <w:rPr>
          <w:rFonts w:hint="eastAsia" w:ascii="仿宋_GB2312" w:hAnsi="仿宋_GB2312" w:eastAsia="仿宋_GB2312" w:cs="仿宋_GB2312"/>
          <w:b/>
          <w:bCs/>
          <w:color w:val="auto"/>
          <w:sz w:val="32"/>
          <w:szCs w:val="32"/>
          <w:highlight w:val="none"/>
          <w:lang w:val="en-US" w:eastAsia="zh-CN"/>
        </w:rPr>
      </w:pPr>
    </w:p>
    <w:p w14:paraId="00EE468F">
      <w:pPr>
        <w:jc w:val="center"/>
        <w:rPr>
          <w:rFonts w:hint="eastAsia" w:ascii="仿宋_GB2312" w:hAnsi="仿宋_GB2312" w:eastAsia="仿宋_GB2312" w:cs="仿宋_GB2312"/>
          <w:b/>
          <w:bCs/>
          <w:color w:val="auto"/>
          <w:sz w:val="32"/>
          <w:szCs w:val="32"/>
          <w:highlight w:val="none"/>
          <w:lang w:val="en-US" w:eastAsia="zh-CN"/>
        </w:rPr>
      </w:pPr>
    </w:p>
    <w:p w14:paraId="21C4CE37">
      <w:pPr>
        <w:jc w:val="center"/>
        <w:rPr>
          <w:rFonts w:hint="eastAsia" w:ascii="仿宋_GB2312" w:hAnsi="仿宋_GB2312" w:eastAsia="仿宋_GB2312" w:cs="仿宋_GB2312"/>
          <w:b/>
          <w:bCs/>
          <w:color w:val="auto"/>
          <w:sz w:val="32"/>
          <w:szCs w:val="32"/>
          <w:highlight w:val="none"/>
          <w:lang w:val="en-US" w:eastAsia="zh-CN"/>
        </w:rPr>
      </w:pPr>
    </w:p>
    <w:p w14:paraId="6553E638">
      <w:pPr>
        <w:jc w:val="center"/>
        <w:rPr>
          <w:rFonts w:hint="eastAsia" w:ascii="仿宋_GB2312" w:hAnsi="仿宋_GB2312" w:eastAsia="仿宋_GB2312" w:cs="仿宋_GB2312"/>
          <w:b/>
          <w:bCs/>
          <w:color w:val="auto"/>
          <w:sz w:val="32"/>
          <w:szCs w:val="32"/>
          <w:highlight w:val="none"/>
          <w:lang w:val="en-US" w:eastAsia="zh-CN"/>
        </w:rPr>
      </w:pPr>
    </w:p>
    <w:p w14:paraId="41A1C503">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color w:val="auto"/>
          <w:sz w:val="44"/>
          <w:szCs w:val="44"/>
          <w:highlight w:val="none"/>
          <w:lang w:val="en-US" w:eastAsia="zh-CN"/>
        </w:rPr>
      </w:pPr>
    </w:p>
    <w:p w14:paraId="4EA58B47">
      <w:pPr>
        <w:jc w:val="center"/>
        <w:rPr>
          <w:rFonts w:hint="eastAsia" w:asciiTheme="minorEastAsia" w:hAnsiTheme="minorEastAsia" w:eastAsiaTheme="minorEastAsia" w:cstheme="minorEastAsia"/>
          <w:b/>
          <w:bCs/>
          <w:color w:val="auto"/>
          <w:sz w:val="44"/>
          <w:szCs w:val="44"/>
          <w:highlight w:val="none"/>
          <w:lang w:val="en-US" w:eastAsia="zh-CN"/>
        </w:rPr>
      </w:pPr>
    </w:p>
    <w:p w14:paraId="1BD59B6C">
      <w:pPr>
        <w:jc w:val="center"/>
        <w:rPr>
          <w:rFonts w:hint="eastAsia" w:asciiTheme="minorEastAsia" w:hAnsiTheme="minorEastAsia" w:eastAsiaTheme="minorEastAsia" w:cstheme="minorEastAsia"/>
          <w:b/>
          <w:bCs/>
          <w:color w:val="auto"/>
          <w:sz w:val="44"/>
          <w:szCs w:val="44"/>
          <w:highlight w:val="none"/>
          <w:lang w:val="en-US" w:eastAsia="zh-CN"/>
        </w:rPr>
      </w:pPr>
    </w:p>
    <w:p w14:paraId="29353651">
      <w:pPr>
        <w:jc w:val="center"/>
        <w:rPr>
          <w:rFonts w:hint="eastAsia" w:asciiTheme="minorEastAsia" w:hAnsiTheme="minorEastAsia" w:eastAsiaTheme="minorEastAsia" w:cstheme="minorEastAsia"/>
          <w:b/>
          <w:bCs/>
          <w:color w:val="auto"/>
          <w:sz w:val="44"/>
          <w:szCs w:val="44"/>
          <w:highlight w:val="none"/>
          <w:lang w:val="en-US" w:eastAsia="zh-CN"/>
        </w:rPr>
      </w:pPr>
    </w:p>
    <w:p w14:paraId="4C90291E">
      <w:pPr>
        <w:jc w:val="center"/>
        <w:rPr>
          <w:rFonts w:hint="eastAsia" w:asciiTheme="minorEastAsia" w:hAnsiTheme="minorEastAsia" w:eastAsiaTheme="minorEastAsia" w:cstheme="minorEastAsia"/>
          <w:b/>
          <w:bCs/>
          <w:color w:val="auto"/>
          <w:sz w:val="44"/>
          <w:szCs w:val="44"/>
          <w:highlight w:val="none"/>
          <w:lang w:val="en-US" w:eastAsia="zh-CN"/>
        </w:rPr>
      </w:pPr>
    </w:p>
    <w:p w14:paraId="0528CCD9">
      <w:pPr>
        <w:jc w:val="center"/>
        <w:rPr>
          <w:rFonts w:hint="eastAsia" w:asciiTheme="minorEastAsia" w:hAnsiTheme="minorEastAsia" w:eastAsiaTheme="minorEastAsia" w:cstheme="minorEastAsia"/>
          <w:b/>
          <w:bCs/>
          <w:color w:val="auto"/>
          <w:sz w:val="44"/>
          <w:szCs w:val="44"/>
          <w:highlight w:val="none"/>
          <w:lang w:val="en-US" w:eastAsia="zh-CN"/>
        </w:rPr>
      </w:pPr>
    </w:p>
    <w:p w14:paraId="08218E99">
      <w:pPr>
        <w:jc w:val="center"/>
        <w:rPr>
          <w:rFonts w:hint="eastAsia" w:asciiTheme="minorEastAsia" w:hAnsiTheme="minorEastAsia" w:eastAsiaTheme="minorEastAsia" w:cstheme="minorEastAsia"/>
          <w:b/>
          <w:bCs/>
          <w:color w:val="auto"/>
          <w:sz w:val="44"/>
          <w:szCs w:val="44"/>
          <w:highlight w:val="none"/>
          <w:lang w:val="en-US" w:eastAsia="zh-CN"/>
        </w:rPr>
      </w:pPr>
    </w:p>
    <w:p w14:paraId="602D257E">
      <w:pPr>
        <w:jc w:val="center"/>
        <w:rPr>
          <w:rFonts w:hint="eastAsia" w:asciiTheme="minorEastAsia" w:hAnsiTheme="minorEastAsia" w:eastAsiaTheme="minorEastAsia" w:cstheme="minorEastAsia"/>
          <w:b/>
          <w:bCs/>
          <w:color w:val="auto"/>
          <w:sz w:val="44"/>
          <w:szCs w:val="44"/>
          <w:highlight w:val="none"/>
          <w:lang w:val="en-US" w:eastAsia="zh-CN"/>
        </w:rPr>
      </w:pPr>
    </w:p>
    <w:p w14:paraId="76C9F067">
      <w:pPr>
        <w:jc w:val="center"/>
        <w:rPr>
          <w:rFonts w:hint="eastAsia" w:asciiTheme="minorEastAsia" w:hAnsiTheme="minorEastAsia" w:eastAsiaTheme="minorEastAsia" w:cstheme="minorEastAsia"/>
          <w:b/>
          <w:bCs/>
          <w:color w:val="auto"/>
          <w:sz w:val="44"/>
          <w:szCs w:val="44"/>
          <w:highlight w:val="none"/>
          <w:lang w:val="en-US" w:eastAsia="zh-CN"/>
        </w:rPr>
      </w:pPr>
    </w:p>
    <w:p w14:paraId="6B7C9ED9">
      <w:pPr>
        <w:jc w:val="center"/>
        <w:rPr>
          <w:rFonts w:hint="eastAsia" w:asciiTheme="minorEastAsia" w:hAnsiTheme="minorEastAsia" w:eastAsiaTheme="minorEastAsia" w:cstheme="minorEastAsia"/>
          <w:b/>
          <w:bCs/>
          <w:color w:val="auto"/>
          <w:sz w:val="44"/>
          <w:szCs w:val="44"/>
          <w:highlight w:val="none"/>
          <w:lang w:val="en-US" w:eastAsia="zh-CN"/>
        </w:rPr>
      </w:pPr>
    </w:p>
    <w:p w14:paraId="6C33D10E">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竞争性磋商公告</w:t>
      </w:r>
      <w:bookmarkEnd w:id="2"/>
    </w:p>
    <w:p w14:paraId="6F68A476">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竞争性磋商公告</w:t>
      </w:r>
    </w:p>
    <w:p w14:paraId="55067CF1">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凭祥市人民医院物业管理服务采购项目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4</w:t>
                            </w:r>
                            <w:r>
                              <w:rPr>
                                <w:rFonts w:hint="eastAsia" w:ascii="宋体" w:hAnsi="宋体"/>
                                <w:b w:val="0"/>
                                <w:bCs/>
                                <w:kern w:val="0"/>
                                <w:highlight w:val="none"/>
                                <w:lang w:eastAsia="zh-CN"/>
                              </w:rPr>
                              <w:t>月</w:t>
                            </w:r>
                            <w:r>
                              <w:rPr>
                                <w:rFonts w:hint="eastAsia" w:ascii="宋体" w:hAnsi="宋体"/>
                                <w:b w:val="0"/>
                                <w:bCs/>
                                <w:kern w:val="0"/>
                                <w:highlight w:val="none"/>
                                <w:lang w:val="en-US" w:eastAsia="zh-CN"/>
                              </w:rPr>
                              <w:t>7</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eastAsia="zh-CN"/>
                        </w:rPr>
                        <w:t>凭祥市人民医院物业管理服务采购项目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lang w:eastAsia="zh-CN"/>
                        </w:rPr>
                        <w:t>2026年</w:t>
                      </w:r>
                      <w:r>
                        <w:rPr>
                          <w:rFonts w:hint="eastAsia" w:ascii="宋体" w:hAnsi="宋体"/>
                          <w:b w:val="0"/>
                          <w:bCs/>
                          <w:kern w:val="0"/>
                          <w:highlight w:val="none"/>
                          <w:lang w:val="en-US" w:eastAsia="zh-CN"/>
                        </w:rPr>
                        <w:t>4</w:t>
                      </w:r>
                      <w:r>
                        <w:rPr>
                          <w:rFonts w:hint="eastAsia" w:ascii="宋体" w:hAnsi="宋体"/>
                          <w:b w:val="0"/>
                          <w:bCs/>
                          <w:kern w:val="0"/>
                          <w:highlight w:val="none"/>
                          <w:lang w:eastAsia="zh-CN"/>
                        </w:rPr>
                        <w:t>月</w:t>
                      </w:r>
                      <w:r>
                        <w:rPr>
                          <w:rFonts w:hint="eastAsia" w:ascii="宋体" w:hAnsi="宋体"/>
                          <w:b w:val="0"/>
                          <w:bCs/>
                          <w:kern w:val="0"/>
                          <w:highlight w:val="none"/>
                          <w:lang w:val="en-US" w:eastAsia="zh-CN"/>
                        </w:rPr>
                        <w:t>7</w:t>
                      </w:r>
                      <w:r>
                        <w:rPr>
                          <w:rFonts w:hint="eastAsia" w:ascii="宋体" w:hAnsi="宋体"/>
                          <w:b w:val="0"/>
                          <w:bCs/>
                          <w:kern w:val="0"/>
                          <w:highlight w:val="none"/>
                          <w:lang w:eastAsia="zh-CN"/>
                        </w:rPr>
                        <w:t>日</w:t>
                      </w:r>
                      <w:r>
                        <w:rPr>
                          <w:rFonts w:hint="eastAsia" w:ascii="宋体" w:hAnsi="宋体"/>
                          <w:b w:val="0"/>
                          <w:bCs/>
                          <w:kern w:val="0"/>
                          <w:highlight w:val="none"/>
                        </w:rPr>
                        <w:t>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color w:val="auto"/>
          <w:kern w:val="2"/>
          <w:sz w:val="21"/>
          <w:szCs w:val="24"/>
          <w:highlight w:val="none"/>
          <w:lang w:val="en-US" w:eastAsia="zh-CN" w:bidi="ar-SA"/>
        </w:rPr>
      </w:pPr>
    </w:p>
    <w:p w14:paraId="4F81E260">
      <w:pPr>
        <w:bidi w:val="0"/>
        <w:rPr>
          <w:rFonts w:hint="eastAsia"/>
          <w:color w:val="auto"/>
          <w:highlight w:val="none"/>
          <w:lang w:val="en-US" w:eastAsia="zh-CN"/>
        </w:rPr>
      </w:pPr>
    </w:p>
    <w:p w14:paraId="1F8FCF7E">
      <w:pPr>
        <w:bidi w:val="0"/>
        <w:rPr>
          <w:rFonts w:hint="eastAsia"/>
          <w:color w:val="auto"/>
          <w:highlight w:val="none"/>
          <w:lang w:val="en-US" w:eastAsia="zh-CN"/>
        </w:rPr>
      </w:pPr>
    </w:p>
    <w:p w14:paraId="62F9CBA7">
      <w:pPr>
        <w:bidi w:val="0"/>
        <w:rPr>
          <w:rFonts w:hint="eastAsia"/>
          <w:color w:val="auto"/>
          <w:highlight w:val="none"/>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CZZC2026-C3-810006-CZSZ</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凭祥市人民医院物业管理服务采购项目</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eastAsia="zh-CN"/>
        </w:rPr>
        <w:t>2518100</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：凭祥市人民医院物业管理服务采购项目</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423C6C21">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：2518100</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凭祥市人民医院物业管理服务采购项目</w:t>
      </w:r>
      <w:r>
        <w:rPr>
          <w:rFonts w:hint="eastAsia" w:ascii="宋体" w:hAnsi="宋体"/>
          <w:bCs/>
          <w:color w:val="auto"/>
          <w:kern w:val="0"/>
          <w:highlight w:val="none"/>
          <w:lang w:val="en-US" w:eastAsia="zh-CN"/>
        </w:rPr>
        <w:t>(1项）</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eastAsia="zh-CN"/>
        </w:rPr>
        <w:t>2518100</w:t>
      </w:r>
    </w:p>
    <w:p w14:paraId="4CEFB9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仿宋" w:hAnsi="仿宋" w:cs="宋体"/>
          <w:b/>
          <w:bCs/>
          <w:color w:val="auto"/>
          <w:kern w:val="0"/>
          <w:szCs w:val="21"/>
          <w:highlight w:val="none"/>
        </w:rPr>
        <w:t>自提供服务之日起一年，具体服务起止时间以合同约定日期为准</w:t>
      </w:r>
      <w:r>
        <w:rPr>
          <w:rFonts w:hint="eastAsia" w:asciiTheme="minorEastAsia" w:hAnsiTheme="minorEastAsia" w:eastAsiaTheme="minorEastAsia" w:cstheme="minorEastAsia"/>
          <w:b/>
          <w:bCs/>
          <w:color w:val="auto"/>
          <w:sz w:val="21"/>
          <w:szCs w:val="21"/>
          <w:highlight w:val="none"/>
        </w:rPr>
        <w:t>。</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 xml:space="preserve">3.本项目的特定资格要求：无。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eastAsia" w:asciiTheme="minorEastAsia" w:hAnsiTheme="minorEastAsia" w:cstheme="minorEastAsia"/>
          <w:b w:val="0"/>
          <w:bCs w:val="0"/>
          <w:color w:val="auto"/>
          <w:highlight w:val="none"/>
          <w:lang w:val="en-US" w:eastAsia="zh-CN"/>
        </w:rPr>
        <w:t>2026年3月25日</w:t>
      </w:r>
      <w:r>
        <w:rPr>
          <w:rFonts w:hint="default" w:asciiTheme="minorEastAsia" w:hAnsiTheme="minorEastAsia" w:eastAsiaTheme="minorEastAsia" w:cstheme="minorEastAsia"/>
          <w:b w:val="0"/>
          <w:bCs w:val="0"/>
          <w:color w:val="auto"/>
          <w:highlight w:val="none"/>
          <w:lang w:val="en-US" w:eastAsia="zh-CN"/>
        </w:rPr>
        <w:t>至</w:t>
      </w:r>
      <w:r>
        <w:rPr>
          <w:rFonts w:hint="eastAsia" w:asciiTheme="minorEastAsia" w:hAnsiTheme="minorEastAsia" w:cstheme="minorEastAsia"/>
          <w:b w:val="0"/>
          <w:bCs w:val="0"/>
          <w:color w:val="auto"/>
          <w:highlight w:val="none"/>
          <w:lang w:val="en-US" w:eastAsia="zh-CN"/>
        </w:rPr>
        <w:t>2026年4月2日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磋商</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截止时间：2026年4月7日9:00（北京时间）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开标时间：2026年4月7日9:00（北京时间）</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保证金</w:t>
      </w:r>
      <w:r>
        <w:rPr>
          <w:rFonts w:hint="eastAsia" w:asciiTheme="minorEastAsia" w:hAnsiTheme="minorEastAsia" w:cstheme="minorEastAsia"/>
          <w:b w:val="0"/>
          <w:bCs w:val="0"/>
          <w:color w:val="auto"/>
          <w:highlight w:val="none"/>
          <w:lang w:val="en-US" w:eastAsia="zh-CN"/>
        </w:rPr>
        <w:t>。</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磋商</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368700EB">
      <w:pPr>
        <w:pStyle w:val="9"/>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asciiTheme="minorEastAsia" w:hAnsiTheme="minorEastAsia" w:cstheme="minorEastAsia"/>
          <w:b w:val="0"/>
          <w:bCs w:val="0"/>
          <w:color w:val="auto"/>
          <w:kern w:val="2"/>
          <w:sz w:val="21"/>
          <w:szCs w:val="24"/>
          <w:highlight w:val="none"/>
          <w:lang w:val="en-US" w:eastAsia="zh-CN" w:bidi="ar-SA"/>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w:t>
      </w:r>
      <w:r>
        <w:rPr>
          <w:rFonts w:hint="eastAsia" w:ascii="宋体" w:hAnsi="宋体" w:cs="宋体"/>
          <w:b w:val="0"/>
          <w:bCs w:val="0"/>
          <w:color w:val="auto"/>
          <w:sz w:val="21"/>
          <w:szCs w:val="21"/>
          <w:highlight w:val="none"/>
          <w:lang w:val="en-US" w:eastAsia="zh-CN"/>
        </w:rPr>
        <w:t>江州</w:t>
      </w:r>
      <w:r>
        <w:rPr>
          <w:rFonts w:hint="eastAsia" w:ascii="宋体" w:hAnsi="宋体" w:eastAsia="宋体" w:cs="宋体"/>
          <w:b w:val="0"/>
          <w:bCs w:val="0"/>
          <w:color w:val="auto"/>
          <w:sz w:val="21"/>
          <w:szCs w:val="21"/>
          <w:highlight w:val="none"/>
          <w:lang w:val="en-US" w:eastAsia="zh-CN"/>
        </w:rPr>
        <w:t>区石景林东路</w:t>
      </w:r>
      <w:r>
        <w:rPr>
          <w:rFonts w:hint="eastAsia" w:ascii="宋体" w:hAnsi="宋体" w:cs="宋体"/>
          <w:b w:val="0"/>
          <w:bCs w:val="0"/>
          <w:color w:val="auto"/>
          <w:sz w:val="21"/>
          <w:szCs w:val="21"/>
          <w:highlight w:val="none"/>
          <w:lang w:val="en-US" w:eastAsia="zh-CN"/>
        </w:rPr>
        <w:t>5号</w:t>
      </w:r>
      <w:r>
        <w:rPr>
          <w:rFonts w:hint="eastAsia" w:ascii="宋体" w:hAnsi="宋体" w:eastAsia="宋体" w:cs="宋体"/>
          <w:b w:val="0"/>
          <w:bCs w:val="0"/>
          <w:color w:val="auto"/>
          <w:sz w:val="21"/>
          <w:szCs w:val="21"/>
          <w:highlight w:val="none"/>
          <w:lang w:val="en-US" w:eastAsia="zh-CN"/>
        </w:rPr>
        <w:t>政务服务中心综合楼五楼），副会场地址：</w:t>
      </w:r>
      <w:r>
        <w:rPr>
          <w:rFonts w:hint="eastAsia" w:ascii="宋体" w:hAnsi="宋体" w:cs="宋体"/>
          <w:b w:val="0"/>
          <w:bCs w:val="0"/>
          <w:color w:val="auto"/>
          <w:sz w:val="21"/>
          <w:szCs w:val="21"/>
          <w:highlight w:val="none"/>
          <w:lang w:val="en-US" w:eastAsia="zh-CN"/>
        </w:rPr>
        <w:t>鹿寨县</w:t>
      </w:r>
      <w:r>
        <w:rPr>
          <w:rFonts w:hint="eastAsia" w:ascii="宋体" w:hAnsi="宋体" w:eastAsia="宋体" w:cs="宋体"/>
          <w:b w:val="0"/>
          <w:bCs w:val="0"/>
          <w:color w:val="auto"/>
          <w:sz w:val="21"/>
          <w:szCs w:val="21"/>
          <w:highlight w:val="none"/>
          <w:lang w:val="en-US" w:eastAsia="zh-CN"/>
        </w:rPr>
        <w:t>公共资源交易中心（</w:t>
      </w:r>
      <w:r>
        <w:rPr>
          <w:rFonts w:hint="eastAsia" w:ascii="宋体" w:hAnsi="宋体" w:cs="宋体"/>
          <w:b w:val="0"/>
          <w:bCs w:val="0"/>
          <w:color w:val="auto"/>
          <w:sz w:val="21"/>
          <w:szCs w:val="21"/>
          <w:highlight w:val="none"/>
          <w:lang w:val="en-US" w:eastAsia="zh-CN"/>
        </w:rPr>
        <w:t>鹿寨县桂园路8号汇一联商务楼1层鹿寨县</w:t>
      </w:r>
      <w:r>
        <w:rPr>
          <w:rFonts w:hint="eastAsia" w:ascii="宋体" w:hAnsi="宋体" w:eastAsia="宋体" w:cs="宋体"/>
          <w:b w:val="0"/>
          <w:bCs w:val="0"/>
          <w:color w:val="auto"/>
          <w:sz w:val="21"/>
          <w:szCs w:val="21"/>
          <w:highlight w:val="none"/>
          <w:lang w:val="en-US" w:eastAsia="zh-CN"/>
        </w:rPr>
        <w:t>公共资源交易中心）</w:t>
      </w:r>
      <w:r>
        <w:rPr>
          <w:rFonts w:hint="eastAsia" w:ascii="宋体" w:hAnsi="宋体" w:cs="宋体"/>
          <w:b w:val="0"/>
          <w:bCs w:val="0"/>
          <w:color w:val="auto"/>
          <w:sz w:val="21"/>
          <w:szCs w:val="21"/>
          <w:highlight w:val="none"/>
          <w:lang w:val="en-US" w:eastAsia="zh-CN"/>
        </w:rPr>
        <w:t>。</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color w:val="auto"/>
          <w:highlight w:val="none"/>
          <w:lang w:val="en-US" w:eastAsia="zh-CN"/>
        </w:rPr>
      </w:pPr>
      <w:r>
        <w:rPr>
          <w:rFonts w:hint="eastAsia"/>
          <w:b w:val="0"/>
          <w:bCs w:val="0"/>
          <w:color w:val="auto"/>
          <w:highlight w:val="none"/>
          <w:lang w:val="en-US" w:eastAsia="zh-CN"/>
        </w:rPr>
        <w:t>名   称：</w:t>
      </w:r>
      <w:r>
        <w:rPr>
          <w:rFonts w:hint="eastAsia" w:ascii="宋体" w:hAnsi="宋体"/>
          <w:bCs/>
          <w:color w:val="auto"/>
          <w:kern w:val="0"/>
          <w:highlight w:val="none"/>
          <w:lang w:val="en" w:eastAsia="zh-CN"/>
        </w:rPr>
        <w:t>凭祥市人民医院</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址：凭祥市北大路61号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项目联系人：吴兰海</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项目联系方式：0771-8530025</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项目联系人：黄何斌</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项目联系方式：0771-7920270 </w:t>
      </w:r>
    </w:p>
    <w:p w14:paraId="2B66F3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3.监督管理部门信息</w:t>
      </w:r>
    </w:p>
    <w:p w14:paraId="183DA8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名   称：凭祥市财政局政府采购管理股</w:t>
      </w:r>
    </w:p>
    <w:p w14:paraId="6DBF24E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地   址：凭祥市北环路65号</w:t>
      </w:r>
    </w:p>
    <w:p w14:paraId="79C743D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color w:val="auto"/>
          <w:highlight w:val="none"/>
          <w:lang w:val="en-US" w:eastAsia="zh-CN"/>
        </w:rPr>
      </w:pPr>
      <w:r>
        <w:rPr>
          <w:rFonts w:hint="eastAsia"/>
          <w:b w:val="0"/>
          <w:bCs w:val="0"/>
          <w:color w:val="auto"/>
          <w:highlight w:val="none"/>
          <w:lang w:val="en-US" w:eastAsia="zh-CN"/>
        </w:rPr>
        <w:t>联系方式：0771-5972672</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color w:val="auto"/>
          <w:highlight w:val="none"/>
          <w:lang w:val="en-US" w:eastAsia="zh-CN"/>
        </w:rPr>
      </w:pPr>
      <w:r>
        <w:rPr>
          <w:rFonts w:hint="eastAsia" w:ascii="宋体" w:hAnsi="宋体" w:eastAsia="宋体" w:cs="宋体"/>
          <w:i w:val="0"/>
          <w:caps w:val="0"/>
          <w:color w:val="auto"/>
          <w:spacing w:val="0"/>
          <w:sz w:val="21"/>
          <w:szCs w:val="21"/>
          <w:highlight w:val="none"/>
        </w:rPr>
        <w:t> </w:t>
      </w: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default"/>
          <w:b w:val="0"/>
          <w:bCs w:val="0"/>
          <w:color w:val="auto"/>
          <w:highlight w:val="none"/>
          <w:lang w:val="en-US" w:eastAsia="zh-CN"/>
        </w:rPr>
      </w:pPr>
      <w:r>
        <w:rPr>
          <w:rFonts w:hint="eastAsia"/>
          <w:b w:val="0"/>
          <w:bCs w:val="0"/>
          <w:color w:val="auto"/>
          <w:highlight w:val="none"/>
          <w:lang w:val="en-US" w:eastAsia="zh-CN"/>
        </w:rPr>
        <w:t xml:space="preserve"> </w:t>
      </w: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14:paraId="16CE7D68">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930" w:firstLineChars="3300"/>
        <w:jc w:val="left"/>
        <w:textAlignment w:val="auto"/>
        <w:rPr>
          <w:rFonts w:hint="eastAsia"/>
          <w:b w:val="0"/>
          <w:bCs w:val="0"/>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color w:val="auto"/>
          <w:highlight w:val="none"/>
          <w:lang w:val="en-US" w:eastAsia="zh-CN"/>
        </w:rPr>
        <w:t>2026年3月25日</w:t>
      </w:r>
    </w:p>
    <w:p w14:paraId="39B91E13">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37132B8">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5EBBFE1">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1C1B3682">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D1C87C">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A04ED2A">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522916B8">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6F6C6F0">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012A82A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79A9176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24BA7E5">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47BC65B9">
      <w:pPr>
        <w:pStyle w:val="14"/>
        <w:jc w:val="center"/>
        <w:rPr>
          <w:rFonts w:hint="eastAsia" w:asciiTheme="minorEastAsia" w:hAnsiTheme="minorEastAsia" w:eastAsiaTheme="minorEastAsia" w:cstheme="minorEastAsia"/>
          <w:b/>
          <w:bCs/>
          <w:color w:val="auto"/>
          <w:kern w:val="2"/>
          <w:sz w:val="44"/>
          <w:szCs w:val="44"/>
          <w:highlight w:val="none"/>
          <w:lang w:val="en-US" w:eastAsia="zh-CN" w:bidi="ar-SA"/>
        </w:rPr>
      </w:pPr>
    </w:p>
    <w:p w14:paraId="6E5A8932">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color w:val="auto"/>
          <w:highlight w:val="none"/>
          <w:lang w:val="en-US" w:eastAsia="zh-CN"/>
        </w:rPr>
        <w:t>第二章 供应商须知</w:t>
      </w:r>
      <w:bookmarkEnd w:id="3"/>
    </w:p>
    <w:p w14:paraId="4332F2F5">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14:paraId="77713B6B">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9"/>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9"/>
              <w:spacing w:line="360" w:lineRule="exact"/>
              <w:jc w:val="center"/>
              <w:rPr>
                <w:rFonts w:hAnsi="宋体" w:cs="Times New Roman"/>
                <w:color w:val="auto"/>
                <w:highlight w:val="none"/>
              </w:rPr>
            </w:pPr>
            <w:r>
              <w:rPr>
                <w:rFonts w:hint="eastAsia" w:hAnsi="宋体" w:cs="Times New Roman"/>
                <w:color w:val="auto"/>
                <w:highlight w:val="none"/>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9"/>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9"/>
              <w:spacing w:line="360" w:lineRule="exact"/>
              <w:rPr>
                <w:rFonts w:hint="eastAsia" w:hAnsi="宋体" w:cs="Times New Roman" w:eastAsiaTheme="minorEastAsia"/>
                <w:b/>
                <w:bCs/>
                <w:color w:val="auto"/>
                <w:highlight w:val="none"/>
                <w:lang w:val="en" w:eastAsia="zh-CN"/>
              </w:rPr>
            </w:pPr>
            <w:r>
              <w:rPr>
                <w:rFonts w:hint="eastAsia" w:hAnsi="宋体" w:cs="Times New Roman"/>
                <w:color w:val="auto"/>
                <w:highlight w:val="none"/>
              </w:rPr>
              <w:t>项目名称：</w:t>
            </w:r>
            <w:r>
              <w:rPr>
                <w:rFonts w:hint="eastAsia" w:hAnsi="宋体" w:cs="Times New Roman"/>
                <w:b/>
                <w:bCs/>
                <w:color w:val="auto"/>
                <w:highlight w:val="none"/>
              </w:rPr>
              <w:t>凭祥市人民医院物业管理服务采购项目</w:t>
            </w:r>
          </w:p>
          <w:p w14:paraId="79818805">
            <w:pPr>
              <w:pStyle w:val="29"/>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b/>
                <w:bCs/>
                <w:color w:val="auto"/>
                <w:highlight w:val="none"/>
                <w:lang w:eastAsia="zh-CN"/>
              </w:rPr>
              <w:t>CZZC2026-C3-810006-CZSZ</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9"/>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9"/>
              <w:spacing w:line="360" w:lineRule="exact"/>
              <w:ind w:left="-36" w:firstLine="36"/>
              <w:rPr>
                <w:rFonts w:hint="eastAsia" w:hAnsi="宋体" w:cs="Times New Roman" w:eastAsiaTheme="minorEastAsia"/>
                <w:color w:val="auto"/>
                <w:highlight w:val="none"/>
                <w:lang w:eastAsia="zh-CN"/>
              </w:rPr>
            </w:pPr>
            <w:r>
              <w:rPr>
                <w:rFonts w:hint="eastAsia" w:hAnsi="宋体" w:cs="Times New Roman"/>
                <w:color w:val="auto"/>
                <w:highlight w:val="none"/>
                <w:lang w:eastAsia="zh-CN"/>
              </w:rPr>
              <w:t>磋商</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9"/>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color w:val="auto"/>
                <w:highlight w:val="none"/>
              </w:rPr>
            </w:pPr>
            <w:r>
              <w:rPr>
                <w:rFonts w:hint="eastAsia" w:ascii="宋体" w:hAnsi="宋体"/>
                <w:color w:val="auto"/>
                <w:highlight w:val="none"/>
              </w:rPr>
              <w:t>报价：磋商供应商就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9"/>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11"/>
              <w:spacing w:line="360" w:lineRule="exact"/>
              <w:rPr>
                <w:rFonts w:hint="eastAsia" w:hAnsi="宋体"/>
                <w:color w:val="auto"/>
                <w:highlight w:val="none"/>
              </w:rPr>
            </w:pPr>
            <w:r>
              <w:rPr>
                <w:rFonts w:hint="eastAsia" w:hAnsi="宋体"/>
                <w:color w:val="auto"/>
                <w:highlight w:val="none"/>
              </w:rPr>
              <w:t>响应文件的上传和提交：</w:t>
            </w:r>
          </w:p>
          <w:p w14:paraId="30D9161B">
            <w:pPr>
              <w:pStyle w:val="11"/>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hAnsi="宋体"/>
                <w:color w:val="auto"/>
                <w:highlight w:val="none"/>
              </w:rPr>
              <w:t>磋商</w:t>
            </w:r>
            <w:r>
              <w:rPr>
                <w:rFonts w:hAnsi="宋体"/>
                <w:color w:val="auto"/>
                <w:highlight w:val="none"/>
              </w:rPr>
              <w:t>响应（电子标），</w:t>
            </w:r>
            <w:r>
              <w:rPr>
                <w:rFonts w:hint="eastAsia" w:hAnsi="宋体"/>
                <w:color w:val="auto"/>
                <w:highlight w:val="none"/>
              </w:rPr>
              <w:t>磋商</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14:paraId="15AAB36A">
            <w:pPr>
              <w:pStyle w:val="11"/>
              <w:spacing w:line="360" w:lineRule="exact"/>
              <w:rPr>
                <w:rFonts w:hAnsi="宋体"/>
                <w:color w:val="auto"/>
                <w:highlight w:val="none"/>
              </w:rPr>
            </w:pPr>
            <w:r>
              <w:rPr>
                <w:rFonts w:hint="eastAsia" w:hAnsi="宋体"/>
                <w:color w:val="auto"/>
                <w:highlight w:val="none"/>
              </w:rPr>
              <w:t>“电子加密响应文件”的上传、提交：</w:t>
            </w:r>
          </w:p>
          <w:p w14:paraId="7A0CFCC7">
            <w:pPr>
              <w:pStyle w:val="11"/>
              <w:spacing w:line="360" w:lineRule="exact"/>
              <w:rPr>
                <w:rFonts w:hAnsi="宋体"/>
                <w:color w:val="auto"/>
                <w:highlight w:val="none"/>
              </w:rPr>
            </w:pPr>
            <w:r>
              <w:rPr>
                <w:rFonts w:hint="eastAsia" w:hAnsi="宋体"/>
                <w:color w:val="auto"/>
                <w:highlight w:val="none"/>
              </w:rPr>
              <w:t>a.磋商供应商应在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，否则磋商无效。</w:t>
            </w:r>
          </w:p>
          <w:p w14:paraId="3EA4E341">
            <w:pPr>
              <w:pStyle w:val="11"/>
              <w:spacing w:line="360" w:lineRule="exact"/>
              <w:rPr>
                <w:rFonts w:hAnsi="宋体"/>
                <w:color w:val="auto"/>
                <w:highlight w:val="none"/>
              </w:rPr>
            </w:pPr>
            <w:r>
              <w:rPr>
                <w:rFonts w:hint="eastAsia" w:hAnsi="宋体"/>
                <w:color w:val="auto"/>
                <w:highlight w:val="none"/>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9"/>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9"/>
              <w:spacing w:line="360" w:lineRule="exact"/>
              <w:rPr>
                <w:rFonts w:hint="eastAsia"/>
                <w:color w:val="auto"/>
                <w:highlight w:val="none"/>
              </w:rPr>
            </w:pPr>
            <w:r>
              <w:rPr>
                <w:rFonts w:hint="eastAsia"/>
                <w:color w:val="auto"/>
                <w:highlight w:val="none"/>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9"/>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9"/>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9"/>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11"/>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竞争性磋商公告</w:t>
            </w:r>
            <w:r>
              <w:rPr>
                <w:rFonts w:hint="eastAsia" w:hAnsi="宋体"/>
                <w:color w:val="auto"/>
                <w:highlight w:val="none"/>
                <w:lang w:eastAsia="zh-CN"/>
              </w:rPr>
              <w:t>》</w:t>
            </w:r>
            <w:r>
              <w:rPr>
                <w:rFonts w:hint="eastAsia" w:hAnsi="宋体"/>
                <w:color w:val="auto"/>
                <w:highlight w:val="none"/>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9"/>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9"/>
              <w:spacing w:line="360" w:lineRule="exact"/>
              <w:rPr>
                <w:rFonts w:hAnsi="宋体" w:cs="Times New Roman"/>
                <w:b/>
                <w:bCs/>
                <w:color w:val="auto"/>
                <w:highlight w:val="none"/>
              </w:rPr>
            </w:pPr>
            <w:r>
              <w:rPr>
                <w:rFonts w:hint="eastAsia" w:hAnsi="宋体" w:cs="Times New Roman"/>
                <w:b/>
                <w:bCs/>
                <w:color w:val="auto"/>
                <w:highlight w:val="none"/>
              </w:rPr>
              <w:t>磋商时间：</w:t>
            </w:r>
            <w:r>
              <w:rPr>
                <w:rFonts w:hint="eastAsia" w:cs="Times New Roman"/>
                <w:b/>
                <w:bCs/>
                <w:color w:val="auto"/>
                <w:highlight w:val="none"/>
                <w:u w:val="single"/>
                <w:lang w:val="en" w:eastAsia="zh-CN"/>
              </w:rPr>
              <w:t>2026年</w:t>
            </w:r>
            <w:r>
              <w:rPr>
                <w:rFonts w:hint="eastAsia" w:cs="Times New Roman"/>
                <w:b/>
                <w:bCs/>
                <w:color w:val="auto"/>
                <w:highlight w:val="none"/>
                <w:u w:val="single"/>
                <w:lang w:val="en-US" w:eastAsia="zh-CN"/>
              </w:rPr>
              <w:t>4</w:t>
            </w:r>
            <w:r>
              <w:rPr>
                <w:rFonts w:hint="eastAsia" w:cs="Times New Roman"/>
                <w:b/>
                <w:bCs/>
                <w:color w:val="auto"/>
                <w:highlight w:val="none"/>
                <w:u w:val="single"/>
                <w:lang w:val="en" w:eastAsia="zh-CN"/>
              </w:rPr>
              <w:t>月</w:t>
            </w:r>
            <w:r>
              <w:rPr>
                <w:rFonts w:hint="eastAsia" w:cs="Times New Roman"/>
                <w:b/>
                <w:bCs/>
                <w:color w:val="auto"/>
                <w:highlight w:val="none"/>
                <w:u w:val="single"/>
                <w:lang w:val="en-US" w:eastAsia="zh-CN"/>
              </w:rPr>
              <w:t>7</w:t>
            </w:r>
            <w:r>
              <w:rPr>
                <w:rFonts w:hint="eastAsia" w:cs="Times New Roman"/>
                <w:b/>
                <w:bCs/>
                <w:color w:val="auto"/>
                <w:highlight w:val="none"/>
                <w:u w:val="single"/>
                <w:lang w:val="en" w:eastAsia="zh-C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14:paraId="5EA0C461">
            <w:pPr>
              <w:pStyle w:val="29"/>
              <w:spacing w:line="360" w:lineRule="exact"/>
              <w:rPr>
                <w:rFonts w:hAnsi="宋体" w:cs="Times New Roman"/>
                <w:color w:val="auto"/>
                <w:kern w:val="0"/>
                <w:highlight w:val="none"/>
              </w:rPr>
            </w:pPr>
            <w:r>
              <w:rPr>
                <w:rFonts w:hint="eastAsia" w:hAnsi="宋体" w:cs="Times New Roman"/>
                <w:b/>
                <w:bCs/>
                <w:color w:val="auto"/>
                <w:highlight w:val="none"/>
              </w:rPr>
              <w:t>磋商地点：</w:t>
            </w:r>
            <w:r>
              <w:rPr>
                <w:rFonts w:hint="eastAsia" w:hAnsi="宋体" w:cs="Times New Roman"/>
                <w:b w:val="0"/>
                <w:bCs w:val="0"/>
                <w:color w:val="auto"/>
                <w:highlight w:val="none"/>
              </w:rPr>
              <w:t>主会场地址：崇左市公共资源交易中心（崇左市</w:t>
            </w:r>
            <w:r>
              <w:rPr>
                <w:rFonts w:hint="eastAsia" w:cs="Times New Roman"/>
                <w:b w:val="0"/>
                <w:bCs w:val="0"/>
                <w:color w:val="auto"/>
                <w:highlight w:val="none"/>
                <w:lang w:eastAsia="zh-CN"/>
              </w:rPr>
              <w:t>江州</w:t>
            </w:r>
            <w:r>
              <w:rPr>
                <w:rFonts w:hint="eastAsia" w:hAnsi="宋体" w:cs="Times New Roman"/>
                <w:b w:val="0"/>
                <w:bCs w:val="0"/>
                <w:color w:val="auto"/>
                <w:highlight w:val="none"/>
              </w:rPr>
              <w:t>区石景林东路</w:t>
            </w:r>
            <w:r>
              <w:rPr>
                <w:rFonts w:hint="eastAsia" w:cs="Times New Roman"/>
                <w:b w:val="0"/>
                <w:bCs w:val="0"/>
                <w:color w:val="auto"/>
                <w:highlight w:val="none"/>
                <w:lang w:val="en-US" w:eastAsia="zh-CN"/>
              </w:rPr>
              <w:t>5号</w:t>
            </w:r>
            <w:r>
              <w:rPr>
                <w:rFonts w:hint="eastAsia" w:hAnsi="宋体" w:cs="Times New Roman"/>
                <w:b w:val="0"/>
                <w:bCs w:val="0"/>
                <w:color w:val="auto"/>
                <w:highlight w:val="none"/>
              </w:rPr>
              <w:t>政务服务中心综合楼五楼），副会场地址：鹿寨县公共资源交易中心（鹿寨县桂园路8号汇一联商务楼1层鹿寨县公共资源交易中心）</w:t>
            </w:r>
            <w:r>
              <w:rPr>
                <w:rFonts w:hint="eastAsia"/>
                <w:color w:val="auto"/>
                <w:highlight w:val="none"/>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9"/>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9"/>
              <w:spacing w:line="360" w:lineRule="exact"/>
              <w:rPr>
                <w:rFonts w:hAnsi="宋体" w:cs="Times New Roman"/>
                <w:color w:val="auto"/>
                <w:highlight w:val="none"/>
              </w:rPr>
            </w:pPr>
            <w:r>
              <w:rPr>
                <w:rFonts w:hint="eastAsia" w:hAnsi="宋体" w:cs="Times New Roman"/>
                <w:color w:val="auto"/>
                <w:highlight w:val="none"/>
              </w:rPr>
              <w:t>评审方法：</w:t>
            </w:r>
            <w:r>
              <w:rPr>
                <w:rFonts w:hint="eastAsia" w:hAnsi="宋体" w:cs="Times New Roman"/>
                <w:b/>
                <w:bCs/>
                <w:color w:val="auto"/>
                <w:highlight w:val="none"/>
              </w:rPr>
              <w:t>综合评分法</w:t>
            </w:r>
            <w:r>
              <w:rPr>
                <w:rFonts w:hint="eastAsia" w:hAnsi="宋体" w:cs="Times New Roman"/>
                <w:color w:val="auto"/>
                <w:highlight w:val="none"/>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rPr>
              <w:t>磋商供应商应准备电子响应文件。</w:t>
            </w:r>
          </w:p>
          <w:p w14:paraId="4935CB42">
            <w:pPr>
              <w:pStyle w:val="29"/>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9"/>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响应文件的编制：供应商应先安装“政采云电子投标客户端”，并按照本竞争性磋商文件和“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9"/>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9"/>
              <w:spacing w:line="360" w:lineRule="exact"/>
              <w:rPr>
                <w:rFonts w:hint="eastAsia" w:hAnsi="宋体"/>
                <w:color w:val="auto"/>
                <w:highlight w:val="none"/>
              </w:rPr>
            </w:pPr>
            <w:r>
              <w:rPr>
                <w:rFonts w:hint="eastAsia"/>
                <w:snapToGrid w:val="0"/>
                <w:color w:val="auto"/>
                <w:highlight w:val="none"/>
              </w:rPr>
              <w:t>法定代表人或其授权代表签字:本竞争性磋商文件所涉及的法定代表人或其授权代表签字的地方，如果法定代表人没有电子签章，可以线下手写签字后扫描文件上传。法定代表人或其授权代表盖章:本竞争性磋商文件所涉及的法定代表人或其授权代表盖章的地方，如果法定代表人没有电子印章，可以线下加盖印章后扫描文件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9"/>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9"/>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9"/>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9"/>
              <w:spacing w:line="360" w:lineRule="exact"/>
              <w:rPr>
                <w:rFonts w:hint="eastAsia"/>
                <w:snapToGrid w:val="0"/>
                <w:color w:val="auto"/>
                <w:highlight w:val="none"/>
              </w:rPr>
            </w:pPr>
            <w:r>
              <w:rPr>
                <w:rFonts w:hint="eastAsia"/>
                <w:snapToGrid w:val="0"/>
                <w:color w:val="auto"/>
                <w:highlight w:val="none"/>
              </w:rPr>
              <w:t>电子加密响应文件的解密：</w:t>
            </w:r>
          </w:p>
          <w:p w14:paraId="42E982B0">
            <w:pPr>
              <w:pStyle w:val="29"/>
              <w:spacing w:line="360" w:lineRule="exact"/>
              <w:rPr>
                <w:rFonts w:hint="eastAsia"/>
                <w:snapToGrid w:val="0"/>
                <w:color w:val="auto"/>
                <w:highlight w:val="none"/>
              </w:rPr>
            </w:pPr>
            <w:r>
              <w:rPr>
                <w:rFonts w:hint="eastAsia"/>
                <w:snapToGrid w:val="0"/>
                <w:color w:val="auto"/>
                <w:highlight w:val="none"/>
              </w:rPr>
              <w:t>磋商开启后，本中心将向各参与磋商供应商发出“电子加密响应文件”的解密通知，各磋商供应商代表应当在接到解密通知后30分钟内自行完成“电子加密响应文件”的在线解密。</w:t>
            </w: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9"/>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9"/>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9"/>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w:t>
            </w:r>
            <w:r>
              <w:rPr>
                <w:rFonts w:hint="eastAsia" w:cstheme="minorBidi"/>
                <w:bCs/>
                <w:color w:val="auto"/>
                <w:kern w:val="0"/>
                <w:sz w:val="21"/>
                <w:szCs w:val="24"/>
                <w:highlight w:val="none"/>
                <w:lang w:val="en" w:eastAsia="zh-CN" w:bidi="ar-SA"/>
              </w:rPr>
              <w:t>7920270</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14:paraId="71B81F95">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）凭祥市人民医院</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highlight w:val="none"/>
                <w:lang w:val="en-US" w:eastAsia="zh-CN"/>
              </w:rPr>
              <w:t>0771-8530025</w:t>
            </w:r>
          </w:p>
          <w:p w14:paraId="1882402E">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地址：凭祥市北大路61号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9"/>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color w:val="auto"/>
          <w:kern w:val="2"/>
          <w:sz w:val="32"/>
          <w:szCs w:val="32"/>
          <w:highlight w:val="none"/>
          <w:lang w:val="en-US" w:eastAsia="zh-CN" w:bidi="ar-SA"/>
        </w:rPr>
      </w:pPr>
    </w:p>
    <w:p w14:paraId="298CF31D">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auto"/>
          <w:sz w:val="32"/>
          <w:szCs w:val="32"/>
          <w:highlight w:val="none"/>
        </w:rPr>
      </w:pPr>
      <w:bookmarkStart w:id="4"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4"/>
    </w:p>
    <w:p w14:paraId="1EA4FBC3">
      <w:pPr>
        <w:suppressAutoHyphens/>
        <w:rPr>
          <w:rFonts w:ascii="华文仿宋" w:hAnsi="华文仿宋" w:eastAsia="华文仿宋"/>
          <w:b/>
          <w:color w:val="auto"/>
          <w:highlight w:val="none"/>
        </w:rPr>
      </w:pPr>
    </w:p>
    <w:p w14:paraId="023A9673">
      <w:pPr>
        <w:spacing w:line="580" w:lineRule="exact"/>
        <w:jc w:val="center"/>
        <w:outlineLvl w:val="0"/>
        <w:rPr>
          <w:rFonts w:ascii="华文仿宋" w:hAnsi="华文仿宋" w:eastAsia="华文仿宋"/>
          <w:b/>
          <w:color w:val="auto"/>
          <w:sz w:val="44"/>
          <w:szCs w:val="44"/>
          <w:highlight w:val="none"/>
        </w:rPr>
      </w:pPr>
      <w:bookmarkStart w:id="5" w:name="_Toc11243"/>
      <w:r>
        <w:rPr>
          <w:rFonts w:hint="eastAsia" w:ascii="华文仿宋" w:hAnsi="华文仿宋" w:eastAsia="华文仿宋"/>
          <w:b/>
          <w:color w:val="auto"/>
          <w:sz w:val="44"/>
          <w:szCs w:val="44"/>
          <w:highlight w:val="none"/>
        </w:rPr>
        <w:t>崇左市线上“政采贷”政策告知函</w:t>
      </w:r>
      <w:bookmarkEnd w:id="5"/>
    </w:p>
    <w:p w14:paraId="7D3244D1">
      <w:pPr>
        <w:spacing w:line="580" w:lineRule="exact"/>
        <w:ind w:firstLine="640" w:firstLineChars="200"/>
        <w:rPr>
          <w:rFonts w:ascii="华文仿宋" w:hAnsi="华文仿宋" w:eastAsia="华文仿宋"/>
          <w:color w:val="auto"/>
          <w:sz w:val="32"/>
          <w:szCs w:val="32"/>
          <w:highlight w:val="none"/>
        </w:rPr>
      </w:pPr>
    </w:p>
    <w:p w14:paraId="442E81D6">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14:paraId="5603D589">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14:paraId="0201B186">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14:paraId="63CAF30C">
      <w:pPr>
        <w:suppressAutoHyphens/>
        <w:rPr>
          <w:rFonts w:ascii="华文仿宋" w:hAnsi="华文仿宋" w:eastAsia="华文仿宋" w:cs="仿宋_GB2312"/>
          <w:color w:val="auto"/>
          <w:szCs w:val="32"/>
          <w:highlight w:val="none"/>
        </w:rPr>
      </w:pPr>
    </w:p>
    <w:p w14:paraId="1DE3C28D">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14:paraId="673549F8">
      <w:pPr>
        <w:suppressAutoHyphens/>
        <w:rPr>
          <w:rFonts w:ascii="华文仿宋" w:hAnsi="华文仿宋" w:eastAsia="华文仿宋"/>
          <w:b/>
          <w:color w:val="auto"/>
          <w:highlight w:val="none"/>
        </w:rPr>
      </w:pPr>
    </w:p>
    <w:p w14:paraId="78F22412">
      <w:pPr>
        <w:spacing w:line="600" w:lineRule="exact"/>
        <w:jc w:val="center"/>
        <w:outlineLvl w:val="0"/>
        <w:rPr>
          <w:rFonts w:hint="eastAsia" w:ascii="华文仿宋" w:hAnsi="华文仿宋" w:eastAsia="华文仿宋"/>
          <w:b/>
          <w:color w:val="auto"/>
          <w:sz w:val="44"/>
          <w:szCs w:val="44"/>
          <w:highlight w:val="none"/>
        </w:rPr>
      </w:pPr>
      <w:bookmarkStart w:id="6" w:name="_Toc26775"/>
      <w:r>
        <w:rPr>
          <w:rFonts w:hint="eastAsia" w:ascii="华文仿宋" w:hAnsi="华文仿宋" w:eastAsia="华文仿宋"/>
          <w:b/>
          <w:color w:val="auto"/>
          <w:sz w:val="44"/>
          <w:szCs w:val="44"/>
          <w:highlight w:val="none"/>
        </w:rPr>
        <w:t>崇左市线上“政采贷”业务流程图</w:t>
      </w:r>
      <w:bookmarkEnd w:id="6"/>
    </w:p>
    <w:p w14:paraId="728B0637">
      <w:pPr>
        <w:pStyle w:val="30"/>
        <w:rPr>
          <w:color w:val="auto"/>
          <w:highlight w:val="none"/>
        </w:rPr>
      </w:pPr>
    </w:p>
    <w:p w14:paraId="3FA9A202">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auto"/>
          <w:sz w:val="32"/>
          <w:szCs w:val="32"/>
          <w:highlight w:val="none"/>
        </w:rPr>
      </w:pPr>
    </w:p>
    <w:p w14:paraId="4A313E4C">
      <w:pPr>
        <w:widowControl/>
        <w:spacing w:line="720" w:lineRule="exact"/>
        <w:jc w:val="left"/>
        <w:rPr>
          <w:rFonts w:ascii="华文仿宋" w:hAnsi="华文仿宋" w:eastAsia="华文仿宋" w:cs="黑体"/>
          <w:color w:val="auto"/>
          <w:sz w:val="32"/>
          <w:szCs w:val="32"/>
          <w:highlight w:val="none"/>
          <w:lang w:val="zh-CN"/>
        </w:rPr>
      </w:pPr>
    </w:p>
    <w:p w14:paraId="3720689C">
      <w:pPr>
        <w:pStyle w:val="30"/>
        <w:rPr>
          <w:color w:val="auto"/>
          <w:highlight w:val="none"/>
          <w:lang w:val="zh-CN"/>
        </w:rPr>
      </w:pPr>
    </w:p>
    <w:p w14:paraId="51EBB6AD">
      <w:pPr>
        <w:widowControl/>
        <w:spacing w:line="720" w:lineRule="exact"/>
        <w:jc w:val="left"/>
        <w:rPr>
          <w:rFonts w:hint="eastAsia" w:ascii="仿宋_GB2312" w:hAnsi="黑体" w:eastAsia="仿宋_GB2312" w:cs="黑体"/>
          <w:b/>
          <w:color w:val="auto"/>
          <w:sz w:val="32"/>
          <w:szCs w:val="32"/>
          <w:highlight w:val="none"/>
          <w:lang w:val="zh-CN"/>
        </w:rPr>
      </w:pPr>
    </w:p>
    <w:p w14:paraId="47C1CA95">
      <w:pPr>
        <w:widowControl/>
        <w:spacing w:line="720" w:lineRule="exact"/>
        <w:jc w:val="left"/>
        <w:outlineLvl w:val="0"/>
        <w:rPr>
          <w:rFonts w:hint="eastAsia" w:ascii="仿宋_GB2312" w:hAnsi="黑体" w:eastAsia="仿宋_GB2312" w:cs="黑体"/>
          <w:b/>
          <w:color w:val="auto"/>
          <w:sz w:val="32"/>
          <w:szCs w:val="32"/>
          <w:highlight w:val="none"/>
        </w:rPr>
      </w:pPr>
      <w:bookmarkStart w:id="7"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7"/>
    </w:p>
    <w:p w14:paraId="44C74344">
      <w:pPr>
        <w:suppressAutoHyphens/>
        <w:rPr>
          <w:rFonts w:hint="eastAsia" w:ascii="仿宋_GB2312" w:hAnsi="Calibri" w:eastAsia="仿宋_GB2312"/>
          <w:color w:val="auto"/>
          <w:highlight w:val="none"/>
        </w:rPr>
      </w:pPr>
    </w:p>
    <w:p w14:paraId="4C89A3E9">
      <w:pPr>
        <w:suppressAutoHyphens/>
        <w:jc w:val="center"/>
        <w:outlineLvl w:val="0"/>
        <w:rPr>
          <w:rFonts w:hint="eastAsia" w:ascii="仿宋_GB2312" w:hAnsi="方正小标宋_GBK" w:eastAsia="仿宋_GB2312" w:cs="方正小标宋_GBK"/>
          <w:b/>
          <w:color w:val="auto"/>
          <w:sz w:val="36"/>
          <w:szCs w:val="36"/>
          <w:highlight w:val="none"/>
        </w:rPr>
      </w:pPr>
      <w:bookmarkStart w:id="8"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8"/>
    </w:p>
    <w:tbl>
      <w:tblPr>
        <w:tblStyle w:val="21"/>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auto"/>
                <w:szCs w:val="21"/>
                <w:highlight w:val="none"/>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auto"/>
                <w:szCs w:val="21"/>
                <w:highlight w:val="none"/>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auto"/>
                <w:szCs w:val="21"/>
                <w:highlight w:val="none"/>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14:paraId="4D6A9B3A">
      <w:pPr>
        <w:pStyle w:val="30"/>
        <w:rPr>
          <w:rFonts w:hint="eastAsia"/>
          <w:color w:val="auto"/>
          <w:highlight w:val="none"/>
        </w:rPr>
      </w:pPr>
    </w:p>
    <w:p w14:paraId="039C6118">
      <w:pPr>
        <w:rPr>
          <w:rFonts w:hint="default"/>
          <w:color w:val="auto"/>
          <w:highlight w:val="none"/>
          <w:lang w:val="en-US" w:eastAsia="zh-CN"/>
        </w:rPr>
      </w:pPr>
    </w:p>
    <w:p w14:paraId="069EBBAF">
      <w:pPr>
        <w:bidi w:val="0"/>
        <w:rPr>
          <w:rFonts w:hint="default" w:asciiTheme="minorHAnsi" w:hAnsiTheme="minorHAnsi" w:eastAsiaTheme="minorEastAsia" w:cstheme="minorBidi"/>
          <w:color w:val="auto"/>
          <w:kern w:val="2"/>
          <w:sz w:val="21"/>
          <w:szCs w:val="24"/>
          <w:highlight w:val="none"/>
          <w:lang w:val="en-US" w:eastAsia="zh-CN" w:bidi="ar-SA"/>
        </w:rPr>
      </w:pPr>
    </w:p>
    <w:p w14:paraId="0033A4F5">
      <w:pPr>
        <w:bidi w:val="0"/>
        <w:rPr>
          <w:rFonts w:hint="default"/>
          <w:color w:val="auto"/>
          <w:highlight w:val="none"/>
          <w:lang w:val="en-US" w:eastAsia="zh-CN"/>
        </w:rPr>
      </w:pPr>
    </w:p>
    <w:p w14:paraId="29371C96">
      <w:pPr>
        <w:bidi w:val="0"/>
        <w:rPr>
          <w:rFonts w:hint="default"/>
          <w:color w:val="auto"/>
          <w:highlight w:val="none"/>
          <w:lang w:val="en-US" w:eastAsia="zh-CN"/>
        </w:rPr>
      </w:pPr>
    </w:p>
    <w:p w14:paraId="533DCBFF">
      <w:pPr>
        <w:bidi w:val="0"/>
        <w:rPr>
          <w:rFonts w:hint="default"/>
          <w:color w:val="auto"/>
          <w:highlight w:val="none"/>
          <w:lang w:val="en-US" w:eastAsia="zh-CN"/>
        </w:rPr>
      </w:pPr>
    </w:p>
    <w:p w14:paraId="40C0427E">
      <w:pPr>
        <w:bidi w:val="0"/>
        <w:rPr>
          <w:rFonts w:hint="default"/>
          <w:color w:val="auto"/>
          <w:highlight w:val="none"/>
          <w:lang w:val="en-US" w:eastAsia="zh-CN"/>
        </w:rPr>
      </w:pPr>
    </w:p>
    <w:p w14:paraId="1F9FDE67">
      <w:pPr>
        <w:bidi w:val="0"/>
        <w:rPr>
          <w:rFonts w:hint="default"/>
          <w:color w:val="auto"/>
          <w:highlight w:val="none"/>
          <w:lang w:val="en-US" w:eastAsia="zh-CN"/>
        </w:rPr>
      </w:pPr>
    </w:p>
    <w:p w14:paraId="1F55C14A">
      <w:pPr>
        <w:bidi w:val="0"/>
        <w:rPr>
          <w:rFonts w:hint="default"/>
          <w:color w:val="auto"/>
          <w:highlight w:val="none"/>
          <w:lang w:val="en-US" w:eastAsia="zh-CN"/>
        </w:rPr>
      </w:pPr>
    </w:p>
    <w:p w14:paraId="3617C32E">
      <w:pPr>
        <w:bidi w:val="0"/>
        <w:rPr>
          <w:rFonts w:hint="default"/>
          <w:color w:val="auto"/>
          <w:highlight w:val="none"/>
          <w:lang w:val="en-US" w:eastAsia="zh-CN"/>
        </w:rPr>
      </w:pPr>
    </w:p>
    <w:p w14:paraId="4E365C2E">
      <w:pPr>
        <w:bidi w:val="0"/>
        <w:rPr>
          <w:rFonts w:hint="default"/>
          <w:color w:val="auto"/>
          <w:highlight w:val="none"/>
          <w:lang w:val="en-US" w:eastAsia="zh-CN"/>
        </w:rPr>
      </w:pPr>
    </w:p>
    <w:p w14:paraId="72219133">
      <w:pPr>
        <w:bidi w:val="0"/>
        <w:rPr>
          <w:rFonts w:hint="default"/>
          <w:color w:val="auto"/>
          <w:highlight w:val="none"/>
          <w:lang w:val="en-US" w:eastAsia="zh-CN"/>
        </w:rPr>
      </w:pPr>
    </w:p>
    <w:p w14:paraId="3047450A">
      <w:pPr>
        <w:bidi w:val="0"/>
        <w:rPr>
          <w:rFonts w:hint="default"/>
          <w:color w:val="auto"/>
          <w:highlight w:val="none"/>
          <w:lang w:val="en-US" w:eastAsia="zh-CN"/>
        </w:rPr>
      </w:pPr>
    </w:p>
    <w:p w14:paraId="4ACC1B78">
      <w:pPr>
        <w:bidi w:val="0"/>
        <w:rPr>
          <w:rFonts w:hint="default"/>
          <w:color w:val="auto"/>
          <w:highlight w:val="none"/>
          <w:lang w:val="en-US" w:eastAsia="zh-CN"/>
        </w:rPr>
      </w:pPr>
    </w:p>
    <w:p w14:paraId="698DA487">
      <w:pPr>
        <w:bidi w:val="0"/>
        <w:rPr>
          <w:rFonts w:hint="default"/>
          <w:color w:val="auto"/>
          <w:highlight w:val="none"/>
          <w:lang w:val="en-US" w:eastAsia="zh-CN"/>
        </w:rPr>
      </w:pPr>
    </w:p>
    <w:p w14:paraId="4BD07679">
      <w:pPr>
        <w:bidi w:val="0"/>
        <w:rPr>
          <w:rFonts w:hint="default"/>
          <w:color w:val="auto"/>
          <w:highlight w:val="none"/>
          <w:lang w:val="en-US" w:eastAsia="zh-CN"/>
        </w:rPr>
      </w:pPr>
    </w:p>
    <w:p w14:paraId="0D3C8B60">
      <w:pPr>
        <w:bidi w:val="0"/>
        <w:rPr>
          <w:rFonts w:hint="default"/>
          <w:color w:val="auto"/>
          <w:highlight w:val="none"/>
          <w:lang w:val="en-US" w:eastAsia="zh-CN"/>
        </w:rPr>
      </w:pPr>
    </w:p>
    <w:p w14:paraId="7ECB52BD">
      <w:pPr>
        <w:bidi w:val="0"/>
        <w:rPr>
          <w:rFonts w:hint="default"/>
          <w:color w:val="auto"/>
          <w:highlight w:val="none"/>
          <w:lang w:val="en-US" w:eastAsia="zh-CN"/>
        </w:rPr>
      </w:pPr>
    </w:p>
    <w:p w14:paraId="381223C8">
      <w:pPr>
        <w:bidi w:val="0"/>
        <w:rPr>
          <w:rFonts w:hint="default"/>
          <w:color w:val="auto"/>
          <w:highlight w:val="none"/>
          <w:lang w:val="en-US" w:eastAsia="zh-CN"/>
        </w:rPr>
      </w:pPr>
    </w:p>
    <w:p w14:paraId="15811FE2">
      <w:pPr>
        <w:bidi w:val="0"/>
        <w:rPr>
          <w:rFonts w:hint="default"/>
          <w:color w:val="auto"/>
          <w:highlight w:val="none"/>
          <w:lang w:val="en-US" w:eastAsia="zh-CN"/>
        </w:rPr>
      </w:pPr>
    </w:p>
    <w:p w14:paraId="0E8F81B9">
      <w:pPr>
        <w:bidi w:val="0"/>
        <w:rPr>
          <w:rFonts w:hint="default"/>
          <w:color w:val="auto"/>
          <w:highlight w:val="none"/>
          <w:lang w:val="en-US" w:eastAsia="zh-CN"/>
        </w:rPr>
      </w:pPr>
    </w:p>
    <w:p w14:paraId="30AC4C0F">
      <w:pPr>
        <w:bidi w:val="0"/>
        <w:rPr>
          <w:rFonts w:hint="default"/>
          <w:color w:val="auto"/>
          <w:highlight w:val="none"/>
          <w:lang w:val="en-US" w:eastAsia="zh-CN"/>
        </w:rPr>
      </w:pPr>
    </w:p>
    <w:p w14:paraId="3A736DEE">
      <w:pPr>
        <w:bidi w:val="0"/>
        <w:rPr>
          <w:rFonts w:hint="default"/>
          <w:color w:val="auto"/>
          <w:highlight w:val="none"/>
          <w:lang w:val="en-US" w:eastAsia="zh-CN"/>
        </w:rPr>
      </w:pPr>
    </w:p>
    <w:p w14:paraId="0393283B">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14:paraId="4617BF24">
      <w:pPr>
        <w:pStyle w:val="9"/>
        <w:rPr>
          <w:rFonts w:hint="eastAsia"/>
          <w:color w:val="auto"/>
          <w:highlight w:val="none"/>
          <w:lang w:val="en-US" w:eastAsia="zh-CN"/>
        </w:rPr>
      </w:pPr>
    </w:p>
    <w:p w14:paraId="3BF9E891">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一、总 则</w:t>
      </w:r>
    </w:p>
    <w:p w14:paraId="3F17978D">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14:paraId="292F67C3">
      <w:pPr>
        <w:pStyle w:val="11"/>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凭祥市人民医院物业管理服务项目</w:t>
      </w:r>
    </w:p>
    <w:p w14:paraId="27EC61AF">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14:paraId="71595E29">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14:paraId="28519505">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凭祥市人民医院</w:t>
      </w:r>
    </w:p>
    <w:p w14:paraId="2A955BF7">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14:paraId="58DCC491">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14:paraId="7A2A0655">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14:paraId="75223778">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磋商</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60E0A1EA">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见第一章《竞争性磋商公告》。</w:t>
      </w:r>
    </w:p>
    <w:p w14:paraId="11BF8A5C">
      <w:pPr>
        <w:spacing w:line="400" w:lineRule="exact"/>
        <w:ind w:firstLine="424" w:firstLineChars="201"/>
        <w:rPr>
          <w:rFonts w:hint="eastAsia" w:ascii="宋体" w:hAnsi="宋体"/>
          <w:b/>
          <w:bCs/>
          <w:color w:val="auto"/>
          <w:highlight w:val="none"/>
        </w:rPr>
      </w:pPr>
      <w:r>
        <w:rPr>
          <w:rFonts w:hint="eastAsia" w:ascii="宋体" w:hAnsi="宋体"/>
          <w:b/>
          <w:bCs/>
          <w:color w:val="auto"/>
          <w:highlight w:val="none"/>
        </w:rPr>
        <w:t>4. 磋商费用、竞争性磋商公告、竞争性磋商文件的澄清和修改</w:t>
      </w:r>
    </w:p>
    <w:p w14:paraId="3F196269">
      <w:pPr>
        <w:spacing w:line="400" w:lineRule="exact"/>
        <w:ind w:firstLine="420" w:firstLineChars="200"/>
        <w:rPr>
          <w:rFonts w:hint="eastAsia" w:ascii="宋体" w:hAnsi="宋体"/>
          <w:color w:val="auto"/>
          <w:highlight w:val="none"/>
        </w:rPr>
      </w:pPr>
      <w:r>
        <w:rPr>
          <w:rFonts w:hint="eastAsia" w:ascii="宋体" w:hAnsi="宋体"/>
          <w:color w:val="auto"/>
          <w:highlight w:val="none"/>
        </w:rPr>
        <w:t>4.1磋商费用：</w:t>
      </w:r>
      <w:r>
        <w:rPr>
          <w:rFonts w:hint="eastAsia" w:ascii="宋体" w:hAnsi="宋体"/>
          <w:color w:val="auto"/>
          <w:highlight w:val="none"/>
          <w:lang w:eastAsia="zh-CN"/>
        </w:rPr>
        <w:t>磋商</w:t>
      </w:r>
      <w:r>
        <w:rPr>
          <w:rFonts w:hint="eastAsia" w:ascii="宋体" w:hAnsi="宋体"/>
          <w:color w:val="auto"/>
          <w:highlight w:val="none"/>
        </w:rPr>
        <w:t>供应商应自行承担所有与编写和提交竞争性磋商响应文件有关的费用，不论磋商结果如何，采购人和本中心在任何情况下无义务和责任承担此类费用。</w:t>
      </w:r>
    </w:p>
    <w:p w14:paraId="5EB91FA8">
      <w:pPr>
        <w:pStyle w:val="11"/>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竞争性磋商公告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14:paraId="25021597">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4.3竞争性磋商文件的澄清和修改：</w:t>
      </w:r>
    </w:p>
    <w:p w14:paraId="63B1C0B9">
      <w:pPr>
        <w:pStyle w:val="11"/>
        <w:spacing w:line="400" w:lineRule="exact"/>
        <w:ind w:firstLine="420"/>
        <w:rPr>
          <w:rFonts w:hint="eastAsia" w:hAnsi="宋体"/>
          <w:color w:val="auto"/>
          <w:highlight w:val="none"/>
        </w:rPr>
      </w:pPr>
      <w:r>
        <w:rPr>
          <w:rFonts w:hint="eastAsia" w:hAnsi="宋体"/>
          <w:color w:val="auto"/>
          <w:highlight w:val="none"/>
        </w:rPr>
        <w:t>4.3.1</w:t>
      </w:r>
      <w:r>
        <w:rPr>
          <w:rFonts w:hint="eastAsia" w:hAnsi="宋体"/>
          <w:color w:val="auto"/>
          <w:highlight w:val="none"/>
          <w:lang w:eastAsia="zh-CN"/>
        </w:rPr>
        <w:t>磋商</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hAnsi="宋体"/>
          <w:color w:val="auto"/>
          <w:highlight w:val="none"/>
          <w:lang w:eastAsia="zh-CN"/>
        </w:rPr>
        <w:t>磋商</w:t>
      </w:r>
      <w:r>
        <w:rPr>
          <w:rFonts w:hint="eastAsia" w:hAnsi="宋体"/>
          <w:color w:val="auto"/>
          <w:highlight w:val="none"/>
        </w:rPr>
        <w:t>供应商必须在规定的时间前要求澄清，否则，由此产生的后果由</w:t>
      </w:r>
      <w:r>
        <w:rPr>
          <w:rFonts w:hint="eastAsia" w:hAnsi="宋体"/>
          <w:color w:val="auto"/>
          <w:highlight w:val="none"/>
          <w:lang w:eastAsia="zh-CN"/>
        </w:rPr>
        <w:t>磋商</w:t>
      </w:r>
      <w:r>
        <w:rPr>
          <w:rFonts w:hint="eastAsia" w:hAnsi="宋体"/>
          <w:color w:val="auto"/>
          <w:highlight w:val="none"/>
        </w:rPr>
        <w:t>供应商负责。</w:t>
      </w:r>
    </w:p>
    <w:p w14:paraId="65C01D50">
      <w:pPr>
        <w:pStyle w:val="11"/>
        <w:spacing w:line="400" w:lineRule="exact"/>
        <w:ind w:firstLine="420"/>
        <w:rPr>
          <w:rFonts w:hint="eastAsia" w:hAnsi="宋体"/>
          <w:color w:val="auto"/>
          <w:highlight w:val="none"/>
        </w:rPr>
      </w:pPr>
      <w:r>
        <w:rPr>
          <w:rFonts w:hint="eastAsia" w:hAnsi="宋体"/>
          <w:color w:val="auto"/>
          <w:highlight w:val="none"/>
        </w:rPr>
        <w:t>4.3.2任何要求澄清竞争性磋商文件的</w:t>
      </w:r>
      <w:r>
        <w:rPr>
          <w:rFonts w:hint="eastAsia" w:hAnsi="宋体"/>
          <w:color w:val="auto"/>
          <w:highlight w:val="none"/>
          <w:lang w:eastAsia="zh-CN"/>
        </w:rPr>
        <w:t>磋商</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4.3.3本中心对已发出的磋商文件进行必要澄清或者修改的，在竞争性磋商文件要求提交竞争性磋商响应文件截止时间五日前（不足五日顺延），在中国政府采购网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14:paraId="28C412BB">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二、竞争性磋商响应文件的编制</w:t>
      </w:r>
    </w:p>
    <w:p w14:paraId="26862859">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竞争性磋商响应文件编制基本要求</w:t>
      </w:r>
    </w:p>
    <w:p w14:paraId="11BF1276">
      <w:pPr>
        <w:spacing w:line="400" w:lineRule="exact"/>
        <w:ind w:firstLine="420" w:firstLineChars="200"/>
        <w:rPr>
          <w:rFonts w:hint="eastAsia" w:ascii="宋体" w:hAnsi="宋体"/>
          <w:color w:val="auto"/>
          <w:highlight w:val="none"/>
        </w:rPr>
      </w:pPr>
      <w:r>
        <w:rPr>
          <w:rFonts w:hint="eastAsia" w:ascii="宋体" w:hAnsi="宋体"/>
          <w:color w:val="auto"/>
          <w:highlight w:val="none"/>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5.4竞争性磋商响应文件的组成：竞争性磋商响应文件应分为价格文件和商务技术文件两个部分组成。</w:t>
      </w:r>
    </w:p>
    <w:p w14:paraId="0666A2E5">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ascii="宋体" w:hAnsi="宋体" w:eastAsiaTheme="minorEastAsia" w:cstheme="minorBidi"/>
          <w:color w:val="auto"/>
          <w:kern w:val="2"/>
          <w:sz w:val="21"/>
          <w:szCs w:val="24"/>
          <w:highlight w:val="none"/>
          <w:lang w:val="en-US" w:eastAsia="zh-CN" w:bidi="ar-SA"/>
        </w:rPr>
        <w:t>5.5资格审查要求文件：</w:t>
      </w:r>
    </w:p>
    <w:p w14:paraId="296B8FCF">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53641B6D">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361572C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17EA0F3B">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color w:val="auto"/>
          <w:kern w:val="2"/>
          <w:sz w:val="21"/>
          <w:szCs w:val="24"/>
          <w:highlight w:val="none"/>
          <w:lang w:val="en-US" w:eastAsia="zh-CN" w:bidi="ar-SA"/>
        </w:rPr>
      </w:pPr>
      <w:r>
        <w:rPr>
          <w:rFonts w:hint="eastAsia" w:ascii="宋体" w:hAnsi="宋体" w:eastAsiaTheme="minorEastAsia" w:cstheme="minorBidi"/>
          <w:color w:val="auto"/>
          <w:kern w:val="2"/>
          <w:sz w:val="21"/>
          <w:szCs w:val="24"/>
          <w:highlight w:val="none"/>
          <w:lang w:val="en-US" w:eastAsia="zh-CN" w:bidi="ar-SA"/>
        </w:rPr>
        <w:t>5.6符合性要求文件：</w:t>
      </w:r>
    </w:p>
    <w:p w14:paraId="64B63D0E">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2ECAA6D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23FE20B0">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022E23C1">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25323D6E">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2B505A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0C5F0C1B">
      <w:pPr>
        <w:pStyle w:val="9"/>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）服务方案（包括但不限于服务实施方案、保洁、洗涤服务方案、秩序维护服务方案、人员、物资配置方案、突发事件应急预案等）</w:t>
      </w:r>
      <w:r>
        <w:rPr>
          <w:rFonts w:hint="eastAsia"/>
          <w:b/>
          <w:bCs/>
          <w:color w:val="auto"/>
          <w:sz w:val="21"/>
          <w:szCs w:val="21"/>
          <w:highlight w:val="none"/>
          <w:lang w:eastAsia="zh-CN"/>
        </w:rPr>
        <w:t>（格式自拟，必须提供）</w:t>
      </w:r>
    </w:p>
    <w:p w14:paraId="52551D28">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2</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463060CF">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6B0AF21C">
      <w:pPr>
        <w:pStyle w:val="9"/>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BC10E34">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14:paraId="52DBD706">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三、报价要求</w:t>
      </w:r>
    </w:p>
    <w:p w14:paraId="5270C0DB">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14:paraId="6683E80A">
      <w:pPr>
        <w:pStyle w:val="11"/>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14:paraId="133B3AA9">
      <w:pPr>
        <w:widowControl/>
        <w:spacing w:line="400" w:lineRule="exact"/>
        <w:ind w:firstLine="422" w:firstLineChars="200"/>
        <w:jc w:val="left"/>
        <w:rPr>
          <w:rFonts w:hint="eastAsia" w:ascii="宋体" w:hAnsi="宋体"/>
          <w:b/>
          <w:bCs/>
          <w:color w:val="auto"/>
          <w:highlight w:val="none"/>
        </w:rPr>
      </w:pPr>
      <w:r>
        <w:rPr>
          <w:rFonts w:hint="eastAsia" w:ascii="宋体" w:hAnsi="宋体"/>
          <w:b/>
          <w:bCs/>
          <w:color w:val="auto"/>
          <w:highlight w:val="none"/>
        </w:rPr>
        <w:t>四、竞争性磋商响应文件的上传、提交、修改、撤回和解密</w:t>
      </w:r>
    </w:p>
    <w:p w14:paraId="74E66A34">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8.竞争性磋商响应文件的上传和提交</w:t>
      </w:r>
    </w:p>
    <w:p w14:paraId="512DC18A">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0C1A00FC">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14:paraId="2B96C705">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rPr>
        <w:t>磋商程序及评审方法</w:t>
      </w:r>
    </w:p>
    <w:p w14:paraId="2E06E56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未实质性响应竞争性磋商文件的竞争性磋商响应文件按无效处理。</w:t>
      </w:r>
    </w:p>
    <w:p w14:paraId="13F22B1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（2）不同供应商委托同一单位或者个人办理磋商活动事宜；</w:t>
      </w:r>
    </w:p>
    <w:p w14:paraId="786CAC6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（5）不同供应商的竞争性磋商响应文件相互混装；</w:t>
      </w:r>
    </w:p>
    <w:p w14:paraId="16BCF2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14:paraId="36A6CBE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14:paraId="60E861CD">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（3）磋商</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竞争性磋商响应文件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14:paraId="10B1959A">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w:t>
      </w:r>
      <w:r>
        <w:rPr>
          <w:rFonts w:hint="eastAsia" w:ascii="宋体" w:hAnsi="宋体"/>
          <w:b w:val="0"/>
          <w:bCs w:val="0"/>
          <w:color w:val="auto"/>
          <w:kern w:val="0"/>
          <w:highlight w:val="none"/>
          <w:lang w:eastAsia="zh-CN"/>
        </w:rPr>
        <w:t>采购文件</w:t>
      </w:r>
      <w:r>
        <w:rPr>
          <w:rFonts w:ascii="宋体" w:hAnsi="宋体"/>
          <w:b w:val="0"/>
          <w:bCs w:val="0"/>
          <w:color w:val="auto"/>
          <w:kern w:val="0"/>
          <w:highlight w:val="none"/>
        </w:rPr>
        <w:t>规定的其他无效情形（或出现重大偏差）。</w:t>
      </w:r>
    </w:p>
    <w:p w14:paraId="7B0DD4F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14:paraId="3B4B298B">
      <w:pPr>
        <w:widowControl/>
        <w:spacing w:line="400" w:lineRule="exact"/>
        <w:ind w:firstLine="422"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供应商竞争性磋商响应文件无效的，磋商小组应当告知有关供应商。</w:t>
      </w:r>
    </w:p>
    <w:p w14:paraId="329F4EE3">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12.1</w:t>
      </w:r>
      <w:r>
        <w:rPr>
          <w:rFonts w:hint="eastAsia" w:ascii="宋体" w:hAnsi="宋体"/>
          <w:b/>
          <w:color w:val="auto"/>
          <w:kern w:val="0"/>
          <w:highlight w:val="none"/>
        </w:rPr>
        <w:t>第一轮磋商</w:t>
      </w:r>
    </w:p>
    <w:p w14:paraId="613026BC">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（一）磋商准备</w:t>
      </w:r>
    </w:p>
    <w:p w14:paraId="715029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（二）磋商及评审程序</w:t>
      </w:r>
    </w:p>
    <w:p w14:paraId="685F296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（2）由磋商小组进行资格审查和符合性审查;审查结束后，在线通知无效磋商供应商磋商响应文件无效理由，有效磋商供应商进入下一步磋商程序</w:t>
      </w:r>
      <w:r>
        <w:rPr>
          <w:rFonts w:hint="eastAsia" w:ascii="宋体" w:hAnsi="宋体"/>
          <w:color w:val="auto"/>
          <w:kern w:val="0"/>
          <w:highlight w:val="none"/>
          <w:lang w:eastAsia="zh-CN"/>
        </w:rPr>
        <w:t>；</w:t>
      </w:r>
    </w:p>
    <w:p w14:paraId="687CC7F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（3）磋商小组对各有效供应商进行商务技术评分;系统对各有效供应商的商务技术进行汇总；</w:t>
      </w:r>
    </w:p>
    <w:p w14:paraId="49D6E8FC">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（4）磋商小组所有成员应当集中与单一供应商分别进行在线磋商，并给予所有参加磋商的供应商平等的磋商机会</w:t>
      </w:r>
      <w:r>
        <w:rPr>
          <w:rFonts w:hint="eastAsia" w:ascii="宋体" w:hAnsi="宋体"/>
          <w:color w:val="auto"/>
          <w:kern w:val="0"/>
          <w:highlight w:val="none"/>
          <w:lang w:eastAsia="zh-CN"/>
        </w:rPr>
        <w:t>；</w:t>
      </w:r>
    </w:p>
    <w:p w14:paraId="3DA08C4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最终磋商结束后，磋商小组不得再与供应商进行任何形式的磋商。</w:t>
      </w:r>
    </w:p>
    <w:p w14:paraId="065F503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12.2竞争性磋商文件变动</w:t>
      </w:r>
    </w:p>
    <w:p w14:paraId="4199C7AA">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12.3第二轮磋商</w:t>
      </w:r>
    </w:p>
    <w:p w14:paraId="1DD92AB5">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14:paraId="203A8C4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14:paraId="5AF785CD">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14:paraId="7B03A880">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12.7 可中止电子交易活动的情形</w:t>
      </w:r>
    </w:p>
    <w:p w14:paraId="1FC238D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14:paraId="477A1CCB">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14:paraId="2595376E">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14:paraId="2987EFD2">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14:paraId="59C5B788">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14:paraId="28B9636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终止竞争性磋商采购活动</w:t>
      </w:r>
    </w:p>
    <w:p w14:paraId="0A4FE24F">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51C35A8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六、确定成交供应商办法</w:t>
      </w:r>
    </w:p>
    <w:p w14:paraId="0ACAA639">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13.1 根据以下原则确定成交供应商：</w:t>
      </w:r>
    </w:p>
    <w:p w14:paraId="74E0BEA6">
      <w:pPr>
        <w:pStyle w:val="11"/>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响应文件满足磋商文件全部实质性要求且按评审因素的量化指标评审得分最高的供应商为成交供应商。</w:t>
      </w:r>
    </w:p>
    <w:p w14:paraId="4A98072C">
      <w:pPr>
        <w:pStyle w:val="11"/>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14:paraId="571FD78A">
      <w:pPr>
        <w:pStyle w:val="11"/>
        <w:spacing w:line="400" w:lineRule="exact"/>
        <w:ind w:firstLine="420"/>
        <w:rPr>
          <w:rFonts w:hint="eastAsia" w:hAnsi="宋体"/>
          <w:color w:val="auto"/>
          <w:highlight w:val="none"/>
        </w:rPr>
      </w:pPr>
      <w:r>
        <w:rPr>
          <w:rFonts w:hint="eastAsia" w:hAnsi="宋体"/>
          <w:color w:val="auto"/>
          <w:highlight w:val="none"/>
        </w:rPr>
        <w:t>14.本中心在评审结束后二个工作日内将磋商评审报告送采购人确认，</w:t>
      </w:r>
      <w:r>
        <w:rPr>
          <w:rFonts w:hint="eastAsia" w:hAnsi="宋体"/>
          <w:color w:val="auto"/>
          <w:kern w:val="0"/>
          <w:highlight w:val="none"/>
        </w:rPr>
        <w:t>成交供应商确定后</w:t>
      </w:r>
      <w:r>
        <w:rPr>
          <w:rFonts w:hint="eastAsia" w:hAnsi="宋体"/>
          <w:color w:val="auto"/>
          <w:highlight w:val="none"/>
        </w:rPr>
        <w:t>二个工作日内，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14:paraId="39EA4840">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14:paraId="47F4C481">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color w:val="auto"/>
          <w:highlight w:val="none"/>
          <w:u w:val="single"/>
          <w:lang w:val="en-US" w:eastAsia="zh-CN"/>
        </w:rPr>
        <w:t xml:space="preserve"> 15</w:t>
      </w:r>
      <w:r>
        <w:rPr>
          <w:rFonts w:hint="eastAsia" w:ascii="宋体" w:hAnsi="宋体"/>
          <w:color w:val="auto"/>
          <w:highlight w:val="none"/>
          <w:u w:val="single"/>
        </w:rPr>
        <w:t>日</w:t>
      </w:r>
      <w:r>
        <w:rPr>
          <w:rFonts w:hint="eastAsia" w:ascii="宋体" w:hAnsi="宋体"/>
          <w:color w:val="auto"/>
          <w:highlight w:val="none"/>
        </w:rPr>
        <w:t>内与采购人签订合同。采购人另有要求的，按要求执行。</w:t>
      </w:r>
    </w:p>
    <w:p w14:paraId="7BFAF70C">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，采购人可以根据磋商评审报告确定成交供应商之后排名第一的成交候选供应商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color w:val="auto"/>
          <w:kern w:val="0"/>
          <w:highlight w:val="none"/>
        </w:rPr>
        <w:t>成交供应商拒绝签订政府采购合同的</w:t>
      </w:r>
      <w:r>
        <w:rPr>
          <w:rFonts w:hint="eastAsia" w:ascii="宋体" w:hAnsi="宋体"/>
          <w:b w:val="0"/>
          <w:bCs w:val="0"/>
          <w:color w:val="auto"/>
          <w:highlight w:val="none"/>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9"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竞争性磋商文件</w:t>
      </w:r>
      <w:r>
        <w:rPr>
          <w:rFonts w:hint="eastAsia" w:ascii="宋体" w:hAnsi="Courier New" w:eastAsia="宋体" w:cs="Courier New"/>
          <w:b/>
          <w:color w:val="auto"/>
          <w:kern w:val="2"/>
          <w:sz w:val="21"/>
          <w:szCs w:val="21"/>
          <w:highlight w:val="none"/>
          <w:lang w:val="en-US" w:eastAsia="zh-CN" w:bidi="ar-SA"/>
        </w:rPr>
        <w:t>之日；</w:t>
      </w:r>
    </w:p>
    <w:p w14:paraId="18AA6961">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14:paraId="3C7F7E0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14:paraId="16812F38">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14:paraId="5CB1335E">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14:paraId="58773312">
      <w:pPr>
        <w:pStyle w:val="11"/>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竞争性磋商</w:t>
      </w:r>
      <w:r>
        <w:rPr>
          <w:rFonts w:hint="eastAsia" w:hAnsi="宋体"/>
          <w:color w:val="auto"/>
          <w:spacing w:val="-4"/>
          <w:highlight w:val="none"/>
        </w:rPr>
        <w:t>文件解释权属本中心。</w:t>
      </w:r>
    </w:p>
    <w:p w14:paraId="644C3B42">
      <w:pPr>
        <w:pStyle w:val="11"/>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14:paraId="4DEB0D45">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所有与本竞争性磋商文件有关的函件请按下列通讯地址联系：</w:t>
      </w:r>
    </w:p>
    <w:p w14:paraId="5A557D37">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14:paraId="0A3EAFDA">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532200</w:t>
      </w:r>
    </w:p>
    <w:p w14:paraId="61FA16BF">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14:paraId="685EC7E9">
      <w:pPr>
        <w:pStyle w:val="1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color w:val="auto"/>
          <w:sz w:val="44"/>
          <w:szCs w:val="44"/>
          <w:highlight w:val="none"/>
          <w:lang w:val="en-US" w:eastAsia="zh-CN"/>
        </w:rPr>
      </w:pPr>
    </w:p>
    <w:p w14:paraId="540D790F">
      <w:pPr>
        <w:jc w:val="center"/>
        <w:rPr>
          <w:rFonts w:hint="eastAsia"/>
          <w:b/>
          <w:bCs/>
          <w:color w:val="auto"/>
          <w:sz w:val="44"/>
          <w:szCs w:val="44"/>
          <w:highlight w:val="none"/>
          <w:lang w:val="en-US" w:eastAsia="zh-CN"/>
        </w:rPr>
      </w:pPr>
    </w:p>
    <w:p w14:paraId="74192360">
      <w:pPr>
        <w:jc w:val="center"/>
        <w:rPr>
          <w:rFonts w:hint="eastAsia"/>
          <w:b/>
          <w:bCs/>
          <w:color w:val="auto"/>
          <w:sz w:val="44"/>
          <w:szCs w:val="44"/>
          <w:highlight w:val="none"/>
          <w:lang w:val="en-US" w:eastAsia="zh-CN"/>
        </w:rPr>
      </w:pPr>
    </w:p>
    <w:p w14:paraId="44E37F9D">
      <w:pPr>
        <w:jc w:val="center"/>
        <w:rPr>
          <w:rFonts w:hint="eastAsia"/>
          <w:b/>
          <w:bCs/>
          <w:color w:val="auto"/>
          <w:sz w:val="44"/>
          <w:szCs w:val="44"/>
          <w:highlight w:val="none"/>
          <w:lang w:val="en-US" w:eastAsia="zh-CN"/>
        </w:rPr>
      </w:pPr>
    </w:p>
    <w:p w14:paraId="738073D3">
      <w:pPr>
        <w:jc w:val="center"/>
        <w:rPr>
          <w:rFonts w:hint="eastAsia"/>
          <w:b/>
          <w:bCs/>
          <w:color w:val="auto"/>
          <w:sz w:val="44"/>
          <w:szCs w:val="44"/>
          <w:highlight w:val="none"/>
          <w:lang w:val="en-US" w:eastAsia="zh-CN"/>
        </w:rPr>
      </w:pPr>
    </w:p>
    <w:p w14:paraId="5687B89A">
      <w:pPr>
        <w:jc w:val="center"/>
        <w:rPr>
          <w:rFonts w:hint="eastAsia"/>
          <w:b/>
          <w:bCs/>
          <w:color w:val="auto"/>
          <w:sz w:val="44"/>
          <w:szCs w:val="44"/>
          <w:highlight w:val="none"/>
          <w:lang w:val="en-US" w:eastAsia="zh-CN"/>
        </w:rPr>
      </w:pPr>
    </w:p>
    <w:p w14:paraId="3AE41C64">
      <w:pPr>
        <w:jc w:val="center"/>
        <w:rPr>
          <w:rFonts w:hint="eastAsia"/>
          <w:b/>
          <w:bCs/>
          <w:color w:val="auto"/>
          <w:sz w:val="44"/>
          <w:szCs w:val="44"/>
          <w:highlight w:val="none"/>
          <w:lang w:val="en-US" w:eastAsia="zh-CN"/>
        </w:rPr>
      </w:pPr>
    </w:p>
    <w:p w14:paraId="79374D3F">
      <w:pPr>
        <w:jc w:val="center"/>
        <w:rPr>
          <w:rFonts w:hint="eastAsia"/>
          <w:b/>
          <w:bCs/>
          <w:color w:val="auto"/>
          <w:sz w:val="44"/>
          <w:szCs w:val="44"/>
          <w:highlight w:val="none"/>
          <w:lang w:val="en-US" w:eastAsia="zh-CN"/>
        </w:rPr>
      </w:pPr>
    </w:p>
    <w:p w14:paraId="45A1B0C1">
      <w:pPr>
        <w:jc w:val="center"/>
        <w:rPr>
          <w:rFonts w:hint="eastAsia"/>
          <w:b/>
          <w:bCs/>
          <w:color w:val="auto"/>
          <w:sz w:val="44"/>
          <w:szCs w:val="44"/>
          <w:highlight w:val="none"/>
          <w:lang w:val="en-US" w:eastAsia="zh-CN"/>
        </w:rPr>
      </w:pPr>
    </w:p>
    <w:p w14:paraId="24DA3127">
      <w:pPr>
        <w:jc w:val="center"/>
        <w:rPr>
          <w:rFonts w:hint="eastAsia"/>
          <w:b/>
          <w:bCs/>
          <w:color w:val="auto"/>
          <w:sz w:val="44"/>
          <w:szCs w:val="44"/>
          <w:highlight w:val="none"/>
          <w:lang w:val="en-US" w:eastAsia="zh-CN"/>
        </w:rPr>
      </w:pPr>
    </w:p>
    <w:p w14:paraId="2BBC5108">
      <w:pPr>
        <w:jc w:val="center"/>
        <w:rPr>
          <w:rFonts w:hint="eastAsia"/>
          <w:b/>
          <w:bCs/>
          <w:color w:val="auto"/>
          <w:sz w:val="44"/>
          <w:szCs w:val="44"/>
          <w:highlight w:val="none"/>
          <w:lang w:val="en-US" w:eastAsia="zh-CN"/>
        </w:rPr>
      </w:pPr>
    </w:p>
    <w:p w14:paraId="527E7D60">
      <w:pPr>
        <w:pStyle w:val="3"/>
        <w:numPr>
          <w:ilvl w:val="0"/>
          <w:numId w:val="0"/>
        </w:numPr>
        <w:bidi w:val="0"/>
        <w:jc w:val="center"/>
        <w:rPr>
          <w:rFonts w:hint="eastAsia"/>
          <w:color w:val="auto"/>
          <w:highlight w:val="none"/>
          <w:lang w:val="en-US" w:eastAsia="zh-CN"/>
        </w:rPr>
      </w:pPr>
      <w:bookmarkStart w:id="10"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0"/>
    </w:p>
    <w:p w14:paraId="0460AC51">
      <w:pPr>
        <w:pStyle w:val="15"/>
        <w:widowControl w:val="0"/>
        <w:numPr>
          <w:ilvl w:val="0"/>
          <w:numId w:val="0"/>
        </w:numPr>
        <w:jc w:val="both"/>
        <w:rPr>
          <w:rFonts w:hint="eastAsia"/>
          <w:color w:val="auto"/>
          <w:highlight w:val="none"/>
          <w:lang w:val="en-US" w:eastAsia="zh-CN"/>
        </w:rPr>
      </w:pPr>
    </w:p>
    <w:p w14:paraId="50B7D897">
      <w:pPr>
        <w:pStyle w:val="15"/>
        <w:widowControl w:val="0"/>
        <w:numPr>
          <w:ilvl w:val="0"/>
          <w:numId w:val="0"/>
        </w:numPr>
        <w:jc w:val="both"/>
        <w:rPr>
          <w:rFonts w:hint="eastAsia"/>
          <w:color w:val="auto"/>
          <w:highlight w:val="none"/>
          <w:lang w:val="en-US" w:eastAsia="zh-CN"/>
        </w:rPr>
      </w:pPr>
    </w:p>
    <w:p w14:paraId="7326E1B6">
      <w:pPr>
        <w:pStyle w:val="15"/>
        <w:widowControl w:val="0"/>
        <w:numPr>
          <w:ilvl w:val="0"/>
          <w:numId w:val="0"/>
        </w:numPr>
        <w:jc w:val="both"/>
        <w:rPr>
          <w:rFonts w:hint="eastAsia"/>
          <w:color w:val="auto"/>
          <w:highlight w:val="none"/>
          <w:lang w:val="en-US" w:eastAsia="zh-CN"/>
        </w:rPr>
      </w:pPr>
    </w:p>
    <w:p w14:paraId="372B4231">
      <w:pPr>
        <w:pStyle w:val="15"/>
        <w:widowControl w:val="0"/>
        <w:numPr>
          <w:ilvl w:val="0"/>
          <w:numId w:val="0"/>
        </w:numPr>
        <w:jc w:val="both"/>
        <w:rPr>
          <w:rFonts w:hint="eastAsia"/>
          <w:color w:val="auto"/>
          <w:highlight w:val="none"/>
          <w:lang w:val="en-US" w:eastAsia="zh-CN"/>
        </w:rPr>
      </w:pPr>
    </w:p>
    <w:p w14:paraId="65DF075A">
      <w:pPr>
        <w:pStyle w:val="15"/>
        <w:widowControl w:val="0"/>
        <w:numPr>
          <w:ilvl w:val="0"/>
          <w:numId w:val="0"/>
        </w:numPr>
        <w:jc w:val="both"/>
        <w:rPr>
          <w:rFonts w:hint="eastAsia"/>
          <w:color w:val="auto"/>
          <w:highlight w:val="none"/>
          <w:lang w:val="en-US" w:eastAsia="zh-CN"/>
        </w:rPr>
      </w:pPr>
    </w:p>
    <w:p w14:paraId="4536EAD0">
      <w:pPr>
        <w:pStyle w:val="15"/>
        <w:widowControl w:val="0"/>
        <w:numPr>
          <w:ilvl w:val="0"/>
          <w:numId w:val="0"/>
        </w:numPr>
        <w:jc w:val="both"/>
        <w:rPr>
          <w:rFonts w:hint="eastAsia"/>
          <w:color w:val="auto"/>
          <w:highlight w:val="none"/>
          <w:lang w:val="en-US" w:eastAsia="zh-CN"/>
        </w:rPr>
      </w:pPr>
    </w:p>
    <w:p w14:paraId="70597E83">
      <w:pPr>
        <w:pStyle w:val="15"/>
        <w:widowControl w:val="0"/>
        <w:numPr>
          <w:ilvl w:val="0"/>
          <w:numId w:val="0"/>
        </w:numPr>
        <w:jc w:val="both"/>
        <w:rPr>
          <w:rFonts w:hint="eastAsia"/>
          <w:color w:val="auto"/>
          <w:highlight w:val="none"/>
          <w:lang w:val="en-US" w:eastAsia="zh-CN"/>
        </w:rPr>
      </w:pPr>
    </w:p>
    <w:p w14:paraId="5D48B1D8">
      <w:pPr>
        <w:pStyle w:val="15"/>
        <w:widowControl w:val="0"/>
        <w:numPr>
          <w:ilvl w:val="0"/>
          <w:numId w:val="0"/>
        </w:numPr>
        <w:jc w:val="both"/>
        <w:rPr>
          <w:rFonts w:hint="eastAsia"/>
          <w:color w:val="auto"/>
          <w:highlight w:val="none"/>
          <w:lang w:val="en-US" w:eastAsia="zh-CN"/>
        </w:rPr>
      </w:pPr>
    </w:p>
    <w:p w14:paraId="01CADF0B">
      <w:pPr>
        <w:pStyle w:val="15"/>
        <w:widowControl w:val="0"/>
        <w:numPr>
          <w:ilvl w:val="0"/>
          <w:numId w:val="0"/>
        </w:numPr>
        <w:jc w:val="both"/>
        <w:rPr>
          <w:rFonts w:hint="eastAsia"/>
          <w:color w:val="auto"/>
          <w:highlight w:val="none"/>
          <w:lang w:val="en-US" w:eastAsia="zh-CN"/>
        </w:rPr>
      </w:pPr>
    </w:p>
    <w:p w14:paraId="3DC18CEF">
      <w:pPr>
        <w:pStyle w:val="15"/>
        <w:widowControl w:val="0"/>
        <w:numPr>
          <w:ilvl w:val="0"/>
          <w:numId w:val="0"/>
        </w:numPr>
        <w:jc w:val="both"/>
        <w:rPr>
          <w:rFonts w:hint="eastAsia"/>
          <w:color w:val="auto"/>
          <w:highlight w:val="none"/>
          <w:lang w:val="en-US" w:eastAsia="zh-CN"/>
        </w:rPr>
      </w:pPr>
    </w:p>
    <w:p w14:paraId="5201F724">
      <w:pPr>
        <w:pStyle w:val="15"/>
        <w:widowControl w:val="0"/>
        <w:numPr>
          <w:ilvl w:val="0"/>
          <w:numId w:val="0"/>
        </w:numPr>
        <w:jc w:val="both"/>
        <w:rPr>
          <w:rFonts w:hint="eastAsia"/>
          <w:color w:val="auto"/>
          <w:highlight w:val="none"/>
          <w:lang w:val="en-US" w:eastAsia="zh-CN"/>
        </w:rPr>
      </w:pPr>
    </w:p>
    <w:p w14:paraId="280968ED">
      <w:pPr>
        <w:pStyle w:val="15"/>
        <w:widowControl w:val="0"/>
        <w:numPr>
          <w:ilvl w:val="0"/>
          <w:numId w:val="0"/>
        </w:numPr>
        <w:jc w:val="both"/>
        <w:rPr>
          <w:rFonts w:hint="eastAsia"/>
          <w:color w:val="auto"/>
          <w:highlight w:val="none"/>
          <w:lang w:val="en-US" w:eastAsia="zh-CN"/>
        </w:rPr>
      </w:pPr>
    </w:p>
    <w:p w14:paraId="6BBE13ED">
      <w:pPr>
        <w:pStyle w:val="15"/>
        <w:widowControl w:val="0"/>
        <w:numPr>
          <w:ilvl w:val="0"/>
          <w:numId w:val="0"/>
        </w:numPr>
        <w:jc w:val="both"/>
        <w:rPr>
          <w:rFonts w:hint="eastAsia"/>
          <w:color w:val="auto"/>
          <w:highlight w:val="none"/>
          <w:lang w:val="en-US" w:eastAsia="zh-CN"/>
        </w:rPr>
      </w:pPr>
    </w:p>
    <w:p w14:paraId="1385556D">
      <w:pPr>
        <w:pStyle w:val="15"/>
        <w:widowControl w:val="0"/>
        <w:numPr>
          <w:ilvl w:val="0"/>
          <w:numId w:val="0"/>
        </w:numPr>
        <w:jc w:val="both"/>
        <w:rPr>
          <w:rFonts w:hint="eastAsia"/>
          <w:color w:val="auto"/>
          <w:highlight w:val="none"/>
          <w:lang w:val="en-US" w:eastAsia="zh-CN"/>
        </w:rPr>
      </w:pPr>
    </w:p>
    <w:p w14:paraId="6D969865">
      <w:pPr>
        <w:pStyle w:val="15"/>
        <w:widowControl w:val="0"/>
        <w:numPr>
          <w:ilvl w:val="0"/>
          <w:numId w:val="0"/>
        </w:numPr>
        <w:jc w:val="both"/>
        <w:rPr>
          <w:rFonts w:hint="eastAsia"/>
          <w:color w:val="auto"/>
          <w:highlight w:val="none"/>
          <w:lang w:val="en-US" w:eastAsia="zh-CN"/>
        </w:rPr>
      </w:pPr>
    </w:p>
    <w:p w14:paraId="05490B33">
      <w:pPr>
        <w:pStyle w:val="15"/>
        <w:widowControl w:val="0"/>
        <w:numPr>
          <w:ilvl w:val="0"/>
          <w:numId w:val="0"/>
        </w:numPr>
        <w:jc w:val="both"/>
        <w:rPr>
          <w:rFonts w:hint="eastAsia"/>
          <w:color w:val="auto"/>
          <w:highlight w:val="none"/>
          <w:lang w:val="en-US" w:eastAsia="zh-CN"/>
        </w:rPr>
      </w:pPr>
    </w:p>
    <w:p w14:paraId="4F35B617">
      <w:pPr>
        <w:pStyle w:val="15"/>
        <w:widowControl w:val="0"/>
        <w:numPr>
          <w:ilvl w:val="0"/>
          <w:numId w:val="0"/>
        </w:numPr>
        <w:jc w:val="both"/>
        <w:rPr>
          <w:rFonts w:hint="eastAsia"/>
          <w:color w:val="auto"/>
          <w:highlight w:val="none"/>
          <w:lang w:val="en-US" w:eastAsia="zh-CN"/>
        </w:rPr>
      </w:pPr>
    </w:p>
    <w:p w14:paraId="3DE2D508">
      <w:pPr>
        <w:pStyle w:val="15"/>
        <w:widowControl w:val="0"/>
        <w:numPr>
          <w:ilvl w:val="0"/>
          <w:numId w:val="0"/>
        </w:numPr>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采购需求</w:t>
      </w:r>
    </w:p>
    <w:p w14:paraId="20B92A81">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DF82F34">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”符号的为</w:t>
      </w:r>
      <w:r>
        <w:rPr>
          <w:rFonts w:hint="eastAsia" w:ascii="宋体" w:hAnsi="宋体" w:eastAsia="宋体" w:cs="宋体"/>
          <w:color w:val="auto"/>
          <w:sz w:val="21"/>
          <w:szCs w:val="21"/>
          <w:highlight w:val="none"/>
        </w:rPr>
        <w:t>“实质性要求”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本项目采购标的对应的中小企业划分标准所属是</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物业管理</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行业。</w:t>
      </w:r>
    </w:p>
    <w:p w14:paraId="3A141A3B">
      <w:pPr>
        <w:pStyle w:val="9"/>
        <w:rPr>
          <w:rFonts w:hint="eastAsia" w:ascii="宋体" w:hAnsi="宋体" w:eastAsia="宋体" w:cs="宋体"/>
          <w:color w:val="auto"/>
          <w:highlight w:val="none"/>
        </w:rPr>
      </w:pPr>
    </w:p>
    <w:tbl>
      <w:tblPr>
        <w:tblStyle w:val="21"/>
        <w:tblW w:w="54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90"/>
        <w:gridCol w:w="1222"/>
        <w:gridCol w:w="928"/>
        <w:gridCol w:w="7906"/>
      </w:tblGrid>
      <w:tr w14:paraId="15FF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277" w:type="pct"/>
            <w:noWrap w:val="0"/>
            <w:vAlign w:val="center"/>
          </w:tcPr>
          <w:p w14:paraId="0F3FA3F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573" w:type="pct"/>
            <w:noWrap w:val="0"/>
            <w:vAlign w:val="center"/>
          </w:tcPr>
          <w:p w14:paraId="5529F11F">
            <w:pPr>
              <w:tabs>
                <w:tab w:val="left" w:pos="180"/>
                <w:tab w:val="left" w:pos="1620"/>
              </w:tabs>
              <w:spacing w:line="360" w:lineRule="auto"/>
              <w:jc w:val="center"/>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lang w:eastAsia="zh-CN"/>
              </w:rPr>
              <w:t>服务名称</w:t>
            </w:r>
          </w:p>
        </w:tc>
        <w:tc>
          <w:tcPr>
            <w:tcW w:w="436" w:type="pct"/>
            <w:noWrap w:val="0"/>
            <w:vAlign w:val="center"/>
          </w:tcPr>
          <w:p w14:paraId="1F843DD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3711" w:type="pct"/>
            <w:noWrap w:val="0"/>
            <w:vAlign w:val="center"/>
          </w:tcPr>
          <w:p w14:paraId="73D7F528">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14B41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5000" w:type="pct"/>
            <w:gridSpan w:val="4"/>
            <w:noWrap w:val="0"/>
            <w:vAlign w:val="center"/>
          </w:tcPr>
          <w:p w14:paraId="7642EF23">
            <w:pPr>
              <w:tabs>
                <w:tab w:val="left" w:pos="180"/>
                <w:tab w:val="left" w:pos="1620"/>
              </w:tabs>
              <w:spacing w:line="360" w:lineRule="auto"/>
              <w:jc w:val="left"/>
              <w:rPr>
                <w:rFonts w:hint="eastAsia" w:ascii="宋体" w:hAnsi="宋体" w:cs="宋体" w:eastAsiaTheme="minorEastAsia"/>
                <w:color w:val="auto"/>
                <w:szCs w:val="21"/>
                <w:highlight w:val="none"/>
                <w:lang w:eastAsia="zh-CN"/>
              </w:rPr>
            </w:pPr>
            <w:r>
              <w:rPr>
                <w:rFonts w:hint="eastAsia" w:ascii="宋体" w:hAnsi="宋体" w:cs="宋体"/>
                <w:color w:val="auto"/>
                <w:sz w:val="24"/>
                <w:highlight w:val="none"/>
              </w:rPr>
              <w:t>▲</w:t>
            </w:r>
            <w:r>
              <w:rPr>
                <w:rFonts w:hint="eastAsia" w:ascii="宋体" w:hAnsi="宋体" w:cs="宋体"/>
                <w:b/>
                <w:bCs/>
                <w:color w:val="auto"/>
                <w:szCs w:val="21"/>
                <w:highlight w:val="none"/>
                <w:lang w:eastAsia="zh-CN"/>
              </w:rPr>
              <w:t>一、项目要求及技术服务要求</w:t>
            </w:r>
          </w:p>
        </w:tc>
      </w:tr>
      <w:tr w14:paraId="3077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77" w:type="pct"/>
            <w:noWrap w:val="0"/>
            <w:vAlign w:val="center"/>
          </w:tcPr>
          <w:p w14:paraId="0D82245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AF696F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607B0F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28E542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485801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1763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334CDC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AAA26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2839B3D">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C7E3C8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3F1F977">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573" w:type="pct"/>
            <w:noWrap w:val="0"/>
            <w:vAlign w:val="center"/>
          </w:tcPr>
          <w:p w14:paraId="64F11E6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ABD7B6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8F642F9">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D4CB5B2">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2F9DF6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C428B74">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79EBD6C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F24EC6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27F417BA">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0B8BAA0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p>
          <w:p w14:paraId="7802690B">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凭祥市人民医院物业管理服务采购项目</w:t>
            </w:r>
          </w:p>
        </w:tc>
        <w:tc>
          <w:tcPr>
            <w:tcW w:w="436" w:type="pct"/>
            <w:noWrap w:val="0"/>
            <w:vAlign w:val="center"/>
          </w:tcPr>
          <w:p w14:paraId="23106F70">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1DF9693C">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3ED433C3">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A2DAF55">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669F7C41">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59D58BE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3F11B86">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26726C2E">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EE16EBF">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0E0A6A48">
            <w:pPr>
              <w:tabs>
                <w:tab w:val="left" w:pos="180"/>
                <w:tab w:val="left" w:pos="1620"/>
              </w:tabs>
              <w:spacing w:line="360" w:lineRule="auto"/>
              <w:jc w:val="center"/>
              <w:rPr>
                <w:rFonts w:hint="eastAsia" w:asciiTheme="minorEastAsia" w:hAnsiTheme="minorEastAsia" w:eastAsiaTheme="minorEastAsia" w:cstheme="minorEastAsia"/>
                <w:color w:val="auto"/>
                <w:sz w:val="21"/>
                <w:szCs w:val="21"/>
                <w:highlight w:val="none"/>
              </w:rPr>
            </w:pPr>
          </w:p>
          <w:p w14:paraId="422EA2BC">
            <w:pPr>
              <w:tabs>
                <w:tab w:val="left" w:pos="180"/>
                <w:tab w:val="left" w:pos="1620"/>
              </w:tabs>
              <w:spacing w:line="360" w:lineRule="auto"/>
              <w:ind w:firstLine="210" w:firstLineChars="1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val="en-US" w:eastAsia="zh-CN"/>
              </w:rPr>
              <w:t>项</w:t>
            </w:r>
          </w:p>
        </w:tc>
        <w:tc>
          <w:tcPr>
            <w:tcW w:w="3711" w:type="pct"/>
            <w:shd w:val="clear" w:color="auto" w:fill="auto"/>
            <w:noWrap w:val="0"/>
            <w:vAlign w:val="top"/>
          </w:tcPr>
          <w:p w14:paraId="30B82901">
            <w:pPr>
              <w:pStyle w:val="11"/>
              <w:rPr>
                <w:rFonts w:hAnsi="宋体"/>
                <w:b/>
                <w:highlight w:val="none"/>
              </w:rPr>
            </w:pPr>
            <w:r>
              <w:rPr>
                <w:rFonts w:hint="eastAsia" w:hAnsi="宋体"/>
                <w:b/>
                <w:highlight w:val="none"/>
              </w:rPr>
              <w:t>一、项目基本概况</w:t>
            </w:r>
          </w:p>
          <w:p w14:paraId="103A0CE0">
            <w:pPr>
              <w:pStyle w:val="11"/>
              <w:rPr>
                <w:rFonts w:hAnsi="宋体"/>
                <w:bCs/>
                <w:highlight w:val="none"/>
              </w:rPr>
            </w:pPr>
            <w:r>
              <w:rPr>
                <w:rFonts w:hint="eastAsia" w:hAnsi="宋体"/>
                <w:bCs/>
                <w:highlight w:val="none"/>
              </w:rPr>
              <w:t>1、采购人：凭祥市人民医院。</w:t>
            </w:r>
          </w:p>
          <w:p w14:paraId="7B4E15B7">
            <w:pPr>
              <w:pStyle w:val="11"/>
              <w:rPr>
                <w:rFonts w:hAnsi="宋体"/>
                <w:bCs/>
                <w:highlight w:val="none"/>
              </w:rPr>
            </w:pPr>
            <w:r>
              <w:rPr>
                <w:rFonts w:hint="eastAsia" w:hAnsi="宋体"/>
                <w:bCs/>
                <w:highlight w:val="none"/>
              </w:rPr>
              <w:t>2、物业名称：凭祥市人民医院物业管理服务采购。</w:t>
            </w:r>
          </w:p>
          <w:p w14:paraId="330CD1E4">
            <w:pPr>
              <w:pStyle w:val="11"/>
              <w:rPr>
                <w:rFonts w:hAnsi="宋体"/>
                <w:bCs/>
                <w:highlight w:val="none"/>
              </w:rPr>
            </w:pPr>
            <w:r>
              <w:rPr>
                <w:rFonts w:hint="eastAsia" w:hAnsi="宋体"/>
                <w:bCs/>
                <w:highlight w:val="none"/>
              </w:rPr>
              <w:t>3、采购内容：凭祥市人民医院保洁、安保、洗涤服务。</w:t>
            </w:r>
          </w:p>
          <w:p w14:paraId="0E557728">
            <w:pPr>
              <w:pStyle w:val="11"/>
              <w:rPr>
                <w:rFonts w:hint="eastAsia" w:hAnsi="宋体"/>
                <w:bCs/>
                <w:highlight w:val="none"/>
              </w:rPr>
            </w:pPr>
            <w:r>
              <w:rPr>
                <w:rFonts w:hint="eastAsia" w:hAnsi="宋体"/>
                <w:bCs/>
                <w:highlight w:val="none"/>
              </w:rPr>
              <w:t>4、物业概况：凭祥市人民医院占地面积30151.20㎡，业务服务总面积为33715.50㎡。其中业务用房建筑面积31911.46㎡，内科楼总建筑面积12010㎡，内科楼1-9层建筑面积9559㎡、地下室建筑面积2451㎡</w:t>
            </w:r>
            <w:r>
              <w:rPr>
                <w:rFonts w:hint="eastAsia"/>
                <w:bCs/>
                <w:highlight w:val="none"/>
                <w:lang w:eastAsia="zh-CN"/>
              </w:rPr>
              <w:t>；</w:t>
            </w:r>
            <w:r>
              <w:rPr>
                <w:rFonts w:hint="eastAsia" w:hAnsi="宋体"/>
                <w:bCs/>
                <w:highlight w:val="none"/>
              </w:rPr>
              <w:t>综合楼建筑面积：8091.88</w:t>
            </w:r>
            <w:r>
              <w:rPr>
                <w:rFonts w:hint="eastAsia"/>
                <w:bCs/>
                <w:highlight w:val="none"/>
                <w:lang w:eastAsia="zh-CN"/>
              </w:rPr>
              <w:t>，</w:t>
            </w:r>
            <w:r>
              <w:rPr>
                <w:rFonts w:hint="eastAsia" w:hAnsi="宋体"/>
                <w:bCs/>
                <w:highlight w:val="none"/>
              </w:rPr>
              <w:t>1-5层建筑面积各：1565.77㎡，顶楼：263.03㎡。</w:t>
            </w:r>
          </w:p>
          <w:p w14:paraId="46F18D6C">
            <w:pPr>
              <w:pStyle w:val="11"/>
              <w:rPr>
                <w:rFonts w:hint="eastAsia"/>
                <w:highlight w:val="none"/>
              </w:rPr>
            </w:pPr>
            <w:r>
              <w:rPr>
                <w:rFonts w:hint="eastAsia" w:hAnsi="宋体"/>
                <w:highlight w:val="none"/>
              </w:rPr>
              <w:t>5、应急救治中心一期：</w:t>
            </w:r>
            <w:r>
              <w:rPr>
                <w:rFonts w:hint="eastAsia"/>
                <w:highlight w:val="none"/>
              </w:rPr>
              <w:t>占地面积22907.78㎡，总建筑面积：17499.59㎡，其中包含：医疗综合楼地上六层建筑面积：13581.94㎡、后勤综合楼地上地四层建筑面积：2758.63㎡、变电所建筑面积：356.42㎡、车辆洗消间建筑面积：153.60，水泵房建筑面积：499.20㎡、垃圾暂存间、污水处理等。</w:t>
            </w:r>
          </w:p>
          <w:p w14:paraId="325D04DA">
            <w:pPr>
              <w:pStyle w:val="11"/>
              <w:rPr>
                <w:rFonts w:hAnsi="宋体"/>
                <w:b/>
                <w:highlight w:val="none"/>
              </w:rPr>
            </w:pPr>
            <w:r>
              <w:rPr>
                <w:rFonts w:hint="eastAsia" w:hAnsi="宋体"/>
                <w:b/>
                <w:highlight w:val="none"/>
              </w:rPr>
              <w:t>二、医疗区保洁服务</w:t>
            </w:r>
          </w:p>
          <w:p w14:paraId="52E04B95">
            <w:pPr>
              <w:pStyle w:val="11"/>
              <w:rPr>
                <w:rFonts w:hAnsi="宋体"/>
                <w:bCs/>
                <w:highlight w:val="none"/>
              </w:rPr>
            </w:pPr>
            <w:r>
              <w:rPr>
                <w:rFonts w:hint="eastAsia" w:hAnsi="宋体"/>
                <w:bCs/>
                <w:highlight w:val="none"/>
              </w:rPr>
              <w:t>1、保洁服务范围</w:t>
            </w:r>
          </w:p>
          <w:p w14:paraId="5F9E4214">
            <w:pPr>
              <w:pStyle w:val="11"/>
              <w:rPr>
                <w:rFonts w:hAnsi="宋体"/>
                <w:bCs/>
                <w:highlight w:val="none"/>
              </w:rPr>
            </w:pPr>
            <w:r>
              <w:rPr>
                <w:rFonts w:hint="eastAsia" w:hAnsi="宋体"/>
                <w:bCs/>
                <w:highlight w:val="none"/>
              </w:rPr>
              <w:t>1.1  综合门诊大楼1—6楼（包括楼顶及天面）。</w:t>
            </w:r>
          </w:p>
          <w:p w14:paraId="5058DD04">
            <w:pPr>
              <w:pStyle w:val="11"/>
              <w:rPr>
                <w:rFonts w:hAnsi="宋体"/>
                <w:bCs/>
                <w:highlight w:val="none"/>
              </w:rPr>
            </w:pPr>
            <w:r>
              <w:rPr>
                <w:rFonts w:hint="eastAsia" w:hAnsi="宋体"/>
                <w:bCs/>
                <w:highlight w:val="none"/>
              </w:rPr>
              <w:t>1.2  外科住院大楼1-6楼（包括楼顶及天面）。</w:t>
            </w:r>
          </w:p>
          <w:p w14:paraId="4CDB366E">
            <w:pPr>
              <w:pStyle w:val="11"/>
              <w:rPr>
                <w:rFonts w:hAnsi="宋体"/>
                <w:bCs/>
                <w:highlight w:val="none"/>
              </w:rPr>
            </w:pPr>
            <w:r>
              <w:rPr>
                <w:rFonts w:hint="eastAsia" w:hAnsi="宋体"/>
                <w:bCs/>
                <w:highlight w:val="none"/>
              </w:rPr>
              <w:t>1.3  医疗废物暂存间、门诊附属楼。</w:t>
            </w:r>
          </w:p>
          <w:p w14:paraId="0DF08D0C">
            <w:pPr>
              <w:pStyle w:val="11"/>
              <w:rPr>
                <w:rFonts w:hAnsi="宋体"/>
                <w:bCs/>
                <w:highlight w:val="none"/>
              </w:rPr>
            </w:pPr>
            <w:r>
              <w:rPr>
                <w:rFonts w:hint="eastAsia" w:hAnsi="宋体"/>
                <w:bCs/>
                <w:highlight w:val="none"/>
              </w:rPr>
              <w:t>1.4  一个停车棚及医院内环境。</w:t>
            </w:r>
          </w:p>
          <w:p w14:paraId="43323F8D">
            <w:pPr>
              <w:pStyle w:val="11"/>
              <w:rPr>
                <w:rFonts w:hAnsi="宋体"/>
                <w:bCs/>
                <w:highlight w:val="none"/>
              </w:rPr>
            </w:pPr>
            <w:r>
              <w:rPr>
                <w:rFonts w:hint="eastAsia" w:hAnsi="宋体"/>
                <w:bCs/>
                <w:highlight w:val="none"/>
              </w:rPr>
              <w:t>1.5  宿舍区：球场、单身职工宿舍、营养食堂。</w:t>
            </w:r>
          </w:p>
          <w:p w14:paraId="341E340B">
            <w:pPr>
              <w:pStyle w:val="11"/>
              <w:rPr>
                <w:rFonts w:hAnsi="宋体"/>
                <w:bCs/>
                <w:highlight w:val="none"/>
              </w:rPr>
            </w:pPr>
            <w:r>
              <w:rPr>
                <w:rFonts w:hint="eastAsia" w:hAnsi="宋体"/>
                <w:bCs/>
                <w:highlight w:val="none"/>
              </w:rPr>
              <w:t>1.6  洗衣房（之前办公区）。</w:t>
            </w:r>
          </w:p>
          <w:p w14:paraId="7085303A">
            <w:pPr>
              <w:pStyle w:val="11"/>
              <w:rPr>
                <w:rFonts w:hAnsi="宋体"/>
                <w:bCs/>
                <w:highlight w:val="none"/>
              </w:rPr>
            </w:pPr>
            <w:r>
              <w:rPr>
                <w:rFonts w:hint="eastAsia" w:hAnsi="宋体"/>
                <w:bCs/>
                <w:highlight w:val="none"/>
              </w:rPr>
              <w:t>1.7  警务室。</w:t>
            </w:r>
          </w:p>
          <w:p w14:paraId="35563C9E">
            <w:pPr>
              <w:pStyle w:val="11"/>
              <w:rPr>
                <w:rFonts w:hAnsi="宋体"/>
                <w:bCs/>
                <w:highlight w:val="none"/>
              </w:rPr>
            </w:pPr>
            <w:r>
              <w:rPr>
                <w:rFonts w:hint="eastAsia" w:hAnsi="宋体"/>
                <w:bCs/>
                <w:highlight w:val="none"/>
              </w:rPr>
              <w:t>1.8 发热门诊、附属楼。</w:t>
            </w:r>
          </w:p>
          <w:p w14:paraId="57DED303">
            <w:pPr>
              <w:pStyle w:val="11"/>
              <w:rPr>
                <w:rFonts w:hAnsi="宋体"/>
                <w:bCs/>
                <w:highlight w:val="none"/>
              </w:rPr>
            </w:pPr>
            <w:r>
              <w:rPr>
                <w:rFonts w:hint="eastAsia" w:hAnsi="宋体"/>
                <w:bCs/>
                <w:highlight w:val="none"/>
              </w:rPr>
              <w:t>1.9  内科1-9楼及地下室。</w:t>
            </w:r>
          </w:p>
          <w:p w14:paraId="79871D4F">
            <w:pPr>
              <w:pStyle w:val="11"/>
              <w:rPr>
                <w:rFonts w:hAnsi="宋体"/>
                <w:bCs/>
                <w:highlight w:val="none"/>
              </w:rPr>
            </w:pPr>
            <w:r>
              <w:rPr>
                <w:rFonts w:hint="eastAsia" w:hAnsi="宋体"/>
                <w:bCs/>
                <w:highlight w:val="none"/>
              </w:rPr>
              <w:t>1.10 综合楼1-5楼。</w:t>
            </w:r>
          </w:p>
          <w:p w14:paraId="54C5D3FB">
            <w:pPr>
              <w:pStyle w:val="11"/>
              <w:rPr>
                <w:rFonts w:hint="eastAsia" w:hAnsi="宋体"/>
                <w:bCs/>
                <w:highlight w:val="none"/>
              </w:rPr>
            </w:pPr>
            <w:r>
              <w:rPr>
                <w:rFonts w:hint="eastAsia" w:hAnsi="宋体"/>
                <w:bCs/>
                <w:highlight w:val="none"/>
              </w:rPr>
              <w:t>1.11其他：整个医疗区建筑外所有场地，包括道路、停车场、公共场地、草坪、内外排水沟、楼道。各楼层外墙，院内公共卫生间和各卫生死角以及院内楼顶天面及院内搬运物资，科室物资领取、灯笼工作。</w:t>
            </w:r>
          </w:p>
          <w:p w14:paraId="4784F697">
            <w:pPr>
              <w:pStyle w:val="11"/>
              <w:rPr>
                <w:rFonts w:hAnsi="宋体"/>
                <w:bCs/>
                <w:highlight w:val="none"/>
              </w:rPr>
            </w:pPr>
            <w:r>
              <w:rPr>
                <w:rFonts w:hint="eastAsia"/>
                <w:highlight w:val="none"/>
              </w:rPr>
              <w:t>1.12 应急救治中心1-2楼日常保洁，应急中心3-6楼、楼顶基础保洁，后勤楼基础保洁。</w:t>
            </w:r>
          </w:p>
          <w:p w14:paraId="6C9F81F2">
            <w:pPr>
              <w:pStyle w:val="11"/>
              <w:rPr>
                <w:rFonts w:hAnsi="宋体"/>
                <w:bCs/>
                <w:highlight w:val="none"/>
              </w:rPr>
            </w:pPr>
            <w:r>
              <w:rPr>
                <w:rFonts w:hint="eastAsia" w:hAnsi="宋体"/>
                <w:bCs/>
                <w:highlight w:val="none"/>
              </w:rPr>
              <w:t xml:space="preserve">2、服务事项的内容及要求：  </w:t>
            </w:r>
          </w:p>
          <w:p w14:paraId="3AD13EE7">
            <w:pPr>
              <w:pStyle w:val="11"/>
              <w:rPr>
                <w:rFonts w:hAnsi="宋体"/>
                <w:bCs/>
                <w:highlight w:val="none"/>
              </w:rPr>
            </w:pPr>
            <w:r>
              <w:rPr>
                <w:rFonts w:hint="eastAsia" w:hAnsi="宋体"/>
                <w:bCs/>
                <w:highlight w:val="none"/>
              </w:rPr>
              <w:t>2.1行政办公区</w:t>
            </w:r>
          </w:p>
          <w:p w14:paraId="5297C5B7">
            <w:pPr>
              <w:pStyle w:val="11"/>
              <w:rPr>
                <w:rFonts w:hAnsi="宋体"/>
                <w:bCs/>
                <w:highlight w:val="none"/>
              </w:rPr>
            </w:pPr>
            <w:r>
              <w:rPr>
                <w:rFonts w:hint="eastAsia" w:hAnsi="宋体"/>
                <w:bCs/>
                <w:highlight w:val="none"/>
              </w:rPr>
              <w:t>2.1.1  办公室内办公桌、电脑桌、电脑、电话、打印机、复印件、书柜、档案柜、茶几、椅子、沙发等物体表面及地面每天用专用毛巾湿擦1次，作业标准要求无污渍、无灰尘，各办公设施完好无损、垃圾桶干净无污；垃圾及时清倒，屋顶及墙面无蜘蛛网。</w:t>
            </w:r>
          </w:p>
          <w:p w14:paraId="5098C000">
            <w:pPr>
              <w:pStyle w:val="11"/>
              <w:rPr>
                <w:rFonts w:hAnsi="宋体"/>
                <w:bCs/>
                <w:highlight w:val="none"/>
              </w:rPr>
            </w:pPr>
            <w:r>
              <w:rPr>
                <w:rFonts w:hint="eastAsia" w:hAnsi="宋体"/>
                <w:bCs/>
                <w:highlight w:val="none"/>
              </w:rPr>
              <w:t>2.1.2  卫生间：作业标准要求无臭味、无污渍。玻璃镜面保持光亮、无水点、水渍；台面、洗手盆、水龙头、抽风机、要求无污物、无水迹、无杂物、白洁光亮；瓷砖墙面、隔断板、隔断门要保证无污迹、无尘土、无纸末。</w:t>
            </w:r>
          </w:p>
          <w:p w14:paraId="16B745C8">
            <w:pPr>
              <w:pStyle w:val="11"/>
              <w:rPr>
                <w:rFonts w:hAnsi="宋体"/>
                <w:bCs/>
                <w:highlight w:val="none"/>
              </w:rPr>
            </w:pPr>
            <w:r>
              <w:rPr>
                <w:rFonts w:hint="eastAsia" w:hAnsi="宋体"/>
                <w:bCs/>
                <w:highlight w:val="none"/>
              </w:rPr>
              <w:t>2.1.3  楼梯、扶手每天用毛巾湿擦1次，走廊过道每天清扫一次、干净无灰尘，走廊顶及墙面无蜘蛛网。</w:t>
            </w:r>
          </w:p>
          <w:p w14:paraId="52795040">
            <w:pPr>
              <w:pStyle w:val="11"/>
              <w:rPr>
                <w:rFonts w:hAnsi="宋体"/>
                <w:bCs/>
                <w:highlight w:val="none"/>
              </w:rPr>
            </w:pPr>
            <w:r>
              <w:rPr>
                <w:rFonts w:hint="eastAsia" w:hAnsi="宋体"/>
                <w:bCs/>
                <w:highlight w:val="none"/>
              </w:rPr>
              <w:t>2.1.4  会议室：会议前后打扫干净，地面每天湿拖一次，无污渍；桌椅物体表面每次开会前用专用毛巾擦拭一次，光亮无污渍、灰尘；玻璃双面及窗台光亮，无水印、无污渍。</w:t>
            </w:r>
          </w:p>
          <w:p w14:paraId="3B0334B3">
            <w:pPr>
              <w:pStyle w:val="11"/>
              <w:jc w:val="left"/>
              <w:rPr>
                <w:rFonts w:hint="eastAsia" w:hAnsi="宋体"/>
                <w:bCs/>
                <w:highlight w:val="none"/>
              </w:rPr>
            </w:pPr>
            <w:r>
              <w:rPr>
                <w:rFonts w:hint="eastAsia" w:hAnsi="宋体"/>
                <w:bCs/>
                <w:highlight w:val="none"/>
              </w:rPr>
              <w:t>2.2病区　　　　　　　　　　　　　　　　　　　　　　　　　　　　　　　　</w:t>
            </w:r>
          </w:p>
          <w:p w14:paraId="6E2F3D98">
            <w:pPr>
              <w:pStyle w:val="11"/>
              <w:jc w:val="left"/>
              <w:rPr>
                <w:rFonts w:hAnsi="宋体"/>
                <w:bCs/>
                <w:highlight w:val="none"/>
              </w:rPr>
            </w:pPr>
            <w:r>
              <w:rPr>
                <w:rFonts w:hint="eastAsia" w:hAnsi="宋体"/>
                <w:bCs/>
                <w:highlight w:val="none"/>
              </w:rPr>
              <w:t>2.2.1  各层楼梯、扶手每天用毛巾湿擦1次，走廊过道每天清扫二次、干净无灰尘，走廊顶及墙面无蜘蛛网。</w:t>
            </w:r>
          </w:p>
          <w:p w14:paraId="4FEAA2AE">
            <w:pPr>
              <w:pStyle w:val="11"/>
              <w:rPr>
                <w:rFonts w:hAnsi="宋体"/>
                <w:bCs/>
                <w:highlight w:val="none"/>
              </w:rPr>
            </w:pPr>
            <w:r>
              <w:rPr>
                <w:rFonts w:hint="eastAsia" w:hAnsi="宋体"/>
                <w:bCs/>
                <w:highlight w:val="none"/>
              </w:rPr>
              <w:t>2.2.2  医护办公室、护士站：作业标准要求无污渍、无灰尘。各办公设施完好无损；桌面干净无污渍、无尘土、电脑、电话无污迹；文件柜干净无尘；垃圾筒干净无污；垃圾及时清倒；垃圾袋及时更换。</w:t>
            </w:r>
          </w:p>
          <w:p w14:paraId="1083F0F4">
            <w:pPr>
              <w:pStyle w:val="11"/>
              <w:rPr>
                <w:rFonts w:hAnsi="宋体"/>
                <w:bCs/>
                <w:highlight w:val="none"/>
              </w:rPr>
            </w:pPr>
            <w:r>
              <w:rPr>
                <w:rFonts w:hint="eastAsia" w:hAnsi="宋体"/>
                <w:bCs/>
                <w:highlight w:val="none"/>
              </w:rPr>
              <w:t>2.2.3  更衣室：地面光亮无尘；柜台、柜顶无污渍、无灰尘。</w:t>
            </w:r>
          </w:p>
          <w:p w14:paraId="33E2AB6A">
            <w:pPr>
              <w:pStyle w:val="11"/>
              <w:rPr>
                <w:rFonts w:hAnsi="宋体"/>
                <w:bCs/>
                <w:highlight w:val="none"/>
              </w:rPr>
            </w:pPr>
            <w:r>
              <w:rPr>
                <w:rFonts w:hint="eastAsia" w:hAnsi="宋体"/>
                <w:bCs/>
                <w:highlight w:val="none"/>
              </w:rPr>
              <w:t>2.2.4  治疗室、换药室：房门及纱门无污渍；玻璃窗双面及窗台无手印、无污渍；窗帘无污渍、无灰尘，每季度拆洗一次，随脏随拆洗；地板表面光亮，无污渍、无灰尘；天花板及照明设备表面光亮、无污渍；诊疗床、病人座椅无污渍、无灰尘；墙壁、踢脚板（包括空调出风口）无手印、无污渍；仪器设备、治疗台、处置台无污渍、无灰尘；洗手台无手印、无污渍；利器盒每达到2/3时更换，做到日产日清。</w:t>
            </w:r>
          </w:p>
          <w:p w14:paraId="182F67CC">
            <w:pPr>
              <w:pStyle w:val="11"/>
              <w:rPr>
                <w:rFonts w:hAnsi="宋体"/>
                <w:bCs/>
                <w:highlight w:val="none"/>
              </w:rPr>
            </w:pPr>
            <w:r>
              <w:rPr>
                <w:rFonts w:hint="eastAsia" w:hAnsi="宋体"/>
                <w:bCs/>
                <w:highlight w:val="none"/>
              </w:rPr>
              <w:t>2.2.5  病房、抢救室：房门、纱门、把手、病床、设备带、宣传盒、仪器、电视机、摇控器、开水壶、床头牌等无污渍、无灰尘；玻璃窗双面及窗口无手印、无污渍；窗帘隔帘无污渍、无灰尘，每季度清洗一次，随脏随拆洗；天花板及照明设备表面光亮无污渍；床头柜、桌子及供氧装置无垃圾、杂物、无污渍、无灰尘；病床上下无灰尘、无污渍；地面干燥，无水渍、垃圾、杂物，要求一柜一巾、一床一巾；墙壁（包括踢脚板、空调出风口）无手印、无污渍；阳台、窗台无灰尘、虫网、杂物；垃圾及时清倒，垃圾框每天清洁一次；卫生间、洗手台无臭味、无手印、无污渍；终末消毒（包括出院、死亡）符合院内感染控制要求。</w:t>
            </w:r>
          </w:p>
          <w:p w14:paraId="0F6BC1CE">
            <w:pPr>
              <w:pStyle w:val="11"/>
              <w:rPr>
                <w:rFonts w:hAnsi="宋体"/>
                <w:bCs/>
                <w:highlight w:val="none"/>
              </w:rPr>
            </w:pPr>
            <w:r>
              <w:rPr>
                <w:rFonts w:hint="eastAsia" w:hAnsi="宋体"/>
                <w:bCs/>
                <w:highlight w:val="none"/>
              </w:rPr>
              <w:t>2.2.6  医生及护士值班室：地板、门窗、床无污渍灰尘；卫生间无臭味、无污渍。</w:t>
            </w:r>
          </w:p>
          <w:p w14:paraId="1738BE2A">
            <w:pPr>
              <w:pStyle w:val="11"/>
              <w:rPr>
                <w:rFonts w:hAnsi="宋体"/>
                <w:bCs/>
                <w:highlight w:val="none"/>
              </w:rPr>
            </w:pPr>
            <w:r>
              <w:rPr>
                <w:rFonts w:hint="eastAsia" w:hAnsi="宋体"/>
                <w:bCs/>
                <w:highlight w:val="none"/>
              </w:rPr>
              <w:t>2.2.7  各楼顶大厅：天花板及照明设备表面光亮无污渍；地面光亮无尘；玻璃门窗光亮、无手印、无污渍；广告、指示牌及开关无手印、无污渍、值班台光亮、无边角干净无杂物无污渍、无尘土，地板光亮；通道扶栏、扶手无手印、无污渍、光亮；广告指示牌及开关无手印、无污渍；玻璃门无手印、无污渍、光亮；走廊内手印、无污渍。</w:t>
            </w:r>
          </w:p>
          <w:p w14:paraId="662D51EA">
            <w:pPr>
              <w:pStyle w:val="11"/>
              <w:rPr>
                <w:rFonts w:hAnsi="宋体"/>
                <w:bCs/>
                <w:highlight w:val="none"/>
              </w:rPr>
            </w:pPr>
            <w:r>
              <w:rPr>
                <w:rFonts w:hint="eastAsia" w:hAnsi="宋体"/>
                <w:bCs/>
                <w:highlight w:val="none"/>
              </w:rPr>
              <w:t>2.2.8  走廊通道：天花板、灯罩、墙裙边、排风口清洁干净，无尘、无污、无网状物；墙壁及地脚线无尘土、无手印、无污渍；墙面悬挂物干净、无尘土；地面及摆放物品、文件柜、花盆等物体干净、无尘土，花盆通体干净，盆内无杂物。</w:t>
            </w:r>
          </w:p>
          <w:p w14:paraId="3564F864">
            <w:pPr>
              <w:pStyle w:val="11"/>
              <w:rPr>
                <w:rFonts w:hAnsi="宋体"/>
                <w:bCs/>
                <w:highlight w:val="none"/>
              </w:rPr>
            </w:pPr>
            <w:r>
              <w:rPr>
                <w:rFonts w:hint="eastAsia" w:hAnsi="宋体"/>
                <w:bCs/>
                <w:highlight w:val="none"/>
              </w:rPr>
              <w:t xml:space="preserve">2.2.9  步行楼梯：步梯无杂物；楼梯扶手、玻璃双面、墙壁、不锈钢栏无手印和污渍。 </w:t>
            </w:r>
          </w:p>
          <w:p w14:paraId="4A67B5C4">
            <w:pPr>
              <w:pStyle w:val="11"/>
              <w:rPr>
                <w:rFonts w:hAnsi="宋体"/>
                <w:bCs/>
                <w:highlight w:val="none"/>
              </w:rPr>
            </w:pPr>
            <w:r>
              <w:rPr>
                <w:rFonts w:hint="eastAsia" w:hAnsi="宋体"/>
                <w:bCs/>
                <w:highlight w:val="none"/>
              </w:rPr>
              <w:t>2.2.10  地板保养： PVC地板正常情况下每半年打蜡一次，蜡面受损时及时打蜡、补蜡；大堂花岗岩地板每月抛光一次。</w:t>
            </w:r>
          </w:p>
          <w:p w14:paraId="0D8D6295">
            <w:pPr>
              <w:pStyle w:val="11"/>
              <w:rPr>
                <w:rFonts w:hAnsi="宋体"/>
                <w:bCs/>
                <w:highlight w:val="none"/>
              </w:rPr>
            </w:pPr>
            <w:r>
              <w:rPr>
                <w:rFonts w:hint="eastAsia" w:hAnsi="宋体"/>
                <w:bCs/>
                <w:highlight w:val="none"/>
              </w:rPr>
              <w:t>2.3供应室</w:t>
            </w:r>
          </w:p>
          <w:p w14:paraId="6B442998">
            <w:pPr>
              <w:pStyle w:val="11"/>
              <w:rPr>
                <w:rFonts w:hAnsi="宋体"/>
                <w:bCs/>
                <w:highlight w:val="none"/>
              </w:rPr>
            </w:pPr>
            <w:r>
              <w:rPr>
                <w:rFonts w:hint="eastAsia" w:hAnsi="宋体"/>
                <w:bCs/>
                <w:highlight w:val="none"/>
              </w:rPr>
              <w:t>房门及纱门无污渍；玻璃窗双面及窗口无手印、无污渍，窗帘每季度拆洗一次；地面光亮、无灰尘；天花板及照明设备表面光亮、无污渍；墙壁（包括踢脚板、空调出风口）无手印、无污渍；仪器、洗手台、无手印、无污渍；下送车、拖鞋及鞋框无污渍、无灰尘；紫外线灯每周擦拭一次。</w:t>
            </w:r>
          </w:p>
          <w:p w14:paraId="2816D37C">
            <w:pPr>
              <w:pStyle w:val="11"/>
              <w:rPr>
                <w:rFonts w:hAnsi="宋体"/>
                <w:bCs/>
                <w:highlight w:val="none"/>
              </w:rPr>
            </w:pPr>
            <w:r>
              <w:rPr>
                <w:rFonts w:hint="eastAsia" w:hAnsi="宋体"/>
                <w:bCs/>
                <w:highlight w:val="none"/>
              </w:rPr>
              <w:t>2.4手术室</w:t>
            </w:r>
          </w:p>
          <w:p w14:paraId="24DE1DB6">
            <w:pPr>
              <w:pStyle w:val="11"/>
              <w:rPr>
                <w:rFonts w:hAnsi="宋体"/>
                <w:bCs/>
                <w:highlight w:val="none"/>
              </w:rPr>
            </w:pPr>
            <w:r>
              <w:rPr>
                <w:rFonts w:hint="eastAsia" w:hAnsi="宋体"/>
                <w:bCs/>
                <w:highlight w:val="none"/>
              </w:rPr>
              <w:t>2.4.1  地板：拖把严格分区专用。（1）非限制区（污染区）：办公室、会议室、值班室、更衣室、更鞋室；（2）半非限制区（清洁区）：器械室、敷料室、洗涤室、手术间外走廊；（3）限制区（无菌区）手术间、洗手间、无菌贮物间、手术间内走廊。三个区域地面每天用500mg/L含氯消毒液湿拖地板两次，手术完毕后及时清理、消毒，无血迹等污渍、无灰尘。</w:t>
            </w:r>
          </w:p>
          <w:p w14:paraId="60156750">
            <w:pPr>
              <w:pStyle w:val="11"/>
              <w:rPr>
                <w:rFonts w:hAnsi="宋体"/>
                <w:bCs/>
                <w:highlight w:val="none"/>
              </w:rPr>
            </w:pPr>
            <w:r>
              <w:rPr>
                <w:rFonts w:hint="eastAsia" w:hAnsi="宋体"/>
                <w:bCs/>
                <w:highlight w:val="none"/>
              </w:rPr>
              <w:t>2.4.2  设备、设施、台面及桌椅：物体表面每天用500mg/L含氯消毒液一次，光亮无污渍、无灰尘。</w:t>
            </w:r>
          </w:p>
          <w:p w14:paraId="4A96A3EA">
            <w:pPr>
              <w:pStyle w:val="11"/>
              <w:rPr>
                <w:rFonts w:hAnsi="宋体"/>
                <w:bCs/>
                <w:highlight w:val="none"/>
              </w:rPr>
            </w:pPr>
            <w:r>
              <w:rPr>
                <w:rFonts w:hint="eastAsia" w:hAnsi="宋体"/>
                <w:bCs/>
                <w:highlight w:val="none"/>
              </w:rPr>
              <w:t>2.4.3  玻璃窗双面及窗台：每天用专用工具湿擦两次，无污渍、无灰尘。</w:t>
            </w:r>
          </w:p>
          <w:p w14:paraId="7C99478B">
            <w:pPr>
              <w:pStyle w:val="11"/>
              <w:rPr>
                <w:rFonts w:hAnsi="宋体"/>
                <w:bCs/>
                <w:highlight w:val="none"/>
              </w:rPr>
            </w:pPr>
            <w:r>
              <w:rPr>
                <w:rFonts w:hint="eastAsia" w:hAnsi="宋体"/>
                <w:bCs/>
                <w:highlight w:val="none"/>
              </w:rPr>
              <w:t>2.4.4  墙壁（包括踢脚板、空调出风口）：无污渍、无灰尘。</w:t>
            </w:r>
          </w:p>
          <w:p w14:paraId="6AA887BD">
            <w:pPr>
              <w:pStyle w:val="11"/>
              <w:rPr>
                <w:rFonts w:hAnsi="宋体"/>
                <w:bCs/>
                <w:highlight w:val="none"/>
              </w:rPr>
            </w:pPr>
            <w:r>
              <w:rPr>
                <w:rFonts w:hint="eastAsia" w:hAnsi="宋体"/>
                <w:bCs/>
                <w:highlight w:val="none"/>
              </w:rPr>
              <w:t>2.4.5  工作鞋：每天清洗消毒一次，随脏随清洗消毒。</w:t>
            </w:r>
          </w:p>
          <w:p w14:paraId="17BFD725">
            <w:pPr>
              <w:pStyle w:val="11"/>
              <w:rPr>
                <w:rFonts w:hAnsi="宋体"/>
                <w:bCs/>
                <w:highlight w:val="none"/>
              </w:rPr>
            </w:pPr>
            <w:r>
              <w:rPr>
                <w:rFonts w:hint="eastAsia" w:hAnsi="宋体"/>
                <w:bCs/>
                <w:highlight w:val="none"/>
              </w:rPr>
              <w:t>2.5门诊部</w:t>
            </w:r>
          </w:p>
          <w:p w14:paraId="0A356D09">
            <w:pPr>
              <w:pStyle w:val="11"/>
              <w:rPr>
                <w:rFonts w:hAnsi="宋体"/>
                <w:bCs/>
                <w:highlight w:val="none"/>
              </w:rPr>
            </w:pPr>
            <w:r>
              <w:rPr>
                <w:rFonts w:hint="eastAsia" w:hAnsi="宋体"/>
                <w:bCs/>
                <w:highlight w:val="none"/>
              </w:rPr>
              <w:t>2.5.1  抢救室、输液室、观察室：仪器表面每周用专用毛巾湿擦一次，抢救结束后用500mg/L含氯消毒液湿擦一次；输液架、轮椅、平车、电视机、电视架、输液室座椅、桌面、台面、柜子表面无污渍灰尘；输液杆表面每周用专用毛巾湿擦两次；地板无污渍、无杂物、无垃圾，随脏随拖；诊床每周更换两次床单，平时随脏随换；墙壁（包括踢脚板、空调出风口）：无污渍、无灰尘。</w:t>
            </w:r>
          </w:p>
          <w:p w14:paraId="6BA8AD93">
            <w:pPr>
              <w:pStyle w:val="11"/>
              <w:rPr>
                <w:rFonts w:hAnsi="宋体"/>
                <w:bCs/>
                <w:highlight w:val="none"/>
              </w:rPr>
            </w:pPr>
            <w:r>
              <w:rPr>
                <w:rFonts w:hint="eastAsia" w:hAnsi="宋体"/>
                <w:bCs/>
                <w:highlight w:val="none"/>
              </w:rPr>
              <w:t>2.5.2  救护车：物体表面每天用专用毛巾湿擦两次，如有出诊随时保洁。</w:t>
            </w:r>
          </w:p>
          <w:p w14:paraId="4AEFCAD3">
            <w:pPr>
              <w:pStyle w:val="11"/>
              <w:rPr>
                <w:rFonts w:hAnsi="宋体"/>
                <w:bCs/>
                <w:highlight w:val="none"/>
              </w:rPr>
            </w:pPr>
            <w:r>
              <w:rPr>
                <w:rFonts w:hint="eastAsia" w:hAnsi="宋体"/>
                <w:bCs/>
                <w:highlight w:val="none"/>
              </w:rPr>
              <w:t>2.5.3  门急诊外科处置室、眼科、耳鼻喉科、妇科、外科、儿科、内科、胃镜室、妇科手术室：垃圾桶每天常规清理两次，如有特殊外伤病人随时清理；治疗车、柜子、桌子表面无污渍灰尘，随脏随擦，毛巾使用后用0.03%消佳净浸泡30分钟、洗衣粉清洗晾干后才能投入下次使用；治疗室玻璃窗、门、隔离玻璃表面光亮、无手印、无污渍，随脏随擦，毛巾使用后用0.03%消佳净消毒液浸泡30分钟、洗衣粉清洗晾干后才能投入下次使用；地板无污渍、无灰尘，随脏随拖；洗手水池（盆）无污渍；墙壁（包括踢脚板、空调出风口）：无污渍、无灰尘；治疗设备表面无污渍、无灰尘，随脏随清洁。</w:t>
            </w:r>
          </w:p>
          <w:p w14:paraId="5D83AADE">
            <w:pPr>
              <w:pStyle w:val="11"/>
              <w:rPr>
                <w:rFonts w:hAnsi="宋体"/>
                <w:bCs/>
                <w:highlight w:val="none"/>
              </w:rPr>
            </w:pPr>
            <w:r>
              <w:rPr>
                <w:rFonts w:hint="eastAsia" w:hAnsi="宋体"/>
                <w:bCs/>
                <w:highlight w:val="none"/>
              </w:rPr>
              <w:t>2.5.4  抽血室、各诊室、体检中心、胃镜室、病案室</w:t>
            </w:r>
            <w:r>
              <w:rPr>
                <w:rFonts w:hint="eastAsia"/>
                <w:bCs/>
                <w:highlight w:val="none"/>
                <w:lang w:eastAsia="zh-CN"/>
              </w:rPr>
              <w:t>、</w:t>
            </w:r>
            <w:r>
              <w:rPr>
                <w:rFonts w:hint="eastAsia" w:hAnsi="宋体"/>
                <w:bCs/>
                <w:highlight w:val="none"/>
              </w:rPr>
              <w:t>更衣室、医生护士值班室：地板无污渍，随脏随拖；玻璃窗双面及窗口无手印、无污渍；墙壁（包括踢脚板、空调出风口）：无污渍、无灰尘；柜、台面物体表面无污渍灰尘；电脑、显示器、键盘物体表面无污渍灰尘；洗手池及镜面无污渍、光亮。</w:t>
            </w:r>
          </w:p>
          <w:p w14:paraId="56426952">
            <w:pPr>
              <w:pStyle w:val="11"/>
              <w:rPr>
                <w:rFonts w:hAnsi="宋体"/>
                <w:bCs/>
                <w:highlight w:val="none"/>
              </w:rPr>
            </w:pPr>
            <w:r>
              <w:rPr>
                <w:rFonts w:hint="eastAsia" w:hAnsi="宋体"/>
                <w:bCs/>
                <w:highlight w:val="none"/>
              </w:rPr>
              <w:t>2.5.5  卫生间：每天常规清洗六次（上班、中途、下班）平时随脏随保洁，无臭味，无污渍。</w:t>
            </w:r>
          </w:p>
          <w:p w14:paraId="008C6C91">
            <w:pPr>
              <w:pStyle w:val="11"/>
              <w:rPr>
                <w:rFonts w:hAnsi="宋体"/>
                <w:bCs/>
                <w:highlight w:val="none"/>
              </w:rPr>
            </w:pPr>
            <w:r>
              <w:rPr>
                <w:rFonts w:hint="eastAsia" w:hAnsi="宋体"/>
                <w:bCs/>
                <w:highlight w:val="none"/>
              </w:rPr>
              <w:t>2.5.6  门诊大厅：天花板及照明设备表面光亮无污渍；地面光亮无尘、无污渍；玻璃门窗光亮、无手印、无污渍；广告、指示牌及开关无手印、无污渍、值班台光亮、无手印、无污渍；值班台无手印、无污渍、光亮。</w:t>
            </w:r>
          </w:p>
          <w:p w14:paraId="62DE1CCA">
            <w:pPr>
              <w:pStyle w:val="11"/>
              <w:rPr>
                <w:rFonts w:hAnsi="宋体"/>
                <w:bCs/>
                <w:highlight w:val="none"/>
              </w:rPr>
            </w:pPr>
            <w:r>
              <w:rPr>
                <w:rFonts w:hint="eastAsia" w:hAnsi="宋体"/>
                <w:bCs/>
                <w:highlight w:val="none"/>
              </w:rPr>
              <w:t>2.5.7  抢救室门前：地面无污渍、无垃圾、无灰尘。</w:t>
            </w:r>
          </w:p>
          <w:p w14:paraId="47C64682">
            <w:pPr>
              <w:pStyle w:val="11"/>
              <w:rPr>
                <w:rFonts w:hAnsi="宋体"/>
                <w:bCs/>
                <w:highlight w:val="none"/>
              </w:rPr>
            </w:pPr>
            <w:r>
              <w:rPr>
                <w:rFonts w:hint="eastAsia" w:hAnsi="宋体"/>
                <w:bCs/>
                <w:highlight w:val="none"/>
              </w:rPr>
              <w:t>2.5.8  口腔科：玻璃门、窗、桌子无手印、无污渍、灰尘；地板地面光亮无尘、无污渍；洗手池及镜面无手印、无污渍、光亮；诊室、技工室、消毒室、X光室地面每天下班前用500mg/L含氯消毒液湿拖一次，无污渍、无灰尘；墙壁（包括踢脚板、空调出风口）：无污渍、无灰尘；治疗椅子底部、台面、照明灯罩（管）每天下班前用专用毛巾湿擦一次，无污渍、无灰尘；痰盂每天用刷子配合消毒剂刷洗两次，随脏随消毒；X光机表面无污渍、无灰尘。</w:t>
            </w:r>
          </w:p>
          <w:p w14:paraId="79A4B9D1">
            <w:pPr>
              <w:pStyle w:val="11"/>
              <w:rPr>
                <w:rFonts w:hAnsi="宋体"/>
                <w:bCs/>
                <w:highlight w:val="none"/>
              </w:rPr>
            </w:pPr>
            <w:r>
              <w:rPr>
                <w:rFonts w:hint="eastAsia" w:hAnsi="宋体"/>
                <w:bCs/>
                <w:highlight w:val="none"/>
              </w:rPr>
              <w:t>2.5.9  职工活动室：地板地面光亮、无灰尘；洗手池及镜面无手印、无污渍；墙面、踢脚线、隔断玻璃门窗无污渍、无手印；台面及桌椅无污渍、无灰尘。</w:t>
            </w:r>
          </w:p>
          <w:p w14:paraId="32D64120">
            <w:pPr>
              <w:pStyle w:val="11"/>
              <w:rPr>
                <w:rFonts w:hAnsi="宋体"/>
                <w:bCs/>
                <w:highlight w:val="none"/>
              </w:rPr>
            </w:pPr>
            <w:r>
              <w:rPr>
                <w:rFonts w:hint="eastAsia" w:hAnsi="宋体"/>
                <w:bCs/>
                <w:highlight w:val="none"/>
              </w:rPr>
              <w:t>2.6 康复治疗区</w:t>
            </w:r>
          </w:p>
          <w:p w14:paraId="53E8B324">
            <w:pPr>
              <w:pStyle w:val="11"/>
              <w:rPr>
                <w:rFonts w:hAnsi="宋体"/>
                <w:bCs/>
                <w:highlight w:val="none"/>
              </w:rPr>
            </w:pPr>
            <w:r>
              <w:rPr>
                <w:rFonts w:hint="eastAsia" w:hAnsi="宋体"/>
                <w:bCs/>
                <w:highlight w:val="none"/>
              </w:rPr>
              <w:t>2.6.1  办公室：地板地面光亮、无灰尘；洗手池及镜面无手印、无污渍；墙面、踢脚线、隔断玻璃门窗无污渍、无手印；电脑、主机、键盘无污渍、无灰尘；台面及桌椅无污渍、无灰尘。</w:t>
            </w:r>
          </w:p>
          <w:p w14:paraId="0A06C96D">
            <w:pPr>
              <w:pStyle w:val="11"/>
              <w:rPr>
                <w:rFonts w:hAnsi="宋体"/>
                <w:bCs/>
                <w:highlight w:val="none"/>
              </w:rPr>
            </w:pPr>
            <w:r>
              <w:rPr>
                <w:rFonts w:hint="eastAsia" w:hAnsi="宋体"/>
                <w:bCs/>
                <w:highlight w:val="none"/>
              </w:rPr>
              <w:t>2.6.2  更衣室：地板地面光亮、无灰尘；柜台无污渍、无灰尘。</w:t>
            </w:r>
          </w:p>
          <w:p w14:paraId="53EA9B91">
            <w:pPr>
              <w:pStyle w:val="11"/>
              <w:rPr>
                <w:rFonts w:hAnsi="宋体"/>
                <w:bCs/>
                <w:highlight w:val="none"/>
              </w:rPr>
            </w:pPr>
            <w:r>
              <w:rPr>
                <w:rFonts w:hint="eastAsia" w:hAnsi="宋体"/>
                <w:bCs/>
                <w:highlight w:val="none"/>
              </w:rPr>
              <w:t>2.6.3  治疗室：房门及纱门无污渍、无灰尘；玻璃窗双面及窗台无手印、无污渍。墙壁、踢脚板（包括空调出风口）无手印、无污渍；治疗仪器、电视机及装备无污渍、无灰尘；卫生间、洗手台无臭味，无污渍、无手印，便池随脏随清洗消毒。</w:t>
            </w:r>
          </w:p>
          <w:p w14:paraId="65CBAD48">
            <w:pPr>
              <w:pStyle w:val="11"/>
              <w:rPr>
                <w:rFonts w:hAnsi="宋体"/>
                <w:bCs/>
                <w:highlight w:val="none"/>
              </w:rPr>
            </w:pPr>
            <w:r>
              <w:rPr>
                <w:rFonts w:hint="eastAsia" w:hAnsi="宋体"/>
                <w:bCs/>
                <w:highlight w:val="none"/>
              </w:rPr>
              <w:t>2.6.4  窗帘、理疗室治疗垫、地毯：窗帘每季度拆洗一次，随脏随洗治疗垫每天清洗消毒一次，地毯每月清洗一次。</w:t>
            </w:r>
          </w:p>
          <w:p w14:paraId="2323CDD4">
            <w:pPr>
              <w:pStyle w:val="11"/>
              <w:rPr>
                <w:rFonts w:hAnsi="宋体"/>
                <w:bCs/>
                <w:highlight w:val="none"/>
              </w:rPr>
            </w:pPr>
            <w:r>
              <w:rPr>
                <w:rFonts w:hint="eastAsia" w:hAnsi="宋体"/>
                <w:bCs/>
                <w:highlight w:val="none"/>
              </w:rPr>
              <w:t>2.7医学影像科、胃镜室、功能科</w:t>
            </w:r>
          </w:p>
          <w:p w14:paraId="063528B9">
            <w:pPr>
              <w:pStyle w:val="11"/>
              <w:rPr>
                <w:rFonts w:hAnsi="宋体"/>
                <w:bCs/>
                <w:highlight w:val="none"/>
              </w:rPr>
            </w:pPr>
            <w:r>
              <w:rPr>
                <w:rFonts w:hint="eastAsia" w:hAnsi="宋体"/>
                <w:bCs/>
                <w:highlight w:val="none"/>
              </w:rPr>
              <w:t>2.7.1  地板、地毯：每天两次湿拖，无污渍、无灰尘，随脏随保洁；拖把使用后用0.03%消佳净消毒液浸泡30分钟、洗衣粉清洗晾干后才能投入下次使用。地毯每月清洗一次，无污渍。</w:t>
            </w:r>
          </w:p>
          <w:p w14:paraId="62B98B10">
            <w:pPr>
              <w:pStyle w:val="11"/>
              <w:rPr>
                <w:rFonts w:hint="eastAsia" w:hAnsi="宋体"/>
                <w:bCs/>
                <w:highlight w:val="none"/>
              </w:rPr>
            </w:pPr>
            <w:r>
              <w:rPr>
                <w:rFonts w:hint="eastAsia" w:hAnsi="宋体"/>
                <w:bCs/>
                <w:highlight w:val="none"/>
              </w:rPr>
              <w:t>2.7.2  地板保养：PVC地板正常情况下每半年打蜡一次，蜡面受损时及时打蜡、补蜡；大堂花岗岩地板每月抛光一次，每半年打蜡一次。</w:t>
            </w:r>
          </w:p>
          <w:p w14:paraId="3DCB7457">
            <w:pPr>
              <w:pStyle w:val="11"/>
              <w:rPr>
                <w:rFonts w:hAnsi="宋体"/>
                <w:bCs/>
                <w:highlight w:val="none"/>
              </w:rPr>
            </w:pPr>
            <w:r>
              <w:rPr>
                <w:rFonts w:hint="eastAsia" w:hAnsi="宋体"/>
                <w:bCs/>
                <w:highlight w:val="none"/>
              </w:rPr>
              <w:t>2.7.3设备设施：物体表面无污渍灰尘；不锈钢设施每周用不锈钢保护剂清洁保养一次，无锈迹。</w:t>
            </w:r>
          </w:p>
          <w:p w14:paraId="225A5871">
            <w:pPr>
              <w:pStyle w:val="11"/>
              <w:rPr>
                <w:rFonts w:hAnsi="宋体"/>
                <w:bCs/>
                <w:highlight w:val="none"/>
              </w:rPr>
            </w:pPr>
            <w:r>
              <w:rPr>
                <w:rFonts w:hint="eastAsia" w:hAnsi="宋体"/>
                <w:bCs/>
                <w:highlight w:val="none"/>
              </w:rPr>
              <w:t>2.7.4  天花板及照明设备：表面光亮无污渍、灰尘。</w:t>
            </w:r>
          </w:p>
          <w:p w14:paraId="065FE871">
            <w:pPr>
              <w:pStyle w:val="11"/>
              <w:rPr>
                <w:rFonts w:hAnsi="宋体"/>
                <w:bCs/>
                <w:highlight w:val="none"/>
              </w:rPr>
            </w:pPr>
            <w:r>
              <w:rPr>
                <w:rFonts w:hint="eastAsia" w:hAnsi="宋体"/>
                <w:bCs/>
                <w:highlight w:val="none"/>
              </w:rPr>
              <w:t>2.7.5  氧舱、舱内架：舱内治疗结束后及时清洁，每月用500mg/L含氯消毒液湿擦一次，并</w:t>
            </w:r>
            <w:r>
              <w:rPr>
                <w:rFonts w:hint="eastAsia"/>
                <w:bCs/>
                <w:highlight w:val="none"/>
                <w:lang w:eastAsia="zh-CN"/>
              </w:rPr>
              <w:t>进</w:t>
            </w:r>
            <w:r>
              <w:rPr>
                <w:rFonts w:hint="eastAsia" w:hAnsi="宋体"/>
                <w:bCs/>
                <w:highlight w:val="none"/>
              </w:rPr>
              <w:t>行空气消毒。</w:t>
            </w:r>
          </w:p>
          <w:p w14:paraId="082C42A1">
            <w:pPr>
              <w:pStyle w:val="11"/>
              <w:rPr>
                <w:rFonts w:hAnsi="宋体"/>
                <w:bCs/>
                <w:highlight w:val="none"/>
              </w:rPr>
            </w:pPr>
            <w:r>
              <w:rPr>
                <w:rFonts w:hint="eastAsia" w:hAnsi="宋体"/>
                <w:bCs/>
                <w:highlight w:val="none"/>
              </w:rPr>
              <w:t>2.7.6  墙面及玻璃门窗：玻璃窗双面及窗台无手印、无污渍；墙壁、踢脚板（包括空调出风口）无手印、无污渍；窗帘每季度拆洗一次，随脏随洗。</w:t>
            </w:r>
          </w:p>
          <w:p w14:paraId="0F24E8AC">
            <w:pPr>
              <w:pStyle w:val="11"/>
              <w:rPr>
                <w:rFonts w:hAnsi="宋体"/>
                <w:bCs/>
                <w:highlight w:val="none"/>
              </w:rPr>
            </w:pPr>
            <w:r>
              <w:rPr>
                <w:rFonts w:hint="eastAsia" w:hAnsi="宋体"/>
                <w:bCs/>
                <w:highlight w:val="none"/>
              </w:rPr>
              <w:t>2.7.7  痰盂：每天用刷子配合消毒清洁剂刷洗一次，光亮无污渍。</w:t>
            </w:r>
          </w:p>
          <w:p w14:paraId="5008E477">
            <w:pPr>
              <w:pStyle w:val="11"/>
              <w:rPr>
                <w:rFonts w:hAnsi="宋体"/>
                <w:bCs/>
                <w:highlight w:val="none"/>
              </w:rPr>
            </w:pPr>
            <w:r>
              <w:rPr>
                <w:rFonts w:hint="eastAsia" w:hAnsi="宋体"/>
                <w:bCs/>
                <w:highlight w:val="none"/>
              </w:rPr>
              <w:t>2.7.8  桌面、凳子：每天用专用毛巾擦拭，使用杀菌消毒清洁剂清除污渍、消毒。</w:t>
            </w:r>
          </w:p>
          <w:p w14:paraId="1CD6AB45">
            <w:pPr>
              <w:pStyle w:val="11"/>
              <w:rPr>
                <w:rFonts w:hAnsi="宋体"/>
                <w:bCs/>
                <w:highlight w:val="none"/>
              </w:rPr>
            </w:pPr>
            <w:r>
              <w:rPr>
                <w:rFonts w:hint="eastAsia" w:hAnsi="宋体"/>
                <w:bCs/>
                <w:highlight w:val="none"/>
              </w:rPr>
              <w:t>2.7.9  洗手池、卫生间：洗手池用专用手巾擦拭，光亮无污渍；卫生间无臭味，无污渍，便池随脏随清洁、消毒。</w:t>
            </w:r>
          </w:p>
          <w:p w14:paraId="01289ADE">
            <w:pPr>
              <w:pStyle w:val="11"/>
              <w:rPr>
                <w:rFonts w:hAnsi="宋体"/>
                <w:bCs/>
                <w:highlight w:val="none"/>
              </w:rPr>
            </w:pPr>
            <w:r>
              <w:rPr>
                <w:rFonts w:hint="eastAsia" w:hAnsi="宋体"/>
                <w:bCs/>
                <w:highlight w:val="none"/>
              </w:rPr>
              <w:t>2.7.10  照片床、片盒、片架：每天用专用毛巾擦拭一次，使用后用清洁消毒剂清洁消毒，干燥备用，无污渍、灰尘。</w:t>
            </w:r>
          </w:p>
          <w:p w14:paraId="09F8507D">
            <w:pPr>
              <w:pStyle w:val="11"/>
              <w:rPr>
                <w:rFonts w:hAnsi="宋体"/>
                <w:bCs/>
                <w:highlight w:val="none"/>
              </w:rPr>
            </w:pPr>
            <w:r>
              <w:rPr>
                <w:rFonts w:hint="eastAsia" w:hAnsi="宋体"/>
                <w:bCs/>
                <w:highlight w:val="none"/>
              </w:rPr>
              <w:t>2.7.11  片箱、柜子：无污渍、无灰尘。</w:t>
            </w:r>
          </w:p>
          <w:p w14:paraId="2485F092">
            <w:pPr>
              <w:pStyle w:val="11"/>
              <w:rPr>
                <w:rFonts w:hAnsi="宋体"/>
                <w:bCs/>
                <w:highlight w:val="none"/>
              </w:rPr>
            </w:pPr>
            <w:r>
              <w:rPr>
                <w:rFonts w:hint="eastAsia" w:hAnsi="宋体"/>
                <w:bCs/>
                <w:highlight w:val="none"/>
              </w:rPr>
              <w:t>2.7.12  步行楼梯、电梯：楼梯通道地面无污渍、无杂物、无垃圾，随脏随拖；楼梯扶手无手印、无污渍；玻璃双面及窗台光亮，无水印、无污渍；墙壁、地脚线无手印、无污渍；不锈钢扶栏无手印、无污渍。</w:t>
            </w:r>
          </w:p>
          <w:p w14:paraId="135932DC">
            <w:pPr>
              <w:pStyle w:val="11"/>
              <w:rPr>
                <w:rFonts w:hAnsi="宋体"/>
                <w:bCs/>
                <w:highlight w:val="none"/>
              </w:rPr>
            </w:pPr>
            <w:r>
              <w:rPr>
                <w:rFonts w:hint="eastAsia" w:hAnsi="宋体"/>
                <w:bCs/>
                <w:highlight w:val="none"/>
              </w:rPr>
              <w:t>2.8药剂科（中心药房、药库、物资仓库、西药库、中药房、西药房）</w:t>
            </w:r>
          </w:p>
          <w:p w14:paraId="74DEFA64">
            <w:pPr>
              <w:pStyle w:val="11"/>
              <w:rPr>
                <w:rFonts w:hAnsi="宋体"/>
                <w:bCs/>
                <w:highlight w:val="none"/>
              </w:rPr>
            </w:pPr>
            <w:r>
              <w:rPr>
                <w:rFonts w:hint="eastAsia" w:hAnsi="宋体"/>
                <w:bCs/>
                <w:highlight w:val="none"/>
              </w:rPr>
              <w:t>2.8.1  洗手池及镜面：洗手池每天用专用毛巾擦拭，无污渍、手印；镜面无水印、无污渍。</w:t>
            </w:r>
          </w:p>
          <w:p w14:paraId="0E7FE554">
            <w:pPr>
              <w:pStyle w:val="11"/>
              <w:rPr>
                <w:rFonts w:hAnsi="宋体"/>
                <w:bCs/>
                <w:highlight w:val="none"/>
              </w:rPr>
            </w:pPr>
            <w:r>
              <w:rPr>
                <w:rFonts w:hint="eastAsia" w:hAnsi="宋体"/>
                <w:bCs/>
                <w:highlight w:val="none"/>
              </w:rPr>
              <w:t>2.8.2  墙面、隔断玻璃窗、踢脚板（包括空调出风口）：无手印、无污渍。窗帘每半年拆洗一次。</w:t>
            </w:r>
          </w:p>
          <w:p w14:paraId="1ABD3777">
            <w:pPr>
              <w:pStyle w:val="11"/>
              <w:rPr>
                <w:rFonts w:hAnsi="宋体"/>
                <w:bCs/>
                <w:highlight w:val="none"/>
              </w:rPr>
            </w:pPr>
            <w:r>
              <w:rPr>
                <w:rFonts w:hint="eastAsia" w:hAnsi="宋体"/>
                <w:bCs/>
                <w:highlight w:val="none"/>
              </w:rPr>
              <w:t>2.8.3  电脑、主机、键盘：每天用专用手巾擦拭清洁一次，物体表面无污渍灰尘。</w:t>
            </w:r>
          </w:p>
          <w:p w14:paraId="4B34FBB9">
            <w:pPr>
              <w:pStyle w:val="11"/>
              <w:rPr>
                <w:rFonts w:hAnsi="宋体"/>
                <w:bCs/>
                <w:highlight w:val="none"/>
              </w:rPr>
            </w:pPr>
            <w:r>
              <w:rPr>
                <w:rFonts w:hint="eastAsia" w:hAnsi="宋体"/>
                <w:bCs/>
                <w:highlight w:val="none"/>
              </w:rPr>
              <w:t>2.8.4  台面及桌椅：每天用专用毛巾擦拭消毒二次，物体表面光亮，无污渍、灰尘。</w:t>
            </w:r>
          </w:p>
          <w:p w14:paraId="60878489">
            <w:pPr>
              <w:pStyle w:val="11"/>
              <w:rPr>
                <w:rFonts w:hAnsi="宋体"/>
                <w:bCs/>
                <w:highlight w:val="none"/>
              </w:rPr>
            </w:pPr>
            <w:r>
              <w:rPr>
                <w:rFonts w:hint="eastAsia" w:hAnsi="宋体"/>
                <w:bCs/>
                <w:highlight w:val="none"/>
              </w:rPr>
              <w:t>2.8.5  房门及纱门：每天用专用手巾擦拭清洁一次，无污渍、无灰尘。</w:t>
            </w:r>
          </w:p>
          <w:p w14:paraId="39B9776D">
            <w:pPr>
              <w:pStyle w:val="11"/>
              <w:rPr>
                <w:rFonts w:hAnsi="宋体"/>
                <w:bCs/>
                <w:highlight w:val="none"/>
              </w:rPr>
            </w:pPr>
            <w:r>
              <w:rPr>
                <w:rFonts w:hint="eastAsia" w:hAnsi="宋体"/>
                <w:bCs/>
                <w:highlight w:val="none"/>
              </w:rPr>
              <w:t>2.8.6  玻璃窗双面及窗台：每天用专用手巾擦拭清洁一次，无手印、无污渍。</w:t>
            </w:r>
          </w:p>
          <w:p w14:paraId="195BD650">
            <w:pPr>
              <w:pStyle w:val="11"/>
              <w:rPr>
                <w:rFonts w:hAnsi="宋体"/>
                <w:bCs/>
                <w:highlight w:val="none"/>
              </w:rPr>
            </w:pPr>
            <w:r>
              <w:rPr>
                <w:rFonts w:hint="eastAsia" w:hAnsi="宋体"/>
                <w:bCs/>
                <w:highlight w:val="none"/>
              </w:rPr>
              <w:t>2.8.7  发药窗口：每天用专用手巾擦拭清洁一次，光亮无污渍、无灰尘。</w:t>
            </w:r>
          </w:p>
          <w:p w14:paraId="01F412F3">
            <w:pPr>
              <w:pStyle w:val="11"/>
              <w:rPr>
                <w:rFonts w:hAnsi="宋体"/>
                <w:bCs/>
                <w:highlight w:val="none"/>
              </w:rPr>
            </w:pPr>
            <w:r>
              <w:rPr>
                <w:rFonts w:hint="eastAsia" w:hAnsi="宋体"/>
                <w:bCs/>
                <w:highlight w:val="none"/>
              </w:rPr>
              <w:t>2.8.8  天花板及照明设备：表面光亮无污渍、灰尘。</w:t>
            </w:r>
          </w:p>
          <w:p w14:paraId="1A367EC0">
            <w:pPr>
              <w:pStyle w:val="11"/>
              <w:rPr>
                <w:rFonts w:hAnsi="宋体"/>
                <w:bCs/>
                <w:highlight w:val="none"/>
              </w:rPr>
            </w:pPr>
            <w:r>
              <w:rPr>
                <w:rFonts w:hint="eastAsia" w:hAnsi="宋体"/>
                <w:bCs/>
                <w:highlight w:val="none"/>
              </w:rPr>
              <w:t>2.8.9  药架：每天用专用手巾擦拭清洁一次，光亮无污渍、无灰尘。</w:t>
            </w:r>
          </w:p>
          <w:p w14:paraId="3750D014">
            <w:pPr>
              <w:pStyle w:val="11"/>
              <w:rPr>
                <w:rFonts w:hAnsi="宋体"/>
                <w:bCs/>
                <w:highlight w:val="none"/>
              </w:rPr>
            </w:pPr>
            <w:r>
              <w:rPr>
                <w:rFonts w:hint="eastAsia" w:hAnsi="宋体"/>
                <w:bCs/>
                <w:highlight w:val="none"/>
              </w:rPr>
              <w:t>2.9共性消毒要求</w:t>
            </w:r>
          </w:p>
          <w:p w14:paraId="5A84D83F">
            <w:pPr>
              <w:pStyle w:val="11"/>
              <w:rPr>
                <w:rFonts w:hAnsi="宋体"/>
                <w:bCs/>
                <w:highlight w:val="none"/>
              </w:rPr>
            </w:pPr>
            <w:r>
              <w:rPr>
                <w:rFonts w:hint="eastAsia" w:hAnsi="宋体"/>
                <w:bCs/>
                <w:highlight w:val="none"/>
              </w:rPr>
              <w:t>2.9.1  观察室、抢救室、治疗室、重症监护室空气消毒同诊室的消毒，地面湿式清扫，保持清洁，遇污染时随时消毒。</w:t>
            </w:r>
          </w:p>
          <w:p w14:paraId="6EC7424B">
            <w:pPr>
              <w:pStyle w:val="11"/>
              <w:rPr>
                <w:rFonts w:hAnsi="宋体"/>
                <w:bCs/>
                <w:highlight w:val="none"/>
              </w:rPr>
            </w:pPr>
            <w:r>
              <w:rPr>
                <w:rFonts w:hint="eastAsia" w:hAnsi="宋体"/>
                <w:bCs/>
                <w:highlight w:val="none"/>
              </w:rPr>
              <w:t>2.9.2  床头柜一桌一抹布，用后用有效氯500mg/L的含氯消毒剂浸泡消毒，每日擦拭2次，即要求一桌一抹布，一用一消毒，病人出院、转归随时清洁消毒。</w:t>
            </w:r>
          </w:p>
          <w:p w14:paraId="4815DC99">
            <w:pPr>
              <w:pStyle w:val="11"/>
              <w:rPr>
                <w:rFonts w:hAnsi="宋体"/>
                <w:bCs/>
                <w:highlight w:val="none"/>
              </w:rPr>
            </w:pPr>
            <w:r>
              <w:rPr>
                <w:rFonts w:hint="eastAsia" w:hAnsi="宋体"/>
                <w:bCs/>
                <w:highlight w:val="none"/>
              </w:rPr>
              <w:t>2.9.3  诊察床、诊桌、平车、轮椅每日消毒1—2次，被血液、体液污染时及时用有效氯500mg/L的含氯消毒液消毒。</w:t>
            </w:r>
          </w:p>
          <w:p w14:paraId="5E44239B">
            <w:pPr>
              <w:pStyle w:val="11"/>
              <w:rPr>
                <w:rFonts w:hAnsi="宋体"/>
                <w:bCs/>
                <w:highlight w:val="none"/>
              </w:rPr>
            </w:pPr>
            <w:r>
              <w:rPr>
                <w:rFonts w:hint="eastAsia" w:hAnsi="宋体"/>
                <w:bCs/>
                <w:highlight w:val="none"/>
              </w:rPr>
              <w:t>2.9.4  卫生洁具分开使用，治疗室、办公室、病房、厕所分别设置专用拖布，标记明确，分开清洗，用后消毒，悬挂晾干备用。</w:t>
            </w:r>
          </w:p>
          <w:p w14:paraId="372E514F">
            <w:pPr>
              <w:pStyle w:val="11"/>
              <w:rPr>
                <w:rFonts w:hAnsi="宋体"/>
                <w:bCs/>
                <w:highlight w:val="none"/>
              </w:rPr>
            </w:pPr>
            <w:r>
              <w:rPr>
                <w:rFonts w:hint="eastAsia" w:hAnsi="宋体"/>
                <w:bCs/>
                <w:highlight w:val="none"/>
              </w:rPr>
              <w:t>2.9.5  特殊保洁场所要求配备专用清洁工具，即一室一拖把，一桌一抹布，用后立即清洗消毒。</w:t>
            </w:r>
          </w:p>
          <w:p w14:paraId="7F8C1210">
            <w:pPr>
              <w:pStyle w:val="11"/>
              <w:rPr>
                <w:rFonts w:hAnsi="宋体"/>
                <w:bCs/>
                <w:highlight w:val="none"/>
              </w:rPr>
            </w:pPr>
            <w:r>
              <w:rPr>
                <w:rFonts w:hint="eastAsia" w:hAnsi="宋体"/>
                <w:bCs/>
                <w:highlight w:val="none"/>
              </w:rPr>
              <w:t xml:space="preserve">2.9.6  要有正规的清洁车，避免保洁用品乱放消毒各种清洁用具分区固定使用， </w:t>
            </w:r>
          </w:p>
          <w:p w14:paraId="2F253C0F">
            <w:pPr>
              <w:pStyle w:val="11"/>
              <w:rPr>
                <w:rFonts w:hAnsi="宋体"/>
                <w:bCs/>
                <w:highlight w:val="none"/>
              </w:rPr>
            </w:pPr>
            <w:r>
              <w:rPr>
                <w:rFonts w:hint="eastAsia" w:hAnsi="宋体"/>
                <w:bCs/>
                <w:highlight w:val="none"/>
              </w:rPr>
              <w:t>2.9.7  生活垃圾置黑色塑料袋内，医疗垃圾置黄色垃圾袋运至指定地点（医疗废物暂存间），医疗废物暂存间每天地面清洁、消毒一次，紫外线照射1小时，保持清洁，生活医疗垃圾日产日清。</w:t>
            </w:r>
          </w:p>
          <w:p w14:paraId="14639532">
            <w:pPr>
              <w:pStyle w:val="11"/>
              <w:rPr>
                <w:rFonts w:hAnsi="宋体"/>
                <w:bCs/>
                <w:highlight w:val="none"/>
              </w:rPr>
            </w:pPr>
            <w:r>
              <w:rPr>
                <w:rFonts w:hint="eastAsia" w:hAnsi="宋体"/>
                <w:bCs/>
                <w:highlight w:val="none"/>
              </w:rPr>
              <w:t>2.10其他</w:t>
            </w:r>
          </w:p>
          <w:p w14:paraId="39BE3740">
            <w:pPr>
              <w:pStyle w:val="11"/>
              <w:rPr>
                <w:rFonts w:hAnsi="宋体"/>
                <w:bCs/>
                <w:highlight w:val="none"/>
              </w:rPr>
            </w:pPr>
            <w:r>
              <w:rPr>
                <w:rFonts w:hint="eastAsia" w:hAnsi="宋体"/>
                <w:bCs/>
                <w:highlight w:val="none"/>
              </w:rPr>
              <w:t>2.10.1消防门、消防器材、宣传栏、意见箱：每天用专用毛巾擦拭、清洁一次，无手印、无污渍。</w:t>
            </w:r>
          </w:p>
          <w:p w14:paraId="0128A767">
            <w:pPr>
              <w:pStyle w:val="11"/>
              <w:rPr>
                <w:rFonts w:hAnsi="宋体"/>
                <w:bCs/>
                <w:highlight w:val="none"/>
              </w:rPr>
            </w:pPr>
            <w:r>
              <w:rPr>
                <w:rFonts w:hint="eastAsia" w:hAnsi="宋体"/>
                <w:bCs/>
                <w:highlight w:val="none"/>
              </w:rPr>
              <w:t>2.10.2公共垃圾桶：每周用清水清洗一次、并擦拭干净，无手印、无污渍。</w:t>
            </w:r>
          </w:p>
          <w:p w14:paraId="478DE492">
            <w:pPr>
              <w:pStyle w:val="11"/>
              <w:rPr>
                <w:rFonts w:hAnsi="宋体"/>
                <w:b/>
                <w:highlight w:val="none"/>
              </w:rPr>
            </w:pPr>
            <w:r>
              <w:rPr>
                <w:rFonts w:hint="eastAsia" w:hAnsi="宋体"/>
                <w:b/>
                <w:highlight w:val="none"/>
              </w:rPr>
              <w:t>三、垃圾分类清收处理</w:t>
            </w:r>
          </w:p>
          <w:p w14:paraId="582CB807">
            <w:pPr>
              <w:pStyle w:val="11"/>
              <w:rPr>
                <w:rFonts w:hAnsi="宋体"/>
                <w:bCs/>
                <w:highlight w:val="none"/>
              </w:rPr>
            </w:pPr>
            <w:r>
              <w:rPr>
                <w:rFonts w:hint="eastAsia" w:hAnsi="宋体"/>
                <w:bCs/>
                <w:highlight w:val="none"/>
              </w:rPr>
              <w:t>病房产生的生活垃圾及医疗废弃物实行日产日清，分类包装、专人负责运送。收运过程无残留、无洒落、无残液滴漏，符合医疗废物管理办法。</w:t>
            </w:r>
          </w:p>
          <w:p w14:paraId="23199E9B">
            <w:pPr>
              <w:pStyle w:val="11"/>
              <w:rPr>
                <w:rFonts w:hAnsi="宋体"/>
                <w:b/>
                <w:highlight w:val="none"/>
              </w:rPr>
            </w:pPr>
            <w:r>
              <w:rPr>
                <w:rFonts w:hint="eastAsia" w:hAnsi="宋体"/>
                <w:b/>
                <w:highlight w:val="none"/>
              </w:rPr>
              <w:t>四、消防、安保服务</w:t>
            </w:r>
          </w:p>
          <w:p w14:paraId="5F192D83">
            <w:pPr>
              <w:pStyle w:val="11"/>
              <w:rPr>
                <w:rFonts w:hAnsi="宋体"/>
                <w:bCs/>
                <w:highlight w:val="none"/>
              </w:rPr>
            </w:pPr>
            <w:r>
              <w:rPr>
                <w:rFonts w:hint="eastAsia" w:hAnsi="宋体"/>
                <w:bCs/>
                <w:highlight w:val="none"/>
              </w:rPr>
              <w:t>1、日常服务内容：</w:t>
            </w:r>
          </w:p>
          <w:p w14:paraId="1F40226F">
            <w:pPr>
              <w:pStyle w:val="11"/>
              <w:rPr>
                <w:rFonts w:hAnsi="宋体"/>
                <w:bCs/>
                <w:highlight w:val="none"/>
              </w:rPr>
            </w:pPr>
            <w:r>
              <w:rPr>
                <w:rFonts w:hint="eastAsia" w:hAnsi="宋体"/>
                <w:bCs/>
                <w:highlight w:val="none"/>
              </w:rPr>
              <w:t>1.1医院大楼外围守护警卫工作；</w:t>
            </w:r>
          </w:p>
          <w:p w14:paraId="74DD6B58">
            <w:pPr>
              <w:pStyle w:val="11"/>
              <w:rPr>
                <w:rFonts w:hAnsi="宋体"/>
                <w:bCs/>
                <w:highlight w:val="none"/>
              </w:rPr>
            </w:pPr>
            <w:r>
              <w:rPr>
                <w:rFonts w:hint="eastAsia" w:hAnsi="宋体"/>
                <w:bCs/>
                <w:highlight w:val="none"/>
              </w:rPr>
              <w:t>1.2确保医院大楼外侧道路交通顺畅；</w:t>
            </w:r>
          </w:p>
          <w:p w14:paraId="37167D18">
            <w:pPr>
              <w:pStyle w:val="11"/>
              <w:rPr>
                <w:rFonts w:hAnsi="宋体"/>
                <w:bCs/>
                <w:highlight w:val="none"/>
              </w:rPr>
            </w:pPr>
            <w:r>
              <w:rPr>
                <w:rFonts w:hint="eastAsia" w:hAnsi="宋体"/>
                <w:bCs/>
                <w:highlight w:val="none"/>
              </w:rPr>
              <w:t>1.3执行医院大楼内各楼面巡查，做好防火防盗安全防范工作及巡查时协助记录维修事项，如：照明、漏水、空调运行等；</w:t>
            </w:r>
          </w:p>
          <w:p w14:paraId="12AAF5A4">
            <w:pPr>
              <w:pStyle w:val="11"/>
              <w:rPr>
                <w:rFonts w:hAnsi="宋体"/>
                <w:bCs/>
                <w:highlight w:val="none"/>
              </w:rPr>
            </w:pPr>
            <w:r>
              <w:rPr>
                <w:rFonts w:hint="eastAsia" w:hAnsi="宋体"/>
                <w:bCs/>
                <w:highlight w:val="none"/>
              </w:rPr>
              <w:t>1.4及时处理医院大楼内各突发事件，必要时疏散人员，及时汇报物业管理部门并做好记录；</w:t>
            </w:r>
          </w:p>
          <w:p w14:paraId="38F2FBA2">
            <w:pPr>
              <w:pStyle w:val="11"/>
              <w:rPr>
                <w:rFonts w:hAnsi="宋体"/>
                <w:bCs/>
                <w:highlight w:val="none"/>
              </w:rPr>
            </w:pPr>
            <w:r>
              <w:rPr>
                <w:rFonts w:hint="eastAsia" w:hAnsi="宋体"/>
                <w:bCs/>
                <w:highlight w:val="none"/>
              </w:rPr>
              <w:t>1.5检查医院大楼设施是否完好；</w:t>
            </w:r>
          </w:p>
          <w:p w14:paraId="3413664F">
            <w:pPr>
              <w:pStyle w:val="11"/>
              <w:rPr>
                <w:rFonts w:hAnsi="宋体"/>
                <w:bCs/>
                <w:highlight w:val="none"/>
              </w:rPr>
            </w:pPr>
            <w:r>
              <w:rPr>
                <w:rFonts w:hint="eastAsia" w:hAnsi="宋体"/>
                <w:bCs/>
                <w:highlight w:val="none"/>
              </w:rPr>
              <w:t>1.6负责停车场区域的巡查、管理，保证车道畅通，设备、车辆、人员管理；</w:t>
            </w:r>
          </w:p>
          <w:p w14:paraId="734245E8">
            <w:pPr>
              <w:pStyle w:val="11"/>
              <w:rPr>
                <w:rFonts w:hAnsi="宋体"/>
                <w:bCs/>
                <w:highlight w:val="none"/>
              </w:rPr>
            </w:pPr>
            <w:r>
              <w:rPr>
                <w:rFonts w:hint="eastAsia" w:hAnsi="宋体"/>
                <w:bCs/>
                <w:highlight w:val="none"/>
              </w:rPr>
              <w:t>1.7保安监控室消防安保监控工作；</w:t>
            </w:r>
          </w:p>
          <w:p w14:paraId="0D8CDECB">
            <w:pPr>
              <w:pStyle w:val="11"/>
              <w:rPr>
                <w:rFonts w:hAnsi="宋体"/>
                <w:bCs/>
                <w:highlight w:val="none"/>
              </w:rPr>
            </w:pPr>
            <w:r>
              <w:rPr>
                <w:rFonts w:hint="eastAsia" w:hAnsi="宋体"/>
                <w:bCs/>
                <w:highlight w:val="none"/>
              </w:rPr>
              <w:t>1.8检查入口设备、工具及非开放时段进出人员的凭证，负责人员登记工作；</w:t>
            </w:r>
          </w:p>
          <w:p w14:paraId="2267A967">
            <w:pPr>
              <w:pStyle w:val="11"/>
              <w:rPr>
                <w:rFonts w:hAnsi="宋体"/>
                <w:bCs/>
                <w:highlight w:val="none"/>
              </w:rPr>
            </w:pPr>
            <w:r>
              <w:rPr>
                <w:rFonts w:hint="eastAsia" w:hAnsi="宋体"/>
                <w:bCs/>
                <w:highlight w:val="none"/>
              </w:rPr>
              <w:t>2、消防、保安员工作职责：</w:t>
            </w:r>
          </w:p>
          <w:p w14:paraId="57910A69">
            <w:pPr>
              <w:pStyle w:val="11"/>
              <w:rPr>
                <w:rFonts w:hAnsi="宋体"/>
                <w:bCs/>
                <w:highlight w:val="none"/>
              </w:rPr>
            </w:pPr>
            <w:r>
              <w:rPr>
                <w:rFonts w:hint="eastAsia" w:hAnsi="宋体"/>
                <w:bCs/>
                <w:highlight w:val="none"/>
              </w:rPr>
              <w:t>2.1、服从</w:t>
            </w:r>
            <w:r>
              <w:rPr>
                <w:rFonts w:hint="eastAsia" w:hAnsi="宋体"/>
                <w:bCs/>
                <w:highlight w:val="none"/>
                <w:lang w:eastAsia="zh-CN"/>
              </w:rPr>
              <w:t>供应商</w:t>
            </w:r>
            <w:r>
              <w:rPr>
                <w:rFonts w:hint="eastAsia" w:hAnsi="宋体"/>
                <w:bCs/>
                <w:highlight w:val="none"/>
              </w:rPr>
              <w:t>及</w:t>
            </w:r>
            <w:r>
              <w:rPr>
                <w:rFonts w:hint="eastAsia" w:hAnsi="宋体"/>
                <w:bCs/>
                <w:highlight w:val="none"/>
                <w:lang w:eastAsia="zh-CN"/>
              </w:rPr>
              <w:t>采购人管理科室</w:t>
            </w:r>
            <w:r>
              <w:rPr>
                <w:rFonts w:hint="eastAsia" w:hAnsi="宋体"/>
                <w:bCs/>
                <w:highlight w:val="none"/>
              </w:rPr>
              <w:t>的领导、上岗时着制服、做到警容严整、态度端正、按时上班、不迟到、不早退、认真值班、不准任意调换班次，严格执行交接班制度，做好交接记录。</w:t>
            </w:r>
          </w:p>
          <w:p w14:paraId="4F9173F8">
            <w:pPr>
              <w:pStyle w:val="11"/>
              <w:rPr>
                <w:rFonts w:hAnsi="宋体"/>
                <w:bCs/>
                <w:highlight w:val="none"/>
              </w:rPr>
            </w:pPr>
            <w:r>
              <w:rPr>
                <w:rFonts w:hint="eastAsia" w:hAnsi="宋体"/>
                <w:bCs/>
                <w:highlight w:val="none"/>
              </w:rPr>
              <w:t>2.2、对来访人员、车辆要认真记录登记，严防事故，固定岗位巡逻岗相结合，坚持二十四小时执勤，以确保设施、人员、目标的安全。</w:t>
            </w:r>
          </w:p>
          <w:p w14:paraId="6A784029">
            <w:pPr>
              <w:pStyle w:val="11"/>
              <w:rPr>
                <w:rFonts w:hAnsi="宋体"/>
                <w:bCs/>
                <w:highlight w:val="none"/>
              </w:rPr>
            </w:pPr>
            <w:r>
              <w:rPr>
                <w:rFonts w:hint="eastAsia" w:hAnsi="宋体"/>
                <w:bCs/>
                <w:highlight w:val="none"/>
              </w:rPr>
              <w:t>2.3、对外来人员要热情，注意文明礼貌，不准超权和滥用职权侵犯群众利益，遇到突发事件、歹徒或犯罪分子、要坚决制止，迅速报警。</w:t>
            </w:r>
          </w:p>
          <w:p w14:paraId="3A24F9FD">
            <w:pPr>
              <w:pStyle w:val="11"/>
              <w:rPr>
                <w:rFonts w:hAnsi="宋体"/>
                <w:bCs/>
                <w:highlight w:val="none"/>
              </w:rPr>
            </w:pPr>
            <w:r>
              <w:rPr>
                <w:rFonts w:hint="eastAsia" w:hAnsi="宋体"/>
                <w:bCs/>
                <w:highlight w:val="none"/>
              </w:rPr>
              <w:t>2.4、不准喝酒上岗、不准在岗上吸烟、聊天、看书、看报、嬉笑、打闹、睡觉、吃零食、不准办私事。</w:t>
            </w:r>
          </w:p>
          <w:p w14:paraId="67737503">
            <w:pPr>
              <w:pStyle w:val="11"/>
              <w:rPr>
                <w:rFonts w:hAnsi="宋体"/>
                <w:bCs/>
                <w:highlight w:val="none"/>
              </w:rPr>
            </w:pPr>
            <w:r>
              <w:rPr>
                <w:rFonts w:hint="eastAsia" w:hAnsi="宋体"/>
                <w:bCs/>
                <w:highlight w:val="none"/>
              </w:rPr>
              <w:t>2.5、保安人员要有高度的工作责任心和熟练的业务水平、一切工作都要以</w:t>
            </w:r>
            <w:r>
              <w:rPr>
                <w:rFonts w:hint="eastAsia" w:hAnsi="宋体"/>
                <w:bCs/>
                <w:highlight w:val="none"/>
                <w:lang w:eastAsia="zh-CN"/>
              </w:rPr>
              <w:t>采购方</w:t>
            </w:r>
            <w:r>
              <w:rPr>
                <w:rFonts w:hint="eastAsia" w:hAnsi="宋体"/>
                <w:bCs/>
                <w:highlight w:val="none"/>
              </w:rPr>
              <w:t>及</w:t>
            </w:r>
            <w:r>
              <w:rPr>
                <w:rFonts w:hint="eastAsia" w:hAnsi="宋体"/>
                <w:bCs/>
                <w:highlight w:val="none"/>
                <w:lang w:eastAsia="zh-CN"/>
              </w:rPr>
              <w:t>人民群众</w:t>
            </w:r>
            <w:r>
              <w:rPr>
                <w:rFonts w:hint="eastAsia" w:hAnsi="宋体"/>
                <w:bCs/>
                <w:highlight w:val="none"/>
              </w:rPr>
              <w:t>生命安全为最高准则。</w:t>
            </w:r>
          </w:p>
          <w:p w14:paraId="47B8142D">
            <w:pPr>
              <w:pStyle w:val="11"/>
              <w:rPr>
                <w:rFonts w:hAnsi="宋体"/>
                <w:bCs/>
                <w:highlight w:val="none"/>
              </w:rPr>
            </w:pPr>
            <w:r>
              <w:rPr>
                <w:rFonts w:hint="eastAsia" w:hAnsi="宋体"/>
                <w:bCs/>
                <w:highlight w:val="none"/>
              </w:rPr>
              <w:t>2.6、值班人员每时每刻都要保持高度的警惕性，不得擅离职守做到“有警必报”。对异常情况要及时向上级汇报。</w:t>
            </w:r>
          </w:p>
          <w:p w14:paraId="0D58B29B">
            <w:pPr>
              <w:pStyle w:val="11"/>
              <w:rPr>
                <w:rFonts w:hAnsi="宋体"/>
                <w:bCs/>
                <w:highlight w:val="none"/>
              </w:rPr>
            </w:pPr>
            <w:r>
              <w:rPr>
                <w:rFonts w:hint="eastAsia" w:hAnsi="宋体"/>
                <w:bCs/>
                <w:highlight w:val="none"/>
              </w:rPr>
              <w:t>2.7、熟悉大楼各部位的消防设备，灭火器材的使用和管理，熟知火警，火灾的处理程序，严禁易燃易爆和其它危险品进入办公楼，接受公安、消防的检查、指导，提高业务水平。</w:t>
            </w:r>
          </w:p>
          <w:p w14:paraId="7A8247B8">
            <w:pPr>
              <w:pStyle w:val="11"/>
              <w:rPr>
                <w:rFonts w:hAnsi="宋体"/>
                <w:bCs/>
                <w:highlight w:val="none"/>
              </w:rPr>
            </w:pPr>
            <w:r>
              <w:rPr>
                <w:rFonts w:hint="eastAsia" w:hAnsi="宋体"/>
                <w:bCs/>
                <w:highlight w:val="none"/>
              </w:rPr>
              <w:t>2.8、熟悉岗位任务及要求、对楼面、通道、电梯、防火设施进行监督、巡察，保证其安全。</w:t>
            </w:r>
          </w:p>
          <w:p w14:paraId="29663E15">
            <w:pPr>
              <w:pStyle w:val="11"/>
              <w:rPr>
                <w:rFonts w:hAnsi="宋体"/>
                <w:bCs/>
                <w:highlight w:val="none"/>
              </w:rPr>
            </w:pPr>
            <w:r>
              <w:rPr>
                <w:rFonts w:hint="eastAsia" w:hAnsi="宋体"/>
                <w:bCs/>
                <w:highlight w:val="none"/>
              </w:rPr>
              <w:t>2.9、对重点部位要多次巡查、每次都要有记录，遇到问题要果断处理、发现可疑人员要严格查问，已发生的事故要采取措施保护好现场。</w:t>
            </w:r>
          </w:p>
          <w:p w14:paraId="10FDC11E">
            <w:pPr>
              <w:pStyle w:val="11"/>
              <w:rPr>
                <w:rFonts w:hAnsi="宋体"/>
                <w:bCs/>
                <w:highlight w:val="none"/>
              </w:rPr>
            </w:pPr>
            <w:r>
              <w:rPr>
                <w:rFonts w:hint="eastAsia" w:hAnsi="宋体"/>
                <w:bCs/>
                <w:highlight w:val="none"/>
              </w:rPr>
              <w:t>2.10、安保人员、专职消防员须持证上岗。</w:t>
            </w:r>
          </w:p>
          <w:p w14:paraId="43D41FB5">
            <w:pPr>
              <w:keepNext w:val="0"/>
              <w:keepLines w:val="0"/>
              <w:pageBreakBefore w:val="0"/>
              <w:kinsoku/>
              <w:wordWrap/>
              <w:overflowPunct/>
              <w:topLinePunct w:val="0"/>
              <w:autoSpaceDE/>
              <w:autoSpaceDN/>
              <w:bidi w:val="0"/>
              <w:adjustRightInd w:val="0"/>
              <w:snapToGrid w:val="0"/>
              <w:spacing w:after="0"/>
              <w:textAlignment w:val="auto"/>
              <w:rPr>
                <w:rFonts w:hint="eastAsia" w:ascii="宋体" w:hAnsi="宋体" w:eastAsia="宋体"/>
                <w:bCs/>
                <w:szCs w:val="21"/>
                <w:highlight w:val="none"/>
              </w:rPr>
            </w:pPr>
            <w:r>
              <w:rPr>
                <w:rFonts w:hint="eastAsia" w:ascii="宋体" w:hAnsi="宋体" w:eastAsia="宋体"/>
                <w:bCs/>
                <w:szCs w:val="21"/>
                <w:highlight w:val="none"/>
              </w:rPr>
              <w:t>2.1</w:t>
            </w:r>
            <w:r>
              <w:rPr>
                <w:rFonts w:ascii="宋体" w:hAnsi="宋体" w:eastAsia="宋体"/>
                <w:bCs/>
                <w:szCs w:val="21"/>
                <w:highlight w:val="none"/>
              </w:rPr>
              <w:t>1</w:t>
            </w:r>
            <w:r>
              <w:rPr>
                <w:rFonts w:hint="eastAsia" w:ascii="宋体" w:hAnsi="宋体" w:eastAsia="宋体"/>
                <w:bCs/>
                <w:szCs w:val="21"/>
                <w:highlight w:val="none"/>
              </w:rPr>
              <w:t>、完成</w:t>
            </w:r>
            <w:r>
              <w:rPr>
                <w:rFonts w:hint="eastAsia" w:ascii="宋体" w:hAnsi="宋体" w:eastAsia="宋体"/>
                <w:bCs/>
                <w:szCs w:val="21"/>
                <w:highlight w:val="none"/>
                <w:lang w:eastAsia="zh-CN"/>
              </w:rPr>
              <w:t>采购人</w:t>
            </w:r>
            <w:r>
              <w:rPr>
                <w:rFonts w:hint="eastAsia" w:ascii="宋体" w:hAnsi="宋体" w:eastAsia="宋体"/>
                <w:bCs/>
                <w:szCs w:val="21"/>
                <w:highlight w:val="none"/>
              </w:rPr>
              <w:t>交办的其它工作任务。</w:t>
            </w:r>
          </w:p>
          <w:p w14:paraId="45A78D6A">
            <w:pPr>
              <w:keepNext w:val="0"/>
              <w:keepLines w:val="0"/>
              <w:pageBreakBefore w:val="0"/>
              <w:kinsoku/>
              <w:wordWrap/>
              <w:overflowPunct/>
              <w:topLinePunct w:val="0"/>
              <w:autoSpaceDE/>
              <w:autoSpaceDN/>
              <w:bidi w:val="0"/>
              <w:adjustRightInd w:val="0"/>
              <w:snapToGrid w:val="0"/>
              <w:spacing w:after="0"/>
              <w:textAlignment w:val="auto"/>
              <w:rPr>
                <w:rFonts w:hAnsi="宋体"/>
                <w:b/>
                <w:highlight w:val="none"/>
              </w:rPr>
            </w:pPr>
            <w:r>
              <w:rPr>
                <w:rFonts w:hint="eastAsia" w:hAnsi="宋体"/>
                <w:b/>
                <w:highlight w:val="none"/>
              </w:rPr>
              <w:t>五、洗涤服务</w:t>
            </w:r>
          </w:p>
          <w:p w14:paraId="769036E4">
            <w:pPr>
              <w:pStyle w:val="11"/>
              <w:keepNext w:val="0"/>
              <w:keepLines w:val="0"/>
              <w:pageBreakBefore w:val="0"/>
              <w:kinsoku/>
              <w:wordWrap/>
              <w:overflowPunct/>
              <w:topLinePunct w:val="0"/>
              <w:autoSpaceDE/>
              <w:autoSpaceDN/>
              <w:bidi w:val="0"/>
              <w:adjustRightInd w:val="0"/>
              <w:snapToGrid w:val="0"/>
              <w:spacing w:after="0"/>
              <w:textAlignment w:val="auto"/>
              <w:rPr>
                <w:rFonts w:hAnsi="宋体"/>
                <w:bCs/>
                <w:highlight w:val="none"/>
              </w:rPr>
            </w:pPr>
            <w:r>
              <w:rPr>
                <w:rFonts w:hint="eastAsia" w:hAnsi="宋体"/>
                <w:bCs/>
                <w:highlight w:val="none"/>
              </w:rPr>
              <w:t>1、洗涤工作内容</w:t>
            </w:r>
          </w:p>
          <w:p w14:paraId="065CDF30">
            <w:pPr>
              <w:pStyle w:val="11"/>
              <w:rPr>
                <w:rFonts w:hAnsi="宋体"/>
                <w:bCs/>
                <w:highlight w:val="none"/>
              </w:rPr>
            </w:pPr>
            <w:r>
              <w:rPr>
                <w:rFonts w:hint="eastAsia" w:hAnsi="宋体"/>
                <w:bCs/>
                <w:highlight w:val="none"/>
              </w:rPr>
              <w:t>1.1、洗涤范围及内容：（1）全院包括病房、门急诊、医疗辅助科室等部门的床上用品；（2）全院所有的病员服和工作人员的工作服、隔离服等；（3）全院所有的医疗辅料；（4）手术室所有的手术被服用品及其辅料；（5）其他需洗涤的物品，如：毛巾、窗帘等；（5）包含洗涤所需要的物耗，水电除外。</w:t>
            </w:r>
          </w:p>
          <w:p w14:paraId="3232ED63">
            <w:pPr>
              <w:pStyle w:val="11"/>
              <w:rPr>
                <w:rFonts w:hAnsi="宋体"/>
                <w:bCs/>
                <w:highlight w:val="none"/>
              </w:rPr>
            </w:pPr>
            <w:r>
              <w:rPr>
                <w:rFonts w:hint="eastAsia" w:hAnsi="宋体"/>
                <w:bCs/>
                <w:highlight w:val="none"/>
              </w:rPr>
              <w:t>1.2、工作步骤及内容：（1）每日要做好洗涤物品的认真清点、浸泡、清洗、整烫、整理、修补（包括缝纫纽扣等）、折叠、登记、收发；（2）每天17：00前必须交出干净整洁的洗涤物品，并办好交接手续；（3）必须做好临时性的应急洗涤工作。</w:t>
            </w:r>
          </w:p>
          <w:p w14:paraId="5BEEF50B">
            <w:pPr>
              <w:pStyle w:val="11"/>
              <w:rPr>
                <w:rFonts w:hAnsi="宋体"/>
                <w:bCs/>
                <w:highlight w:val="none"/>
              </w:rPr>
            </w:pPr>
            <w:r>
              <w:rPr>
                <w:rFonts w:hint="eastAsia" w:hAnsi="宋体"/>
                <w:bCs/>
                <w:highlight w:val="none"/>
              </w:rPr>
              <w:t>2、洗涤工作细则</w:t>
            </w:r>
          </w:p>
          <w:p w14:paraId="5C46A4E9">
            <w:pPr>
              <w:pStyle w:val="11"/>
              <w:rPr>
                <w:rFonts w:hAnsi="宋体"/>
                <w:bCs/>
                <w:highlight w:val="none"/>
              </w:rPr>
            </w:pPr>
            <w:r>
              <w:rPr>
                <w:rFonts w:hint="eastAsia" w:hAnsi="宋体"/>
                <w:bCs/>
                <w:highlight w:val="none"/>
              </w:rPr>
              <w:t>医院洗衣房承担全院病人衣服、被单以及医护人员工作服的回收、清洗消毒和发放。工作质量的优劣，对医院感染控制会产生很大影响。因此洗衣房工作人员要严格执行清洗消毒运行程序、洗涤消毒物品管理制度及安全操作规章制度，保证洗衣房各项工作的顺利开展。</w:t>
            </w:r>
          </w:p>
          <w:p w14:paraId="2EE1FBD1">
            <w:pPr>
              <w:pStyle w:val="11"/>
              <w:rPr>
                <w:rFonts w:hAnsi="宋体"/>
                <w:bCs/>
                <w:highlight w:val="none"/>
              </w:rPr>
            </w:pPr>
            <w:r>
              <w:rPr>
                <w:rFonts w:hint="eastAsia" w:hAnsi="宋体"/>
                <w:bCs/>
                <w:highlight w:val="none"/>
              </w:rPr>
              <w:t>2.1、工作人员必须进行岗前培训。</w:t>
            </w:r>
          </w:p>
          <w:p w14:paraId="2751E4BE">
            <w:pPr>
              <w:pStyle w:val="11"/>
              <w:rPr>
                <w:rFonts w:hAnsi="宋体"/>
                <w:bCs/>
                <w:highlight w:val="none"/>
              </w:rPr>
            </w:pPr>
            <w:r>
              <w:rPr>
                <w:rFonts w:hint="eastAsia" w:hAnsi="宋体"/>
                <w:bCs/>
                <w:highlight w:val="none"/>
              </w:rPr>
              <w:t>2.2、工作人员要文明服务，上班衣帽整洁，不戴手饰，接触污物后用皂液流动水洗手，维护医院的良好形象。</w:t>
            </w:r>
          </w:p>
          <w:p w14:paraId="5F18CCD4">
            <w:pPr>
              <w:pStyle w:val="11"/>
              <w:rPr>
                <w:rFonts w:hAnsi="宋体"/>
                <w:bCs/>
                <w:highlight w:val="none"/>
              </w:rPr>
            </w:pPr>
            <w:r>
              <w:rPr>
                <w:rFonts w:hint="eastAsia" w:hAnsi="宋体"/>
                <w:bCs/>
                <w:highlight w:val="none"/>
              </w:rPr>
              <w:t>2.3、工作人员收发物品时，要文明服务。</w:t>
            </w:r>
          </w:p>
          <w:p w14:paraId="0F3A28EF">
            <w:pPr>
              <w:pStyle w:val="11"/>
              <w:rPr>
                <w:rFonts w:hAnsi="宋体"/>
                <w:bCs/>
                <w:highlight w:val="none"/>
              </w:rPr>
            </w:pPr>
            <w:r>
              <w:rPr>
                <w:rFonts w:hint="eastAsia" w:hAnsi="宋体"/>
                <w:bCs/>
                <w:highlight w:val="none"/>
              </w:rPr>
              <w:t>2.4、认真执行衣物清洗规章制度，分类清洗。被血液、体液污染的衣物应单独消毒、清洗。消毒采用500mg/L的有效氯溶液，消毒时间不少于30分钟，传染病污染的衣物，先消毒后清洗。</w:t>
            </w:r>
          </w:p>
          <w:p w14:paraId="330A570D">
            <w:pPr>
              <w:pStyle w:val="11"/>
              <w:rPr>
                <w:rFonts w:hAnsi="宋体"/>
                <w:bCs/>
                <w:highlight w:val="none"/>
              </w:rPr>
            </w:pPr>
            <w:r>
              <w:rPr>
                <w:rFonts w:hint="eastAsia" w:hAnsi="宋体"/>
                <w:bCs/>
                <w:highlight w:val="none"/>
              </w:rPr>
              <w:t>2.5、工作人员、新生儿衣物和病人的衣物应分开洗涤。对感染病人的衣物尽量少翻动，减少污染。</w:t>
            </w:r>
          </w:p>
          <w:p w14:paraId="22AFD684">
            <w:pPr>
              <w:pStyle w:val="11"/>
              <w:rPr>
                <w:rFonts w:hAnsi="宋体"/>
                <w:bCs/>
                <w:highlight w:val="none"/>
              </w:rPr>
            </w:pPr>
            <w:r>
              <w:rPr>
                <w:rFonts w:hint="eastAsia" w:hAnsi="宋体"/>
                <w:bCs/>
                <w:highlight w:val="none"/>
              </w:rPr>
              <w:t>2.6、清洗的被服必须干净，无血迹、污迹，清洁被服专区专柜存放。</w:t>
            </w:r>
          </w:p>
          <w:p w14:paraId="704F93E4">
            <w:pPr>
              <w:pStyle w:val="11"/>
              <w:rPr>
                <w:rFonts w:hAnsi="宋体"/>
                <w:bCs/>
                <w:highlight w:val="none"/>
              </w:rPr>
            </w:pPr>
            <w:r>
              <w:rPr>
                <w:rFonts w:hint="eastAsia" w:hAnsi="宋体"/>
                <w:bCs/>
                <w:highlight w:val="none"/>
              </w:rPr>
              <w:t xml:space="preserve">2.7、规范使用机器设备，严格按照洗涤设备操作程序操作，每日使用设备前应试运行检查，使用后按要求保养，发现问题及时报告总务科负责人，禁止违章操作。  </w:t>
            </w:r>
          </w:p>
          <w:p w14:paraId="5C006524">
            <w:pPr>
              <w:pStyle w:val="11"/>
              <w:rPr>
                <w:rFonts w:hAnsi="宋体"/>
                <w:bCs/>
                <w:highlight w:val="none"/>
              </w:rPr>
            </w:pPr>
            <w:r>
              <w:rPr>
                <w:rFonts w:hint="eastAsia" w:hAnsi="宋体"/>
                <w:bCs/>
                <w:highlight w:val="none"/>
              </w:rPr>
              <w:t>2.8、节约洗涤成本，机器在工作时必须有专人监看工作流程，不准超负荷运转或空转，工作完成后及时关机。</w:t>
            </w:r>
          </w:p>
          <w:p w14:paraId="22C2CE4E">
            <w:pPr>
              <w:pStyle w:val="11"/>
              <w:rPr>
                <w:rFonts w:hAnsi="宋体"/>
                <w:bCs/>
                <w:highlight w:val="none"/>
              </w:rPr>
            </w:pPr>
            <w:r>
              <w:rPr>
                <w:rFonts w:hint="eastAsia" w:hAnsi="宋体"/>
                <w:bCs/>
                <w:highlight w:val="none"/>
              </w:rPr>
              <w:t xml:space="preserve">2.9、勤恳工作，厉行节约，爱护设备，节约用水、用电、用料，破烂至不能用的应与科室交接时确定数量。 </w:t>
            </w:r>
          </w:p>
          <w:p w14:paraId="141D44B8">
            <w:pPr>
              <w:pStyle w:val="11"/>
              <w:rPr>
                <w:rFonts w:hAnsi="宋体"/>
                <w:bCs/>
                <w:highlight w:val="none"/>
              </w:rPr>
            </w:pPr>
            <w:r>
              <w:rPr>
                <w:rFonts w:hint="eastAsia" w:hAnsi="宋体"/>
                <w:bCs/>
                <w:highlight w:val="none"/>
              </w:rPr>
              <w:t>2.10、对所有洗涤完毕的物品要求洗涤后进行整烫，无破损、无残缺、无毛边，对破损、残缺和毛边的要进行缝补、修剪。</w:t>
            </w:r>
          </w:p>
          <w:p w14:paraId="0B601F7D">
            <w:pPr>
              <w:pStyle w:val="11"/>
              <w:rPr>
                <w:rFonts w:hAnsi="宋体"/>
                <w:bCs/>
                <w:highlight w:val="none"/>
              </w:rPr>
            </w:pPr>
            <w:r>
              <w:rPr>
                <w:rFonts w:hint="eastAsia" w:hAnsi="宋体"/>
                <w:bCs/>
                <w:highlight w:val="none"/>
              </w:rPr>
              <w:t>2.11、洗涤被服供应要及时，临时性的工作要随叫随到，不得影响医院的正常医疗工作。</w:t>
            </w:r>
          </w:p>
          <w:p w14:paraId="25242F1A">
            <w:pPr>
              <w:pStyle w:val="11"/>
              <w:rPr>
                <w:rFonts w:hAnsi="宋体"/>
                <w:bCs/>
                <w:highlight w:val="none"/>
              </w:rPr>
            </w:pPr>
            <w:r>
              <w:rPr>
                <w:rFonts w:hint="eastAsia" w:hAnsi="宋体"/>
                <w:bCs/>
                <w:highlight w:val="none"/>
              </w:rPr>
              <w:t>2.12、对一些特殊的科室，如手术室等，应根据具体情况进行特殊操作。</w:t>
            </w:r>
          </w:p>
          <w:p w14:paraId="5D0D25F5">
            <w:pPr>
              <w:pStyle w:val="11"/>
              <w:rPr>
                <w:rFonts w:hAnsi="宋体"/>
                <w:bCs/>
                <w:highlight w:val="none"/>
              </w:rPr>
            </w:pPr>
            <w:r>
              <w:rPr>
                <w:rFonts w:hint="eastAsia" w:hAnsi="宋体"/>
                <w:bCs/>
                <w:highlight w:val="none"/>
              </w:rPr>
              <w:t>2.13、热忱做好被服上收、下送工作，按时按量完成任务，认真清点数目，按规定办理交接手续并签字。</w:t>
            </w:r>
          </w:p>
          <w:p w14:paraId="3BFDE34E">
            <w:pPr>
              <w:pStyle w:val="11"/>
              <w:rPr>
                <w:rFonts w:hAnsi="宋体"/>
                <w:bCs/>
                <w:highlight w:val="none"/>
              </w:rPr>
            </w:pPr>
            <w:r>
              <w:rPr>
                <w:rFonts w:hint="eastAsia" w:hAnsi="宋体"/>
                <w:bCs/>
                <w:highlight w:val="none"/>
              </w:rPr>
              <w:t>2.14、保持环境清洁，每日清洁消毒，每周大扫除，物体表面每天用500mg/L的有效氯溶液擦拭。</w:t>
            </w:r>
          </w:p>
          <w:p w14:paraId="2AF18045">
            <w:pPr>
              <w:pStyle w:val="11"/>
              <w:rPr>
                <w:rFonts w:hAnsi="宋体"/>
                <w:bCs/>
                <w:highlight w:val="none"/>
              </w:rPr>
            </w:pPr>
            <w:r>
              <w:rPr>
                <w:rFonts w:hint="eastAsia" w:hAnsi="宋体"/>
                <w:bCs/>
                <w:highlight w:val="none"/>
              </w:rPr>
              <w:t>2.15、不同被服使用不同的专用设备和工具，设备、车辆、工具使用一次消毒一次，防止交叉感染。</w:t>
            </w:r>
          </w:p>
          <w:p w14:paraId="344497CB">
            <w:pPr>
              <w:pStyle w:val="11"/>
              <w:rPr>
                <w:rFonts w:hAnsi="宋体"/>
                <w:bCs/>
                <w:highlight w:val="none"/>
              </w:rPr>
            </w:pPr>
            <w:r>
              <w:rPr>
                <w:rFonts w:hint="eastAsia" w:hAnsi="宋体"/>
                <w:bCs/>
                <w:highlight w:val="none"/>
              </w:rPr>
              <w:t>2.16、对工作中出现的特殊情况，要及时与医院沟通汇报，以防发生意外而影响医疗工作。</w:t>
            </w:r>
          </w:p>
          <w:p w14:paraId="59684160">
            <w:pPr>
              <w:pStyle w:val="11"/>
              <w:rPr>
                <w:rFonts w:hint="eastAsia" w:hAnsi="宋体" w:cs="Times New Roman"/>
                <w:b/>
                <w:highlight w:val="none"/>
              </w:rPr>
            </w:pPr>
            <w:r>
              <w:rPr>
                <w:rFonts w:hint="eastAsia" w:hAnsi="宋体"/>
                <w:b/>
                <w:highlight w:val="none"/>
              </w:rPr>
              <w:t>六</w:t>
            </w:r>
            <w:r>
              <w:rPr>
                <w:rFonts w:hint="eastAsia" w:hAnsi="宋体" w:cs="Times New Roman"/>
                <w:b/>
                <w:highlight w:val="none"/>
              </w:rPr>
              <w:t>、人员配置要求：不少于63人，具体岗位由乙方自拟。</w:t>
            </w:r>
          </w:p>
          <w:p w14:paraId="3B80E749">
            <w:pPr>
              <w:pStyle w:val="11"/>
              <w:rPr>
                <w:rFonts w:hint="eastAsia" w:ascii="宋体" w:hAnsi="宋体" w:cs="Courier New" w:eastAsiaTheme="minorEastAsia"/>
                <w:bCs/>
                <w:kern w:val="2"/>
                <w:sz w:val="21"/>
                <w:szCs w:val="21"/>
                <w:highlight w:val="none"/>
                <w:lang w:val="en-US" w:eastAsia="zh-CN" w:bidi="ar-SA"/>
              </w:rPr>
            </w:pPr>
            <w:r>
              <w:rPr>
                <w:rFonts w:hint="eastAsia" w:hAnsi="宋体" w:cs="Times New Roman"/>
                <w:b/>
                <w:highlight w:val="none"/>
              </w:rPr>
              <w:t>七、人员待遇问题：工资、保险等福利由乙方和聘用人员签订，具体情况见聘用合同</w:t>
            </w:r>
            <w:r>
              <w:rPr>
                <w:rFonts w:hint="eastAsia" w:hAnsi="宋体" w:cs="Times New Roman"/>
                <w:b/>
                <w:highlight w:val="none"/>
                <w:lang w:eastAsia="zh-CN"/>
              </w:rPr>
              <w:t>。</w:t>
            </w:r>
          </w:p>
        </w:tc>
      </w:tr>
      <w:tr w14:paraId="7383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5000" w:type="pct"/>
            <w:gridSpan w:val="4"/>
            <w:noWrap w:val="0"/>
            <w:vAlign w:val="center"/>
          </w:tcPr>
          <w:p w14:paraId="2E4B1A54">
            <w:pPr>
              <w:widowControl/>
              <w:spacing w:line="36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szCs w:val="21"/>
                <w:highlight w:val="none"/>
                <w:lang w:val="en-US" w:eastAsia="zh-CN"/>
              </w:rPr>
              <w:t>▲二、商务及其他要求</w:t>
            </w:r>
          </w:p>
        </w:tc>
      </w:tr>
      <w:tr w14:paraId="1C81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DE671DE">
            <w:pPr>
              <w:widowControl/>
              <w:spacing w:line="400" w:lineRule="exact"/>
              <w:jc w:val="center"/>
              <w:rPr>
                <w:rFonts w:hint="eastAsia" w:ascii="宋体" w:hAnsi="宋体" w:cs="宋体"/>
                <w:color w:val="auto"/>
                <w:szCs w:val="21"/>
                <w:highlight w:val="none"/>
              </w:rPr>
            </w:pPr>
            <w:r>
              <w:rPr>
                <w:rFonts w:hint="eastAsia" w:asciiTheme="minorEastAsia" w:hAnsiTheme="minorEastAsia" w:eastAsiaTheme="minorEastAsia" w:cstheme="minorEastAsia"/>
                <w:b/>
                <w:bCs/>
                <w:color w:val="auto"/>
                <w:sz w:val="21"/>
                <w:szCs w:val="21"/>
                <w:highlight w:val="none"/>
                <w:lang w:eastAsia="zh-CN"/>
              </w:rPr>
              <w:t>合同履行期限</w:t>
            </w:r>
          </w:p>
        </w:tc>
        <w:tc>
          <w:tcPr>
            <w:tcW w:w="4148" w:type="pct"/>
            <w:gridSpan w:val="2"/>
            <w:tcBorders>
              <w:left w:val="single" w:color="auto" w:sz="4" w:space="0"/>
            </w:tcBorders>
            <w:noWrap w:val="0"/>
            <w:vAlign w:val="center"/>
          </w:tcPr>
          <w:p w14:paraId="35895E2D">
            <w:pPr>
              <w:keepNext w:val="0"/>
              <w:keepLines w:val="0"/>
              <w:pageBreakBefore w:val="0"/>
              <w:widowControl/>
              <w:kinsoku/>
              <w:wordWrap/>
              <w:overflowPunct/>
              <w:topLinePunct w:val="0"/>
              <w:autoSpaceDE/>
              <w:autoSpaceDN/>
              <w:bidi w:val="0"/>
              <w:adjustRightInd w:val="0"/>
              <w:snapToGrid/>
              <w:spacing w:line="360" w:lineRule="exact"/>
              <w:jc w:val="left"/>
              <w:textAlignment w:val="auto"/>
              <w:rPr>
                <w:rFonts w:hint="eastAsia" w:ascii="宋体" w:hAnsi="宋体"/>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自提供服务之日起1年，具体服务起止时间以合同约定日期为准</w:t>
            </w:r>
            <w:r>
              <w:rPr>
                <w:rFonts w:hint="eastAsia" w:ascii="宋体" w:hAnsi="宋体"/>
                <w:color w:val="auto"/>
                <w:szCs w:val="21"/>
                <w:highlight w:val="none"/>
              </w:rPr>
              <w:t>；</w:t>
            </w:r>
          </w:p>
        </w:tc>
      </w:tr>
      <w:tr w14:paraId="08F5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75F547E0">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服务地点</w:t>
            </w:r>
          </w:p>
        </w:tc>
        <w:tc>
          <w:tcPr>
            <w:tcW w:w="4148" w:type="pct"/>
            <w:gridSpan w:val="2"/>
            <w:tcBorders>
              <w:left w:val="single" w:color="auto" w:sz="4" w:space="0"/>
            </w:tcBorders>
            <w:noWrap w:val="0"/>
            <w:vAlign w:val="center"/>
          </w:tcPr>
          <w:p w14:paraId="2CCD2F70">
            <w:pPr>
              <w:pStyle w:val="42"/>
              <w:keepNext w:val="0"/>
              <w:keepLines w:val="0"/>
              <w:pageBreakBefore w:val="0"/>
              <w:kinsoku/>
              <w:wordWrap/>
              <w:overflowPunct/>
              <w:topLinePunct w:val="0"/>
              <w:autoSpaceDE/>
              <w:autoSpaceDN/>
              <w:bidi w:val="0"/>
              <w:adjustRightInd w:val="0"/>
              <w:snapToGrid/>
              <w:spacing w:before="83" w:line="360" w:lineRule="exac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采购人指定地点。</w:t>
            </w:r>
          </w:p>
        </w:tc>
      </w:tr>
      <w:tr w14:paraId="759CA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9363261">
            <w:pPr>
              <w:spacing w:line="360" w:lineRule="exact"/>
              <w:ind w:left="-107" w:leftChars="-51" w:firstLine="126" w:firstLineChars="60"/>
              <w:jc w:val="center"/>
              <w:rPr>
                <w:rFonts w:hint="eastAsia" w:ascii="宋体" w:hAnsi="宋体" w:cs="宋体"/>
                <w:color w:val="auto"/>
                <w:szCs w:val="21"/>
                <w:highlight w:val="none"/>
              </w:rPr>
            </w:pPr>
            <w:r>
              <w:rPr>
                <w:rFonts w:hint="eastAsia" w:ascii="宋体" w:hAnsi="宋体" w:cs="宋体"/>
                <w:b/>
                <w:color w:val="auto"/>
                <w:szCs w:val="21"/>
                <w:highlight w:val="none"/>
              </w:rPr>
              <w:t>签订合同日期</w:t>
            </w:r>
          </w:p>
        </w:tc>
        <w:tc>
          <w:tcPr>
            <w:tcW w:w="4148" w:type="pct"/>
            <w:gridSpan w:val="2"/>
            <w:tcBorders>
              <w:left w:val="single" w:color="auto" w:sz="4" w:space="0"/>
            </w:tcBorders>
            <w:noWrap w:val="0"/>
            <w:vAlign w:val="center"/>
          </w:tcPr>
          <w:p w14:paraId="1B9D8433">
            <w:pPr>
              <w:pStyle w:val="43"/>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自成交通知书发出之日起15日内签订完毕。</w:t>
            </w:r>
          </w:p>
        </w:tc>
      </w:tr>
      <w:tr w14:paraId="3C7C8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0EF9F3B0">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付款方式</w:t>
            </w:r>
          </w:p>
        </w:tc>
        <w:tc>
          <w:tcPr>
            <w:tcW w:w="4148" w:type="pct"/>
            <w:gridSpan w:val="2"/>
            <w:tcBorders>
              <w:left w:val="single" w:color="auto" w:sz="4" w:space="0"/>
            </w:tcBorders>
            <w:noWrap w:val="0"/>
            <w:vAlign w:val="center"/>
          </w:tcPr>
          <w:p w14:paraId="5AB7E28E">
            <w:pPr>
              <w:pStyle w:val="43"/>
              <w:keepNext w:val="0"/>
              <w:keepLines w:val="0"/>
              <w:pageBreakBefore w:val="0"/>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本项目无预付款，按月进行支付，具体金额以成交价平均计算，每月10日前成交供应商向采购人提交物业费支付请款单，经采购人确认后通知供应商开具等额增值税发票，采购人在成交供应商开具发票后10个工作日内支付前一个月的物业服务费。</w:t>
            </w:r>
            <w:bookmarkStart w:id="39" w:name="_GoBack"/>
            <w:bookmarkEnd w:id="39"/>
          </w:p>
        </w:tc>
      </w:tr>
      <w:tr w14:paraId="5960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0665E7F6">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质量保障要求</w:t>
            </w:r>
          </w:p>
        </w:tc>
        <w:tc>
          <w:tcPr>
            <w:tcW w:w="4148" w:type="pct"/>
            <w:gridSpan w:val="2"/>
            <w:tcBorders>
              <w:left w:val="single" w:color="auto" w:sz="4" w:space="0"/>
            </w:tcBorders>
            <w:noWrap w:val="0"/>
            <w:vAlign w:val="center"/>
          </w:tcPr>
          <w:p w14:paraId="26DE1832">
            <w:pPr>
              <w:keepNext w:val="0"/>
              <w:keepLines w:val="0"/>
              <w:pageBreakBefore w:val="0"/>
              <w:widowControl/>
              <w:numPr>
                <w:ilvl w:val="0"/>
                <w:numId w:val="3"/>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成交供应商违反本物业管理服务质量约定，未能达到约定的管理目标，采购单位有权要求成交供应商限期整改，逾期未整改的，采购单位有权终止合同；造成采购单位经济损失的，成交供应商应给予采购单位经济赔偿</w:t>
            </w:r>
            <w:r>
              <w:rPr>
                <w:rFonts w:hint="eastAsia" w:ascii="宋体" w:hAnsi="宋体" w:cs="宋体"/>
                <w:color w:val="auto"/>
                <w:szCs w:val="21"/>
                <w:highlight w:val="none"/>
                <w:lang w:eastAsia="zh-CN"/>
              </w:rPr>
              <w:t>；</w:t>
            </w:r>
          </w:p>
          <w:p w14:paraId="12F87E4F">
            <w:pPr>
              <w:keepNext w:val="0"/>
              <w:keepLines w:val="0"/>
              <w:pageBreakBefore w:val="0"/>
              <w:widowControl/>
              <w:numPr>
                <w:ilvl w:val="0"/>
                <w:numId w:val="0"/>
              </w:numPr>
              <w:kinsoku/>
              <w:wordWrap/>
              <w:overflowPunct/>
              <w:topLinePunct w:val="0"/>
              <w:autoSpaceDE/>
              <w:autoSpaceDN/>
              <w:bidi w:val="0"/>
              <w:adjustRightInd w:val="0"/>
              <w:snapToGrid/>
              <w:spacing w:line="360" w:lineRule="exact"/>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因项目质量发生争议的，采购人有权委托有资质的质量检测机构进行鉴定，项目质量鉴定合格的，鉴定费用由采购人承担。项目质量鉴定不合格的，鉴定费用由成交供应商承担。</w:t>
            </w:r>
          </w:p>
        </w:tc>
      </w:tr>
      <w:tr w14:paraId="56903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51EFDB4F">
            <w:pPr>
              <w:spacing w:line="360" w:lineRule="exact"/>
              <w:jc w:val="center"/>
              <w:rPr>
                <w:rFonts w:hint="eastAsia" w:ascii="宋体" w:hAnsi="宋体" w:cs="宋体"/>
                <w:color w:val="auto"/>
                <w:szCs w:val="21"/>
                <w:highlight w:val="none"/>
              </w:rPr>
            </w:pPr>
            <w:r>
              <w:rPr>
                <w:rFonts w:hint="eastAsia" w:ascii="宋体" w:hAnsi="宋体" w:cs="宋体"/>
                <w:b/>
                <w:color w:val="auto"/>
                <w:szCs w:val="21"/>
                <w:highlight w:val="none"/>
              </w:rPr>
              <w:t>报价要求</w:t>
            </w:r>
          </w:p>
        </w:tc>
        <w:tc>
          <w:tcPr>
            <w:tcW w:w="4148" w:type="pct"/>
            <w:gridSpan w:val="2"/>
            <w:tcBorders>
              <w:left w:val="single" w:color="auto" w:sz="4" w:space="0"/>
            </w:tcBorders>
            <w:noWrap w:val="0"/>
            <w:vAlign w:val="center"/>
          </w:tcPr>
          <w:p w14:paraId="40AE7BF7">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磋商报价是履行合同的最终价格，即满足全部采购需求所应提供的服务的价格；包括但不限于</w:t>
            </w:r>
            <w:r>
              <w:rPr>
                <w:rFonts w:hint="eastAsia" w:asciiTheme="minorEastAsia" w:hAnsiTheme="minorEastAsia" w:eastAsiaTheme="minorEastAsia" w:cstheme="minorEastAsia"/>
                <w:color w:val="auto"/>
                <w:sz w:val="21"/>
                <w:szCs w:val="21"/>
                <w:highlight w:val="none"/>
                <w:lang w:eastAsia="zh-CN"/>
              </w:rPr>
              <w:t>：</w:t>
            </w:r>
          </w:p>
          <w:p w14:paraId="4FBB2AC0">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管理、服务人员的工资、按规定提取的保险和福利费及国家地方规定必须缴纳的费用；</w:t>
            </w:r>
          </w:p>
          <w:p w14:paraId="07C5C0AF">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法定节假日加班费用；</w:t>
            </w:r>
          </w:p>
          <w:p w14:paraId="3687CA0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绿化管理费；</w:t>
            </w:r>
          </w:p>
          <w:p w14:paraId="17154A71">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w:t>
            </w:r>
            <w:r>
              <w:rPr>
                <w:rFonts w:hint="eastAsia" w:asciiTheme="minorEastAsia" w:hAnsi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清洁卫生费；</w:t>
            </w:r>
          </w:p>
          <w:p w14:paraId="6BC1C3CC">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日常行政办公费；</w:t>
            </w:r>
          </w:p>
          <w:p w14:paraId="7F07CA03">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6.成交供应商</w:t>
            </w:r>
            <w:r>
              <w:rPr>
                <w:rFonts w:hint="eastAsia" w:asciiTheme="minorEastAsia" w:hAnsiTheme="minorEastAsia" w:eastAsiaTheme="minorEastAsia" w:cstheme="minorEastAsia"/>
                <w:color w:val="auto"/>
                <w:sz w:val="21"/>
                <w:szCs w:val="21"/>
                <w:highlight w:val="none"/>
                <w:lang w:eastAsia="zh-CN"/>
              </w:rPr>
              <w:t>与本项目直接有关的自有固定资产折旧费，包含割草机、铁铲、锄头、农药喷雾器等固定资产的维护费；</w:t>
            </w:r>
          </w:p>
          <w:p w14:paraId="2E6424CD">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不可预见费用；</w:t>
            </w:r>
          </w:p>
          <w:p w14:paraId="731DBDEB">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 xml:space="preserve">法定税费； </w:t>
            </w:r>
          </w:p>
          <w:p w14:paraId="4EB38490">
            <w:pPr>
              <w:keepNext w:val="0"/>
              <w:keepLines w:val="0"/>
              <w:pageBreakBefore w:val="0"/>
              <w:numPr>
                <w:ilvl w:val="0"/>
                <w:numId w:val="0"/>
              </w:numPr>
              <w:kinsoku/>
              <w:wordWrap/>
              <w:overflowPunct/>
              <w:topLinePunct w:val="0"/>
              <w:autoSpaceDE/>
              <w:autoSpaceDN/>
              <w:bidi w:val="0"/>
              <w:adjustRightInd w:val="0"/>
              <w:snapToGrid/>
              <w:spacing w:line="360" w:lineRule="exact"/>
              <w:ind w:firstLine="0" w:firstLineChars="0"/>
              <w:jc w:val="left"/>
              <w:textAlignment w:val="auto"/>
              <w:rPr>
                <w:rFonts w:hint="eastAsia" w:ascii="宋体" w:hAnsi="宋体" w:cs="宋体"/>
                <w:color w:val="auto"/>
                <w:sz w:val="21"/>
                <w:szCs w:val="21"/>
                <w:highlight w:val="none"/>
                <w:lang w:eastAsia="zh-CN"/>
              </w:rPr>
            </w:pPr>
            <w:r>
              <w:rPr>
                <w:rFonts w:hint="eastAsia" w:asciiTheme="minorEastAsia" w:hAnsiTheme="minorEastAsia" w:cstheme="minorEastAsia"/>
                <w:color w:val="auto"/>
                <w:sz w:val="21"/>
                <w:szCs w:val="21"/>
                <w:highlight w:val="none"/>
                <w:lang w:val="en-US" w:eastAsia="zh-CN"/>
              </w:rPr>
              <w:t>9.成交供应商</w:t>
            </w:r>
            <w:r>
              <w:rPr>
                <w:rFonts w:hint="eastAsia" w:asciiTheme="minorEastAsia" w:hAnsiTheme="minorEastAsia" w:eastAsiaTheme="minorEastAsia" w:cstheme="minorEastAsia"/>
                <w:color w:val="auto"/>
                <w:sz w:val="21"/>
                <w:szCs w:val="21"/>
                <w:highlight w:val="none"/>
                <w:lang w:eastAsia="zh-CN"/>
              </w:rPr>
              <w:t>合理利润。</w:t>
            </w:r>
          </w:p>
        </w:tc>
      </w:tr>
      <w:tr w14:paraId="03B8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51" w:type="pct"/>
            <w:gridSpan w:val="2"/>
            <w:tcBorders>
              <w:right w:val="single" w:color="auto" w:sz="4" w:space="0"/>
            </w:tcBorders>
            <w:noWrap w:val="0"/>
            <w:vAlign w:val="center"/>
          </w:tcPr>
          <w:p w14:paraId="1D385F8D">
            <w:pPr>
              <w:spacing w:line="360" w:lineRule="exact"/>
              <w:jc w:val="center"/>
              <w:rPr>
                <w:rFonts w:hint="eastAsia" w:ascii="宋体" w:hAnsi="宋体" w:cs="宋体" w:eastAsiaTheme="minorEastAsia"/>
                <w:b/>
                <w:bCs/>
                <w:color w:val="auto"/>
                <w:szCs w:val="21"/>
                <w:highlight w:val="none"/>
                <w:lang w:eastAsia="zh-CN"/>
              </w:rPr>
            </w:pPr>
            <w:r>
              <w:rPr>
                <w:rFonts w:hint="eastAsia" w:ascii="宋体" w:hAnsi="宋体" w:cs="宋体"/>
                <w:b/>
                <w:bCs/>
                <w:color w:val="auto"/>
                <w:szCs w:val="21"/>
                <w:highlight w:val="none"/>
                <w:lang w:eastAsia="zh-CN"/>
              </w:rPr>
              <w:t>其他要求</w:t>
            </w:r>
          </w:p>
        </w:tc>
        <w:tc>
          <w:tcPr>
            <w:tcW w:w="4148" w:type="pct"/>
            <w:gridSpan w:val="2"/>
            <w:tcBorders>
              <w:left w:val="single" w:color="auto" w:sz="4" w:space="0"/>
            </w:tcBorders>
            <w:noWrap w:val="0"/>
            <w:vAlign w:val="center"/>
          </w:tcPr>
          <w:p w14:paraId="75138991">
            <w:pPr>
              <w:pStyle w:val="11"/>
              <w:rPr>
                <w:rFonts w:hAnsi="宋体"/>
                <w:bCs/>
                <w:highlight w:val="none"/>
              </w:rPr>
            </w:pPr>
            <w:r>
              <w:rPr>
                <w:rFonts w:hint="eastAsia" w:hAnsi="宋体"/>
                <w:bCs/>
                <w:highlight w:val="none"/>
              </w:rPr>
              <w:t>1</w:t>
            </w:r>
            <w:r>
              <w:rPr>
                <w:rFonts w:hint="eastAsia" w:hAnsi="宋体"/>
                <w:bCs/>
                <w:highlight w:val="none"/>
                <w:lang w:eastAsia="zh-CN"/>
              </w:rPr>
              <w:t>.供应商</w:t>
            </w:r>
            <w:r>
              <w:rPr>
                <w:rFonts w:hint="eastAsia" w:hAnsi="宋体"/>
                <w:bCs/>
                <w:highlight w:val="none"/>
              </w:rPr>
              <w:t>须提供资质证明、简介等资料（包括目前所管辖物业情况介绍）。</w:t>
            </w:r>
          </w:p>
          <w:p w14:paraId="2D62C967">
            <w:pPr>
              <w:pStyle w:val="11"/>
              <w:rPr>
                <w:rFonts w:hAnsi="宋体"/>
                <w:bCs/>
                <w:highlight w:val="none"/>
              </w:rPr>
            </w:pPr>
            <w:r>
              <w:rPr>
                <w:rFonts w:hint="eastAsia" w:hAnsi="宋体"/>
                <w:bCs/>
                <w:highlight w:val="none"/>
              </w:rPr>
              <w:t>2</w:t>
            </w:r>
            <w:r>
              <w:rPr>
                <w:rFonts w:hint="eastAsia" w:hAnsi="宋体"/>
                <w:bCs/>
                <w:highlight w:val="none"/>
                <w:lang w:eastAsia="zh-CN"/>
              </w:rPr>
              <w:t>.</w:t>
            </w:r>
            <w:r>
              <w:rPr>
                <w:rFonts w:hint="eastAsia" w:hAnsi="宋体"/>
                <w:bCs/>
                <w:highlight w:val="none"/>
              </w:rPr>
              <w:t>物业管理方案须体现</w:t>
            </w:r>
            <w:r>
              <w:rPr>
                <w:rFonts w:hint="eastAsia" w:hAnsi="宋体"/>
                <w:bCs/>
                <w:highlight w:val="none"/>
                <w:lang w:eastAsia="zh-CN"/>
              </w:rPr>
              <w:t>供应商</w:t>
            </w:r>
            <w:r>
              <w:rPr>
                <w:rFonts w:hint="eastAsia" w:hAnsi="宋体"/>
                <w:bCs/>
                <w:highlight w:val="none"/>
              </w:rPr>
              <w:t>对投标物业的总体目标（即在一定期限内质量管理达到何种标准），并包括如下内容：</w:t>
            </w:r>
          </w:p>
          <w:p w14:paraId="2E2FF4B4">
            <w:pPr>
              <w:pStyle w:val="11"/>
              <w:rPr>
                <w:rFonts w:hAnsi="宋体"/>
                <w:bCs/>
                <w:highlight w:val="none"/>
              </w:rPr>
            </w:pPr>
            <w:r>
              <w:rPr>
                <w:rFonts w:hint="eastAsia" w:hAnsi="宋体"/>
                <w:bCs/>
                <w:highlight w:val="none"/>
              </w:rPr>
              <w:t>（1）</w:t>
            </w:r>
            <w:r>
              <w:rPr>
                <w:rFonts w:hint="eastAsia" w:hAnsi="宋体"/>
                <w:bCs/>
                <w:highlight w:val="none"/>
                <w:lang w:eastAsia="zh-CN"/>
              </w:rPr>
              <w:t>供应商</w:t>
            </w:r>
            <w:r>
              <w:rPr>
                <w:rFonts w:hint="eastAsia" w:hAnsi="宋体"/>
                <w:bCs/>
                <w:highlight w:val="none"/>
              </w:rPr>
              <w:t>拟采取的管理方式，包括内部管理架构设置、机制、信息反馈处理机制、员工待遇、激励机制等。定期组织员工培训，提高业务水平。尤其是服务态度和责任心，强化标准意识。建立健全的赏罚分明的管理制度，对工作中表现好的个人积极的大力表扬，并给一定的物质奖励，对表现不好的，或者工作失职造成影响的进行罚款。保洁人员每天上班由各科室负责考勤；对工作期间由于工作失职发生物品损坏或丢失的，由本人承担。</w:t>
            </w:r>
          </w:p>
          <w:p w14:paraId="2F657DBC">
            <w:pPr>
              <w:pStyle w:val="11"/>
              <w:rPr>
                <w:rFonts w:hint="eastAsia" w:hAnsi="宋体" w:eastAsiaTheme="minorEastAsia"/>
                <w:bCs/>
                <w:highlight w:val="none"/>
                <w:lang w:eastAsia="zh-CN"/>
              </w:rPr>
            </w:pPr>
            <w:r>
              <w:rPr>
                <w:rFonts w:hint="eastAsia" w:hAnsi="宋体"/>
                <w:bCs/>
                <w:highlight w:val="none"/>
              </w:rPr>
              <w:t>（2）管理人员及员工配备。包括：人员的编制、配置情况，素质要求（学历、能力、经历），培训计划、上岗考核标准等。保洁员男不超过60岁，女不超过55岁，以身份证登记为准</w:t>
            </w:r>
            <w:r>
              <w:rPr>
                <w:rFonts w:hint="eastAsia" w:hAnsi="宋体"/>
                <w:bCs/>
                <w:highlight w:val="none"/>
                <w:lang w:eastAsia="zh-CN"/>
              </w:rPr>
              <w:t>。</w:t>
            </w:r>
          </w:p>
          <w:p w14:paraId="7CCD1A8C">
            <w:pPr>
              <w:pStyle w:val="11"/>
              <w:rPr>
                <w:rFonts w:hAnsi="宋体"/>
                <w:bCs/>
                <w:highlight w:val="none"/>
              </w:rPr>
            </w:pPr>
            <w:r>
              <w:rPr>
                <w:rFonts w:hint="eastAsia" w:hAnsi="宋体"/>
                <w:bCs/>
                <w:highlight w:val="none"/>
              </w:rPr>
              <w:t>（3）服务承诺。对本项目物业服务范围及要求进行逐条响应。</w:t>
            </w:r>
          </w:p>
          <w:p w14:paraId="30FDF98F">
            <w:pPr>
              <w:pStyle w:val="11"/>
              <w:rPr>
                <w:rFonts w:hAnsi="宋体"/>
                <w:bCs/>
                <w:highlight w:val="none"/>
              </w:rPr>
            </w:pPr>
            <w:r>
              <w:rPr>
                <w:rFonts w:hint="eastAsia" w:hAnsi="宋体"/>
                <w:bCs/>
                <w:highlight w:val="none"/>
              </w:rPr>
              <w:t>（4）管理工作必需的物</w:t>
            </w:r>
            <w:r>
              <w:rPr>
                <w:rFonts w:hint="eastAsia"/>
                <w:bCs/>
                <w:highlight w:val="none"/>
                <w:lang w:eastAsia="zh-CN"/>
              </w:rPr>
              <w:t>资</w:t>
            </w:r>
            <w:r>
              <w:rPr>
                <w:rFonts w:hint="eastAsia" w:hAnsi="宋体"/>
                <w:bCs/>
                <w:highlight w:val="none"/>
              </w:rPr>
              <w:t>准备计划。包括：物业管理人员生活、工作用品、物业管理需要的机械维修、通讯、保洁等设备或工具。</w:t>
            </w:r>
          </w:p>
          <w:p w14:paraId="768C3C25">
            <w:pPr>
              <w:pStyle w:val="11"/>
              <w:rPr>
                <w:rFonts w:hAnsi="宋体"/>
                <w:bCs/>
                <w:highlight w:val="none"/>
              </w:rPr>
            </w:pPr>
            <w:r>
              <w:rPr>
                <w:rFonts w:hint="eastAsia" w:hAnsi="宋体"/>
                <w:bCs/>
                <w:highlight w:val="none"/>
              </w:rPr>
              <w:t>（5）档案建立与管理。包括物业管理档案、投诉与回访记录等。</w:t>
            </w:r>
          </w:p>
          <w:p w14:paraId="5E3EBD7E">
            <w:pPr>
              <w:pStyle w:val="11"/>
              <w:rPr>
                <w:rFonts w:hAnsi="宋体"/>
                <w:bCs/>
                <w:highlight w:val="none"/>
              </w:rPr>
            </w:pPr>
            <w:r>
              <w:rPr>
                <w:rFonts w:hint="eastAsia" w:hAnsi="宋体"/>
                <w:bCs/>
                <w:highlight w:val="none"/>
              </w:rPr>
              <w:t>3</w:t>
            </w:r>
            <w:r>
              <w:rPr>
                <w:rFonts w:hint="eastAsia" w:hAnsi="宋体"/>
                <w:bCs/>
                <w:highlight w:val="none"/>
                <w:lang w:eastAsia="zh-CN"/>
              </w:rPr>
              <w:t>.若</w:t>
            </w:r>
            <w:r>
              <w:rPr>
                <w:rFonts w:hint="eastAsia"/>
                <w:bCs/>
                <w:highlight w:val="none"/>
                <w:lang w:eastAsia="zh-CN"/>
              </w:rPr>
              <w:t>成交供应商</w:t>
            </w:r>
            <w:r>
              <w:rPr>
                <w:rFonts w:hint="eastAsia" w:hAnsi="宋体"/>
                <w:bCs/>
                <w:highlight w:val="none"/>
                <w:lang w:eastAsia="zh-CN"/>
              </w:rPr>
              <w:t>提供的管理服务未达到约定标准，</w:t>
            </w:r>
            <w:r>
              <w:rPr>
                <w:rFonts w:hint="eastAsia"/>
                <w:bCs/>
                <w:highlight w:val="none"/>
                <w:lang w:eastAsia="zh-CN"/>
              </w:rPr>
              <w:t>采购人</w:t>
            </w:r>
            <w:r>
              <w:rPr>
                <w:rFonts w:hint="eastAsia" w:hAnsi="宋体"/>
                <w:bCs/>
                <w:highlight w:val="none"/>
                <w:lang w:eastAsia="zh-CN"/>
              </w:rPr>
              <w:t>有权视情况予以处理：首次出现不达标的，</w:t>
            </w:r>
            <w:r>
              <w:rPr>
                <w:rFonts w:hint="eastAsia"/>
                <w:bCs/>
                <w:highlight w:val="none"/>
                <w:lang w:eastAsia="zh-CN"/>
              </w:rPr>
              <w:t>采购人</w:t>
            </w:r>
            <w:r>
              <w:rPr>
                <w:rFonts w:hint="eastAsia" w:hAnsi="宋体"/>
                <w:bCs/>
                <w:highlight w:val="none"/>
                <w:lang w:eastAsia="zh-CN"/>
              </w:rPr>
              <w:t>予以书面警告；第二次及以后再次不达标的，</w:t>
            </w:r>
            <w:r>
              <w:rPr>
                <w:rFonts w:hint="eastAsia"/>
                <w:bCs/>
                <w:highlight w:val="none"/>
                <w:lang w:eastAsia="zh-CN"/>
              </w:rPr>
              <w:t>采购人</w:t>
            </w:r>
            <w:r>
              <w:rPr>
                <w:rFonts w:hint="eastAsia" w:hAnsi="宋体"/>
                <w:bCs/>
                <w:highlight w:val="none"/>
                <w:lang w:eastAsia="zh-CN"/>
              </w:rPr>
              <w:t>每次扣除</w:t>
            </w:r>
            <w:r>
              <w:rPr>
                <w:rFonts w:hint="eastAsia"/>
                <w:bCs/>
                <w:highlight w:val="none"/>
                <w:lang w:eastAsia="zh-CN"/>
              </w:rPr>
              <w:t>成交供应商</w:t>
            </w:r>
            <w:r>
              <w:rPr>
                <w:rFonts w:hint="eastAsia" w:hAnsi="宋体"/>
                <w:bCs/>
                <w:highlight w:val="none"/>
                <w:lang w:eastAsia="zh-CN"/>
              </w:rPr>
              <w:t>管理服务费人民币 200 元。</w:t>
            </w:r>
          </w:p>
          <w:p w14:paraId="685C197F">
            <w:pPr>
              <w:pStyle w:val="11"/>
              <w:rPr>
                <w:rFonts w:hAnsi="宋体"/>
                <w:bCs/>
                <w:highlight w:val="none"/>
              </w:rPr>
            </w:pPr>
            <w:r>
              <w:rPr>
                <w:rFonts w:hint="eastAsia" w:hAnsi="宋体"/>
                <w:bCs/>
                <w:highlight w:val="none"/>
              </w:rPr>
              <w:t>4</w:t>
            </w:r>
            <w:r>
              <w:rPr>
                <w:rFonts w:hint="eastAsia" w:hAnsi="宋体"/>
                <w:bCs/>
                <w:highlight w:val="none"/>
                <w:lang w:eastAsia="zh-CN"/>
              </w:rPr>
              <w:t>.</w:t>
            </w:r>
            <w:r>
              <w:rPr>
                <w:rFonts w:hint="eastAsia" w:hAnsi="宋体"/>
                <w:bCs/>
                <w:highlight w:val="none"/>
              </w:rPr>
              <w:t>增进</w:t>
            </w:r>
            <w:r>
              <w:rPr>
                <w:rFonts w:hint="eastAsia" w:hAnsi="宋体"/>
                <w:bCs/>
                <w:highlight w:val="none"/>
                <w:lang w:eastAsia="zh-CN"/>
              </w:rPr>
              <w:t>供应商</w:t>
            </w:r>
            <w:r>
              <w:rPr>
                <w:rFonts w:hint="eastAsia" w:hAnsi="宋体"/>
                <w:bCs/>
                <w:highlight w:val="none"/>
              </w:rPr>
              <w:t>与医院各科室的关系。每半年进行一次对物业管理服务包括满意度抽样调查，满意率达90%以上，对不满意的原因进行分析。</w:t>
            </w:r>
          </w:p>
          <w:p w14:paraId="3E8B304E">
            <w:pPr>
              <w:pStyle w:val="11"/>
              <w:rPr>
                <w:rFonts w:hint="eastAsia" w:hAnsi="宋体" w:eastAsiaTheme="minorEastAsia"/>
                <w:bCs/>
                <w:highlight w:val="none"/>
                <w:lang w:eastAsia="zh-CN"/>
              </w:rPr>
            </w:pPr>
            <w:r>
              <w:rPr>
                <w:rFonts w:hint="eastAsia" w:hAnsi="宋体"/>
                <w:bCs/>
                <w:highlight w:val="none"/>
              </w:rPr>
              <w:t>5</w:t>
            </w:r>
            <w:r>
              <w:rPr>
                <w:rFonts w:hint="eastAsia" w:hAnsi="宋体"/>
                <w:bCs/>
                <w:highlight w:val="none"/>
                <w:lang w:eastAsia="zh-CN"/>
              </w:rPr>
              <w:t>.</w:t>
            </w:r>
            <w:r>
              <w:rPr>
                <w:rFonts w:hint="eastAsia" w:hAnsi="宋体"/>
                <w:bCs/>
                <w:highlight w:val="none"/>
              </w:rPr>
              <w:t>人员配置按服务管理需要的动态变化而进行调整</w:t>
            </w:r>
            <w:r>
              <w:rPr>
                <w:rFonts w:hint="eastAsia"/>
                <w:bCs/>
                <w:highlight w:val="none"/>
                <w:lang w:eastAsia="zh-CN"/>
              </w:rPr>
              <w:t>。</w:t>
            </w:r>
          </w:p>
          <w:p w14:paraId="2F964772">
            <w:pPr>
              <w:pStyle w:val="11"/>
              <w:rPr>
                <w:rFonts w:hint="eastAsia" w:ascii="宋体" w:hAnsi="宋体" w:cs="宋体"/>
                <w:color w:val="auto"/>
                <w:sz w:val="21"/>
                <w:szCs w:val="21"/>
                <w:highlight w:val="none"/>
              </w:rPr>
            </w:pPr>
            <w:r>
              <w:rPr>
                <w:rFonts w:hint="eastAsia" w:hAnsi="宋体"/>
                <w:bCs/>
                <w:highlight w:val="none"/>
              </w:rPr>
              <w:t>注：人员配置在实际工作中需要变动的，双方以书面形式向对方提出，经协商同意后再进行配置。</w:t>
            </w:r>
          </w:p>
        </w:tc>
      </w:tr>
    </w:tbl>
    <w:p w14:paraId="15B1F8C7">
      <w:pPr>
        <w:pStyle w:val="14"/>
        <w:rPr>
          <w:rFonts w:hint="eastAsia" w:ascii="宋体" w:hAnsi="宋体" w:eastAsia="宋体" w:cs="宋体"/>
          <w:color w:val="auto"/>
          <w:highlight w:val="none"/>
          <w:lang w:val="en-US" w:eastAsia="zh-CN"/>
        </w:rPr>
      </w:pPr>
    </w:p>
    <w:p w14:paraId="2EC67B7F">
      <w:pPr>
        <w:rPr>
          <w:rFonts w:hint="eastAsia" w:ascii="宋体" w:hAnsi="宋体" w:eastAsia="宋体" w:cs="宋体"/>
          <w:color w:val="auto"/>
          <w:highlight w:val="none"/>
          <w:lang w:val="en-US" w:eastAsia="zh-CN"/>
        </w:rPr>
      </w:pPr>
    </w:p>
    <w:p w14:paraId="210E500E">
      <w:pPr>
        <w:pStyle w:val="2"/>
        <w:rPr>
          <w:rFonts w:hint="eastAsia" w:ascii="宋体" w:hAnsi="宋体" w:eastAsia="宋体" w:cs="宋体"/>
          <w:color w:val="auto"/>
          <w:highlight w:val="none"/>
          <w:lang w:val="en-US" w:eastAsia="zh-CN"/>
        </w:rPr>
      </w:pPr>
    </w:p>
    <w:p w14:paraId="6783635D">
      <w:pPr>
        <w:pStyle w:val="2"/>
        <w:rPr>
          <w:rFonts w:hint="eastAsia" w:ascii="宋体" w:hAnsi="宋体" w:eastAsia="宋体" w:cs="宋体"/>
          <w:color w:val="auto"/>
          <w:highlight w:val="none"/>
          <w:lang w:val="en-US" w:eastAsia="zh-CN"/>
        </w:rPr>
      </w:pPr>
    </w:p>
    <w:p w14:paraId="502D58AD">
      <w:pPr>
        <w:pStyle w:val="2"/>
        <w:rPr>
          <w:rFonts w:hint="eastAsia" w:ascii="宋体" w:hAnsi="宋体" w:eastAsia="宋体" w:cs="宋体"/>
          <w:color w:val="auto"/>
          <w:highlight w:val="none"/>
          <w:lang w:val="en-US" w:eastAsia="zh-CN"/>
        </w:rPr>
      </w:pPr>
    </w:p>
    <w:p w14:paraId="2E1BBDB8">
      <w:pPr>
        <w:pStyle w:val="2"/>
        <w:rPr>
          <w:rFonts w:hint="eastAsia" w:ascii="宋体" w:hAnsi="宋体" w:eastAsia="宋体" w:cs="宋体"/>
          <w:color w:val="auto"/>
          <w:highlight w:val="none"/>
          <w:lang w:val="en-US" w:eastAsia="zh-CN"/>
        </w:rPr>
      </w:pPr>
    </w:p>
    <w:p w14:paraId="68A377D5">
      <w:pPr>
        <w:pStyle w:val="9"/>
        <w:jc w:val="both"/>
        <w:outlineLvl w:val="0"/>
        <w:rPr>
          <w:rFonts w:hint="eastAsia" w:ascii="宋体" w:hAnsi="宋体" w:eastAsia="宋体" w:cs="宋体"/>
          <w:b/>
          <w:bCs/>
          <w:color w:val="auto"/>
          <w:highlight w:val="none"/>
          <w:lang w:val="en-US" w:eastAsia="zh-CN"/>
        </w:rPr>
      </w:pPr>
    </w:p>
    <w:p w14:paraId="661371E4">
      <w:pPr>
        <w:rPr>
          <w:rFonts w:hint="eastAsia" w:ascii="宋体" w:hAnsi="宋体" w:eastAsia="宋体" w:cs="宋体"/>
          <w:b/>
          <w:bCs/>
          <w:color w:val="auto"/>
          <w:highlight w:val="none"/>
          <w:lang w:val="en-US" w:eastAsia="zh-CN"/>
        </w:rPr>
      </w:pPr>
    </w:p>
    <w:p w14:paraId="648188C6">
      <w:pPr>
        <w:pStyle w:val="2"/>
        <w:rPr>
          <w:rFonts w:hint="eastAsia"/>
          <w:lang w:val="en-US" w:eastAsia="zh-CN"/>
        </w:rPr>
      </w:pPr>
    </w:p>
    <w:p w14:paraId="02A5770B">
      <w:pPr>
        <w:pStyle w:val="9"/>
        <w:jc w:val="both"/>
        <w:outlineLvl w:val="0"/>
        <w:rPr>
          <w:rFonts w:hint="eastAsia" w:ascii="宋体" w:hAnsi="宋体" w:eastAsia="宋体" w:cs="宋体"/>
          <w:b/>
          <w:bCs/>
          <w:color w:val="auto"/>
          <w:highlight w:val="none"/>
          <w:lang w:val="en-US" w:eastAsia="zh-CN"/>
        </w:r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05C964FE">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653E1F3D">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26762313">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7152BF0B">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3733E99B">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3E70E88F">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2E431FED">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1C44C700">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6EE744DC">
      <w:pPr>
        <w:pStyle w:val="14"/>
        <w:jc w:val="center"/>
        <w:rPr>
          <w:rFonts w:hint="eastAsia" w:asciiTheme="minorHAnsi" w:hAnsiTheme="minorHAnsi" w:eastAsiaTheme="minorEastAsia" w:cstheme="minorBidi"/>
          <w:b/>
          <w:bCs/>
          <w:color w:val="auto"/>
          <w:kern w:val="2"/>
          <w:sz w:val="44"/>
          <w:szCs w:val="44"/>
          <w:highlight w:val="none"/>
          <w:lang w:val="en-US" w:eastAsia="zh-CN" w:bidi="ar-SA"/>
        </w:rPr>
      </w:pPr>
    </w:p>
    <w:p w14:paraId="091AD231">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color w:val="auto"/>
          <w:highlight w:val="none"/>
          <w:lang w:val="en-US" w:eastAsia="zh-CN"/>
        </w:rPr>
        <w:t>第四章 竞争性磋商响应文件格式</w:t>
      </w:r>
      <w:bookmarkEnd w:id="11"/>
    </w:p>
    <w:p w14:paraId="63C89771">
      <w:pPr>
        <w:pStyle w:val="29"/>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5639CA25">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5C47F797">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2BE4F5DA">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1.资格审查要求文件：</w:t>
      </w:r>
    </w:p>
    <w:p w14:paraId="6CA7C5C7">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（1）有效的“营业执照”等证明文件扫描件或其他电子文件</w:t>
      </w:r>
      <w:r>
        <w:rPr>
          <w:rFonts w:hint="eastAsia"/>
          <w:b/>
          <w:bCs/>
          <w:color w:val="auto"/>
          <w:sz w:val="21"/>
          <w:szCs w:val="21"/>
          <w:highlight w:val="none"/>
          <w:lang w:eastAsia="zh-CN"/>
        </w:rPr>
        <w:t>（必须提供）</w:t>
      </w:r>
    </w:p>
    <w:p w14:paraId="260636F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（2）崇左市政府采购供应商信用承诺函</w:t>
      </w:r>
      <w:r>
        <w:rPr>
          <w:rFonts w:hint="eastAsia"/>
          <w:b/>
          <w:bCs/>
          <w:color w:val="auto"/>
          <w:sz w:val="21"/>
          <w:szCs w:val="21"/>
          <w:highlight w:val="none"/>
          <w:lang w:eastAsia="zh-CN"/>
        </w:rPr>
        <w:t>（格式见附件一，必须提供）</w:t>
      </w:r>
    </w:p>
    <w:p w14:paraId="496CCD9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（3）中小型企业声明函或残疾人福利性单位声明函或监狱企业证明材料</w:t>
      </w:r>
      <w:r>
        <w:rPr>
          <w:rFonts w:hint="eastAsia"/>
          <w:b/>
          <w:bCs/>
          <w:color w:val="auto"/>
          <w:sz w:val="21"/>
          <w:szCs w:val="21"/>
          <w:highlight w:val="none"/>
          <w:lang w:eastAsia="zh-CN"/>
        </w:rPr>
        <w:t>（格式见附件二，必须提供）</w:t>
      </w:r>
    </w:p>
    <w:p w14:paraId="5759F871">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2.符合性要求文件：</w:t>
      </w:r>
    </w:p>
    <w:p w14:paraId="564A3863">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（1）磋商书</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三，必须提供</w:t>
      </w:r>
      <w:r>
        <w:rPr>
          <w:rFonts w:hint="eastAsia"/>
          <w:b/>
          <w:bCs/>
          <w:color w:val="auto"/>
          <w:sz w:val="21"/>
          <w:szCs w:val="21"/>
          <w:highlight w:val="none"/>
          <w:lang w:eastAsia="zh-CN"/>
        </w:rPr>
        <w:t>）</w:t>
      </w:r>
    </w:p>
    <w:p w14:paraId="0DABA8A9">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）报价表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四，必须提供</w:t>
      </w:r>
      <w:r>
        <w:rPr>
          <w:rFonts w:hint="eastAsia"/>
          <w:b/>
          <w:bCs/>
          <w:color w:val="auto"/>
          <w:sz w:val="21"/>
          <w:szCs w:val="21"/>
          <w:highlight w:val="none"/>
          <w:lang w:eastAsia="zh-CN"/>
        </w:rPr>
        <w:t>）</w:t>
      </w:r>
    </w:p>
    <w:p w14:paraId="7CE952D3">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）法定代表人（负责人）授权委托书和委托代理人身份证扫描件</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五，</w:t>
      </w:r>
      <w:r>
        <w:rPr>
          <w:rFonts w:hint="eastAsia"/>
          <w:b/>
          <w:bCs/>
          <w:color w:val="auto"/>
          <w:sz w:val="21"/>
          <w:szCs w:val="21"/>
          <w:highlight w:val="none"/>
          <w:lang w:eastAsia="zh-CN"/>
        </w:rPr>
        <w:t>委托代理时必须提供）</w:t>
      </w:r>
    </w:p>
    <w:p w14:paraId="5356B618">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w:t>
      </w:r>
      <w:r>
        <w:rPr>
          <w:rFonts w:hint="eastAsia"/>
          <w:color w:val="auto"/>
          <w:sz w:val="21"/>
          <w:szCs w:val="21"/>
          <w:highlight w:val="none"/>
          <w:lang w:val="en-US" w:eastAsia="zh-CN"/>
        </w:rPr>
        <w:t>4</w:t>
      </w:r>
      <w:r>
        <w:rPr>
          <w:rFonts w:hint="eastAsia"/>
          <w:color w:val="auto"/>
          <w:sz w:val="21"/>
          <w:szCs w:val="21"/>
          <w:highlight w:val="none"/>
          <w:lang w:eastAsia="zh-CN"/>
        </w:rPr>
        <w:t>）法定代表人(负责人)身份证扫描件或其他电子文件</w:t>
      </w:r>
      <w:r>
        <w:rPr>
          <w:rFonts w:hint="eastAsia"/>
          <w:b/>
          <w:bCs/>
          <w:color w:val="auto"/>
          <w:sz w:val="21"/>
          <w:szCs w:val="21"/>
          <w:highlight w:val="none"/>
          <w:lang w:eastAsia="zh-CN"/>
        </w:rPr>
        <w:t>（</w:t>
      </w:r>
      <w:r>
        <w:rPr>
          <w:rFonts w:hint="eastAsia" w:ascii="宋体" w:hAnsi="宋体"/>
          <w:b/>
          <w:bCs/>
          <w:color w:val="auto"/>
          <w:sz w:val="21"/>
          <w:szCs w:val="21"/>
          <w:highlight w:val="none"/>
          <w:lang w:eastAsia="zh-CN"/>
        </w:rPr>
        <w:t>当</w:t>
      </w:r>
      <w:r>
        <w:rPr>
          <w:rFonts w:hint="eastAsia" w:ascii="宋体" w:hAnsi="宋体"/>
          <w:b/>
          <w:bCs/>
          <w:color w:val="auto"/>
          <w:sz w:val="21"/>
          <w:szCs w:val="21"/>
          <w:highlight w:val="none"/>
        </w:rPr>
        <w:t>法定代表人(负责人)参加磋商时，必须提供</w:t>
      </w:r>
      <w:r>
        <w:rPr>
          <w:rFonts w:hint="eastAsia"/>
          <w:b/>
          <w:bCs/>
          <w:color w:val="auto"/>
          <w:sz w:val="21"/>
          <w:szCs w:val="21"/>
          <w:highlight w:val="none"/>
          <w:lang w:eastAsia="zh-CN"/>
        </w:rPr>
        <w:t>）</w:t>
      </w:r>
    </w:p>
    <w:p w14:paraId="6A44A45F">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5</w:t>
      </w:r>
      <w:r>
        <w:rPr>
          <w:rFonts w:hint="eastAsia"/>
          <w:color w:val="auto"/>
          <w:sz w:val="21"/>
          <w:szCs w:val="21"/>
          <w:highlight w:val="none"/>
          <w:lang w:eastAsia="zh-CN"/>
        </w:rPr>
        <w:t>）商务、技术响应、偏离情况说明表</w:t>
      </w:r>
      <w:r>
        <w:rPr>
          <w:rFonts w:hint="eastAsia"/>
          <w:b/>
          <w:bCs/>
          <w:color w:val="auto"/>
          <w:sz w:val="21"/>
          <w:szCs w:val="21"/>
          <w:highlight w:val="none"/>
          <w:lang w:eastAsia="zh-CN"/>
        </w:rPr>
        <w:t>（格式见附件</w:t>
      </w:r>
      <w:r>
        <w:rPr>
          <w:rFonts w:hint="eastAsia"/>
          <w:b/>
          <w:bCs/>
          <w:color w:val="auto"/>
          <w:sz w:val="21"/>
          <w:szCs w:val="21"/>
          <w:highlight w:val="none"/>
          <w:lang w:val="en-US" w:eastAsia="zh-CN"/>
        </w:rPr>
        <w:t>六，必须提供</w:t>
      </w:r>
      <w:r>
        <w:rPr>
          <w:rFonts w:hint="eastAsia"/>
          <w:b/>
          <w:bCs/>
          <w:color w:val="auto"/>
          <w:sz w:val="21"/>
          <w:szCs w:val="21"/>
          <w:highlight w:val="none"/>
          <w:lang w:eastAsia="zh-CN"/>
        </w:rPr>
        <w:t>）</w:t>
      </w:r>
    </w:p>
    <w:p w14:paraId="7752C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）服务承诺书</w:t>
      </w:r>
      <w:r>
        <w:rPr>
          <w:rFonts w:hint="eastAsia" w:ascii="宋体" w:hAnsi="宋体"/>
          <w:color w:val="auto"/>
          <w:highlight w:val="none"/>
        </w:rPr>
        <w:t>（内容可以是提供的切实可行的服务和承诺</w:t>
      </w:r>
      <w:r>
        <w:rPr>
          <w:rFonts w:hint="eastAsia" w:ascii="宋体" w:hAnsi="宋体"/>
          <w:color w:val="auto"/>
          <w:highlight w:val="none"/>
          <w:lang w:eastAsia="zh-CN"/>
        </w:rPr>
        <w:t>，至少应包括采购需求的所有服务条款</w:t>
      </w:r>
      <w:r>
        <w:rPr>
          <w:rFonts w:hint="eastAsia" w:ascii="宋体" w:hAnsi="宋体"/>
          <w:color w:val="auto"/>
          <w:highlight w:val="none"/>
        </w:rPr>
        <w:t>）</w:t>
      </w:r>
      <w:r>
        <w:rPr>
          <w:rFonts w:hint="eastAsia" w:ascii="宋体" w:hAnsi="宋体"/>
          <w:b/>
          <w:bCs/>
          <w:color w:val="auto"/>
          <w:highlight w:val="none"/>
          <w:lang w:eastAsia="zh-CN"/>
        </w:rPr>
        <w:t>（格式自拟，必须提供）</w:t>
      </w:r>
    </w:p>
    <w:p w14:paraId="169ECC7B">
      <w:pPr>
        <w:pStyle w:val="9"/>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7</w:t>
      </w:r>
      <w:r>
        <w:rPr>
          <w:rFonts w:hint="eastAsia"/>
          <w:color w:val="auto"/>
          <w:sz w:val="21"/>
          <w:szCs w:val="21"/>
          <w:highlight w:val="none"/>
          <w:lang w:eastAsia="zh-CN"/>
        </w:rPr>
        <w:t>）服务方案（包括但不限于总体工作计划、管理规章制度及方案、安防服务与保障方案、服务承诺、应急服务方案、质量保障措施、人员培训方案配置各类物资装备、人员配备情况）</w:t>
      </w:r>
      <w:r>
        <w:rPr>
          <w:rFonts w:hint="eastAsia"/>
          <w:b/>
          <w:bCs/>
          <w:color w:val="auto"/>
          <w:sz w:val="21"/>
          <w:szCs w:val="21"/>
          <w:highlight w:val="none"/>
          <w:lang w:eastAsia="zh-CN"/>
        </w:rPr>
        <w:t>（格式自拟，必须提供）</w:t>
      </w:r>
    </w:p>
    <w:p w14:paraId="7A81E461">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8</w:t>
      </w:r>
      <w:r>
        <w:rPr>
          <w:rFonts w:hint="eastAsia"/>
          <w:color w:val="auto"/>
          <w:sz w:val="21"/>
          <w:szCs w:val="21"/>
          <w:highlight w:val="none"/>
          <w:lang w:eastAsia="zh-CN"/>
        </w:rPr>
        <w:t>）供应商自202</w:t>
      </w:r>
      <w:r>
        <w:rPr>
          <w:rFonts w:hint="eastAsia"/>
          <w:color w:val="auto"/>
          <w:sz w:val="21"/>
          <w:szCs w:val="21"/>
          <w:highlight w:val="none"/>
          <w:lang w:val="en-US" w:eastAsia="zh-CN"/>
        </w:rPr>
        <w:t>3</w:t>
      </w:r>
      <w:r>
        <w:rPr>
          <w:rFonts w:hint="eastAsia"/>
          <w:color w:val="auto"/>
          <w:sz w:val="21"/>
          <w:szCs w:val="21"/>
          <w:highlight w:val="none"/>
          <w:lang w:eastAsia="zh-CN"/>
        </w:rPr>
        <w:t>年1月1日以来同类业绩的相关证明材料（以合同或中标（成交）通知书复印件为准，并加盖供应商公章）</w:t>
      </w:r>
      <w:r>
        <w:rPr>
          <w:rFonts w:hint="eastAsia"/>
          <w:b/>
          <w:bCs/>
          <w:color w:val="auto"/>
          <w:sz w:val="21"/>
          <w:szCs w:val="21"/>
          <w:highlight w:val="none"/>
          <w:lang w:eastAsia="zh-CN"/>
        </w:rPr>
        <w:t>（如有，请提供）</w:t>
      </w:r>
    </w:p>
    <w:p w14:paraId="333CB207">
      <w:pPr>
        <w:ind w:firstLine="42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9</w:t>
      </w:r>
      <w:r>
        <w:rPr>
          <w:rFonts w:hint="eastAsia"/>
          <w:color w:val="auto"/>
          <w:sz w:val="21"/>
          <w:szCs w:val="21"/>
          <w:highlight w:val="none"/>
          <w:lang w:eastAsia="zh-CN"/>
        </w:rPr>
        <w:t>）采购需求中要求必须提供的材料</w:t>
      </w:r>
      <w:r>
        <w:rPr>
          <w:rFonts w:hint="eastAsia"/>
          <w:b/>
          <w:bCs/>
          <w:color w:val="auto"/>
          <w:sz w:val="21"/>
          <w:szCs w:val="21"/>
          <w:highlight w:val="none"/>
          <w:lang w:eastAsia="zh-CN"/>
        </w:rPr>
        <w:t>（如有，请提供）</w:t>
      </w:r>
    </w:p>
    <w:p w14:paraId="37C64936">
      <w:pPr>
        <w:pStyle w:val="9"/>
        <w:ind w:firstLine="420" w:firstLineChars="200"/>
        <w:rPr>
          <w:rFonts w:hint="eastAsia"/>
          <w:color w:val="auto"/>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10</w:t>
      </w:r>
      <w:r>
        <w:rPr>
          <w:rFonts w:hint="eastAsia"/>
          <w:color w:val="auto"/>
          <w:sz w:val="21"/>
          <w:szCs w:val="21"/>
          <w:highlight w:val="none"/>
          <w:lang w:eastAsia="zh-CN"/>
        </w:rPr>
        <w:t>）供应商可结合本项目的评审办法视自身情况自行提交其他相关证明材料</w:t>
      </w:r>
      <w:r>
        <w:rPr>
          <w:rFonts w:hint="eastAsia"/>
          <w:b/>
          <w:bCs/>
          <w:color w:val="auto"/>
          <w:sz w:val="21"/>
          <w:szCs w:val="21"/>
          <w:highlight w:val="none"/>
          <w:lang w:eastAsia="zh-CN"/>
        </w:rPr>
        <w:t>（如有，请提供）</w:t>
      </w:r>
    </w:p>
    <w:p w14:paraId="3054BAEC">
      <w:pPr>
        <w:pStyle w:val="9"/>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▲注：磋商书、法定代表人（负责人）授权委托书、报价表等必须按采购文件格式要求签署和加盖单位公章。</w:t>
      </w:r>
    </w:p>
    <w:p w14:paraId="787EE347">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65F64D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14:paraId="02524716">
      <w:pPr>
        <w:spacing w:line="520" w:lineRule="exact"/>
        <w:rPr>
          <w:rFonts w:ascii="宋体" w:hAnsi="宋体"/>
          <w:color w:val="auto"/>
          <w:szCs w:val="21"/>
          <w:highlight w:val="none"/>
        </w:rPr>
      </w:pPr>
    </w:p>
    <w:p w14:paraId="2069C3D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062087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69E1DDB0">
      <w:pPr>
        <w:pStyle w:val="12"/>
        <w:rPr>
          <w:rFonts w:hint="eastAsia" w:ascii="宋体" w:hAnsi="宋体"/>
          <w:color w:val="auto"/>
          <w:szCs w:val="21"/>
          <w:highlight w:val="none"/>
          <w:lang w:eastAsia="zh-CN"/>
        </w:rPr>
      </w:pPr>
    </w:p>
    <w:p w14:paraId="45C4D31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EFF6E9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0D487E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60CEB1F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02D89E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3233856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48F7D6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66E857C">
      <w:pPr>
        <w:pStyle w:val="12"/>
        <w:rPr>
          <w:rFonts w:hint="eastAsia"/>
          <w:color w:val="auto"/>
          <w:highlight w:val="none"/>
          <w:lang w:val="en-US" w:eastAsia="zh-CN"/>
        </w:rPr>
      </w:pPr>
    </w:p>
    <w:p w14:paraId="174F26A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B1851D">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14:paraId="498A5B9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D00634F">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auto"/>
          <w:kern w:val="0"/>
          <w:sz w:val="24"/>
          <w:szCs w:val="24"/>
          <w:highlight w:val="none"/>
          <w:lang w:val="en-US" w:eastAsia="zh-CN" w:bidi="ar"/>
        </w:rPr>
        <w:t>日期：</w:t>
      </w:r>
    </w:p>
    <w:p w14:paraId="606767AF">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5E30A88">
      <w:pPr>
        <w:pStyle w:val="19"/>
        <w:rPr>
          <w:rFonts w:hint="eastAsia"/>
          <w:color w:val="auto"/>
          <w:highlight w:val="none"/>
        </w:rPr>
      </w:pPr>
    </w:p>
    <w:p w14:paraId="65CCC075">
      <w:pPr>
        <w:rPr>
          <w:rFonts w:hint="eastAsia"/>
          <w:color w:val="auto"/>
          <w:highlight w:val="none"/>
        </w:rPr>
      </w:pPr>
    </w:p>
    <w:p w14:paraId="6B1C77C5">
      <w:pPr>
        <w:rPr>
          <w:rFonts w:hint="eastAsia"/>
          <w:color w:val="auto"/>
          <w:highlight w:val="none"/>
          <w:lang w:val="en-US" w:eastAsia="zh-CN"/>
        </w:rPr>
      </w:pPr>
      <w:r>
        <w:rPr>
          <w:rFonts w:hint="eastAsia"/>
          <w:color w:val="auto"/>
          <w:highlight w:val="none"/>
          <w:lang w:val="en-US" w:eastAsia="zh-CN"/>
        </w:rPr>
        <w:t>附件二</w:t>
      </w:r>
    </w:p>
    <w:p w14:paraId="43DA4A9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661D0A1">
      <w:pPr>
        <w:pStyle w:val="33"/>
        <w:spacing w:line="506" w:lineRule="exact"/>
        <w:ind w:firstLine="0"/>
        <w:jc w:val="center"/>
        <w:rPr>
          <w:b/>
          <w:bCs/>
          <w:color w:val="auto"/>
          <w:sz w:val="32"/>
          <w:szCs w:val="32"/>
          <w:highlight w:val="none"/>
        </w:rPr>
      </w:pPr>
    </w:p>
    <w:p w14:paraId="26B0528E">
      <w:pPr>
        <w:pStyle w:val="33"/>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45D53B2">
      <w:pPr>
        <w:pStyle w:val="33"/>
        <w:spacing w:line="506" w:lineRule="exact"/>
        <w:ind w:firstLine="640"/>
        <w:jc w:val="both"/>
        <w:rPr>
          <w:rFonts w:hint="eastAsia"/>
          <w:color w:val="auto"/>
          <w:sz w:val="21"/>
          <w:szCs w:val="21"/>
          <w:highlight w:val="none"/>
        </w:rPr>
      </w:pPr>
    </w:p>
    <w:p w14:paraId="4FED8DE9">
      <w:pPr>
        <w:pStyle w:val="33"/>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4F5FF1B5">
      <w:pPr>
        <w:pStyle w:val="33"/>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80E3BBF">
      <w:pPr>
        <w:pStyle w:val="33"/>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7D6B2C79">
      <w:pPr>
        <w:pStyle w:val="33"/>
        <w:spacing w:line="506" w:lineRule="exact"/>
        <w:ind w:firstLine="640"/>
        <w:jc w:val="both"/>
        <w:rPr>
          <w:color w:val="auto"/>
          <w:sz w:val="21"/>
          <w:szCs w:val="21"/>
          <w:highlight w:val="none"/>
        </w:rPr>
      </w:pPr>
      <w:r>
        <w:rPr>
          <w:rFonts w:hint="eastAsia"/>
          <w:color w:val="auto"/>
          <w:sz w:val="21"/>
          <w:szCs w:val="21"/>
          <w:highlight w:val="none"/>
        </w:rPr>
        <w:t>......</w:t>
      </w:r>
    </w:p>
    <w:p w14:paraId="5BE304CF">
      <w:pPr>
        <w:pStyle w:val="33"/>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A894FE2">
      <w:pPr>
        <w:pStyle w:val="33"/>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6671FA5">
      <w:pPr>
        <w:pStyle w:val="33"/>
        <w:spacing w:after="40" w:line="499" w:lineRule="exact"/>
        <w:ind w:firstLine="640"/>
        <w:jc w:val="both"/>
        <w:rPr>
          <w:color w:val="auto"/>
          <w:sz w:val="21"/>
          <w:szCs w:val="21"/>
          <w:highlight w:val="none"/>
        </w:rPr>
      </w:pPr>
    </w:p>
    <w:p w14:paraId="776533CD">
      <w:pPr>
        <w:pStyle w:val="33"/>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46D246CD">
      <w:pPr>
        <w:pStyle w:val="33"/>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1914FD1">
      <w:pPr>
        <w:pStyle w:val="34"/>
        <w:spacing w:after="0"/>
        <w:rPr>
          <w:rFonts w:hint="eastAsia"/>
          <w:color w:val="auto"/>
          <w:sz w:val="21"/>
          <w:szCs w:val="21"/>
          <w:highlight w:val="none"/>
        </w:rPr>
      </w:pPr>
    </w:p>
    <w:p w14:paraId="37DEA328">
      <w:pPr>
        <w:pStyle w:val="34"/>
        <w:spacing w:after="0"/>
        <w:rPr>
          <w:rFonts w:hint="eastAsia"/>
          <w:color w:val="auto"/>
          <w:highlight w:val="none"/>
        </w:rPr>
      </w:pPr>
    </w:p>
    <w:p w14:paraId="1A0ED183">
      <w:pPr>
        <w:pStyle w:val="34"/>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782AA69">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440CABC">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AC26748">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E29C0AE">
      <w:pPr>
        <w:pStyle w:val="34"/>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3B460BF3">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6ADE9EB8">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3" w:name="_Toc6550"/>
      <w:r>
        <w:rPr>
          <w:rFonts w:hint="eastAsia" w:ascii="宋体" w:hAnsi="宋体" w:eastAsia="宋体" w:cs="Times New Roman"/>
          <w:b/>
          <w:bCs/>
          <w:color w:val="auto"/>
          <w:sz w:val="32"/>
          <w:szCs w:val="32"/>
          <w:highlight w:val="none"/>
        </w:rPr>
        <w:t>残疾人福利性单位声明函</w:t>
      </w:r>
      <w:bookmarkEnd w:id="13"/>
    </w:p>
    <w:p w14:paraId="23C5470A">
      <w:pPr>
        <w:pStyle w:val="15"/>
        <w:rPr>
          <w:rFonts w:hint="eastAsia"/>
          <w:color w:val="auto"/>
          <w:highlight w:val="none"/>
        </w:rPr>
      </w:pPr>
    </w:p>
    <w:p w14:paraId="04CF44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1E3CE7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DBE3046">
      <w:pPr>
        <w:spacing w:line="360" w:lineRule="auto"/>
        <w:ind w:firstLine="504" w:firstLineChars="200"/>
        <w:contextualSpacing/>
        <w:rPr>
          <w:rFonts w:ascii="宋体" w:hAnsi="宋体"/>
          <w:color w:val="auto"/>
          <w:spacing w:val="6"/>
          <w:sz w:val="24"/>
          <w:highlight w:val="none"/>
        </w:rPr>
      </w:pPr>
    </w:p>
    <w:p w14:paraId="147881AE">
      <w:pPr>
        <w:spacing w:line="360" w:lineRule="auto"/>
        <w:ind w:firstLine="504" w:firstLineChars="200"/>
        <w:contextualSpacing/>
        <w:rPr>
          <w:rFonts w:ascii="宋体" w:hAnsi="宋体"/>
          <w:color w:val="auto"/>
          <w:spacing w:val="6"/>
          <w:sz w:val="24"/>
          <w:highlight w:val="none"/>
        </w:rPr>
      </w:pPr>
    </w:p>
    <w:p w14:paraId="718938D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654CCE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5BD73E">
      <w:pPr>
        <w:spacing w:line="360" w:lineRule="auto"/>
        <w:contextualSpacing/>
        <w:rPr>
          <w:rFonts w:ascii="宋体" w:hAnsi="宋体"/>
          <w:color w:val="auto"/>
          <w:sz w:val="24"/>
          <w:highlight w:val="none"/>
        </w:rPr>
      </w:pPr>
    </w:p>
    <w:p w14:paraId="26B7A1CD">
      <w:pPr>
        <w:spacing w:line="360" w:lineRule="auto"/>
        <w:contextualSpacing/>
        <w:rPr>
          <w:rFonts w:hint="eastAsia" w:ascii="宋体" w:hAnsi="宋体"/>
          <w:color w:val="auto"/>
          <w:sz w:val="24"/>
          <w:highlight w:val="none"/>
        </w:rPr>
      </w:pPr>
    </w:p>
    <w:p w14:paraId="680130C2">
      <w:pPr>
        <w:spacing w:line="360" w:lineRule="auto"/>
        <w:contextualSpacing/>
        <w:rPr>
          <w:rFonts w:ascii="宋体" w:hAnsi="宋体"/>
          <w:color w:val="auto"/>
          <w:sz w:val="24"/>
          <w:highlight w:val="none"/>
        </w:rPr>
      </w:pPr>
    </w:p>
    <w:p w14:paraId="098FA5EF">
      <w:pPr>
        <w:spacing w:line="360" w:lineRule="auto"/>
        <w:ind w:firstLine="480" w:firstLineChars="200"/>
        <w:contextualSpacing/>
        <w:rPr>
          <w:rFonts w:hint="default"/>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1B5092B1">
      <w:pPr>
        <w:rPr>
          <w:rFonts w:hint="eastAsia"/>
          <w:color w:val="auto"/>
          <w:highlight w:val="none"/>
          <w:lang w:val="en-US" w:eastAsia="zh-CN"/>
        </w:rPr>
      </w:pPr>
      <w:r>
        <w:rPr>
          <w:rFonts w:hint="eastAsia"/>
          <w:color w:val="auto"/>
          <w:highlight w:val="none"/>
          <w:lang w:val="en-US" w:eastAsia="zh-CN"/>
        </w:rPr>
        <w:t>附件三</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11"/>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11"/>
        <w:spacing w:line="520" w:lineRule="exact"/>
        <w:ind w:firstLine="480"/>
        <w:rPr>
          <w:color w:val="auto"/>
          <w:highlight w:val="none"/>
        </w:rPr>
      </w:pPr>
      <w:r>
        <w:rPr>
          <w:rFonts w:hint="eastAsia"/>
          <w:color w:val="auto"/>
          <w:highlight w:val="none"/>
        </w:rPr>
        <w:t>1. 报价表；</w:t>
      </w:r>
    </w:p>
    <w:p w14:paraId="4ADF8F28">
      <w:pPr>
        <w:pStyle w:val="11"/>
        <w:spacing w:line="520" w:lineRule="exact"/>
        <w:ind w:firstLine="480"/>
        <w:rPr>
          <w:color w:val="auto"/>
          <w:highlight w:val="none"/>
        </w:rPr>
      </w:pPr>
      <w:r>
        <w:rPr>
          <w:rFonts w:hint="eastAsia"/>
          <w:color w:val="auto"/>
          <w:highlight w:val="none"/>
        </w:rPr>
        <w:t>2. 商务、技术响应、偏离情况说明表；</w:t>
      </w:r>
    </w:p>
    <w:p w14:paraId="42D0C6BF">
      <w:pPr>
        <w:pStyle w:val="11"/>
        <w:spacing w:line="520" w:lineRule="exact"/>
        <w:ind w:firstLine="480"/>
        <w:rPr>
          <w:color w:val="auto"/>
          <w:highlight w:val="none"/>
        </w:rPr>
      </w:pPr>
      <w:r>
        <w:rPr>
          <w:rFonts w:hint="eastAsia"/>
          <w:color w:val="auto"/>
          <w:highlight w:val="none"/>
        </w:rPr>
        <w:t>3. 资格证明文件；</w:t>
      </w:r>
    </w:p>
    <w:p w14:paraId="39EB6934">
      <w:pPr>
        <w:pStyle w:val="11"/>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11"/>
        <w:spacing w:line="520" w:lineRule="exact"/>
        <w:ind w:firstLine="315"/>
        <w:rPr>
          <w:color w:val="auto"/>
          <w:highlight w:val="none"/>
        </w:rPr>
      </w:pPr>
      <w:r>
        <w:rPr>
          <w:rFonts w:hint="eastAsia"/>
          <w:color w:val="auto"/>
          <w:highlight w:val="none"/>
        </w:rPr>
        <w:t>在此，授权代表宣布同意如下：</w:t>
      </w:r>
    </w:p>
    <w:p w14:paraId="54241C68">
      <w:pPr>
        <w:pStyle w:val="11"/>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11"/>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11"/>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11"/>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11"/>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11"/>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11"/>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11"/>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7F71B98E">
      <w:pPr>
        <w:pStyle w:val="14"/>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附件四</w:t>
      </w:r>
    </w:p>
    <w:p w14:paraId="4A9C3016">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64033E0A">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14:paraId="235D803A">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E1CF09C">
      <w:pPr>
        <w:spacing w:line="460" w:lineRule="exact"/>
        <w:ind w:firstLine="211" w:firstLineChars="100"/>
        <w:rPr>
          <w:rFonts w:cs="宋体"/>
          <w:b/>
          <w:color w:val="auto"/>
          <w:kern w:val="1"/>
          <w:highlight w:val="none"/>
        </w:rPr>
      </w:pPr>
      <w:r>
        <w:rPr>
          <w:rFonts w:cs="宋体"/>
          <w:b/>
          <w:color w:val="auto"/>
          <w:kern w:val="1"/>
          <w:highlight w:val="none"/>
          <w:u w:val="single"/>
        </w:rPr>
        <w:t>本项目</w:t>
      </w:r>
    </w:p>
    <w:tbl>
      <w:tblPr>
        <w:tblStyle w:val="21"/>
        <w:tblW w:w="0" w:type="auto"/>
        <w:tblInd w:w="384" w:type="dxa"/>
        <w:tblLayout w:type="fixed"/>
        <w:tblCellMar>
          <w:top w:w="0" w:type="dxa"/>
          <w:left w:w="108" w:type="dxa"/>
          <w:bottom w:w="0" w:type="dxa"/>
          <w:right w:w="108" w:type="dxa"/>
        </w:tblCellMar>
      </w:tblPr>
      <w:tblGrid>
        <w:gridCol w:w="2618"/>
        <w:gridCol w:w="2699"/>
        <w:gridCol w:w="2641"/>
        <w:gridCol w:w="1636"/>
      </w:tblGrid>
      <w:tr w14:paraId="0D29486C">
        <w:tblPrEx>
          <w:tblCellMar>
            <w:top w:w="0" w:type="dxa"/>
            <w:left w:w="108" w:type="dxa"/>
            <w:bottom w:w="0" w:type="dxa"/>
            <w:right w:w="108" w:type="dxa"/>
          </w:tblCellMar>
        </w:tblPrEx>
        <w:trPr>
          <w:trHeight w:val="865"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380D0ECC">
            <w:pPr>
              <w:rPr>
                <w:color w:val="auto"/>
                <w:kern w:val="1"/>
                <w:highlight w:val="none"/>
              </w:rPr>
            </w:pPr>
            <w:r>
              <w:rPr>
                <w:rFonts w:hint="eastAsia"/>
                <w:color w:val="auto"/>
                <w:kern w:val="1"/>
                <w:highlight w:val="none"/>
              </w:rPr>
              <w:t>服务项目名称</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6D301D7">
            <w:pPr>
              <w:rPr>
                <w:color w:val="auto"/>
                <w:kern w:val="1"/>
                <w:highlight w:val="none"/>
              </w:rPr>
            </w:pPr>
            <w:r>
              <w:rPr>
                <w:rFonts w:hint="eastAsia"/>
                <w:color w:val="auto"/>
                <w:kern w:val="1"/>
                <w:highlight w:val="none"/>
              </w:rPr>
              <w:t>服务内容</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153AAB5E">
            <w:pPr>
              <w:rPr>
                <w:color w:val="auto"/>
                <w:kern w:val="1"/>
                <w:highlight w:val="none"/>
              </w:rPr>
            </w:pPr>
            <w:r>
              <w:rPr>
                <w:rFonts w:hint="eastAsia"/>
                <w:color w:val="auto"/>
                <w:kern w:val="1"/>
                <w:highlight w:val="none"/>
              </w:rPr>
              <w:t>报</w:t>
            </w:r>
            <w:r>
              <w:rPr>
                <w:color w:val="auto"/>
                <w:kern w:val="1"/>
                <w:highlight w:val="none"/>
              </w:rPr>
              <w:t xml:space="preserve">  </w:t>
            </w:r>
            <w:r>
              <w:rPr>
                <w:rFonts w:hint="eastAsia"/>
                <w:color w:val="auto"/>
                <w:kern w:val="1"/>
                <w:highlight w:val="none"/>
              </w:rPr>
              <w:t>价（元）</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E7743B1">
            <w:pPr>
              <w:rPr>
                <w:color w:val="auto"/>
                <w:kern w:val="1"/>
                <w:highlight w:val="none"/>
              </w:rPr>
            </w:pPr>
            <w:r>
              <w:rPr>
                <w:rFonts w:hint="eastAsia"/>
                <w:color w:val="auto"/>
                <w:kern w:val="1"/>
                <w:highlight w:val="none"/>
              </w:rPr>
              <w:t>说</w:t>
            </w:r>
            <w:r>
              <w:rPr>
                <w:color w:val="auto"/>
                <w:kern w:val="1"/>
                <w:highlight w:val="none"/>
              </w:rPr>
              <w:t xml:space="preserve">      </w:t>
            </w:r>
            <w:r>
              <w:rPr>
                <w:rFonts w:hint="eastAsia"/>
                <w:color w:val="auto"/>
                <w:kern w:val="1"/>
                <w:highlight w:val="none"/>
              </w:rPr>
              <w:t>明</w:t>
            </w:r>
          </w:p>
        </w:tc>
      </w:tr>
      <w:tr w14:paraId="143B90A7">
        <w:tblPrEx>
          <w:tblCellMar>
            <w:top w:w="0" w:type="dxa"/>
            <w:left w:w="108" w:type="dxa"/>
            <w:bottom w:w="0" w:type="dxa"/>
            <w:right w:w="108" w:type="dxa"/>
          </w:tblCellMar>
        </w:tblPrEx>
        <w:trPr>
          <w:trHeight w:val="1272" w:hRule="atLeast"/>
        </w:trPr>
        <w:tc>
          <w:tcPr>
            <w:tcW w:w="2618" w:type="dxa"/>
            <w:tcBorders>
              <w:top w:val="single" w:color="000000" w:sz="4" w:space="0"/>
              <w:left w:val="single" w:color="000000" w:sz="4" w:space="0"/>
              <w:bottom w:val="single" w:color="000000" w:sz="4" w:space="0"/>
              <w:right w:val="single" w:color="000000" w:sz="4" w:space="0"/>
            </w:tcBorders>
            <w:noWrap w:val="0"/>
            <w:vAlign w:val="center"/>
          </w:tcPr>
          <w:p w14:paraId="4C69AFF7">
            <w:pPr>
              <w:rPr>
                <w:color w:val="auto"/>
                <w:kern w:val="1"/>
                <w:highlight w:val="none"/>
              </w:rPr>
            </w:pPr>
            <w:r>
              <w:rPr>
                <w:rFonts w:hint="eastAsia"/>
                <w:color w:val="auto"/>
                <w:kern w:val="1"/>
                <w:highlight w:val="none"/>
              </w:rPr>
              <w:t>服务采购</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2ECCBD7">
            <w:pPr>
              <w:rPr>
                <w:color w:val="auto"/>
                <w:kern w:val="1"/>
                <w:highlight w:val="none"/>
              </w:rPr>
            </w:pP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2CC6578F">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DF60ACF">
            <w:pPr>
              <w:rPr>
                <w:color w:val="auto"/>
                <w:kern w:val="1"/>
                <w:highlight w:val="none"/>
              </w:rPr>
            </w:pPr>
          </w:p>
        </w:tc>
      </w:tr>
      <w:tr w14:paraId="46EFD1C9">
        <w:tblPrEx>
          <w:tblCellMar>
            <w:top w:w="0" w:type="dxa"/>
            <w:left w:w="108" w:type="dxa"/>
            <w:bottom w:w="0" w:type="dxa"/>
            <w:right w:w="108" w:type="dxa"/>
          </w:tblCellMar>
        </w:tblPrEx>
        <w:trPr>
          <w:trHeight w:val="1272" w:hRule="atLeast"/>
        </w:trPr>
        <w:tc>
          <w:tcPr>
            <w:tcW w:w="5317" w:type="dxa"/>
            <w:gridSpan w:val="2"/>
            <w:tcBorders>
              <w:top w:val="single" w:color="000000" w:sz="4" w:space="0"/>
              <w:left w:val="single" w:color="000000" w:sz="4" w:space="0"/>
              <w:bottom w:val="single" w:color="000000" w:sz="4" w:space="0"/>
              <w:right w:val="single" w:color="000000" w:sz="4" w:space="0"/>
            </w:tcBorders>
            <w:noWrap w:val="0"/>
            <w:vAlign w:val="center"/>
          </w:tcPr>
          <w:p w14:paraId="33965CB4">
            <w:pPr>
              <w:rPr>
                <w:color w:val="auto"/>
                <w:kern w:val="1"/>
                <w:highlight w:val="none"/>
              </w:rPr>
            </w:pPr>
            <w:r>
              <w:rPr>
                <w:rFonts w:hint="eastAsia"/>
                <w:color w:val="auto"/>
                <w:kern w:val="1"/>
                <w:highlight w:val="none"/>
              </w:rPr>
              <w:t>合计</w:t>
            </w:r>
          </w:p>
        </w:tc>
        <w:tc>
          <w:tcPr>
            <w:tcW w:w="2641" w:type="dxa"/>
            <w:tcBorders>
              <w:top w:val="single" w:color="000000" w:sz="4" w:space="0"/>
              <w:left w:val="single" w:color="000000" w:sz="4" w:space="0"/>
              <w:bottom w:val="single" w:color="000000" w:sz="4" w:space="0"/>
              <w:right w:val="single" w:color="000000" w:sz="4" w:space="0"/>
            </w:tcBorders>
            <w:noWrap w:val="0"/>
            <w:vAlign w:val="center"/>
          </w:tcPr>
          <w:p w14:paraId="703F28E3">
            <w:pPr>
              <w:rPr>
                <w:color w:val="auto"/>
                <w:kern w:val="1"/>
                <w:highlight w:val="none"/>
              </w:rPr>
            </w:pP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8546298">
            <w:pPr>
              <w:rPr>
                <w:color w:val="auto"/>
                <w:kern w:val="1"/>
                <w:highlight w:val="none"/>
              </w:rPr>
            </w:pPr>
          </w:p>
        </w:tc>
      </w:tr>
      <w:tr w14:paraId="56C1A4C0">
        <w:tblPrEx>
          <w:tblCellMar>
            <w:top w:w="0" w:type="dxa"/>
            <w:left w:w="108" w:type="dxa"/>
            <w:bottom w:w="0" w:type="dxa"/>
            <w:right w:w="108" w:type="dxa"/>
          </w:tblCellMar>
        </w:tblPrEx>
        <w:trPr>
          <w:trHeight w:val="857" w:hRule="atLeast"/>
        </w:trPr>
        <w:tc>
          <w:tcPr>
            <w:tcW w:w="9594" w:type="dxa"/>
            <w:gridSpan w:val="4"/>
            <w:tcBorders>
              <w:top w:val="single" w:color="000000" w:sz="4" w:space="0"/>
              <w:left w:val="single" w:color="000000" w:sz="4" w:space="0"/>
              <w:bottom w:val="single" w:color="000000" w:sz="4" w:space="0"/>
              <w:right w:val="single" w:color="000000" w:sz="4" w:space="0"/>
            </w:tcBorders>
            <w:noWrap w:val="0"/>
            <w:vAlign w:val="center"/>
          </w:tcPr>
          <w:p w14:paraId="1D83205C">
            <w:pPr>
              <w:rPr>
                <w:color w:val="auto"/>
                <w:kern w:val="1"/>
                <w:highlight w:val="none"/>
              </w:rPr>
            </w:pPr>
            <w:r>
              <w:rPr>
                <w:rFonts w:hint="eastAsia"/>
                <w:color w:val="auto"/>
                <w:kern w:val="1"/>
                <w:highlight w:val="none"/>
              </w:rPr>
              <w:t>总报价（人民币大写）：</w:t>
            </w:r>
            <w:r>
              <w:rPr>
                <w:color w:val="auto"/>
                <w:kern w:val="1"/>
                <w:highlight w:val="none"/>
              </w:rPr>
              <w:t xml:space="preserve">                                       </w:t>
            </w:r>
            <w:r>
              <w:rPr>
                <w:rFonts w:hint="eastAsia"/>
                <w:color w:val="auto"/>
                <w:kern w:val="1"/>
                <w:highlight w:val="none"/>
              </w:rPr>
              <w:t>（￥</w:t>
            </w:r>
            <w:r>
              <w:rPr>
                <w:color w:val="auto"/>
                <w:kern w:val="1"/>
                <w:highlight w:val="none"/>
              </w:rPr>
              <w:t xml:space="preserve">                   </w:t>
            </w:r>
            <w:r>
              <w:rPr>
                <w:rFonts w:hint="eastAsia"/>
                <w:color w:val="auto"/>
                <w:kern w:val="1"/>
                <w:highlight w:val="none"/>
              </w:rPr>
              <w:t>元）</w:t>
            </w:r>
          </w:p>
        </w:tc>
      </w:tr>
    </w:tbl>
    <w:p w14:paraId="4E7C2CD2">
      <w:pPr>
        <w:spacing w:line="374" w:lineRule="atLeast"/>
        <w:rPr>
          <w:rFonts w:ascii="宋体" w:hAnsi="宋体"/>
          <w:color w:val="auto"/>
          <w:highlight w:val="none"/>
        </w:rPr>
      </w:pPr>
      <w:r>
        <w:rPr>
          <w:rFonts w:hint="eastAsia" w:ascii="宋体" w:hAnsi="宋体"/>
          <w:color w:val="auto"/>
          <w:highlight w:val="none"/>
        </w:rPr>
        <w:t>注：</w:t>
      </w:r>
    </w:p>
    <w:p w14:paraId="64C9B0CE">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1.投标人的</w:t>
      </w:r>
      <w:r>
        <w:rPr>
          <w:rFonts w:hint="eastAsia" w:ascii="宋体" w:hAnsi="宋体"/>
          <w:bCs/>
          <w:color w:val="auto"/>
          <w:highlight w:val="none"/>
          <w:lang w:eastAsia="zh-CN"/>
        </w:rPr>
        <w:t>报价表</w:t>
      </w:r>
      <w:r>
        <w:rPr>
          <w:rFonts w:hint="eastAsia" w:ascii="宋体" w:hAnsi="宋体"/>
          <w:bCs/>
          <w:color w:val="auto"/>
          <w:highlight w:val="none"/>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2.报价一经涂改，应在涂改处加盖投标人公章或者由法定代表人或者委托代理人签字或者盖章，否则其投标作无效标处理。</w:t>
      </w:r>
    </w:p>
    <w:p w14:paraId="7CD7D073">
      <w:pPr>
        <w:spacing w:line="400" w:lineRule="exact"/>
        <w:rPr>
          <w:rFonts w:ascii="宋体" w:hAnsi="宋体" w:cs="宋体"/>
          <w:color w:val="auto"/>
          <w:kern w:val="1"/>
          <w:highlight w:val="none"/>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cs="宋体"/>
          <w:color w:val="auto"/>
          <w:kern w:val="1"/>
          <w:highlight w:val="none"/>
        </w:rPr>
        <w:t>报价为完成项目需求所有内容的总报价，总价包干，成交人在实施中不得以任何理由要求采购人变更总价。</w:t>
      </w:r>
    </w:p>
    <w:p w14:paraId="217A18B7">
      <w:pPr>
        <w:adjustRightInd w:val="0"/>
        <w:snapToGrid w:val="0"/>
        <w:spacing w:line="400" w:lineRule="exact"/>
        <w:rPr>
          <w:rFonts w:hint="default" w:ascii="宋体" w:hAnsi="宋体" w:eastAsiaTheme="minorEastAsia"/>
          <w:color w:val="auto"/>
          <w:highlight w:val="none"/>
          <w:lang w:val="en-US" w:eastAsia="zh-CN"/>
        </w:rPr>
      </w:pPr>
    </w:p>
    <w:p w14:paraId="2B2F7212">
      <w:pPr>
        <w:spacing w:line="500" w:lineRule="exact"/>
        <w:ind w:firstLine="831" w:firstLineChars="396"/>
        <w:rPr>
          <w:rFonts w:ascii="宋体" w:hAnsi="宋体"/>
          <w:bCs/>
          <w:color w:val="auto"/>
          <w:highlight w:val="none"/>
        </w:rPr>
      </w:pPr>
    </w:p>
    <w:p w14:paraId="4F957539">
      <w:pPr>
        <w:spacing w:line="500" w:lineRule="exact"/>
        <w:ind w:firstLine="831" w:firstLineChars="396"/>
        <w:rPr>
          <w:rFonts w:ascii="宋体" w:hAnsi="宋体"/>
          <w:bCs/>
          <w:color w:val="auto"/>
          <w:highlight w:val="none"/>
        </w:rPr>
      </w:pPr>
    </w:p>
    <w:p w14:paraId="144B010E">
      <w:pPr>
        <w:pStyle w:val="11"/>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37D4144E">
      <w:pPr>
        <w:pStyle w:val="11"/>
        <w:spacing w:line="500" w:lineRule="exact"/>
        <w:ind w:firstLine="3570" w:firstLineChars="17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BA13763">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7C2E5BA2">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附件</w:t>
      </w:r>
      <w:r>
        <w:rPr>
          <w:rFonts w:hint="eastAsia" w:ascii="宋体" w:hAnsi="宋体"/>
          <w:color w:val="auto"/>
          <w:highlight w:val="none"/>
          <w:lang w:eastAsia="zh-CN"/>
        </w:rPr>
        <w:t>五</w:t>
      </w:r>
      <w:r>
        <w:rPr>
          <w:rFonts w:hint="eastAsia" w:ascii="宋体" w:hAnsi="宋体"/>
          <w:color w:val="auto"/>
          <w:highlight w:val="none"/>
        </w:rPr>
        <w:t xml:space="preserve">  </w:t>
      </w:r>
    </w:p>
    <w:p w14:paraId="10F755A5">
      <w:pPr>
        <w:spacing w:line="300" w:lineRule="auto"/>
        <w:rPr>
          <w:rFonts w:ascii="宋体" w:hAnsi="宋体"/>
          <w:b/>
          <w:color w:val="auto"/>
          <w:highlight w:val="none"/>
        </w:rPr>
      </w:pPr>
    </w:p>
    <w:p w14:paraId="631BF81D">
      <w:pPr>
        <w:snapToGrid w:val="0"/>
        <w:spacing w:line="300" w:lineRule="auto"/>
        <w:jc w:val="center"/>
        <w:rPr>
          <w:rStyle w:val="32"/>
          <w:rFonts w:hint="eastAsia" w:ascii="仿宋_GB2312" w:hAnsi="宋体" w:eastAsia="仿宋_GB2312"/>
          <w:b/>
          <w:bCs/>
          <w:color w:val="auto"/>
          <w:sz w:val="32"/>
          <w:szCs w:val="32"/>
          <w:highlight w:val="none"/>
        </w:rPr>
      </w:pPr>
      <w:r>
        <w:rPr>
          <w:rStyle w:val="32"/>
          <w:rFonts w:hint="eastAsia" w:asciiTheme="minorEastAsia" w:hAnsiTheme="minorEastAsia" w:eastAsiaTheme="minorEastAsia" w:cstheme="minorEastAsia"/>
          <w:b/>
          <w:bCs/>
          <w:color w:val="auto"/>
          <w:sz w:val="32"/>
          <w:szCs w:val="32"/>
          <w:highlight w:val="none"/>
        </w:rPr>
        <w:t>法定代表人</w:t>
      </w:r>
      <w:r>
        <w:rPr>
          <w:rStyle w:val="32"/>
          <w:rFonts w:hint="eastAsia" w:asciiTheme="minorEastAsia" w:hAnsiTheme="minorEastAsia" w:eastAsiaTheme="minorEastAsia" w:cstheme="minorEastAsia"/>
          <w:b/>
          <w:bCs/>
          <w:color w:val="auto"/>
          <w:sz w:val="32"/>
          <w:szCs w:val="32"/>
          <w:highlight w:val="none"/>
          <w:lang w:eastAsia="zh-CN"/>
        </w:rPr>
        <w:t>（</w:t>
      </w:r>
      <w:r>
        <w:rPr>
          <w:rStyle w:val="32"/>
          <w:rFonts w:hint="eastAsia" w:asciiTheme="minorEastAsia" w:hAnsiTheme="minorEastAsia" w:eastAsiaTheme="minorEastAsia" w:cstheme="minorEastAsia"/>
          <w:b/>
          <w:bCs/>
          <w:color w:val="auto"/>
          <w:sz w:val="32"/>
          <w:szCs w:val="32"/>
          <w:highlight w:val="none"/>
        </w:rPr>
        <w:t>负责人</w:t>
      </w:r>
      <w:r>
        <w:rPr>
          <w:rStyle w:val="32"/>
          <w:rFonts w:hint="eastAsia" w:asciiTheme="minorEastAsia" w:hAnsiTheme="minorEastAsia" w:eastAsiaTheme="minorEastAsia" w:cstheme="minorEastAsia"/>
          <w:b/>
          <w:bCs/>
          <w:color w:val="auto"/>
          <w:sz w:val="32"/>
          <w:szCs w:val="32"/>
          <w:highlight w:val="none"/>
          <w:lang w:eastAsia="zh-CN"/>
        </w:rPr>
        <w:t>）</w:t>
      </w:r>
      <w:r>
        <w:rPr>
          <w:rStyle w:val="32"/>
          <w:rFonts w:hint="eastAsia" w:asciiTheme="minorEastAsia" w:hAnsiTheme="minorEastAsia" w:eastAsiaTheme="minorEastAsia" w:cstheme="minorEastAsia"/>
          <w:b/>
          <w:bCs/>
          <w:color w:val="auto"/>
          <w:sz w:val="32"/>
          <w:szCs w:val="32"/>
          <w:highlight w:val="none"/>
        </w:rPr>
        <w:t>授权委托书</w:t>
      </w:r>
    </w:p>
    <w:p w14:paraId="2E99297A">
      <w:pPr>
        <w:snapToGrid w:val="0"/>
        <w:spacing w:line="520" w:lineRule="exact"/>
        <w:rPr>
          <w:rStyle w:val="32"/>
          <w:rFonts w:hint="eastAsia" w:ascii="宋体" w:hAnsi="宋体"/>
          <w:color w:val="auto"/>
          <w:highlight w:val="none"/>
        </w:rPr>
      </w:pPr>
      <w:r>
        <w:rPr>
          <w:rStyle w:val="32"/>
          <w:rFonts w:hint="eastAsia" w:ascii="宋体" w:hAnsi="宋体"/>
          <w:color w:val="auto"/>
          <w:highlight w:val="none"/>
        </w:rPr>
        <w:t xml:space="preserve"> </w:t>
      </w:r>
    </w:p>
    <w:p w14:paraId="4B17197C">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27B52969">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磋商</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4995C324">
      <w:pPr>
        <w:spacing w:line="520" w:lineRule="exact"/>
        <w:rPr>
          <w:rFonts w:ascii="宋体" w:hAnsi="宋体"/>
          <w:color w:val="auto"/>
          <w:highlight w:val="none"/>
        </w:rPr>
      </w:pPr>
    </w:p>
    <w:p w14:paraId="45EA79EC">
      <w:pPr>
        <w:spacing w:line="520" w:lineRule="exact"/>
        <w:rPr>
          <w:rFonts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供应商（盖章）：</w:t>
      </w:r>
      <w:r>
        <w:rPr>
          <w:rFonts w:hint="eastAsia" w:ascii="宋体" w:hAnsi="宋体"/>
          <w:color w:val="auto"/>
          <w:highlight w:val="none"/>
          <w:u w:val="single"/>
        </w:rPr>
        <w:t xml:space="preserve">               </w:t>
      </w:r>
    </w:p>
    <w:p w14:paraId="35C96063">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79ACD1C3">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76D4878">
      <w:pPr>
        <w:spacing w:line="520" w:lineRule="exact"/>
        <w:rPr>
          <w:rFonts w:ascii="宋体" w:hAnsi="宋体"/>
          <w:color w:val="auto"/>
          <w:highlight w:val="none"/>
        </w:rPr>
      </w:pPr>
    </w:p>
    <w:p w14:paraId="04515211">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100E36F8">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5C064FF3">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99D4DCA">
      <w:pPr>
        <w:spacing w:line="520" w:lineRule="exact"/>
        <w:ind w:firstLine="420"/>
        <w:rPr>
          <w:rFonts w:ascii="宋体" w:hAnsi="宋体"/>
          <w:color w:val="auto"/>
          <w:highlight w:val="none"/>
          <w:u w:val="single"/>
        </w:rPr>
      </w:pPr>
    </w:p>
    <w:tbl>
      <w:tblPr>
        <w:tblStyle w:val="21"/>
        <w:tblW w:w="8981" w:type="dxa"/>
        <w:tblInd w:w="331" w:type="dxa"/>
        <w:tblLayout w:type="autofit"/>
        <w:tblCellMar>
          <w:top w:w="0" w:type="dxa"/>
          <w:left w:w="108" w:type="dxa"/>
          <w:bottom w:w="0" w:type="dxa"/>
          <w:right w:w="108" w:type="dxa"/>
        </w:tblCellMar>
      </w:tblPr>
      <w:tblGrid>
        <w:gridCol w:w="8981"/>
      </w:tblGrid>
      <w:tr w14:paraId="7D2D7FA6">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1E1ADF">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5F697EF9">
      <w:pPr>
        <w:spacing w:line="300" w:lineRule="auto"/>
        <w:jc w:val="center"/>
        <w:rPr>
          <w:rFonts w:hint="eastAsia" w:ascii="宋体" w:hAnsi="宋体"/>
          <w:b/>
          <w:color w:val="auto"/>
          <w:sz w:val="32"/>
          <w:szCs w:val="32"/>
          <w:highlight w:val="none"/>
        </w:rPr>
      </w:pPr>
    </w:p>
    <w:p w14:paraId="14D1AC0A">
      <w:pPr>
        <w:spacing w:line="300" w:lineRule="auto"/>
        <w:jc w:val="center"/>
        <w:rPr>
          <w:rFonts w:hint="eastAsia" w:ascii="宋体" w:hAnsi="宋体"/>
          <w:b/>
          <w:color w:val="auto"/>
          <w:sz w:val="32"/>
          <w:szCs w:val="32"/>
          <w:highlight w:val="none"/>
        </w:rPr>
      </w:pPr>
    </w:p>
    <w:p w14:paraId="09A029C7">
      <w:pPr>
        <w:spacing w:line="300" w:lineRule="auto"/>
        <w:jc w:val="center"/>
        <w:rPr>
          <w:rFonts w:hint="eastAsia" w:ascii="宋体" w:hAnsi="宋体"/>
          <w:b/>
          <w:color w:val="auto"/>
          <w:sz w:val="32"/>
          <w:szCs w:val="32"/>
          <w:highlight w:val="none"/>
        </w:rPr>
      </w:pPr>
    </w:p>
    <w:p w14:paraId="3FE1708C">
      <w:pPr>
        <w:spacing w:line="300" w:lineRule="auto"/>
        <w:jc w:val="center"/>
        <w:rPr>
          <w:rFonts w:hint="eastAsia" w:ascii="宋体" w:hAnsi="宋体"/>
          <w:b/>
          <w:color w:val="auto"/>
          <w:sz w:val="32"/>
          <w:szCs w:val="32"/>
          <w:highlight w:val="none"/>
        </w:rPr>
      </w:pPr>
    </w:p>
    <w:p w14:paraId="25E2C9FE">
      <w:pPr>
        <w:spacing w:line="300" w:lineRule="auto"/>
        <w:jc w:val="center"/>
        <w:rPr>
          <w:rFonts w:hint="eastAsia" w:ascii="宋体" w:hAnsi="宋体"/>
          <w:b/>
          <w:color w:val="auto"/>
          <w:sz w:val="32"/>
          <w:szCs w:val="32"/>
          <w:highlight w:val="none"/>
        </w:rPr>
      </w:pPr>
    </w:p>
    <w:p w14:paraId="7B6E0291">
      <w:pPr>
        <w:spacing w:line="300" w:lineRule="auto"/>
        <w:jc w:val="center"/>
        <w:rPr>
          <w:rFonts w:hint="eastAsia" w:ascii="宋体" w:hAnsi="宋体"/>
          <w:b/>
          <w:color w:val="auto"/>
          <w:sz w:val="32"/>
          <w:szCs w:val="32"/>
          <w:highlight w:val="none"/>
        </w:rPr>
      </w:pPr>
    </w:p>
    <w:p w14:paraId="43D102CD">
      <w:pPr>
        <w:spacing w:line="300" w:lineRule="auto"/>
        <w:jc w:val="center"/>
        <w:rPr>
          <w:rFonts w:hint="eastAsia" w:ascii="宋体" w:hAnsi="宋体"/>
          <w:b/>
          <w:color w:val="auto"/>
          <w:sz w:val="32"/>
          <w:szCs w:val="32"/>
          <w:highlight w:val="none"/>
        </w:rPr>
      </w:pPr>
    </w:p>
    <w:p w14:paraId="65F85846">
      <w:pPr>
        <w:pageBreakBefore/>
        <w:adjustRightInd w:val="0"/>
        <w:snapToGrid w:val="0"/>
        <w:spacing w:line="300" w:lineRule="auto"/>
        <w:ind w:left="-88" w:leftChars="-42"/>
        <w:rPr>
          <w:rFonts w:hint="eastAsia" w:ascii="宋体" w:hAnsi="宋体"/>
          <w:color w:val="auto"/>
          <w:highlight w:val="none"/>
          <w:lang w:eastAsia="zh-CN"/>
        </w:rPr>
      </w:pPr>
      <w:r>
        <w:rPr>
          <w:rFonts w:hint="eastAsia" w:ascii="宋体" w:hAnsi="宋体"/>
          <w:color w:val="auto"/>
          <w:highlight w:val="none"/>
          <w:lang w:eastAsia="zh-CN"/>
        </w:rPr>
        <w:t>附件六</w:t>
      </w:r>
    </w:p>
    <w:p w14:paraId="0BEEA72F">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14:paraId="702B641C">
      <w:pPr>
        <w:spacing w:line="300" w:lineRule="auto"/>
        <w:rPr>
          <w:rFonts w:ascii="宋体" w:hAnsi="宋体"/>
          <w:color w:val="auto"/>
          <w:highlight w:val="none"/>
        </w:rPr>
      </w:pPr>
    </w:p>
    <w:p w14:paraId="78F2A8D1">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14:paraId="16636E1B">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CC0467F">
      <w:pPr>
        <w:spacing w:line="500" w:lineRule="exact"/>
        <w:rPr>
          <w:rFonts w:ascii="宋体" w:hAnsi="宋体"/>
          <w:b/>
          <w:color w:val="auto"/>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color w:val="auto"/>
                <w:highlight w:val="none"/>
              </w:rPr>
            </w:pPr>
            <w:bookmarkStart w:id="14" w:name="_Toc254970730"/>
            <w:bookmarkStart w:id="15" w:name="_Toc173211901"/>
            <w:bookmarkStart w:id="16" w:name="_Toc173066402"/>
            <w:bookmarkStart w:id="17" w:name="_Toc254970589"/>
            <w:r>
              <w:rPr>
                <w:rFonts w:hint="eastAsia" w:ascii="宋体" w:hAnsi="宋体"/>
                <w:color w:val="auto"/>
                <w:highlight w:val="none"/>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color w:val="auto"/>
                <w:highlight w:val="none"/>
              </w:rPr>
            </w:pPr>
            <w:bookmarkStart w:id="18" w:name="_Toc254970590"/>
            <w:bookmarkStart w:id="19" w:name="_Toc254970731"/>
            <w:bookmarkStart w:id="20" w:name="_Toc173066403"/>
            <w:bookmarkStart w:id="21" w:name="_Toc173211902"/>
            <w:r>
              <w:rPr>
                <w:rFonts w:hint="eastAsia" w:ascii="宋体" w:hAnsi="宋体"/>
                <w:color w:val="auto"/>
                <w:highlight w:val="none"/>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color w:val="auto"/>
                <w:highlight w:val="none"/>
              </w:rPr>
            </w:pPr>
            <w:bookmarkStart w:id="22" w:name="_Toc173211903"/>
            <w:bookmarkStart w:id="23" w:name="_Toc173066404"/>
            <w:bookmarkStart w:id="24" w:name="_Toc254970591"/>
            <w:bookmarkStart w:id="25" w:name="_Toc254970732"/>
            <w:r>
              <w:rPr>
                <w:rFonts w:hint="eastAsia" w:ascii="宋体" w:hAnsi="宋体"/>
                <w:color w:val="auto"/>
                <w:highlight w:val="none"/>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color w:val="auto"/>
                <w:highlight w:val="none"/>
              </w:rPr>
            </w:pPr>
            <w:bookmarkStart w:id="26" w:name="_Toc254970592"/>
            <w:bookmarkStart w:id="27" w:name="_Toc173066405"/>
            <w:bookmarkStart w:id="28" w:name="_Toc254970733"/>
            <w:bookmarkStart w:id="29" w:name="_Toc173211904"/>
            <w:r>
              <w:rPr>
                <w:rFonts w:hint="eastAsia" w:ascii="宋体" w:hAnsi="宋体"/>
                <w:color w:val="auto"/>
                <w:highlight w:val="none"/>
              </w:rPr>
              <w:t>说明</w:t>
            </w:r>
            <w:bookmarkEnd w:id="26"/>
            <w:bookmarkEnd w:id="27"/>
            <w:bookmarkEnd w:id="28"/>
            <w:bookmarkEnd w:id="29"/>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color w:val="auto"/>
                <w:highlight w:val="none"/>
              </w:rPr>
            </w:pPr>
            <w:r>
              <w:rPr>
                <w:rFonts w:hint="eastAsia" w:ascii="宋体" w:hAnsi="宋体"/>
                <w:color w:val="auto"/>
                <w:highlight w:val="none"/>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color w:val="auto"/>
                <w:highlight w:val="none"/>
              </w:rPr>
            </w:pPr>
            <w:bookmarkStart w:id="30" w:name="_Toc254970734"/>
            <w:bookmarkStart w:id="31" w:name="_Toc254970593"/>
            <w:bookmarkStart w:id="32" w:name="_Toc173066406"/>
            <w:bookmarkStart w:id="33" w:name="_Toc173211905"/>
            <w:r>
              <w:rPr>
                <w:rFonts w:hint="eastAsia" w:ascii="宋体" w:hAnsi="宋体"/>
                <w:color w:val="auto"/>
                <w:highlight w:val="none"/>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color w:val="auto"/>
                <w:highlight w:val="none"/>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color w:val="auto"/>
                <w:highlight w:val="none"/>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color w:val="auto"/>
                <w:highlight w:val="none"/>
              </w:rPr>
            </w:pPr>
            <w:r>
              <w:rPr>
                <w:rFonts w:hint="eastAsia" w:ascii="宋体" w:hAnsi="宋体"/>
                <w:color w:val="auto"/>
                <w:highlight w:val="none"/>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color w:val="auto"/>
                <w:highlight w:val="none"/>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color w:val="auto"/>
                <w:highlight w:val="none"/>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color w:val="auto"/>
                <w:highlight w:val="none"/>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color w:val="auto"/>
                <w:highlight w:val="none"/>
              </w:rPr>
            </w:pPr>
          </w:p>
        </w:tc>
      </w:tr>
    </w:tbl>
    <w:p w14:paraId="05CF70AB">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说明：1、应写明竞争性磋商响应文件对商务与技术要求的响应和偏离情况</w:t>
      </w:r>
      <w:r>
        <w:rPr>
          <w:rFonts w:hint="eastAsia" w:ascii="宋体" w:hAnsi="宋体"/>
          <w:bCs/>
          <w:color w:val="auto"/>
          <w:highlight w:val="none"/>
        </w:rPr>
        <w:t>；</w:t>
      </w:r>
    </w:p>
    <w:p w14:paraId="4686D8E4">
      <w:pPr>
        <w:pStyle w:val="10"/>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2、应对照竞争性磋商文件“第三章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11"/>
        <w:spacing w:line="360" w:lineRule="exact"/>
        <w:rPr>
          <w:rFonts w:hAnsi="宋体"/>
          <w:color w:val="auto"/>
          <w:highlight w:val="none"/>
        </w:rPr>
      </w:pPr>
    </w:p>
    <w:p w14:paraId="45536A4E">
      <w:pPr>
        <w:rPr>
          <w:rFonts w:hint="eastAsia" w:ascii="宋体" w:hAnsi="宋体"/>
          <w:color w:val="auto"/>
          <w:highlight w:val="none"/>
        </w:rPr>
      </w:pPr>
    </w:p>
    <w:p w14:paraId="64DB1CAF">
      <w:pPr>
        <w:rPr>
          <w:rFonts w:hint="eastAsia" w:ascii="宋体" w:hAnsi="宋体"/>
          <w:color w:val="auto"/>
          <w:highlight w:val="none"/>
        </w:rPr>
      </w:pPr>
    </w:p>
    <w:p w14:paraId="0506BD43">
      <w:pPr>
        <w:pStyle w:val="11"/>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hAnsi="宋体"/>
          <w:color w:val="auto"/>
          <w:highlight w:val="none"/>
          <w:u w:val="single"/>
        </w:rPr>
        <w:t xml:space="preserve">              </w:t>
      </w:r>
    </w:p>
    <w:p w14:paraId="417933F3">
      <w:pPr>
        <w:pStyle w:val="11"/>
        <w:spacing w:line="500" w:lineRule="exact"/>
        <w:ind w:firstLine="4410" w:firstLineChars="2100"/>
        <w:rPr>
          <w:rFonts w:hAnsi="宋体"/>
          <w:color w:val="auto"/>
          <w:highlight w:val="none"/>
          <w:u w:val="single"/>
        </w:rPr>
      </w:pPr>
      <w:r>
        <w:rPr>
          <w:rFonts w:hint="eastAsia" w:hAnsi="宋体"/>
          <w:color w:val="auto"/>
          <w:highlight w:val="none"/>
        </w:rPr>
        <w:t>磋商</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18C31110">
      <w:pPr>
        <w:spacing w:line="500" w:lineRule="exact"/>
        <w:ind w:firstLine="4410" w:firstLineChars="210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192B8EFC">
      <w:pPr>
        <w:pStyle w:val="3"/>
        <w:bidi w:val="0"/>
        <w:jc w:val="both"/>
        <w:rPr>
          <w:rFonts w:hint="eastAsia"/>
          <w:color w:val="auto"/>
          <w:highlight w:val="none"/>
          <w:lang w:val="en-US" w:eastAsia="zh-CN"/>
        </w:rPr>
      </w:pPr>
      <w:bookmarkStart w:id="34" w:name="_Toc23051"/>
    </w:p>
    <w:p w14:paraId="0FC56FF2">
      <w:pPr>
        <w:pStyle w:val="3"/>
        <w:bidi w:val="0"/>
        <w:jc w:val="both"/>
        <w:rPr>
          <w:rFonts w:hint="eastAsia"/>
          <w:color w:val="auto"/>
          <w:highlight w:val="none"/>
          <w:lang w:val="en-US" w:eastAsia="zh-CN"/>
        </w:rPr>
      </w:pPr>
    </w:p>
    <w:p w14:paraId="3E216E51">
      <w:pPr>
        <w:pStyle w:val="3"/>
        <w:bidi w:val="0"/>
        <w:jc w:val="both"/>
        <w:rPr>
          <w:rFonts w:hint="eastAsia"/>
          <w:color w:val="auto"/>
          <w:highlight w:val="none"/>
          <w:lang w:val="en-US" w:eastAsia="zh-CN"/>
        </w:rPr>
      </w:pPr>
    </w:p>
    <w:p w14:paraId="3AAC9F96">
      <w:pPr>
        <w:pStyle w:val="3"/>
        <w:bidi w:val="0"/>
        <w:jc w:val="both"/>
        <w:rPr>
          <w:rFonts w:hint="eastAsia"/>
          <w:color w:val="auto"/>
          <w:highlight w:val="none"/>
          <w:lang w:val="en-US" w:eastAsia="zh-CN"/>
        </w:rPr>
      </w:pPr>
    </w:p>
    <w:p w14:paraId="3A0A19F6">
      <w:pPr>
        <w:pStyle w:val="3"/>
        <w:bidi w:val="0"/>
        <w:jc w:val="both"/>
        <w:rPr>
          <w:rFonts w:hint="eastAsia"/>
          <w:color w:val="auto"/>
          <w:highlight w:val="none"/>
          <w:lang w:val="en-US" w:eastAsia="zh-CN"/>
        </w:rPr>
      </w:pPr>
    </w:p>
    <w:p w14:paraId="4314D883">
      <w:pPr>
        <w:pStyle w:val="3"/>
        <w:bidi w:val="0"/>
        <w:jc w:val="both"/>
        <w:rPr>
          <w:rFonts w:hint="eastAsia"/>
          <w:color w:val="auto"/>
          <w:highlight w:val="none"/>
          <w:lang w:val="en-US" w:eastAsia="zh-CN"/>
        </w:rPr>
      </w:pPr>
    </w:p>
    <w:p w14:paraId="76D5ADB8">
      <w:pPr>
        <w:pStyle w:val="3"/>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第五章 合同主要条</w:t>
      </w:r>
      <w:bookmarkEnd w:id="34"/>
      <w:r>
        <w:rPr>
          <w:rFonts w:hint="eastAsia"/>
          <w:color w:val="auto"/>
          <w:highlight w:val="none"/>
          <w:lang w:val="en-US" w:eastAsia="zh-CN"/>
        </w:rPr>
        <w:t>款</w:t>
      </w:r>
    </w:p>
    <w:p w14:paraId="4794E122">
      <w:pPr>
        <w:pStyle w:val="11"/>
        <w:jc w:val="both"/>
        <w:rPr>
          <w:rFonts w:hint="eastAsia"/>
          <w:b/>
          <w:color w:val="auto"/>
          <w:sz w:val="52"/>
          <w:szCs w:val="52"/>
          <w:highlight w:val="none"/>
          <w:lang w:eastAsia="zh-CN"/>
        </w:rPr>
      </w:pPr>
    </w:p>
    <w:p w14:paraId="25382D91">
      <w:pPr>
        <w:pStyle w:val="11"/>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11"/>
        <w:rPr>
          <w:color w:val="auto"/>
          <w:highlight w:val="none"/>
        </w:rPr>
      </w:pPr>
    </w:p>
    <w:p w14:paraId="55C6DB0E">
      <w:pPr>
        <w:pStyle w:val="11"/>
        <w:rPr>
          <w:color w:val="auto"/>
          <w:highlight w:val="none"/>
        </w:rPr>
      </w:pPr>
    </w:p>
    <w:p w14:paraId="731665E6">
      <w:pPr>
        <w:pStyle w:val="11"/>
        <w:rPr>
          <w:rFonts w:hint="eastAsia"/>
          <w:color w:val="auto"/>
          <w:highlight w:val="none"/>
        </w:rPr>
      </w:pPr>
    </w:p>
    <w:p w14:paraId="3B5D2B10">
      <w:pPr>
        <w:pStyle w:val="11"/>
        <w:rPr>
          <w:rFonts w:hint="eastAsia"/>
          <w:color w:val="auto"/>
          <w:highlight w:val="none"/>
        </w:rPr>
      </w:pPr>
    </w:p>
    <w:p w14:paraId="574D40A3">
      <w:pPr>
        <w:pStyle w:val="11"/>
        <w:rPr>
          <w:color w:val="auto"/>
          <w:highlight w:val="none"/>
        </w:rPr>
      </w:pPr>
    </w:p>
    <w:p w14:paraId="66EB456A">
      <w:pPr>
        <w:pStyle w:val="11"/>
        <w:rPr>
          <w:color w:val="auto"/>
          <w:highlight w:val="none"/>
        </w:rPr>
      </w:pPr>
    </w:p>
    <w:p w14:paraId="7A390A19">
      <w:pPr>
        <w:pStyle w:val="11"/>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11"/>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11"/>
        <w:jc w:val="center"/>
        <w:rPr>
          <w:color w:val="auto"/>
          <w:highlight w:val="none"/>
        </w:rPr>
      </w:pPr>
    </w:p>
    <w:p w14:paraId="7CA4FD24">
      <w:pPr>
        <w:pStyle w:val="11"/>
        <w:jc w:val="center"/>
        <w:rPr>
          <w:rFonts w:hint="eastAsia"/>
          <w:color w:val="auto"/>
          <w:highlight w:val="none"/>
        </w:rPr>
      </w:pPr>
    </w:p>
    <w:p w14:paraId="1F425D30">
      <w:pPr>
        <w:pStyle w:val="11"/>
        <w:jc w:val="center"/>
        <w:rPr>
          <w:rFonts w:hint="eastAsia"/>
          <w:color w:val="auto"/>
          <w:highlight w:val="none"/>
        </w:rPr>
      </w:pPr>
    </w:p>
    <w:p w14:paraId="491E7764">
      <w:pPr>
        <w:pStyle w:val="11"/>
        <w:jc w:val="center"/>
        <w:rPr>
          <w:color w:val="auto"/>
          <w:highlight w:val="none"/>
        </w:rPr>
      </w:pPr>
    </w:p>
    <w:p w14:paraId="1D5BC895">
      <w:pPr>
        <w:pStyle w:val="11"/>
        <w:jc w:val="center"/>
        <w:rPr>
          <w:color w:val="auto"/>
          <w:highlight w:val="none"/>
        </w:rPr>
      </w:pPr>
    </w:p>
    <w:p w14:paraId="07F6D3BE">
      <w:pPr>
        <w:pStyle w:val="11"/>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11"/>
        <w:spacing w:line="340" w:lineRule="exact"/>
        <w:ind w:firstLine="1039"/>
        <w:rPr>
          <w:color w:val="auto"/>
          <w:highlight w:val="none"/>
        </w:rPr>
      </w:pPr>
    </w:p>
    <w:p w14:paraId="58B9AB85">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11"/>
        <w:rPr>
          <w:color w:val="auto"/>
          <w:highlight w:val="none"/>
        </w:rPr>
      </w:pPr>
    </w:p>
    <w:p w14:paraId="43B218D4">
      <w:pPr>
        <w:pStyle w:val="11"/>
        <w:spacing w:line="340" w:lineRule="exact"/>
        <w:ind w:firstLine="1590"/>
        <w:rPr>
          <w:b/>
          <w:color w:val="auto"/>
          <w:sz w:val="32"/>
          <w:szCs w:val="32"/>
          <w:highlight w:val="none"/>
        </w:rPr>
      </w:pPr>
    </w:p>
    <w:p w14:paraId="4990B002">
      <w:pPr>
        <w:pStyle w:val="11"/>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11"/>
        <w:spacing w:line="340" w:lineRule="exact"/>
        <w:ind w:firstLine="1039"/>
        <w:rPr>
          <w:color w:val="auto"/>
          <w:highlight w:val="none"/>
        </w:rPr>
      </w:pPr>
      <w:r>
        <w:rPr>
          <w:rFonts w:hint="eastAsia"/>
          <w:color w:val="auto"/>
          <w:highlight w:val="none"/>
        </w:rPr>
        <w:t xml:space="preserve">     </w:t>
      </w:r>
      <w:bookmarkStart w:id="35" w:name="OLE_LINK5"/>
    </w:p>
    <w:p w14:paraId="196363B5">
      <w:pPr>
        <w:pStyle w:val="11"/>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11"/>
        <w:rPr>
          <w:color w:val="auto"/>
          <w:highlight w:val="none"/>
        </w:rPr>
      </w:pPr>
    </w:p>
    <w:bookmarkEnd w:id="35"/>
    <w:p w14:paraId="41977292">
      <w:pPr>
        <w:pStyle w:val="11"/>
        <w:jc w:val="center"/>
        <w:rPr>
          <w:color w:val="auto"/>
          <w:highlight w:val="none"/>
        </w:rPr>
      </w:pPr>
    </w:p>
    <w:p w14:paraId="09DE6C35">
      <w:pPr>
        <w:pStyle w:val="11"/>
        <w:jc w:val="center"/>
        <w:rPr>
          <w:rFonts w:hint="eastAsia"/>
          <w:color w:val="auto"/>
          <w:highlight w:val="none"/>
        </w:rPr>
      </w:pPr>
    </w:p>
    <w:p w14:paraId="2A5E1BC2">
      <w:pPr>
        <w:pStyle w:val="11"/>
        <w:jc w:val="center"/>
        <w:rPr>
          <w:rFonts w:hint="eastAsia"/>
          <w:color w:val="auto"/>
          <w:highlight w:val="none"/>
        </w:rPr>
      </w:pPr>
    </w:p>
    <w:p w14:paraId="17FF94CC">
      <w:pPr>
        <w:pStyle w:val="11"/>
        <w:jc w:val="both"/>
        <w:rPr>
          <w:color w:val="auto"/>
          <w:highlight w:val="none"/>
        </w:rPr>
      </w:pPr>
    </w:p>
    <w:p w14:paraId="751E66D9">
      <w:pPr>
        <w:pStyle w:val="11"/>
        <w:jc w:val="center"/>
        <w:rPr>
          <w:color w:val="auto"/>
          <w:highlight w:val="none"/>
        </w:rPr>
      </w:pPr>
    </w:p>
    <w:p w14:paraId="1C0D0DCA">
      <w:pPr>
        <w:pStyle w:val="11"/>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11"/>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11"/>
        <w:jc w:val="center"/>
        <w:rPr>
          <w:color w:val="auto"/>
          <w:highlight w:val="none"/>
        </w:rPr>
      </w:pPr>
      <w:r>
        <w:rPr>
          <w:rFonts w:hint="eastAsia"/>
          <w:color w:val="auto"/>
          <w:highlight w:val="none"/>
        </w:rPr>
        <w:t xml:space="preserve"> </w:t>
      </w:r>
    </w:p>
    <w:p w14:paraId="4B123459">
      <w:pPr>
        <w:pStyle w:val="11"/>
        <w:rPr>
          <w:color w:val="auto"/>
          <w:highlight w:val="none"/>
        </w:rPr>
      </w:pPr>
    </w:p>
    <w:p w14:paraId="43751EA6">
      <w:pPr>
        <w:pStyle w:val="11"/>
        <w:jc w:val="center"/>
        <w:rPr>
          <w:color w:val="auto"/>
          <w:highlight w:val="none"/>
        </w:rPr>
      </w:pPr>
    </w:p>
    <w:p w14:paraId="418C4F18">
      <w:pPr>
        <w:pStyle w:val="11"/>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3F3D4E0">
      <w:pPr>
        <w:pStyle w:val="11"/>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33912C9">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3FB1D6D0">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284534BA">
      <w:pPr>
        <w:snapToGrid w:val="0"/>
        <w:spacing w:line="360" w:lineRule="exact"/>
        <w:ind w:firstLine="3685" w:firstLineChars="1748"/>
        <w:rPr>
          <w:rFonts w:hint="eastAsia" w:ascii="宋体" w:hAnsi="宋体"/>
          <w:b/>
          <w:color w:val="auto"/>
          <w:szCs w:val="21"/>
          <w:highlight w:val="none"/>
        </w:rPr>
      </w:pPr>
    </w:p>
    <w:p w14:paraId="2D283B54">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7EA871EC">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3AF9737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1625BC88">
      <w:pPr>
        <w:snapToGrid w:val="0"/>
        <w:spacing w:line="400" w:lineRule="exact"/>
        <w:ind w:firstLine="420" w:firstLineChars="200"/>
        <w:rPr>
          <w:rFonts w:hint="eastAsia" w:ascii="宋体" w:hAnsi="宋体"/>
          <w:color w:val="auto"/>
          <w:szCs w:val="21"/>
          <w:highlight w:val="none"/>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根据国家和地方政府有关物业管理的法律、法规和政策规定，甲、乙双方本着自愿、平等原则，就</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具体管理范围及构成细目见本项目采购文件中第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（一）</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olor w:val="auto"/>
          <w:highlight w:val="none"/>
        </w:rPr>
      </w:pPr>
      <w:r>
        <w:rPr>
          <w:rFonts w:hint="eastAsia" w:ascii="宋体" w:hAnsi="宋体" w:cs="宋体"/>
          <w:color w:val="auto"/>
          <w:kern w:val="0"/>
          <w:highlight w:val="none"/>
        </w:rPr>
        <w:t>（二）</w:t>
      </w:r>
      <w:r>
        <w:rPr>
          <w:rFonts w:hint="eastAsia" w:ascii="宋体" w:hAnsi="宋体"/>
          <w:color w:val="auto"/>
          <w:highlight w:val="none"/>
          <w:u w:val="single"/>
        </w:rPr>
        <w:t xml:space="preserve">                                                                          </w:t>
      </w:r>
      <w:r>
        <w:rPr>
          <w:rFonts w:hint="eastAsia" w:ascii="宋体" w:hAnsi="宋体"/>
          <w:color w:val="auto"/>
          <w:highlight w:val="none"/>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lang w:eastAsia="zh-CN"/>
        </w:rPr>
        <w:t>第五条</w:t>
      </w:r>
      <w:r>
        <w:rPr>
          <w:rFonts w:hint="eastAsia" w:ascii="宋体" w:hAnsi="宋体" w:cs="宋体"/>
          <w:b/>
          <w:bCs/>
          <w:color w:val="auto"/>
          <w:kern w:val="0"/>
          <w:highlight w:val="none"/>
        </w:rPr>
        <w:t xml:space="preserve"> </w:t>
      </w:r>
      <w:r>
        <w:rPr>
          <w:rFonts w:hint="eastAsia" w:ascii="宋体" w:hAnsi="宋体" w:cs="宋体"/>
          <w:color w:val="auto"/>
          <w:kern w:val="0"/>
          <w:highlight w:val="none"/>
        </w:rPr>
        <w:t>合同金额：</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color w:val="auto"/>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color w:val="auto"/>
          <w:kern w:val="0"/>
          <w:highlight w:val="none"/>
          <w:u w:val="none"/>
          <w:lang w:val="en-US" w:eastAsia="zh-CN"/>
        </w:rPr>
      </w:pPr>
      <w:r>
        <w:rPr>
          <w:rFonts w:hint="eastAsia" w:ascii="宋体" w:hAnsi="宋体" w:cs="宋体"/>
          <w:color w:val="auto"/>
          <w:kern w:val="0"/>
          <w:highlight w:val="none"/>
        </w:rPr>
        <w:t>付款方式为：</w:t>
      </w:r>
      <w:r>
        <w:rPr>
          <w:rFonts w:hint="eastAsia" w:ascii="宋体" w:hAnsi="宋体" w:cs="宋体"/>
          <w:color w:val="auto"/>
          <w:kern w:val="0"/>
          <w:highlight w:val="none"/>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（一）按有关法律、法规和政策规定和本合同的约定制订物业管理服务方案和工作计划，全面履行本项目采购文件中规定的成交人应履行的义务和乙方在</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w:t>
      </w:r>
      <w:r>
        <w:rPr>
          <w:rFonts w:hint="eastAsia" w:ascii="宋体" w:hAnsi="宋体" w:cs="宋体"/>
          <w:b/>
          <w:bCs/>
          <w:color w:val="auto"/>
          <w:kern w:val="0"/>
          <w:highlight w:val="none"/>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w:t>
      </w:r>
      <w:r>
        <w:rPr>
          <w:rFonts w:hint="eastAsia" w:ascii="宋体" w:hAnsi="宋体" w:cs="宋体"/>
          <w:color w:val="auto"/>
          <w:kern w:val="0"/>
          <w:highlight w:val="none"/>
          <w:lang w:eastAsia="zh-CN"/>
        </w:rPr>
        <w:t>。</w:t>
      </w:r>
      <w:r>
        <w:rPr>
          <w:rFonts w:hint="eastAsia" w:ascii="宋体" w:hAnsi="宋体" w:cs="宋体"/>
          <w:color w:val="auto"/>
          <w:kern w:val="0"/>
          <w:highlight w:val="none"/>
        </w:rPr>
        <w:t>乙方出现其他未能履行合同或不符合招标约定要求，</w:t>
      </w:r>
      <w:r>
        <w:rPr>
          <w:rFonts w:hint="eastAsia"/>
          <w:color w:val="auto"/>
          <w:highlight w:val="none"/>
        </w:rPr>
        <w:t>或对</w:t>
      </w:r>
      <w:r>
        <w:rPr>
          <w:rFonts w:hint="eastAsia"/>
          <w:color w:val="auto"/>
          <w:highlight w:val="none"/>
          <w:lang w:eastAsia="zh-CN"/>
        </w:rPr>
        <w:t>乙方</w:t>
      </w:r>
      <w:r>
        <w:rPr>
          <w:rFonts w:hint="eastAsia"/>
          <w:color w:val="auto"/>
          <w:highlight w:val="none"/>
        </w:rPr>
        <w:t>要求整改的问题未在规定时间内完成整改的</w:t>
      </w:r>
      <w:r>
        <w:rPr>
          <w:rFonts w:hint="eastAsia"/>
          <w:color w:val="auto"/>
          <w:highlight w:val="none"/>
          <w:lang w:eastAsia="zh-CN"/>
        </w:rPr>
        <w:t>，甲方</w:t>
      </w:r>
      <w:r>
        <w:rPr>
          <w:rFonts w:hint="eastAsia"/>
          <w:color w:val="auto"/>
          <w:highlight w:val="none"/>
        </w:rPr>
        <w:t>有权扣减后勤服务费总额的0.5%，直至执行、整改为止。出现</w:t>
      </w:r>
      <w:r>
        <w:rPr>
          <w:rFonts w:hint="eastAsia" w:ascii="宋体" w:hAnsi="宋体" w:cs="宋体"/>
          <w:color w:val="auto"/>
          <w:kern w:val="0"/>
          <w:highlight w:val="none"/>
        </w:rPr>
        <w:t>本项目</w:t>
      </w:r>
      <w:r>
        <w:rPr>
          <w:rFonts w:hint="eastAsia" w:ascii="宋体" w:hAnsi="宋体" w:cs="宋体"/>
          <w:color w:val="auto"/>
          <w:kern w:val="0"/>
          <w:highlight w:val="none"/>
          <w:lang w:eastAsia="zh-CN"/>
        </w:rPr>
        <w:t>采购需求</w:t>
      </w:r>
      <w:r>
        <w:rPr>
          <w:rFonts w:hint="eastAsia"/>
          <w:color w:val="auto"/>
          <w:highlight w:val="none"/>
          <w:lang w:eastAsia="zh-CN"/>
        </w:rPr>
        <w:t>所列</w:t>
      </w:r>
      <w:r>
        <w:rPr>
          <w:rFonts w:hint="eastAsia"/>
          <w:color w:val="auto"/>
          <w:highlight w:val="none"/>
        </w:rPr>
        <w:t>情形三次以上的（含三次）的终止合同</w:t>
      </w:r>
      <w:r>
        <w:rPr>
          <w:rFonts w:hint="eastAsia"/>
          <w:color w:val="auto"/>
          <w:highlight w:val="none"/>
          <w:lang w:eastAsia="zh-CN"/>
        </w:rPr>
        <w:t>；</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color w:val="auto"/>
          <w:kern w:val="0"/>
          <w:highlight w:val="none"/>
          <w:lang w:eastAsia="zh-CN"/>
        </w:rPr>
        <w:t>；</w:t>
      </w:r>
    </w:p>
    <w:p w14:paraId="126C88A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lang w:eastAsia="zh-CN"/>
        </w:rPr>
      </w:pPr>
      <w:r>
        <w:rPr>
          <w:rFonts w:hint="eastAsia" w:ascii="宋体" w:hAnsi="宋体" w:cs="宋体"/>
          <w:color w:val="auto"/>
          <w:kern w:val="0"/>
          <w:highlight w:val="none"/>
        </w:rPr>
        <w:t>（三）任何一方违约解除合同或因违约被解除合同的，应向对方</w:t>
      </w:r>
      <w:r>
        <w:rPr>
          <w:rFonts w:hint="eastAsia" w:ascii="宋体" w:hAnsi="宋体" w:cs="宋体"/>
          <w:color w:val="auto"/>
          <w:kern w:val="0"/>
          <w:highlight w:val="none"/>
          <w:lang w:eastAsia="zh-CN"/>
        </w:rPr>
        <w:t>赔偿造成的实际损失；</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14:paraId="2D2EA214">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不可抗力事件发生后，应立即通知对方，并提供有关权威机构出具的证明。</w:t>
      </w:r>
    </w:p>
    <w:p w14:paraId="46DA6898">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14:paraId="1ADD3172">
      <w:pPr>
        <w:pStyle w:val="11"/>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color w:val="auto"/>
          <w:kern w:val="0"/>
          <w:highlight w:val="none"/>
        </w:rPr>
      </w:pPr>
      <w:r>
        <w:rPr>
          <w:rFonts w:hAnsi="宋体"/>
          <w:color w:val="auto"/>
          <w:highlight w:val="none"/>
        </w:rPr>
        <w:t>因不可抗力导致合同无法履行的</w:t>
      </w:r>
      <w:r>
        <w:rPr>
          <w:rFonts w:hint="eastAsia" w:hAnsi="宋体"/>
          <w:color w:val="auto"/>
          <w:highlight w:val="none"/>
        </w:rPr>
        <w:t>，</w:t>
      </w:r>
      <w:r>
        <w:rPr>
          <w:rFonts w:hAnsi="宋体"/>
          <w:color w:val="auto"/>
          <w:highlight w:val="none"/>
        </w:rPr>
        <w:t>双方互不承担违约责任</w:t>
      </w:r>
      <w:r>
        <w:rPr>
          <w:rFonts w:hint="eastAsia" w:hAnsi="宋体"/>
          <w:color w:val="auto"/>
          <w:highlight w:val="none"/>
        </w:rPr>
        <w:t>。</w:t>
      </w:r>
    </w:p>
    <w:p w14:paraId="12A11F88">
      <w:pPr>
        <w:pStyle w:val="11"/>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color w:val="auto"/>
          <w:highlight w:val="none"/>
          <w:lang w:eastAsia="zh-CN"/>
        </w:rPr>
      </w:pPr>
      <w:r>
        <w:rPr>
          <w:rFonts w:hint="eastAsia" w:ascii="宋体" w:hAnsi="宋体" w:cs="宋体"/>
          <w:b/>
          <w:bCs/>
          <w:color w:val="auto"/>
          <w:kern w:val="0"/>
          <w:highlight w:val="none"/>
        </w:rPr>
        <w:t xml:space="preserve">第十三条  </w:t>
      </w:r>
      <w:r>
        <w:rPr>
          <w:rFonts w:hint="eastAsia" w:ascii="宋体" w:hAnsi="宋体"/>
          <w:color w:val="auto"/>
          <w:highlight w:val="none"/>
        </w:rPr>
        <w:t>本合同一式</w:t>
      </w:r>
      <w:r>
        <w:rPr>
          <w:rFonts w:hint="eastAsia" w:ascii="宋体" w:hAnsi="宋体"/>
          <w:color w:val="auto"/>
          <w:highlight w:val="none"/>
          <w:lang w:eastAsia="zh-CN"/>
        </w:rPr>
        <w:t>陆</w:t>
      </w:r>
      <w:r>
        <w:rPr>
          <w:rFonts w:hint="eastAsia" w:ascii="宋体" w:hAnsi="宋体"/>
          <w:color w:val="auto"/>
          <w:highlight w:val="none"/>
        </w:rPr>
        <w:t>份，具有同等法律效力。</w:t>
      </w:r>
      <w:r>
        <w:rPr>
          <w:rFonts w:hint="eastAsia" w:ascii="宋体" w:hAnsi="宋体"/>
          <w:color w:val="auto"/>
          <w:spacing w:val="4"/>
          <w:szCs w:val="21"/>
          <w:highlight w:val="none"/>
        </w:rPr>
        <w:t>政府采购监督管理</w:t>
      </w:r>
      <w:r>
        <w:rPr>
          <w:rFonts w:hint="eastAsia" w:ascii="宋体" w:hAnsi="宋体"/>
          <w:color w:val="auto"/>
          <w:spacing w:val="4"/>
          <w:szCs w:val="21"/>
          <w:highlight w:val="none"/>
          <w:lang w:eastAsia="zh-CN"/>
        </w:rPr>
        <w:t>部门</w:t>
      </w:r>
      <w:r>
        <w:rPr>
          <w:rFonts w:hint="eastAsia" w:ascii="宋体" w:hAnsi="宋体"/>
          <w:color w:val="auto"/>
          <w:spacing w:val="4"/>
          <w:szCs w:val="21"/>
          <w:highlight w:val="none"/>
        </w:rPr>
        <w:t>、</w:t>
      </w:r>
      <w:r>
        <w:rPr>
          <w:rFonts w:hint="eastAsia" w:ascii="宋体" w:hAnsi="宋体"/>
          <w:color w:val="auto"/>
          <w:spacing w:val="4"/>
          <w:szCs w:val="21"/>
          <w:highlight w:val="none"/>
          <w:lang w:eastAsia="zh-CN"/>
        </w:rPr>
        <w:t>崇左市政府集中采购中心</w:t>
      </w:r>
      <w:r>
        <w:rPr>
          <w:rFonts w:hint="eastAsia" w:ascii="宋体" w:hAnsi="宋体"/>
          <w:color w:val="auto"/>
          <w:highlight w:val="none"/>
        </w:rPr>
        <w:t>各</w:t>
      </w:r>
      <w:r>
        <w:rPr>
          <w:rFonts w:hint="eastAsia" w:ascii="宋体" w:hAnsi="宋体"/>
          <w:color w:val="auto"/>
          <w:highlight w:val="none"/>
          <w:lang w:eastAsia="zh-CN"/>
        </w:rPr>
        <w:t>壹</w:t>
      </w:r>
      <w:r>
        <w:rPr>
          <w:rFonts w:hint="eastAsia" w:ascii="宋体" w:hAnsi="宋体"/>
          <w:color w:val="auto"/>
          <w:highlight w:val="none"/>
        </w:rPr>
        <w:t>份，</w:t>
      </w:r>
      <w:r>
        <w:rPr>
          <w:rFonts w:hint="eastAsia" w:ascii="宋体" w:hAnsi="宋体"/>
          <w:color w:val="auto"/>
          <w:szCs w:val="21"/>
          <w:highlight w:val="none"/>
        </w:rPr>
        <w:t>甲方</w:t>
      </w:r>
      <w:r>
        <w:rPr>
          <w:rFonts w:hint="eastAsia" w:ascii="宋体" w:hAnsi="宋体"/>
          <w:color w:val="auto"/>
          <w:szCs w:val="21"/>
          <w:highlight w:val="none"/>
          <w:lang w:eastAsia="zh-CN"/>
        </w:rPr>
        <w:t>、乙方各贰</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rPr>
        <w:t>可根据需要另增加）</w:t>
      </w:r>
      <w:r>
        <w:rPr>
          <w:rFonts w:hint="eastAsia" w:ascii="宋体" w:hAnsi="宋体"/>
          <w:color w:val="auto"/>
          <w:szCs w:val="21"/>
          <w:highlight w:val="none"/>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color w:val="auto"/>
          <w:highlight w:val="none"/>
        </w:rPr>
      </w:pPr>
      <w:r>
        <w:rPr>
          <w:rFonts w:hint="eastAsia" w:ascii="宋体" w:hAnsi="宋体"/>
          <w:color w:val="auto"/>
          <w:highlight w:val="none"/>
        </w:rPr>
        <w:t>本合同甲乙双方签字盖章后生效，自签订之日起</w:t>
      </w:r>
      <w:r>
        <w:rPr>
          <w:rFonts w:hint="eastAsia" w:ascii="宋体" w:hAnsi="宋体"/>
          <w:color w:val="auto"/>
          <w:highlight w:val="none"/>
          <w:lang w:eastAsia="zh-CN"/>
        </w:rPr>
        <w:t>两</w:t>
      </w:r>
      <w:r>
        <w:rPr>
          <w:rFonts w:hint="eastAsia" w:ascii="宋体" w:hAnsi="宋体"/>
          <w:color w:val="auto"/>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color w:val="auto"/>
                <w:highlight w:val="none"/>
              </w:rPr>
            </w:pPr>
            <w:r>
              <w:rPr>
                <w:rFonts w:hint="eastAsia" w:ascii="宋体" w:hAnsi="宋体"/>
                <w:color w:val="auto"/>
                <w:highlight w:val="none"/>
              </w:rPr>
              <w:t xml:space="preserve">甲方（章）           </w:t>
            </w:r>
          </w:p>
          <w:p w14:paraId="18F70284">
            <w:pPr>
              <w:snapToGrid w:val="0"/>
              <w:spacing w:line="400" w:lineRule="exact"/>
              <w:rPr>
                <w:rFonts w:hint="eastAsia" w:ascii="宋体" w:hAnsi="宋体"/>
                <w:color w:val="auto"/>
                <w:highlight w:val="none"/>
              </w:rPr>
            </w:pPr>
          </w:p>
          <w:p w14:paraId="3B7EEAF3">
            <w:pPr>
              <w:snapToGrid w:val="0"/>
              <w:spacing w:line="400" w:lineRule="exact"/>
              <w:ind w:firstLine="945" w:firstLineChars="450"/>
              <w:jc w:val="right"/>
              <w:rPr>
                <w:rFonts w:ascii="宋体" w:hAnsi="宋体"/>
                <w:color w:val="auto"/>
                <w:highlight w:val="none"/>
              </w:rPr>
            </w:pPr>
            <w:r>
              <w:rPr>
                <w:rFonts w:hint="eastAsia" w:ascii="宋体" w:hAnsi="宋体"/>
                <w:color w:val="auto"/>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color w:val="auto"/>
                <w:highlight w:val="none"/>
              </w:rPr>
            </w:pPr>
            <w:r>
              <w:rPr>
                <w:rFonts w:hint="eastAsia" w:ascii="宋体" w:hAnsi="宋体"/>
                <w:color w:val="auto"/>
                <w:highlight w:val="none"/>
              </w:rPr>
              <w:t xml:space="preserve">乙方（章）              </w:t>
            </w:r>
          </w:p>
          <w:p w14:paraId="05E4CE22">
            <w:pPr>
              <w:snapToGrid w:val="0"/>
              <w:spacing w:line="400" w:lineRule="exact"/>
              <w:rPr>
                <w:rFonts w:hint="eastAsia" w:ascii="宋体" w:hAnsi="宋体"/>
                <w:color w:val="auto"/>
                <w:highlight w:val="none"/>
              </w:rPr>
            </w:pPr>
          </w:p>
          <w:p w14:paraId="5A7B84D9">
            <w:pPr>
              <w:snapToGrid w:val="0"/>
              <w:spacing w:line="400" w:lineRule="exact"/>
              <w:jc w:val="right"/>
              <w:rPr>
                <w:rFonts w:ascii="宋体" w:hAnsi="宋体"/>
                <w:color w:val="auto"/>
                <w:highlight w:val="none"/>
              </w:rPr>
            </w:pPr>
            <w:r>
              <w:rPr>
                <w:rFonts w:hint="eastAsia" w:ascii="宋体" w:hAnsi="宋体"/>
                <w:color w:val="auto"/>
                <w:highlight w:val="none"/>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color w:val="auto"/>
                <w:highlight w:val="none"/>
              </w:rPr>
            </w:pPr>
            <w:r>
              <w:rPr>
                <w:rFonts w:hint="eastAsia" w:ascii="宋体" w:hAnsi="宋体"/>
                <w:color w:val="auto"/>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color w:val="auto"/>
                <w:highlight w:val="none"/>
              </w:rPr>
            </w:pPr>
            <w:r>
              <w:rPr>
                <w:rFonts w:hint="eastAsia" w:ascii="宋体" w:hAnsi="宋体"/>
                <w:color w:val="auto"/>
                <w:highlight w:val="none"/>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color w:val="auto"/>
                <w:highlight w:val="none"/>
              </w:rPr>
            </w:pPr>
            <w:r>
              <w:rPr>
                <w:rFonts w:hint="eastAsia" w:ascii="宋体" w:hAnsi="宋体"/>
                <w:color w:val="auto"/>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color w:val="auto"/>
                <w:highlight w:val="none"/>
              </w:rPr>
            </w:pPr>
            <w:r>
              <w:rPr>
                <w:rFonts w:hint="eastAsia" w:ascii="宋体" w:hAnsi="宋体"/>
                <w:color w:val="auto"/>
                <w:highlight w:val="none"/>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color w:val="auto"/>
                <w:highlight w:val="none"/>
              </w:rPr>
            </w:pPr>
            <w:r>
              <w:rPr>
                <w:rFonts w:hint="eastAsia" w:ascii="宋体" w:hAnsi="宋体"/>
                <w:color w:val="auto"/>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color w:val="auto"/>
                <w:highlight w:val="none"/>
                <w:lang w:eastAsia="zh-CN"/>
              </w:rPr>
            </w:pPr>
            <w:r>
              <w:rPr>
                <w:rFonts w:hint="eastAsia" w:ascii="宋体" w:hAnsi="宋体"/>
                <w:color w:val="auto"/>
                <w:highlight w:val="none"/>
              </w:rPr>
              <w:t>委托代理人</w:t>
            </w:r>
            <w:r>
              <w:rPr>
                <w:rFonts w:hint="eastAsia" w:ascii="宋体" w:hAnsi="宋体"/>
                <w:color w:val="auto"/>
                <w:highlight w:val="none"/>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color w:val="auto"/>
                <w:highlight w:val="none"/>
              </w:rPr>
            </w:pPr>
            <w:r>
              <w:rPr>
                <w:rFonts w:hint="eastAsia" w:ascii="宋体" w:hAnsi="宋体"/>
                <w:color w:val="auto"/>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color w:val="auto"/>
                <w:highlight w:val="none"/>
              </w:rPr>
            </w:pPr>
            <w:r>
              <w:rPr>
                <w:rFonts w:hint="eastAsia" w:ascii="宋体" w:hAnsi="宋体"/>
                <w:color w:val="auto"/>
                <w:highlight w:val="none"/>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color w:val="auto"/>
                <w:highlight w:val="none"/>
              </w:rPr>
            </w:pPr>
            <w:r>
              <w:rPr>
                <w:rFonts w:hint="eastAsia" w:ascii="宋体" w:hAnsi="宋体"/>
                <w:color w:val="auto"/>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color w:val="auto"/>
                <w:highlight w:val="none"/>
              </w:rPr>
            </w:pPr>
            <w:r>
              <w:rPr>
                <w:rFonts w:hint="eastAsia" w:ascii="宋体" w:hAnsi="宋体"/>
                <w:color w:val="auto"/>
                <w:highlight w:val="none"/>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color w:val="auto"/>
                <w:highlight w:val="none"/>
              </w:rPr>
            </w:pPr>
            <w:r>
              <w:rPr>
                <w:rFonts w:hint="eastAsia" w:ascii="宋体" w:hAnsi="宋体"/>
                <w:color w:val="auto"/>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color w:val="auto"/>
                <w:highlight w:val="none"/>
              </w:rPr>
            </w:pPr>
            <w:r>
              <w:rPr>
                <w:rFonts w:hint="eastAsia" w:ascii="宋体" w:hAnsi="宋体"/>
                <w:color w:val="auto"/>
                <w:highlight w:val="none"/>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color w:val="auto"/>
                <w:highlight w:val="none"/>
              </w:rPr>
            </w:pPr>
            <w:r>
              <w:rPr>
                <w:rFonts w:hint="eastAsia" w:ascii="宋体" w:hAnsi="宋体"/>
                <w:color w:val="auto"/>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color w:val="auto"/>
                <w:highlight w:val="none"/>
              </w:rPr>
            </w:pPr>
            <w:r>
              <w:rPr>
                <w:rFonts w:hint="eastAsia" w:ascii="宋体" w:hAnsi="宋体"/>
                <w:color w:val="auto"/>
                <w:highlight w:val="none"/>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color w:val="auto"/>
                <w:highlight w:val="none"/>
              </w:rPr>
            </w:pPr>
            <w:r>
              <w:rPr>
                <w:rFonts w:hint="eastAsia" w:ascii="宋体" w:hAnsi="宋体"/>
                <w:color w:val="auto"/>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color w:val="auto"/>
                <w:highlight w:val="none"/>
              </w:rPr>
            </w:pPr>
            <w:r>
              <w:rPr>
                <w:rFonts w:hint="eastAsia" w:ascii="宋体" w:hAnsi="宋体"/>
                <w:color w:val="auto"/>
                <w:highlight w:val="none"/>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color w:val="auto"/>
                <w:highlight w:val="none"/>
              </w:rPr>
            </w:pPr>
            <w:r>
              <w:rPr>
                <w:rFonts w:hint="eastAsia" w:ascii="宋体" w:hAnsi="宋体"/>
                <w:color w:val="auto"/>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color w:val="auto"/>
                <w:highlight w:val="none"/>
              </w:rPr>
            </w:pPr>
            <w:r>
              <w:rPr>
                <w:rFonts w:hint="eastAsia" w:ascii="宋体" w:hAnsi="宋体"/>
                <w:color w:val="auto"/>
                <w:highlight w:val="none"/>
              </w:rPr>
              <w:t>邮政编码：</w:t>
            </w:r>
          </w:p>
        </w:tc>
      </w:tr>
    </w:tbl>
    <w:p w14:paraId="46D0ED2C">
      <w:pPr>
        <w:pStyle w:val="11"/>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14:paraId="632D3067">
      <w:pPr>
        <w:pStyle w:val="11"/>
        <w:jc w:val="center"/>
        <w:rPr>
          <w:rFonts w:hint="eastAsia"/>
          <w:color w:val="auto"/>
          <w:highlight w:val="none"/>
        </w:rPr>
      </w:pPr>
    </w:p>
    <w:p w14:paraId="3E84B871">
      <w:pPr>
        <w:pStyle w:val="14"/>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color w:val="auto"/>
          <w:sz w:val="44"/>
          <w:szCs w:val="44"/>
          <w:highlight w:val="none"/>
          <w:lang w:val="en-US" w:eastAsia="zh-CN"/>
        </w:rPr>
      </w:pPr>
    </w:p>
    <w:p w14:paraId="333997C1">
      <w:pPr>
        <w:jc w:val="center"/>
        <w:rPr>
          <w:rFonts w:hint="eastAsia"/>
          <w:b/>
          <w:bCs/>
          <w:color w:val="auto"/>
          <w:sz w:val="44"/>
          <w:szCs w:val="44"/>
          <w:highlight w:val="none"/>
          <w:lang w:val="en-US" w:eastAsia="zh-CN"/>
        </w:rPr>
      </w:pPr>
    </w:p>
    <w:p w14:paraId="348F3C3D">
      <w:pPr>
        <w:jc w:val="center"/>
        <w:rPr>
          <w:rFonts w:hint="eastAsia"/>
          <w:b/>
          <w:bCs/>
          <w:color w:val="auto"/>
          <w:sz w:val="44"/>
          <w:szCs w:val="44"/>
          <w:highlight w:val="none"/>
          <w:lang w:val="en-US" w:eastAsia="zh-CN"/>
        </w:rPr>
      </w:pPr>
    </w:p>
    <w:p w14:paraId="1D5BB2A9">
      <w:pPr>
        <w:jc w:val="center"/>
        <w:rPr>
          <w:rFonts w:hint="eastAsia"/>
          <w:b/>
          <w:bCs/>
          <w:color w:val="auto"/>
          <w:sz w:val="44"/>
          <w:szCs w:val="44"/>
          <w:highlight w:val="none"/>
          <w:lang w:val="en-US" w:eastAsia="zh-CN"/>
        </w:rPr>
      </w:pPr>
    </w:p>
    <w:p w14:paraId="65BDE6D8">
      <w:pPr>
        <w:jc w:val="center"/>
        <w:rPr>
          <w:rFonts w:hint="eastAsia"/>
          <w:b/>
          <w:bCs/>
          <w:color w:val="auto"/>
          <w:sz w:val="44"/>
          <w:szCs w:val="44"/>
          <w:highlight w:val="none"/>
          <w:lang w:val="en-US" w:eastAsia="zh-CN"/>
        </w:rPr>
      </w:pPr>
    </w:p>
    <w:p w14:paraId="18FEC5EE">
      <w:pPr>
        <w:jc w:val="center"/>
        <w:rPr>
          <w:rFonts w:hint="eastAsia"/>
          <w:b/>
          <w:bCs/>
          <w:color w:val="auto"/>
          <w:sz w:val="44"/>
          <w:szCs w:val="44"/>
          <w:highlight w:val="none"/>
          <w:lang w:val="en-US" w:eastAsia="zh-CN"/>
        </w:rPr>
      </w:pPr>
    </w:p>
    <w:p w14:paraId="706AB892">
      <w:pPr>
        <w:jc w:val="center"/>
        <w:rPr>
          <w:rFonts w:hint="eastAsia"/>
          <w:b/>
          <w:bCs/>
          <w:color w:val="auto"/>
          <w:sz w:val="44"/>
          <w:szCs w:val="44"/>
          <w:highlight w:val="none"/>
          <w:lang w:val="en-US" w:eastAsia="zh-CN"/>
        </w:rPr>
      </w:pPr>
    </w:p>
    <w:p w14:paraId="37CD45AF">
      <w:pPr>
        <w:jc w:val="center"/>
        <w:rPr>
          <w:rFonts w:hint="eastAsia"/>
          <w:b/>
          <w:bCs/>
          <w:color w:val="auto"/>
          <w:sz w:val="44"/>
          <w:szCs w:val="44"/>
          <w:highlight w:val="none"/>
          <w:lang w:val="en-US" w:eastAsia="zh-CN"/>
        </w:rPr>
      </w:pPr>
    </w:p>
    <w:p w14:paraId="044EA47C">
      <w:pPr>
        <w:jc w:val="center"/>
        <w:rPr>
          <w:rFonts w:hint="eastAsia"/>
          <w:b/>
          <w:bCs/>
          <w:color w:val="auto"/>
          <w:sz w:val="44"/>
          <w:szCs w:val="44"/>
          <w:highlight w:val="none"/>
          <w:lang w:val="en-US" w:eastAsia="zh-CN"/>
        </w:rPr>
      </w:pPr>
    </w:p>
    <w:p w14:paraId="0A46C43F">
      <w:pPr>
        <w:jc w:val="center"/>
        <w:rPr>
          <w:rFonts w:hint="eastAsia"/>
          <w:b/>
          <w:bCs/>
          <w:color w:val="auto"/>
          <w:sz w:val="44"/>
          <w:szCs w:val="44"/>
          <w:highlight w:val="none"/>
          <w:lang w:val="en-US" w:eastAsia="zh-CN"/>
        </w:rPr>
      </w:pPr>
    </w:p>
    <w:p w14:paraId="4DAFDACD">
      <w:pPr>
        <w:pStyle w:val="3"/>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color w:val="auto"/>
          <w:highlight w:val="none"/>
          <w:lang w:val="en-US" w:eastAsia="zh-CN"/>
        </w:rPr>
        <w:t>第六章 评分方法及评分标准</w:t>
      </w:r>
      <w:bookmarkEnd w:id="36"/>
    </w:p>
    <w:p w14:paraId="45D6C65C">
      <w:pPr>
        <w:pStyle w:val="11"/>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评分方法及评分标准</w:t>
      </w:r>
    </w:p>
    <w:p w14:paraId="7D7E5801">
      <w:pPr>
        <w:pStyle w:val="11"/>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color w:val="auto"/>
          <w:szCs w:val="21"/>
          <w:highlight w:val="none"/>
        </w:rPr>
      </w:pPr>
      <w:r>
        <w:rPr>
          <w:rFonts w:hint="eastAsia" w:hAnsi="宋体" w:cs="宋体"/>
          <w:b/>
          <w:bCs/>
          <w:color w:val="auto"/>
          <w:szCs w:val="21"/>
          <w:highlight w:val="none"/>
        </w:rPr>
        <w:t>一、评标原则</w:t>
      </w:r>
    </w:p>
    <w:p w14:paraId="5C48315E">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szCs w:val="21"/>
          <w:highlight w:val="none"/>
        </w:rPr>
        <w:t>(一) 磋商小组</w:t>
      </w:r>
      <w:r>
        <w:rPr>
          <w:rFonts w:hint="eastAsia" w:hAnsi="宋体" w:cs="宋体"/>
          <w:color w:val="auto"/>
          <w:kern w:val="0"/>
          <w:szCs w:val="21"/>
          <w:highlight w:val="none"/>
        </w:rPr>
        <w:t>成员组成：本竞争性磋商采购项目的磋商小组由采购人代表和评审专家共三人以上的单数组成，其中评审专家的人数不得少于磋商小组成员总数的三分之二。</w:t>
      </w:r>
    </w:p>
    <w:p w14:paraId="50936E57">
      <w:pPr>
        <w:pStyle w:val="11"/>
        <w:adjustRightInd w:val="0"/>
        <w:snapToGrid w:val="0"/>
        <w:spacing w:line="420" w:lineRule="exact"/>
        <w:ind w:firstLine="420" w:firstLineChars="200"/>
        <w:rPr>
          <w:rFonts w:hint="eastAsia" w:hAnsi="宋体" w:cs="宋体"/>
          <w:color w:val="auto"/>
          <w:kern w:val="0"/>
          <w:szCs w:val="21"/>
          <w:highlight w:val="none"/>
        </w:rPr>
      </w:pPr>
      <w:r>
        <w:rPr>
          <w:rFonts w:hint="eastAsia" w:hAnsi="宋体" w:cs="宋体"/>
          <w:color w:val="auto"/>
          <w:kern w:val="0"/>
          <w:szCs w:val="21"/>
          <w:highlight w:val="none"/>
        </w:rPr>
        <w:t>(二) 评审依据：磋商小组以竞争性磋商文件和竞争性磋商响应文件为依据，对磋商人的内容按百分制打分。</w:t>
      </w:r>
    </w:p>
    <w:p w14:paraId="1755DB3C">
      <w:pPr>
        <w:pStyle w:val="11"/>
        <w:adjustRightInd w:val="0"/>
        <w:snapToGrid w:val="0"/>
        <w:spacing w:line="420" w:lineRule="exact"/>
        <w:ind w:firstLine="359" w:firstLineChars="171"/>
        <w:rPr>
          <w:rFonts w:hint="eastAsia" w:hAnsi="宋体" w:cs="宋体"/>
          <w:color w:val="auto"/>
          <w:kern w:val="0"/>
          <w:szCs w:val="21"/>
          <w:highlight w:val="none"/>
        </w:rPr>
      </w:pPr>
      <w:r>
        <w:rPr>
          <w:rFonts w:hint="eastAsia" w:hAnsi="宋体" w:cs="宋体"/>
          <w:color w:val="auto"/>
          <w:kern w:val="0"/>
          <w:szCs w:val="21"/>
          <w:highlight w:val="none"/>
        </w:rPr>
        <w:t>（三）评</w:t>
      </w:r>
      <w:r>
        <w:rPr>
          <w:rFonts w:hint="eastAsia" w:cs="宋体"/>
          <w:color w:val="auto"/>
          <w:kern w:val="0"/>
          <w:szCs w:val="21"/>
          <w:highlight w:val="none"/>
          <w:lang w:eastAsia="zh-CN"/>
        </w:rPr>
        <w:t>审</w:t>
      </w:r>
      <w:r>
        <w:rPr>
          <w:rFonts w:hint="eastAsia" w:hAnsi="宋体" w:cs="宋体"/>
          <w:color w:val="auto"/>
          <w:kern w:val="0"/>
          <w:szCs w:val="21"/>
          <w:highlight w:val="none"/>
        </w:rPr>
        <w:t>方式：以封闭方式进行。</w:t>
      </w:r>
    </w:p>
    <w:p w14:paraId="4837DB14">
      <w:pPr>
        <w:keepNext w:val="0"/>
        <w:keepLines w:val="0"/>
        <w:pageBreakBefore w:val="0"/>
        <w:kinsoku/>
        <w:wordWrap/>
        <w:overflowPunct/>
        <w:topLinePunct w:val="0"/>
        <w:autoSpaceDE/>
        <w:autoSpaceDN/>
        <w:bidi w:val="0"/>
        <w:adjustRightInd w:val="0"/>
        <w:snapToGrid w:val="0"/>
        <w:spacing w:line="360" w:lineRule="auto"/>
        <w:ind w:left="0" w:firstLine="422" w:firstLineChars="200"/>
        <w:textAlignment w:val="auto"/>
        <w:rPr>
          <w:rFonts w:hint="eastAsia" w:ascii="宋体" w:hAnsi="宋体" w:eastAsia="宋体" w:cs="宋体"/>
          <w:b/>
          <w:spacing w:val="0"/>
          <w:sz w:val="21"/>
          <w:szCs w:val="21"/>
          <w:highlight w:val="none"/>
        </w:rPr>
      </w:pPr>
      <w:r>
        <w:rPr>
          <w:rFonts w:hint="eastAsia" w:ascii="宋体" w:hAnsi="宋体" w:eastAsia="宋体" w:cs="宋体"/>
          <w:b/>
          <w:spacing w:val="0"/>
          <w:sz w:val="21"/>
          <w:szCs w:val="21"/>
          <w:highlight w:val="none"/>
        </w:rPr>
        <w:t>二、评标方法</w:t>
      </w:r>
    </w:p>
    <w:p w14:paraId="475C48A8">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（一）对进入详评的，采用百分制综合评分法。</w:t>
      </w:r>
    </w:p>
    <w:p w14:paraId="1956C804">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spacing w:val="0"/>
          <w:kern w:val="0"/>
          <w:sz w:val="21"/>
          <w:szCs w:val="21"/>
          <w:highlight w:val="none"/>
        </w:rPr>
      </w:pPr>
      <w:r>
        <w:rPr>
          <w:rFonts w:hint="eastAsia" w:ascii="宋体" w:hAnsi="宋体" w:eastAsia="宋体" w:cs="宋体"/>
          <w:spacing w:val="0"/>
          <w:kern w:val="0"/>
          <w:sz w:val="21"/>
          <w:szCs w:val="21"/>
          <w:highlight w:val="none"/>
        </w:rPr>
        <w:t>（二）计分办法（按四舍五入取至百分位）：</w:t>
      </w:r>
    </w:p>
    <w:p w14:paraId="55972426">
      <w:pPr>
        <w:keepNext w:val="0"/>
        <w:keepLines w:val="0"/>
        <w:pageBreakBefore w:val="0"/>
        <w:kinsoku/>
        <w:wordWrap/>
        <w:overflowPunct/>
        <w:topLinePunct w:val="0"/>
        <w:autoSpaceDE/>
        <w:autoSpaceDN/>
        <w:bidi w:val="0"/>
        <w:adjustRightInd w:val="0"/>
        <w:snapToGrid w:val="0"/>
        <w:spacing w:line="360" w:lineRule="auto"/>
        <w:ind w:left="0" w:firstLine="422" w:firstLineChars="200"/>
        <w:jc w:val="left"/>
        <w:textAlignment w:val="auto"/>
        <w:rPr>
          <w:rFonts w:hint="eastAsia" w:ascii="宋体" w:hAnsi="宋体" w:eastAsia="宋体" w:cs="宋体"/>
          <w:b/>
          <w:bCs/>
          <w:spacing w:val="0"/>
          <w:kern w:val="4"/>
          <w:sz w:val="21"/>
          <w:szCs w:val="21"/>
          <w:highlight w:val="none"/>
        </w:rPr>
      </w:pPr>
      <w:r>
        <w:rPr>
          <w:rFonts w:hint="eastAsia" w:ascii="宋体" w:hAnsi="宋体" w:eastAsia="宋体" w:cs="宋体"/>
          <w:b/>
          <w:bCs/>
          <w:spacing w:val="0"/>
          <w:sz w:val="21"/>
          <w:szCs w:val="21"/>
          <w:highlight w:val="none"/>
        </w:rPr>
        <w:t>1.</w:t>
      </w:r>
      <w:r>
        <w:rPr>
          <w:rFonts w:hint="eastAsia" w:ascii="宋体" w:hAnsi="宋体" w:eastAsia="宋体" w:cs="宋体"/>
          <w:b/>
          <w:bCs/>
          <w:spacing w:val="0"/>
          <w:kern w:val="4"/>
          <w:sz w:val="21"/>
          <w:szCs w:val="21"/>
          <w:highlight w:val="none"/>
        </w:rPr>
        <w:t>价格分………………………………………………………………………………</w:t>
      </w:r>
      <w:r>
        <w:rPr>
          <w:rFonts w:hint="eastAsia" w:ascii="宋体" w:hAnsi="宋体" w:eastAsia="宋体" w:cs="宋体"/>
          <w:b/>
          <w:bCs/>
          <w:spacing w:val="0"/>
          <w:kern w:val="4"/>
          <w:sz w:val="21"/>
          <w:szCs w:val="21"/>
          <w:highlight w:val="none"/>
          <w:lang w:val="en-US" w:eastAsia="zh-CN"/>
        </w:rPr>
        <w:t>10</w:t>
      </w:r>
      <w:r>
        <w:rPr>
          <w:rFonts w:hint="eastAsia" w:ascii="宋体" w:hAnsi="宋体" w:eastAsia="宋体" w:cs="宋体"/>
          <w:b/>
          <w:bCs/>
          <w:spacing w:val="0"/>
          <w:kern w:val="4"/>
          <w:sz w:val="21"/>
          <w:szCs w:val="21"/>
          <w:highlight w:val="none"/>
        </w:rPr>
        <w:t>分</w:t>
      </w:r>
    </w:p>
    <w:p w14:paraId="17A4CCA4">
      <w:pPr>
        <w:keepNext w:val="0"/>
        <w:keepLines w:val="0"/>
        <w:pageBreakBefore w:val="0"/>
        <w:widowControl w:val="0"/>
        <w:kinsoku/>
        <w:wordWrap/>
        <w:overflowPunct/>
        <w:topLinePunct w:val="0"/>
        <w:autoSpaceDE/>
        <w:autoSpaceDN/>
        <w:bidi w:val="0"/>
        <w:adjustRightInd/>
        <w:snapToGrid/>
        <w:spacing w:before="173" w:line="317" w:lineRule="auto"/>
        <w:ind w:right="103" w:firstLine="500" w:firstLineChars="200"/>
        <w:jc w:val="left"/>
        <w:textAlignment w:val="auto"/>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20"/>
          <w:sz w:val="21"/>
          <w:szCs w:val="21"/>
          <w:highlight w:val="none"/>
        </w:rPr>
        <w:t>本项目属于专门面向</w:t>
      </w:r>
      <w:r>
        <w:rPr>
          <w:rFonts w:hint="eastAsia" w:asciiTheme="minorEastAsia" w:hAnsiTheme="minorEastAsia" w:eastAsiaTheme="minorEastAsia" w:cstheme="minorEastAsia"/>
          <w:color w:val="auto"/>
          <w:spacing w:val="20"/>
          <w:sz w:val="21"/>
          <w:szCs w:val="21"/>
          <w:highlight w:val="none"/>
          <w:lang w:eastAsia="zh-CN"/>
        </w:rPr>
        <w:t>中小</w:t>
      </w:r>
      <w:r>
        <w:rPr>
          <w:rFonts w:hint="eastAsia" w:asciiTheme="minorEastAsia" w:hAnsiTheme="minorEastAsia" w:eastAsiaTheme="minorEastAsia" w:cstheme="minorEastAsia"/>
          <w:color w:val="auto"/>
          <w:spacing w:val="20"/>
          <w:sz w:val="21"/>
          <w:szCs w:val="21"/>
          <w:highlight w:val="none"/>
        </w:rPr>
        <w:t>企业采购的项目，按照《政府采购促进中小企业发展管理办法》（财库〔2020）46号）规定，不再执行价格评审优惠的扶持政策。</w:t>
      </w:r>
    </w:p>
    <w:p w14:paraId="388BD2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1</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磋商报价有效范围：为磋商总报价低于或等于采购预算价，且经磋商小组审定为合理的磋商报价。磋商报价不在有效报价范围内的，报价无效，不再进行详细评审。</w:t>
      </w:r>
    </w:p>
    <w:p w14:paraId="6B7AB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lang w:val="en-US" w:eastAsia="zh-CN"/>
        </w:rPr>
        <w:t>2</w:t>
      </w:r>
      <w:r>
        <w:rPr>
          <w:rFonts w:hint="eastAsia" w:asciiTheme="minorEastAsia" w:hAnsiTheme="minorEastAsia" w:eastAsiaTheme="minorEastAsia" w:cstheme="minorEastAsia"/>
          <w:color w:val="auto"/>
          <w:spacing w:val="0"/>
          <w:sz w:val="21"/>
          <w:szCs w:val="21"/>
          <w:highlight w:val="none"/>
          <w:lang w:eastAsia="zh-CN"/>
        </w:rPr>
        <w:t>）</w:t>
      </w:r>
      <w:r>
        <w:rPr>
          <w:rFonts w:hint="eastAsia" w:asciiTheme="minorEastAsia" w:hAnsiTheme="minorEastAsia" w:eastAsiaTheme="minorEastAsia" w:cstheme="minorEastAsia"/>
          <w:color w:val="auto"/>
          <w:spacing w:val="0"/>
          <w:sz w:val="21"/>
          <w:szCs w:val="21"/>
          <w:highlight w:val="none"/>
        </w:rPr>
        <w:t>报价合理性评审：磋商小组认为供应商的报价明显低于其他供应商的报价</w:t>
      </w:r>
      <w:r>
        <w:rPr>
          <w:rFonts w:hint="eastAsia" w:asciiTheme="minorEastAsia" w:hAnsiTheme="minorEastAsia" w:cstheme="minorEastAsia"/>
          <w:color w:val="auto"/>
          <w:spacing w:val="0"/>
          <w:sz w:val="21"/>
          <w:szCs w:val="21"/>
          <w:highlight w:val="none"/>
          <w:lang w:eastAsia="zh-CN"/>
        </w:rPr>
        <w:t>（判定标准详见：三、成交候选人推荐原则）</w:t>
      </w:r>
      <w:r>
        <w:rPr>
          <w:rFonts w:hint="eastAsia" w:asciiTheme="minorEastAsia" w:hAnsiTheme="minorEastAsia" w:eastAsiaTheme="minorEastAsia" w:cstheme="minorEastAsia"/>
          <w:color w:val="auto"/>
          <w:spacing w:val="0"/>
          <w:sz w:val="21"/>
          <w:szCs w:val="21"/>
          <w:highlight w:val="none"/>
        </w:rPr>
        <w:t>，应当启动异常低价投标（响应）审查程序；异常低价投标（响应）审查的启动原因、审查意见和审查结果应当在评审报告中记录。</w:t>
      </w:r>
    </w:p>
    <w:p w14:paraId="6B1BE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val="0"/>
          <w:color w:val="auto"/>
          <w:kern w:val="2"/>
          <w:sz w:val="21"/>
          <w:szCs w:val="21"/>
          <w:highlight w:val="none"/>
          <w:u w:val="none"/>
          <w:lang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3</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满足磋商文件要求且最后报价最低的供应商的价格为磋商基准价</w:t>
      </w:r>
      <w:r>
        <w:rPr>
          <w:rFonts w:hint="eastAsia" w:asciiTheme="minorEastAsia" w:hAnsiTheme="minorEastAsia" w:eastAsiaTheme="minorEastAsia" w:cstheme="minorEastAsia"/>
          <w:bCs w:val="0"/>
          <w:color w:val="auto"/>
          <w:kern w:val="2"/>
          <w:sz w:val="21"/>
          <w:szCs w:val="21"/>
          <w:highlight w:val="none"/>
        </w:rPr>
        <w:t>，基准价得分为</w:t>
      </w:r>
      <w:r>
        <w:rPr>
          <w:rFonts w:hint="eastAsia" w:asciiTheme="minorEastAsia" w:hAnsiTheme="minorEastAsia" w:eastAsiaTheme="minorEastAsia" w:cstheme="minorEastAsia"/>
          <w:bCs w:val="0"/>
          <w:color w:val="auto"/>
          <w:kern w:val="2"/>
          <w:sz w:val="21"/>
          <w:szCs w:val="21"/>
          <w:highlight w:val="none"/>
          <w:u w:val="none"/>
          <w:lang w:val="en-US" w:eastAsia="zh-CN"/>
        </w:rPr>
        <w:t>1</w:t>
      </w:r>
      <w:r>
        <w:rPr>
          <w:rFonts w:hint="eastAsia" w:asciiTheme="minorEastAsia" w:hAnsiTheme="minorEastAsia" w:cstheme="minorEastAsia"/>
          <w:bCs w:val="0"/>
          <w:color w:val="auto"/>
          <w:kern w:val="2"/>
          <w:sz w:val="21"/>
          <w:szCs w:val="21"/>
          <w:highlight w:val="none"/>
          <w:u w:val="none"/>
          <w:lang w:val="en-US" w:eastAsia="zh-CN"/>
        </w:rPr>
        <w:t>0</w:t>
      </w:r>
      <w:r>
        <w:rPr>
          <w:rFonts w:hint="eastAsia" w:asciiTheme="minorEastAsia" w:hAnsiTheme="minorEastAsia" w:eastAsiaTheme="minorEastAsia" w:cstheme="minorEastAsia"/>
          <w:bCs w:val="0"/>
          <w:color w:val="auto"/>
          <w:kern w:val="2"/>
          <w:sz w:val="21"/>
          <w:szCs w:val="21"/>
          <w:highlight w:val="none"/>
          <w:u w:val="none"/>
        </w:rPr>
        <w:t>分</w:t>
      </w:r>
      <w:r>
        <w:rPr>
          <w:rFonts w:hint="eastAsia" w:asciiTheme="minorEastAsia" w:hAnsiTheme="minorEastAsia" w:eastAsiaTheme="minorEastAsia" w:cstheme="minorEastAsia"/>
          <w:bCs w:val="0"/>
          <w:color w:val="auto"/>
          <w:kern w:val="2"/>
          <w:sz w:val="21"/>
          <w:szCs w:val="21"/>
          <w:highlight w:val="none"/>
          <w:u w:val="none"/>
          <w:lang w:eastAsia="zh-CN"/>
        </w:rPr>
        <w:t>。</w:t>
      </w:r>
    </w:p>
    <w:p w14:paraId="2B15AC40">
      <w:pPr>
        <w:pStyle w:val="11"/>
        <w:adjustRightInd w:val="0"/>
        <w:snapToGrid w:val="0"/>
        <w:spacing w:line="420" w:lineRule="exact"/>
        <w:ind w:firstLine="420" w:firstLineChars="200"/>
        <w:rPr>
          <w:rFonts w:hint="eastAsia" w:ascii="宋体" w:hAnsi="宋体" w:cs="宋体"/>
          <w:color w:val="auto"/>
          <w:kern w:val="0"/>
          <w:szCs w:val="21"/>
          <w:highlight w:val="none"/>
          <w:lang w:val="en-US" w:eastAsia="zh-CN"/>
        </w:rPr>
      </w:pP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lang w:val="en-US" w:eastAsia="zh-CN"/>
        </w:rPr>
        <w:t>4</w:t>
      </w:r>
      <w:r>
        <w:rPr>
          <w:rFonts w:hint="eastAsia" w:asciiTheme="minorEastAsia" w:hAnsiTheme="minorEastAsia" w:eastAsiaTheme="minorEastAsia" w:cstheme="minorEastAsia"/>
          <w:bCs w:val="0"/>
          <w:color w:val="auto"/>
          <w:kern w:val="2"/>
          <w:sz w:val="21"/>
          <w:szCs w:val="21"/>
          <w:highlight w:val="none"/>
          <w:lang w:eastAsia="zh-CN"/>
        </w:rPr>
        <w:t>）</w:t>
      </w:r>
      <w:r>
        <w:rPr>
          <w:rFonts w:hint="eastAsia" w:asciiTheme="minorEastAsia" w:hAnsiTheme="minorEastAsia" w:eastAsiaTheme="minorEastAsia" w:cstheme="minorEastAsia"/>
          <w:bCs w:val="0"/>
          <w:color w:val="auto"/>
          <w:kern w:val="2"/>
          <w:sz w:val="21"/>
          <w:szCs w:val="21"/>
          <w:highlight w:val="none"/>
        </w:rPr>
        <w:t>价格分计算公式：</w:t>
      </w:r>
      <w:r>
        <w:rPr>
          <w:rFonts w:hint="eastAsia" w:asciiTheme="minorEastAsia" w:hAnsiTheme="minorEastAsia" w:eastAsiaTheme="minorEastAsia" w:cstheme="minorEastAsia"/>
          <w:bCs w:val="0"/>
          <w:color w:val="auto"/>
          <w:kern w:val="2"/>
          <w:sz w:val="21"/>
          <w:szCs w:val="21"/>
          <w:highlight w:val="none"/>
          <w:shd w:val="clear" w:color="auto" w:fill="auto"/>
        </w:rPr>
        <w:t>报价得分=（基准价/最后报价）×</w:t>
      </w:r>
      <w:r>
        <w:rPr>
          <w:rFonts w:hint="eastAsia" w:asciiTheme="minorEastAsia" w:hAnsiTheme="minorEastAsia" w:eastAsiaTheme="minorEastAsia" w:cstheme="minorEastAsia"/>
          <w:bCs w:val="0"/>
          <w:color w:val="auto"/>
          <w:kern w:val="2"/>
          <w:sz w:val="21"/>
          <w:szCs w:val="21"/>
          <w:highlight w:val="none"/>
          <w:u w:val="none"/>
          <w:shd w:val="clear" w:color="auto" w:fill="auto"/>
          <w:lang w:val="en-US" w:eastAsia="zh-CN"/>
        </w:rPr>
        <w:t>1</w:t>
      </w:r>
      <w:r>
        <w:rPr>
          <w:rFonts w:hint="eastAsia" w:asciiTheme="minorEastAsia" w:hAnsiTheme="minorEastAsia" w:cstheme="minorEastAsia"/>
          <w:bCs w:val="0"/>
          <w:color w:val="auto"/>
          <w:kern w:val="2"/>
          <w:sz w:val="21"/>
          <w:szCs w:val="21"/>
          <w:highlight w:val="none"/>
          <w:u w:val="none"/>
          <w:shd w:val="clear" w:color="auto" w:fill="auto"/>
          <w:lang w:val="en-US" w:eastAsia="zh-CN"/>
        </w:rPr>
        <w:t>0</w:t>
      </w:r>
      <w:r>
        <w:rPr>
          <w:rFonts w:hint="eastAsia" w:asciiTheme="minorEastAsia" w:hAnsiTheme="minorEastAsia" w:eastAsiaTheme="minorEastAsia" w:cstheme="minorEastAsia"/>
          <w:bCs w:val="0"/>
          <w:color w:val="auto"/>
          <w:kern w:val="2"/>
          <w:sz w:val="21"/>
          <w:szCs w:val="21"/>
          <w:highlight w:val="none"/>
          <w:u w:val="none"/>
          <w:shd w:val="clear" w:color="auto" w:fill="auto"/>
        </w:rPr>
        <w:t>分</w:t>
      </w:r>
    </w:p>
    <w:p w14:paraId="6922B3A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spacing w:val="0"/>
          <w:kern w:val="4"/>
          <w:sz w:val="21"/>
          <w:szCs w:val="21"/>
          <w:highlight w:val="none"/>
          <w:lang w:val="en-US" w:eastAsia="zh-CN"/>
        </w:rPr>
      </w:pPr>
    </w:p>
    <w:p w14:paraId="0C78B5D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pacing w:val="0"/>
          <w:kern w:val="4"/>
          <w:sz w:val="21"/>
          <w:szCs w:val="21"/>
          <w:highlight w:val="none"/>
          <w:lang w:val="en-US" w:eastAsia="zh-CN" w:bidi="ar-SA"/>
        </w:rPr>
      </w:pPr>
      <w:r>
        <w:rPr>
          <w:rFonts w:hint="eastAsia" w:ascii="宋体" w:hAnsi="宋体" w:eastAsia="宋体" w:cs="宋体"/>
          <w:b/>
          <w:bCs/>
          <w:spacing w:val="0"/>
          <w:kern w:val="4"/>
          <w:sz w:val="21"/>
          <w:szCs w:val="21"/>
          <w:highlight w:val="none"/>
          <w:lang w:val="en-US" w:eastAsia="zh-CN"/>
        </w:rPr>
        <w:t>2.</w:t>
      </w:r>
      <w:r>
        <w:rPr>
          <w:rFonts w:hint="eastAsia" w:ascii="宋体" w:hAnsi="宋体" w:eastAsia="宋体" w:cs="宋体"/>
          <w:b/>
          <w:bCs/>
          <w:color w:val="auto"/>
          <w:spacing w:val="0"/>
          <w:kern w:val="4"/>
          <w:sz w:val="21"/>
          <w:szCs w:val="21"/>
          <w:highlight w:val="none"/>
          <w:lang w:val="en-US" w:eastAsia="zh-CN" w:bidi="ar-SA"/>
        </w:rPr>
        <w:t>技术分……………………………………………………………………………76分</w:t>
      </w:r>
    </w:p>
    <w:p w14:paraId="528C994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2.1服务实施方案分（满分16分）</w:t>
      </w:r>
    </w:p>
    <w:p w14:paraId="56686CAE">
      <w:pPr>
        <w:pStyle w:val="31"/>
        <w:keepNext w:val="0"/>
        <w:keepLines w:val="0"/>
        <w:pageBreakBefore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依据</w:t>
      </w:r>
      <w:r>
        <w:rPr>
          <w:rFonts w:hint="eastAsia" w:cs="宋体"/>
          <w:spacing w:val="0"/>
          <w:sz w:val="21"/>
          <w:szCs w:val="21"/>
          <w:highlight w:val="none"/>
          <w:lang w:eastAsia="zh-CN"/>
        </w:rPr>
        <w:t>磋商</w:t>
      </w:r>
      <w:r>
        <w:rPr>
          <w:rFonts w:hint="eastAsia" w:ascii="宋体" w:hAnsi="宋体" w:cs="宋体"/>
          <w:color w:val="auto"/>
          <w:szCs w:val="21"/>
          <w:highlight w:val="none"/>
        </w:rPr>
        <w:t>供应商</w:t>
      </w:r>
      <w:r>
        <w:rPr>
          <w:rFonts w:hint="eastAsia" w:ascii="宋体" w:hAnsi="宋体" w:eastAsia="宋体" w:cs="宋体"/>
          <w:spacing w:val="0"/>
          <w:sz w:val="21"/>
          <w:szCs w:val="21"/>
          <w:highlight w:val="none"/>
          <w:lang w:eastAsia="zh-CN"/>
        </w:rPr>
        <w:t>所提供的《服务实施方案》在合理性、可行性、科学性以及与方案的对应性等方面的表现进行评分，若无相关内容则不给予分数：</w:t>
      </w:r>
    </w:p>
    <w:p w14:paraId="2791E3B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一档（4分）：方案基本按照本项目采购需求进行编写，包含总体设想、管理目标等基础内容，但描述过于简略、概括。仅能体现基础服务思路，缺乏具体措施和工作计划支撑，勉强满足项目最基本的采购需求。</w:t>
      </w:r>
    </w:p>
    <w:p w14:paraId="176B540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二档（</w:t>
      </w:r>
      <w:r>
        <w:rPr>
          <w:rFonts w:hint="eastAsia" w:ascii="宋体" w:hAnsi="宋体" w:eastAsia="宋体" w:cs="宋体"/>
          <w:spacing w:val="0"/>
          <w:sz w:val="21"/>
          <w:szCs w:val="21"/>
          <w:highlight w:val="none"/>
          <w:lang w:val="en-US" w:eastAsia="zh-CN"/>
        </w:rPr>
        <w:t>8</w:t>
      </w:r>
      <w:r>
        <w:rPr>
          <w:rFonts w:hint="eastAsia" w:ascii="宋体" w:hAnsi="宋体" w:eastAsia="宋体" w:cs="宋体"/>
          <w:spacing w:val="0"/>
          <w:sz w:val="21"/>
          <w:szCs w:val="21"/>
          <w:highlight w:val="none"/>
          <w:lang w:eastAsia="zh-CN"/>
        </w:rPr>
        <w:t>分）：方案能够按照本项目采购需求进行编写，总体设想与项目定位基本相符，管理目标（包括质量目标、安全目标、满意度目标）有明确表述。运作程序和管理措施有基本描述，整体方案无明显遗漏，能够满足项目的基础采购需求，具备初步的可操作性。</w:t>
      </w:r>
    </w:p>
    <w:p w14:paraId="54CDF1B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三档（</w:t>
      </w:r>
      <w:r>
        <w:rPr>
          <w:rFonts w:hint="eastAsia" w:ascii="宋体" w:hAnsi="宋体" w:eastAsia="宋体" w:cs="宋体"/>
          <w:spacing w:val="0"/>
          <w:sz w:val="21"/>
          <w:szCs w:val="21"/>
          <w:highlight w:val="none"/>
          <w:lang w:val="en-US" w:eastAsia="zh-CN"/>
        </w:rPr>
        <w:t>12</w:t>
      </w:r>
      <w:r>
        <w:rPr>
          <w:rFonts w:hint="eastAsia" w:ascii="宋体" w:hAnsi="宋体" w:eastAsia="宋体" w:cs="宋体"/>
          <w:spacing w:val="0"/>
          <w:sz w:val="21"/>
          <w:szCs w:val="21"/>
          <w:highlight w:val="none"/>
          <w:lang w:eastAsia="zh-CN"/>
        </w:rPr>
        <w:t>分）：方案紧密围绕本项目采购需求编写，总体设想与项目定位高度契合，管理目标明确且可量化。运作程序清晰，管理措施具体，包含详细的工作计划和时间安排。方案能够结合医院物业管理的实际特性（如人流量大、感控要求等），阐述清楚，具备较强的可操作性，能够完全满足本项目的采购需求。</w:t>
      </w:r>
    </w:p>
    <w:p w14:paraId="672341A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四档（16分）：方案完全结合项目实际状况深入编制，内容全面涵盖服务总体设想、管理目标、管理方式及措施、运作程序、服务工作计划及安排等各个方面，阐述非常详尽清晰。在管理方式、运作程序及具体管理措施方面，能够针对医院特点提出创新性或明显优于常规要求的方案，如针对不同科室的差异化服务、精细化管理措施等，完全满足或超出本项目采购需求。</w:t>
      </w:r>
    </w:p>
    <w:p w14:paraId="5584DFD3">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2.2保洁、洗涤服务方案分（满分16分）</w:t>
      </w:r>
    </w:p>
    <w:p w14:paraId="406CE42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一档（4分）：提交了针对本项目的保洁、洗涤服务方案，简单提及服务范围和大致内容，对服务流程、作业标准、质量目标描述模糊。仅能初步响应采购文件的最低要求，缺乏可操作性和针对性。</w:t>
      </w:r>
    </w:p>
    <w:p w14:paraId="488DA53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二档（</w:t>
      </w:r>
      <w:r>
        <w:rPr>
          <w:rFonts w:hint="eastAsia" w:ascii="宋体" w:hAnsi="宋体" w:eastAsia="宋体" w:cs="宋体"/>
          <w:spacing w:val="0"/>
          <w:sz w:val="21"/>
          <w:szCs w:val="21"/>
          <w:highlight w:val="none"/>
          <w:lang w:val="en-US" w:eastAsia="zh-CN"/>
        </w:rPr>
        <w:t>8</w:t>
      </w:r>
      <w:r>
        <w:rPr>
          <w:rFonts w:hint="eastAsia" w:ascii="宋体" w:hAnsi="宋体" w:eastAsia="宋体" w:cs="宋体"/>
          <w:spacing w:val="0"/>
          <w:sz w:val="21"/>
          <w:szCs w:val="21"/>
          <w:highlight w:val="none"/>
          <w:lang w:eastAsia="zh-CN"/>
        </w:rPr>
        <w:t>分）：方案对保洁与洗涤的服务范围和内容有基本划分，涵盖门诊、住院部、公共区域等主要区域。作业流程和质量目标有简要描述，基本符合采购文件提出的基础要求，无核心内容遗漏，具备初步的可操作性。</w:t>
      </w:r>
    </w:p>
    <w:p w14:paraId="225E4E5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三档（</w:t>
      </w:r>
      <w:r>
        <w:rPr>
          <w:rFonts w:hint="eastAsia" w:ascii="宋体" w:hAnsi="宋体" w:eastAsia="宋体" w:cs="宋体"/>
          <w:spacing w:val="0"/>
          <w:sz w:val="21"/>
          <w:szCs w:val="21"/>
          <w:highlight w:val="none"/>
          <w:lang w:val="en-US" w:eastAsia="zh-CN"/>
        </w:rPr>
        <w:t>12</w:t>
      </w:r>
      <w:r>
        <w:rPr>
          <w:rFonts w:hint="eastAsia" w:ascii="宋体" w:hAnsi="宋体" w:eastAsia="宋体" w:cs="宋体"/>
          <w:spacing w:val="0"/>
          <w:sz w:val="21"/>
          <w:szCs w:val="21"/>
          <w:highlight w:val="none"/>
          <w:lang w:eastAsia="zh-CN"/>
        </w:rPr>
        <w:t>分）：方案具有较强的针对性，保洁与洗涤的服务范围和内容划分明确，清晰包含门诊、住院部、手术室、感染科、公共区域、医废暂存点以及布草洗涤全流程。作业流程与方法描述相对详细，能够体现医院感控原则。质量目标（如清洁合格率、感控指标、布草破损率等）设定清晰，并达到采购需求标准。方案阐述清楚，具备良好的可操作性。</w:t>
      </w:r>
    </w:p>
    <w:p w14:paraId="2ED4153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四档（16分）：方案极为细致且专业，服务范围与内容实现分区、分级管理（如根据感染风险等级制定差异化清洁方案）。作业流程与方法不仅全面达标，而且在细节方面明显优于常规要求，如重点区域的消毒频次、医废处理的全流程管控等。质量目标设定高于采购文件的基本标准，并清晰、详尽地说明了达成这些高标准目标的具体技术保障手段、监控方式以及纠正预防流程，方案完全满足或优于本项目采购需求。</w:t>
      </w:r>
    </w:p>
    <w:p w14:paraId="1B53677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spacing w:val="0"/>
          <w:sz w:val="21"/>
          <w:szCs w:val="21"/>
          <w:highlight w:val="none"/>
        </w:rPr>
      </w:pPr>
      <w:r>
        <w:rPr>
          <w:rFonts w:hint="eastAsia" w:ascii="宋体" w:hAnsi="宋体" w:eastAsia="宋体" w:cs="宋体"/>
          <w:b/>
          <w:bCs/>
          <w:color w:val="auto"/>
          <w:spacing w:val="0"/>
          <w:kern w:val="2"/>
          <w:sz w:val="21"/>
          <w:szCs w:val="21"/>
          <w:highlight w:val="none"/>
          <w:lang w:val="en-US" w:eastAsia="zh-CN" w:bidi="ar-SA"/>
        </w:rPr>
        <w:t>2.3秩序维护服务方案分（满分16分）</w:t>
      </w:r>
    </w:p>
    <w:p w14:paraId="062005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一档（4分）：方案内容简略，仅提及门岗、巡逻等基础秩序维护相关名词，未明确具体职责和工作流程。仅能体现最基础的秩序维护意识，无法满足医院项目实际运作需求。</w:t>
      </w:r>
    </w:p>
    <w:p w14:paraId="0DA9332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二档（</w:t>
      </w:r>
      <w:r>
        <w:rPr>
          <w:rFonts w:hint="eastAsia" w:ascii="宋体" w:hAnsi="宋体" w:eastAsia="宋体" w:cs="宋体"/>
          <w:spacing w:val="0"/>
          <w:sz w:val="21"/>
          <w:szCs w:val="21"/>
          <w:highlight w:val="none"/>
          <w:lang w:val="en-US" w:eastAsia="zh-CN"/>
        </w:rPr>
        <w:t>8</w:t>
      </w:r>
      <w:r>
        <w:rPr>
          <w:rFonts w:hint="eastAsia" w:ascii="宋体" w:hAnsi="宋体" w:eastAsia="宋体" w:cs="宋体"/>
          <w:spacing w:val="0"/>
          <w:sz w:val="21"/>
          <w:szCs w:val="21"/>
          <w:highlight w:val="none"/>
          <w:lang w:eastAsia="zh-CN"/>
        </w:rPr>
        <w:t>分）：方案包含门岗管理、巡逻、监控等常规秩序维护职责的基本描述，能够回应采购需求中关于秩序维护服务的基本要求。但整体缺乏细节支撑与深度规划，岗位职责、工作标准、排班安排等描述较为笼统，可操作性一般。</w:t>
      </w:r>
    </w:p>
    <w:p w14:paraId="2BA24F91">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三档（</w:t>
      </w:r>
      <w:r>
        <w:rPr>
          <w:rFonts w:hint="eastAsia" w:ascii="宋体" w:hAnsi="宋体" w:eastAsia="宋体" w:cs="宋体"/>
          <w:spacing w:val="0"/>
          <w:sz w:val="21"/>
          <w:szCs w:val="21"/>
          <w:highlight w:val="none"/>
          <w:lang w:val="en-US" w:eastAsia="zh-CN"/>
        </w:rPr>
        <w:t>12</w:t>
      </w:r>
      <w:r>
        <w:rPr>
          <w:rFonts w:hint="eastAsia" w:ascii="宋体" w:hAnsi="宋体" w:eastAsia="宋体" w:cs="宋体"/>
          <w:spacing w:val="0"/>
          <w:sz w:val="21"/>
          <w:szCs w:val="21"/>
          <w:highlight w:val="none"/>
          <w:lang w:eastAsia="zh-CN"/>
        </w:rPr>
        <w:t>分）：方案结构完备，清楚阐述岗位职责与标准、日常管理举措、应急处理三大关键部分。岗位职责与标准明确大门岗、楼宇岗、巡逻岗、消防监控岗等各岗位的具体职责、服务礼仪标准以及工作流程。日常管理举措涵盖人员排班、交接班、器械管理、巡逻路线与频次等内容。应急处理制定火灾、治安事件、医疗纠纷、人员走失等常见突发状况的应急处置流程与预案。方案与采购需求有较好的对应性，具备直接落地的可执行性。</w:t>
      </w:r>
    </w:p>
    <w:p w14:paraId="4795D90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四档（16分）：在完全达到第三档所有标准的前提下，方案深度融合医院公共场所的独特属性，具有高度的针对性、专业性与前瞻性。具体亮点包括：针对不同区域（如急诊、门诊、住院部）提出差异化秩序维护配置与巡防策略；明确无理滋事、医托等医院特有秩序问题的防范与处置措施；应急预案全面且流程清晰、可操作性强；技术应用创新，如重点区域视频监控、智能巡更系统应用；有专项培训及演练计划。</w:t>
      </w:r>
    </w:p>
    <w:p w14:paraId="5AE58762">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2.4人员、物资配置方案分（满分16分）</w:t>
      </w:r>
    </w:p>
    <w:p w14:paraId="51623795">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根据各</w:t>
      </w:r>
      <w:r>
        <w:rPr>
          <w:rFonts w:hint="eastAsia" w:ascii="宋体" w:hAnsi="宋体" w:cs="宋体"/>
          <w:color w:val="auto"/>
          <w:szCs w:val="21"/>
          <w:highlight w:val="none"/>
        </w:rPr>
        <w:t>磋商供应商</w:t>
      </w:r>
      <w:r>
        <w:rPr>
          <w:rFonts w:hint="eastAsia" w:ascii="宋体" w:hAnsi="宋体" w:eastAsia="宋体" w:cs="宋体"/>
          <w:color w:val="auto"/>
          <w:spacing w:val="0"/>
          <w:kern w:val="2"/>
          <w:sz w:val="21"/>
          <w:szCs w:val="21"/>
          <w:highlight w:val="none"/>
          <w:lang w:val="en-US" w:eastAsia="zh-CN" w:bidi="ar-SA"/>
        </w:rPr>
        <w:t>提供方案的内容完整性、合理性、可操作性等方面进行独立评审，确定各磋商供应商所属档次并在相应档次内独立打分。方案内容包含但不限于：A.管理人员的配备（含：项目经理或主管的简历，各类人员数量，各岗位人员的配置）；B.人员的管理（含：录用、培训及考核，考核奖罚机制，协调关系，服务意识）；C.物资装备情况（含：器械、交通工具以及通讯、安全防范装备以及办公用品的配备等）。</w:t>
      </w:r>
    </w:p>
    <w:p w14:paraId="445F5BD1">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不满足最低进档要求不得分。</w:t>
      </w:r>
    </w:p>
    <w:p w14:paraId="20A918DB">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pacing w:val="0"/>
          <w:kern w:val="0"/>
          <w:sz w:val="21"/>
          <w:szCs w:val="21"/>
          <w:highlight w:val="none"/>
          <w:lang w:val="en-US" w:eastAsia="zh-CN" w:bidi="ar-SA"/>
        </w:rPr>
      </w:pPr>
      <w:r>
        <w:rPr>
          <w:rFonts w:hint="eastAsia" w:ascii="宋体" w:hAnsi="宋体" w:eastAsia="宋体" w:cs="宋体"/>
          <w:bCs/>
          <w:color w:val="auto"/>
          <w:spacing w:val="0"/>
          <w:kern w:val="0"/>
          <w:sz w:val="21"/>
          <w:szCs w:val="21"/>
          <w:highlight w:val="none"/>
          <w:lang w:val="en-US" w:eastAsia="zh-CN" w:bidi="ar-SA"/>
        </w:rPr>
        <w:t>一档（4分）：有人员、物资配置方案，制定的人员、物资配置计划内容简略。</w:t>
      </w:r>
    </w:p>
    <w:p w14:paraId="718AF11B">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pacing w:val="0"/>
          <w:kern w:val="0"/>
          <w:sz w:val="21"/>
          <w:szCs w:val="21"/>
          <w:highlight w:val="none"/>
          <w:lang w:val="en-US" w:eastAsia="zh-CN" w:bidi="ar-SA"/>
        </w:rPr>
      </w:pPr>
      <w:r>
        <w:rPr>
          <w:rFonts w:hint="eastAsia" w:ascii="宋体" w:hAnsi="宋体" w:eastAsia="宋体" w:cs="宋体"/>
          <w:bCs/>
          <w:color w:val="auto"/>
          <w:spacing w:val="0"/>
          <w:kern w:val="0"/>
          <w:sz w:val="21"/>
          <w:szCs w:val="21"/>
          <w:highlight w:val="none"/>
          <w:lang w:val="en-US" w:eastAsia="zh-CN" w:bidi="ar-SA"/>
        </w:rPr>
        <w:t>二档（8分）：人员、物资配置情况方案详细，针对采购需求中各岗位需求制定人员、物资配备方案；能够针对项目需求制定服务人员管理和培训制度，物资装备情况在满足项目需求前提下，确保物资质量合格，符合质量标准。</w:t>
      </w:r>
    </w:p>
    <w:p w14:paraId="06DE8C02">
      <w:pPr>
        <w:keepNext w:val="0"/>
        <w:keepLines w:val="0"/>
        <w:pageBreakBefore w:val="0"/>
        <w:kinsoku/>
        <w:wordWrap/>
        <w:overflowPunct/>
        <w:topLinePunct w:val="0"/>
        <w:autoSpaceDE/>
        <w:autoSpaceDN/>
        <w:bidi w:val="0"/>
        <w:adjustRightInd w:val="0"/>
        <w:snapToGrid w:val="0"/>
        <w:spacing w:line="360" w:lineRule="auto"/>
        <w:ind w:left="0" w:firstLine="420" w:firstLineChars="200"/>
        <w:jc w:val="left"/>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三档（12分）：在满足</w:t>
      </w:r>
      <w:r>
        <w:rPr>
          <w:rFonts w:hint="eastAsia" w:ascii="宋体" w:hAnsi="宋体" w:eastAsia="宋体" w:cs="宋体"/>
          <w:bCs/>
          <w:color w:val="auto"/>
          <w:spacing w:val="0"/>
          <w:kern w:val="2"/>
          <w:sz w:val="21"/>
          <w:szCs w:val="21"/>
          <w:highlight w:val="none"/>
          <w:lang w:val="en" w:eastAsia="zh-CN" w:bidi="ar-SA"/>
        </w:rPr>
        <w:t>二</w:t>
      </w:r>
      <w:r>
        <w:rPr>
          <w:rFonts w:hint="eastAsia" w:ascii="宋体" w:hAnsi="宋体" w:eastAsia="宋体" w:cs="宋体"/>
          <w:bCs/>
          <w:color w:val="auto"/>
          <w:spacing w:val="0"/>
          <w:kern w:val="2"/>
          <w:sz w:val="21"/>
          <w:szCs w:val="21"/>
          <w:highlight w:val="none"/>
          <w:lang w:val="en-US" w:eastAsia="zh-CN" w:bidi="ar-SA"/>
        </w:rPr>
        <w:t>档的基础上，人员、物资配置情况方案详细完整，</w:t>
      </w:r>
      <w:r>
        <w:rPr>
          <w:rFonts w:hint="eastAsia" w:ascii="宋体" w:hAnsi="宋体" w:eastAsia="宋体" w:cs="宋体"/>
          <w:bCs/>
          <w:color w:val="auto"/>
          <w:spacing w:val="0"/>
          <w:kern w:val="2"/>
          <w:sz w:val="21"/>
          <w:szCs w:val="21"/>
          <w:highlight w:val="none"/>
          <w:lang w:val="en" w:eastAsia="zh-CN" w:bidi="ar-SA"/>
        </w:rPr>
        <w:t>对</w:t>
      </w:r>
      <w:r>
        <w:rPr>
          <w:rFonts w:hint="eastAsia" w:ascii="宋体" w:hAnsi="宋体" w:eastAsia="宋体" w:cs="宋体"/>
          <w:bCs/>
          <w:color w:val="auto"/>
          <w:spacing w:val="0"/>
          <w:kern w:val="2"/>
          <w:sz w:val="21"/>
          <w:szCs w:val="21"/>
          <w:highlight w:val="none"/>
          <w:lang w:val="en-US" w:eastAsia="zh-CN" w:bidi="ar-SA"/>
        </w:rPr>
        <w:t>人员的管理方案</w:t>
      </w:r>
      <w:r>
        <w:rPr>
          <w:rFonts w:hint="eastAsia" w:ascii="宋体" w:hAnsi="宋体" w:eastAsia="宋体" w:cs="宋体"/>
          <w:bCs/>
          <w:color w:val="auto"/>
          <w:spacing w:val="0"/>
          <w:kern w:val="2"/>
          <w:sz w:val="21"/>
          <w:szCs w:val="21"/>
          <w:highlight w:val="none"/>
          <w:lang w:val="en" w:eastAsia="zh-CN" w:bidi="ar-SA"/>
        </w:rPr>
        <w:t>包含</w:t>
      </w:r>
      <w:r>
        <w:rPr>
          <w:rFonts w:hint="eastAsia" w:ascii="宋体" w:hAnsi="宋体" w:eastAsia="宋体" w:cs="宋体"/>
          <w:bCs/>
          <w:color w:val="auto"/>
          <w:spacing w:val="0"/>
          <w:kern w:val="2"/>
          <w:sz w:val="21"/>
          <w:szCs w:val="21"/>
          <w:highlight w:val="none"/>
          <w:lang w:val="en-US" w:eastAsia="zh-CN" w:bidi="ar-SA"/>
        </w:rPr>
        <w:t>人员管理方式、控制员工流失的措施、人员招聘与录用、考核奖罚机制</w:t>
      </w:r>
      <w:r>
        <w:rPr>
          <w:rFonts w:hint="eastAsia" w:ascii="宋体" w:hAnsi="宋体" w:eastAsia="宋体" w:cs="宋体"/>
          <w:bCs/>
          <w:color w:val="auto"/>
          <w:spacing w:val="0"/>
          <w:kern w:val="2"/>
          <w:sz w:val="21"/>
          <w:szCs w:val="21"/>
          <w:highlight w:val="none"/>
          <w:lang w:val="en" w:eastAsia="zh-CN" w:bidi="ar-SA"/>
        </w:rPr>
        <w:t>、</w:t>
      </w:r>
      <w:r>
        <w:rPr>
          <w:rFonts w:hint="eastAsia" w:ascii="宋体" w:hAnsi="宋体" w:eastAsia="宋体" w:cs="宋体"/>
          <w:bCs/>
          <w:color w:val="auto"/>
          <w:spacing w:val="0"/>
          <w:kern w:val="2"/>
          <w:sz w:val="21"/>
          <w:szCs w:val="21"/>
          <w:highlight w:val="none"/>
          <w:lang w:val="en-US" w:eastAsia="zh-CN" w:bidi="ar-SA"/>
        </w:rPr>
        <w:t>人员意外伤害应急处理、员工替岗管理制度等</w:t>
      </w:r>
      <w:r>
        <w:rPr>
          <w:rFonts w:hint="eastAsia" w:ascii="宋体" w:hAnsi="宋体" w:eastAsia="宋体" w:cs="宋体"/>
          <w:bCs/>
          <w:color w:val="auto"/>
          <w:spacing w:val="0"/>
          <w:kern w:val="2"/>
          <w:sz w:val="21"/>
          <w:szCs w:val="21"/>
          <w:highlight w:val="none"/>
          <w:lang w:val="en" w:eastAsia="zh-CN" w:bidi="ar-SA"/>
        </w:rPr>
        <w:t>，能够建立定期评估机制，根据项目运行情况合理配置人员、优化人员结构，针对性开展人员培训，物资配备满足项目服务需求，针对本项目制定物资管理制度。</w:t>
      </w:r>
    </w:p>
    <w:p w14:paraId="3B3E774C">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spacing w:val="0"/>
          <w:sz w:val="21"/>
          <w:szCs w:val="21"/>
          <w:highlight w:val="none"/>
          <w:lang w:eastAsia="zh-CN"/>
        </w:rPr>
      </w:pPr>
      <w:r>
        <w:rPr>
          <w:rFonts w:hint="eastAsia" w:ascii="宋体" w:hAnsi="宋体" w:eastAsia="宋体" w:cs="宋体"/>
          <w:color w:val="auto"/>
          <w:spacing w:val="0"/>
          <w:kern w:val="2"/>
          <w:sz w:val="21"/>
          <w:szCs w:val="21"/>
          <w:highlight w:val="none"/>
          <w:lang w:val="en-US" w:eastAsia="zh-CN" w:bidi="ar-SA"/>
        </w:rPr>
        <w:t>四档（16分）：在满足三挡的基础上，为本项目制订人员、物资配置方案，人员配置方案详细、全面、可行，针对性、可操作性非常强，针对项目管理相关人员专业资格证完备，服务人员的培训满足项目实际需要。各类人员的培训有计划，有考核方式及考核标准，服务人员的管理满足项目实际需要，有考核制度，奖罚机制，信息反馈制度等。</w:t>
      </w:r>
      <w:r>
        <w:rPr>
          <w:rFonts w:hint="eastAsia" w:ascii="宋体" w:hAnsi="宋体" w:eastAsia="宋体" w:cs="宋体"/>
          <w:bCs/>
          <w:color w:val="auto"/>
          <w:spacing w:val="0"/>
          <w:kern w:val="2"/>
          <w:sz w:val="21"/>
          <w:szCs w:val="21"/>
          <w:highlight w:val="none"/>
          <w:lang w:val="en" w:eastAsia="zh-CN" w:bidi="ar-SA"/>
        </w:rPr>
        <w:t>对</w:t>
      </w:r>
      <w:r>
        <w:rPr>
          <w:rFonts w:hint="eastAsia" w:ascii="宋体" w:hAnsi="宋体" w:eastAsia="宋体" w:cs="宋体"/>
          <w:bCs/>
          <w:color w:val="auto"/>
          <w:spacing w:val="0"/>
          <w:kern w:val="2"/>
          <w:sz w:val="21"/>
          <w:szCs w:val="21"/>
          <w:highlight w:val="none"/>
          <w:lang w:val="en-US" w:eastAsia="zh-CN" w:bidi="ar-SA"/>
        </w:rPr>
        <w:t>人员的管理方案</w:t>
      </w:r>
      <w:r>
        <w:rPr>
          <w:rFonts w:hint="eastAsia" w:ascii="宋体" w:hAnsi="宋体" w:eastAsia="宋体" w:cs="宋体"/>
          <w:bCs/>
          <w:color w:val="auto"/>
          <w:spacing w:val="0"/>
          <w:kern w:val="2"/>
          <w:sz w:val="21"/>
          <w:szCs w:val="21"/>
          <w:highlight w:val="none"/>
          <w:lang w:val="en" w:eastAsia="zh-CN" w:bidi="ar-SA"/>
        </w:rPr>
        <w:t>包含</w:t>
      </w:r>
      <w:r>
        <w:rPr>
          <w:rFonts w:hint="eastAsia" w:ascii="宋体" w:hAnsi="宋体" w:eastAsia="宋体" w:cs="宋体"/>
          <w:bCs/>
          <w:color w:val="auto"/>
          <w:spacing w:val="0"/>
          <w:kern w:val="2"/>
          <w:sz w:val="21"/>
          <w:szCs w:val="21"/>
          <w:highlight w:val="none"/>
          <w:lang w:val="en-US" w:eastAsia="zh-CN" w:bidi="ar-SA"/>
        </w:rPr>
        <w:t>人员管理方式、控制员工流失的措施、人员招聘与录用、考核奖罚机制</w:t>
      </w:r>
      <w:r>
        <w:rPr>
          <w:rFonts w:hint="eastAsia" w:ascii="宋体" w:hAnsi="宋体" w:eastAsia="宋体" w:cs="宋体"/>
          <w:bCs/>
          <w:color w:val="auto"/>
          <w:spacing w:val="0"/>
          <w:kern w:val="2"/>
          <w:sz w:val="21"/>
          <w:szCs w:val="21"/>
          <w:highlight w:val="none"/>
          <w:lang w:val="en" w:eastAsia="zh-CN" w:bidi="ar-SA"/>
        </w:rPr>
        <w:t>、</w:t>
      </w:r>
      <w:r>
        <w:rPr>
          <w:rFonts w:hint="eastAsia" w:ascii="宋体" w:hAnsi="宋体" w:eastAsia="宋体" w:cs="宋体"/>
          <w:bCs/>
          <w:color w:val="auto"/>
          <w:spacing w:val="0"/>
          <w:kern w:val="2"/>
          <w:sz w:val="21"/>
          <w:szCs w:val="21"/>
          <w:highlight w:val="none"/>
          <w:lang w:val="en-US" w:eastAsia="zh-CN" w:bidi="ar-SA"/>
        </w:rPr>
        <w:t>人员意外伤害应急处理、员工替岗管理制度等</w:t>
      </w:r>
      <w:r>
        <w:rPr>
          <w:rFonts w:hint="eastAsia" w:ascii="宋体" w:hAnsi="宋体" w:eastAsia="宋体" w:cs="宋体"/>
          <w:bCs/>
          <w:color w:val="auto"/>
          <w:spacing w:val="0"/>
          <w:kern w:val="2"/>
          <w:sz w:val="21"/>
          <w:szCs w:val="21"/>
          <w:highlight w:val="none"/>
          <w:lang w:val="en" w:eastAsia="zh-CN" w:bidi="ar-SA"/>
        </w:rPr>
        <w:t>，能够建立定期评估机制，根据项目运行情况合理配置人员、优化人员结构，物资配备满足项目服务需求，有专人管理，针对本项目制定物资管理制度。</w:t>
      </w:r>
    </w:p>
    <w:p w14:paraId="7688FB93">
      <w:pPr>
        <w:keepNext w:val="0"/>
        <w:keepLines w:val="0"/>
        <w:pageBreakBefore w:val="0"/>
        <w:widowControl w:val="0"/>
        <w:kinsoku/>
        <w:wordWrap/>
        <w:overflowPunct/>
        <w:topLinePunct w:val="0"/>
        <w:autoSpaceDE/>
        <w:autoSpaceDN/>
        <w:bidi w:val="0"/>
        <w:spacing w:line="360" w:lineRule="auto"/>
        <w:ind w:left="0" w:firstLine="422" w:firstLineChars="200"/>
        <w:jc w:val="both"/>
        <w:textAlignment w:val="auto"/>
        <w:rPr>
          <w:rFonts w:hint="eastAsia" w:ascii="宋体" w:hAnsi="宋体" w:eastAsia="宋体" w:cs="宋体"/>
          <w:b/>
          <w:bCs/>
          <w:color w:val="auto"/>
          <w:spacing w:val="0"/>
          <w:kern w:val="2"/>
          <w:sz w:val="21"/>
          <w:szCs w:val="21"/>
          <w:highlight w:val="none"/>
          <w:lang w:val="en-US" w:eastAsia="zh-CN" w:bidi="ar-SA"/>
        </w:rPr>
      </w:pPr>
      <w:bookmarkStart w:id="37" w:name="_Toc15888"/>
      <w:r>
        <w:rPr>
          <w:rFonts w:hint="eastAsia" w:ascii="宋体" w:hAnsi="宋体" w:eastAsia="宋体" w:cs="宋体"/>
          <w:b/>
          <w:bCs/>
          <w:color w:val="auto"/>
          <w:spacing w:val="0"/>
          <w:kern w:val="2"/>
          <w:sz w:val="21"/>
          <w:szCs w:val="21"/>
          <w:highlight w:val="none"/>
          <w:lang w:val="en-US" w:eastAsia="zh-CN" w:bidi="ar-SA"/>
        </w:rPr>
        <w:t>2.5突发事件应急预案分（满分12分）</w:t>
      </w:r>
    </w:p>
    <w:p w14:paraId="0CD62FBC">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突发事件应急预案内容包含但不限于：（1）预案中突发事件的应急保障措施，应急处置流程、措施。（2）安全生产操作规程、</w:t>
      </w:r>
      <w:r>
        <w:rPr>
          <w:rFonts w:hint="eastAsia" w:ascii="宋体" w:hAnsi="宋体" w:eastAsia="宋体" w:cs="宋体"/>
          <w:color w:val="auto"/>
          <w:spacing w:val="0"/>
          <w:kern w:val="2"/>
          <w:sz w:val="21"/>
          <w:szCs w:val="21"/>
          <w:highlight w:val="none"/>
          <w:lang w:val="en-US" w:eastAsia="zh-CN" w:bidi="ar-SA"/>
        </w:rPr>
        <w:t>应急抢险预案、安全生产事故处理预案。（3）应急设施设备及人员配置，有应急相关培训及演练安排。磋商小组对磋商供应商以上内容的详实度、合理性、契合度等方面进行评审。</w:t>
      </w:r>
    </w:p>
    <w:p w14:paraId="2B93F911">
      <w:pPr>
        <w:keepNext w:val="0"/>
        <w:keepLines w:val="0"/>
        <w:pageBreakBefore w:val="0"/>
        <w:widowControl w:val="0"/>
        <w:kinsoku/>
        <w:wordWrap/>
        <w:overflowPunct/>
        <w:topLinePunct w:val="0"/>
        <w:autoSpaceDE/>
        <w:autoSpaceDN/>
        <w:bidi w:val="0"/>
        <w:spacing w:line="360" w:lineRule="auto"/>
        <w:ind w:left="0" w:firstLine="420" w:firstLineChars="200"/>
        <w:jc w:val="both"/>
        <w:textAlignment w:val="auto"/>
        <w:rPr>
          <w:rFonts w:hint="eastAsia" w:ascii="宋体" w:hAnsi="宋体" w:eastAsia="宋体" w:cs="宋体"/>
          <w:b w:val="0"/>
          <w:bCs/>
          <w:color w:val="auto"/>
          <w:spacing w:val="0"/>
          <w:kern w:val="2"/>
          <w:sz w:val="21"/>
          <w:szCs w:val="21"/>
          <w:highlight w:val="none"/>
          <w:lang w:val="en-US" w:eastAsia="zh-CN" w:bidi="ar-SA"/>
        </w:rPr>
      </w:pPr>
      <w:r>
        <w:rPr>
          <w:rFonts w:hint="eastAsia" w:ascii="宋体" w:hAnsi="宋体" w:eastAsia="宋体" w:cs="宋体"/>
          <w:b w:val="0"/>
          <w:bCs/>
          <w:color w:val="auto"/>
          <w:spacing w:val="0"/>
          <w:kern w:val="2"/>
          <w:sz w:val="21"/>
          <w:szCs w:val="21"/>
          <w:highlight w:val="none"/>
          <w:lang w:val="en-US" w:eastAsia="zh-CN" w:bidi="ar-SA"/>
        </w:rPr>
        <w:t>不满足最低进档要求不得分。</w:t>
      </w:r>
    </w:p>
    <w:p w14:paraId="3D5CD608">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一档（3分）：有应急保障措施，但方案内容不够全面，仅提及少数几种突发情况的处理思路。应急处置流程、措施不够具体，缺乏可操作性。</w:t>
      </w:r>
    </w:p>
    <w:p w14:paraId="77FC0ADC">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二档（6分）：方案内容包含基本的安全生产操作规程，应急抢险预案、安全生产事故处理预案。对常见突发情况（如火灾、停电、停水等）有基本的应急处置流程和措施，内容较为完整。</w:t>
      </w:r>
    </w:p>
    <w:p w14:paraId="48E9194F">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三档（9分）：在满足二档的基础上，方案能够针对医院项目具体情况，细化应急风险及事项，如医疗纠纷、感染暴发、医废泄露等医院特有突发事件的应急预案。应急处置流程清晰、措施具体，考虑问题较为周全。有应急设施设备及人员配置说明，有应急相关培训及演练安排。</w:t>
      </w:r>
    </w:p>
    <w:p w14:paraId="03E22867">
      <w:pPr>
        <w:keepNext w:val="0"/>
        <w:keepLines w:val="0"/>
        <w:pageBreakBefore w:val="0"/>
        <w:kinsoku/>
        <w:wordWrap/>
        <w:overflowPunct/>
        <w:topLinePunct w:val="0"/>
        <w:autoSpaceDE/>
        <w:autoSpaceDN/>
        <w:bidi w:val="0"/>
        <w:adjustRightInd w:val="0"/>
        <w:spacing w:line="360" w:lineRule="auto"/>
        <w:ind w:left="0" w:firstLine="420" w:firstLineChars="200"/>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四档（12分）：在满足三档的基础上，能够结合医院不同区域、不同场景做出有针对性的应对措施，如手术室停电、ICU火灾等特殊情况的专项预案。应急预案全面覆盖各类可能发生的突发事件，处置流程科学合理、可操作性强。应急组织架构健全，职责明确，应急物资储备充足，培训和演练计划系统完善，完全满足本项目的服务需求。</w:t>
      </w:r>
    </w:p>
    <w:bookmarkEnd w:id="37"/>
    <w:p w14:paraId="1D4F50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spacing w:val="0"/>
          <w:kern w:val="4"/>
          <w:sz w:val="21"/>
          <w:szCs w:val="21"/>
          <w:highlight w:val="none"/>
          <w:lang w:val="en-US" w:eastAsia="zh-CN"/>
        </w:rPr>
      </w:pPr>
    </w:p>
    <w:p w14:paraId="03AC23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pacing w:val="0"/>
          <w:kern w:val="4"/>
          <w:sz w:val="21"/>
          <w:szCs w:val="21"/>
          <w:highlight w:val="none"/>
          <w:lang w:val="en-US" w:eastAsia="zh-CN" w:bidi="ar-SA"/>
        </w:rPr>
      </w:pPr>
      <w:r>
        <w:rPr>
          <w:rFonts w:hint="eastAsia" w:ascii="宋体" w:hAnsi="宋体" w:eastAsia="宋体" w:cs="宋体"/>
          <w:b/>
          <w:bCs/>
          <w:spacing w:val="0"/>
          <w:kern w:val="4"/>
          <w:sz w:val="21"/>
          <w:szCs w:val="21"/>
          <w:highlight w:val="none"/>
          <w:lang w:val="en-US" w:eastAsia="zh-CN"/>
        </w:rPr>
        <w:t>3.商务分</w:t>
      </w:r>
      <w:r>
        <w:rPr>
          <w:rFonts w:hint="eastAsia" w:ascii="宋体" w:hAnsi="宋体" w:eastAsia="宋体" w:cs="宋体"/>
          <w:b/>
          <w:bCs/>
          <w:color w:val="auto"/>
          <w:spacing w:val="0"/>
          <w:kern w:val="4"/>
          <w:sz w:val="21"/>
          <w:szCs w:val="21"/>
          <w:highlight w:val="none"/>
          <w:lang w:val="en-US" w:eastAsia="zh-CN" w:bidi="ar-SA"/>
        </w:rPr>
        <w:t>……………………………………………………………………………14分</w:t>
      </w:r>
    </w:p>
    <w:p w14:paraId="2B074306">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b/>
          <w:bCs/>
          <w:color w:val="auto"/>
          <w:spacing w:val="0"/>
          <w:kern w:val="2"/>
          <w:sz w:val="21"/>
          <w:szCs w:val="21"/>
          <w:highlight w:val="none"/>
          <w:lang w:val="en-US" w:eastAsia="zh-CN" w:bidi="ar-SA"/>
        </w:rPr>
        <w:t>3.1履约能力分（满分12分）</w:t>
      </w:r>
    </w:p>
    <w:p w14:paraId="40D28FC0">
      <w:pPr>
        <w:keepNext w:val="0"/>
        <w:keepLines w:val="0"/>
        <w:pageBreakBefore w:val="0"/>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w:t>
      </w:r>
      <w:r>
        <w:rPr>
          <w:rFonts w:hint="eastAsia" w:ascii="宋体" w:hAnsi="宋体" w:eastAsia="宋体" w:cs="宋体"/>
          <w:b/>
          <w:bCs/>
          <w:spacing w:val="0"/>
          <w:sz w:val="21"/>
          <w:szCs w:val="21"/>
          <w:highlight w:val="none"/>
        </w:rPr>
        <w:t>拟配备的项目经理满足以下条件可得相应分值</w:t>
      </w:r>
      <w:r>
        <w:rPr>
          <w:rFonts w:hint="eastAsia" w:ascii="宋体" w:hAnsi="宋体" w:eastAsia="宋体" w:cs="宋体"/>
          <w:b/>
          <w:bCs/>
          <w:color w:val="auto"/>
          <w:spacing w:val="0"/>
          <w:sz w:val="21"/>
          <w:szCs w:val="21"/>
          <w:highlight w:val="none"/>
        </w:rPr>
        <w:t>（满分</w:t>
      </w:r>
      <w:r>
        <w:rPr>
          <w:rFonts w:hint="eastAsia" w:ascii="宋体" w:hAnsi="宋体" w:eastAsia="宋体" w:cs="宋体"/>
          <w:b/>
          <w:bCs/>
          <w:color w:val="auto"/>
          <w:spacing w:val="0"/>
          <w:sz w:val="21"/>
          <w:szCs w:val="21"/>
          <w:highlight w:val="none"/>
          <w:lang w:val="en-US" w:eastAsia="zh-CN"/>
        </w:rPr>
        <w:t>5</w:t>
      </w:r>
      <w:r>
        <w:rPr>
          <w:rFonts w:hint="eastAsia" w:ascii="宋体" w:hAnsi="宋体" w:eastAsia="宋体" w:cs="宋体"/>
          <w:b/>
          <w:bCs/>
          <w:color w:val="auto"/>
          <w:spacing w:val="0"/>
          <w:sz w:val="21"/>
          <w:szCs w:val="21"/>
          <w:highlight w:val="none"/>
        </w:rPr>
        <w:t>分）：</w:t>
      </w:r>
    </w:p>
    <w:p w14:paraId="7F916836">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①大专或以上学历证书，得1分；</w:t>
      </w:r>
    </w:p>
    <w:p w14:paraId="08211709">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②医院物业项目管理经验：2年及以上得2分，1年及以上不满2年得1分，不满1年得0.5分（提供服务单位开具的证明资料）；</w:t>
      </w:r>
    </w:p>
    <w:p w14:paraId="6B62CE9F">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③具有以下职业资格证书或职称证书之一的：物业管理相关职称证书、消防设施操作员证、企业人力资源管理师、安全员证，每有1项得1分，本项最高可得2分。</w:t>
      </w:r>
    </w:p>
    <w:p w14:paraId="1525E8B3">
      <w:pPr>
        <w:keepNext w:val="0"/>
        <w:keepLines w:val="0"/>
        <w:pageBreakBefore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以上各项可累加，满分5分。</w:t>
      </w:r>
    </w:p>
    <w:p w14:paraId="704071D3">
      <w:pPr>
        <w:keepNext w:val="0"/>
        <w:keepLines w:val="0"/>
        <w:pageBreakBefore w:val="0"/>
        <w:numPr>
          <w:ilvl w:val="0"/>
          <w:numId w:val="0"/>
        </w:numPr>
        <w:kinsoku/>
        <w:wordWrap/>
        <w:overflowPunct/>
        <w:topLinePunct w:val="0"/>
        <w:autoSpaceDE/>
        <w:autoSpaceDN/>
        <w:bidi w:val="0"/>
        <w:adjustRightInd/>
        <w:snapToGrid/>
        <w:spacing w:line="360" w:lineRule="auto"/>
        <w:ind w:left="0" w:firstLine="422" w:firstLineChars="20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(2)</w:t>
      </w:r>
      <w:r>
        <w:rPr>
          <w:rFonts w:hint="eastAsia" w:ascii="宋体" w:hAnsi="宋体" w:eastAsia="宋体" w:cs="宋体"/>
          <w:b/>
          <w:bCs/>
          <w:spacing w:val="0"/>
          <w:sz w:val="21"/>
          <w:szCs w:val="21"/>
          <w:highlight w:val="none"/>
        </w:rPr>
        <w:t>拟配备的</w:t>
      </w:r>
      <w:r>
        <w:rPr>
          <w:rFonts w:hint="eastAsia" w:ascii="宋体" w:hAnsi="宋体" w:eastAsia="宋体" w:cs="宋体"/>
          <w:b/>
          <w:bCs/>
          <w:color w:val="auto"/>
          <w:spacing w:val="0"/>
          <w:sz w:val="21"/>
          <w:szCs w:val="21"/>
          <w:highlight w:val="none"/>
        </w:rPr>
        <w:t>项目</w:t>
      </w:r>
      <w:r>
        <w:rPr>
          <w:rFonts w:hint="eastAsia" w:ascii="宋体" w:hAnsi="宋体" w:eastAsia="宋体" w:cs="宋体"/>
          <w:b/>
          <w:bCs/>
          <w:color w:val="auto"/>
          <w:spacing w:val="0"/>
          <w:sz w:val="21"/>
          <w:szCs w:val="21"/>
          <w:highlight w:val="none"/>
          <w:lang w:val="en-US" w:eastAsia="zh-CN"/>
        </w:rPr>
        <w:t>主管人员</w:t>
      </w:r>
      <w:r>
        <w:rPr>
          <w:rFonts w:hint="eastAsia" w:ascii="宋体" w:hAnsi="宋体" w:eastAsia="宋体" w:cs="宋体"/>
          <w:b/>
          <w:bCs/>
          <w:color w:val="auto"/>
          <w:spacing w:val="0"/>
          <w:sz w:val="21"/>
          <w:szCs w:val="21"/>
          <w:highlight w:val="none"/>
        </w:rPr>
        <w:t>具有（满分</w:t>
      </w:r>
      <w:r>
        <w:rPr>
          <w:rFonts w:hint="eastAsia" w:ascii="宋体" w:hAnsi="宋体" w:eastAsia="宋体" w:cs="宋体"/>
          <w:b/>
          <w:bCs/>
          <w:color w:val="auto"/>
          <w:spacing w:val="0"/>
          <w:sz w:val="21"/>
          <w:szCs w:val="21"/>
          <w:highlight w:val="none"/>
          <w:lang w:val="en-US" w:eastAsia="zh-CN"/>
        </w:rPr>
        <w:t>4</w:t>
      </w:r>
      <w:r>
        <w:rPr>
          <w:rFonts w:hint="eastAsia" w:ascii="宋体" w:hAnsi="宋体" w:eastAsia="宋体" w:cs="宋体"/>
          <w:b/>
          <w:bCs/>
          <w:color w:val="auto"/>
          <w:spacing w:val="0"/>
          <w:sz w:val="21"/>
          <w:szCs w:val="21"/>
          <w:highlight w:val="none"/>
        </w:rPr>
        <w:t>分）：</w:t>
      </w:r>
    </w:p>
    <w:p w14:paraId="0E045AA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①中专或以上学历证书，得1分；</w:t>
      </w:r>
    </w:p>
    <w:p w14:paraId="49ECF07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②医院物业项目管理经验：2年及以上得2分，1年及以上不满2年得1分，不满1年得0.5分；</w:t>
      </w:r>
    </w:p>
    <w:p w14:paraId="2A58051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③具有消防设施操作员证，得1分。</w:t>
      </w:r>
    </w:p>
    <w:p w14:paraId="659460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color w:val="auto"/>
          <w:spacing w:val="0"/>
          <w:sz w:val="21"/>
          <w:szCs w:val="21"/>
          <w:highlight w:val="none"/>
        </w:rPr>
      </w:pPr>
      <w:r>
        <w:rPr>
          <w:rFonts w:hint="eastAsia" w:ascii="宋体" w:hAnsi="宋体" w:eastAsia="宋体" w:cs="宋体"/>
          <w:b w:val="0"/>
          <w:bCs w:val="0"/>
          <w:color w:val="auto"/>
          <w:spacing w:val="0"/>
          <w:sz w:val="21"/>
          <w:szCs w:val="21"/>
          <w:highlight w:val="none"/>
        </w:rPr>
        <w:t>以上各项可累加，满分4分。</w:t>
      </w:r>
    </w:p>
    <w:p w14:paraId="4F4787CA">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b/>
          <w:bCs/>
          <w:spacing w:val="0"/>
          <w:sz w:val="21"/>
          <w:szCs w:val="21"/>
          <w:highlight w:val="none"/>
          <w:lang w:val="en-US" w:eastAsia="zh-CN"/>
        </w:rPr>
        <w:t>(3)</w:t>
      </w:r>
      <w:r>
        <w:rPr>
          <w:rFonts w:hint="eastAsia" w:ascii="宋体" w:hAnsi="宋体" w:eastAsia="宋体" w:cs="宋体"/>
          <w:b/>
          <w:bCs/>
          <w:spacing w:val="0"/>
          <w:sz w:val="21"/>
          <w:szCs w:val="21"/>
          <w:highlight w:val="none"/>
        </w:rPr>
        <w:t>拟配备的</w:t>
      </w:r>
      <w:r>
        <w:rPr>
          <w:rFonts w:hint="eastAsia" w:ascii="宋体" w:hAnsi="宋体" w:eastAsia="宋体" w:cs="宋体"/>
          <w:b/>
          <w:bCs/>
          <w:color w:val="auto"/>
          <w:spacing w:val="0"/>
          <w:sz w:val="21"/>
          <w:szCs w:val="21"/>
          <w:highlight w:val="none"/>
        </w:rPr>
        <w:t>项目其他员工具有（满分</w:t>
      </w:r>
      <w:r>
        <w:rPr>
          <w:rFonts w:hint="eastAsia" w:ascii="宋体" w:hAnsi="宋体" w:eastAsia="宋体" w:cs="宋体"/>
          <w:b/>
          <w:bCs/>
          <w:color w:val="auto"/>
          <w:spacing w:val="0"/>
          <w:sz w:val="21"/>
          <w:szCs w:val="21"/>
          <w:highlight w:val="none"/>
          <w:lang w:val="en-US" w:eastAsia="zh-CN"/>
        </w:rPr>
        <w:t>3</w:t>
      </w:r>
      <w:r>
        <w:rPr>
          <w:rFonts w:hint="eastAsia" w:ascii="宋体" w:hAnsi="宋体" w:eastAsia="宋体" w:cs="宋体"/>
          <w:b/>
          <w:bCs/>
          <w:color w:val="auto"/>
          <w:spacing w:val="0"/>
          <w:sz w:val="21"/>
          <w:szCs w:val="21"/>
          <w:highlight w:val="none"/>
        </w:rPr>
        <w:t>分）</w:t>
      </w:r>
      <w:r>
        <w:rPr>
          <w:rFonts w:hint="eastAsia" w:ascii="宋体" w:hAnsi="宋体" w:eastAsia="宋体" w:cs="宋体"/>
          <w:color w:val="auto"/>
          <w:spacing w:val="0"/>
          <w:sz w:val="21"/>
          <w:szCs w:val="21"/>
          <w:highlight w:val="none"/>
        </w:rPr>
        <w:t>：</w:t>
      </w:r>
    </w:p>
    <w:p w14:paraId="20A376B1">
      <w:pPr>
        <w:keepNext w:val="0"/>
        <w:keepLines w:val="0"/>
        <w:pageBreakBefore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①拟投入的保安人员具有保安员上岗证的，每有1人得0.2分，本小项最高可得1分。</w:t>
      </w:r>
    </w:p>
    <w:p w14:paraId="38112578">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②拟投入的员工队伍中持有消防设施操作员证的，每人得0.5分，本小项最高可得2分。</w:t>
      </w:r>
    </w:p>
    <w:p w14:paraId="2DEA3ABD">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highlight w:val="none"/>
          <w:lang w:val="en-US" w:eastAsia="zh-CN"/>
        </w:rPr>
      </w:pPr>
      <w:r>
        <w:rPr>
          <w:rFonts w:hint="eastAsia" w:ascii="宋体" w:hAnsi="宋体" w:eastAsia="宋体" w:cs="宋体"/>
          <w:b/>
          <w:color w:val="auto"/>
          <w:spacing w:val="0"/>
          <w:kern w:val="2"/>
          <w:sz w:val="21"/>
          <w:szCs w:val="21"/>
          <w:highlight w:val="none"/>
          <w:lang w:val="en-US" w:eastAsia="zh-CN" w:bidi="ar-SA"/>
        </w:rPr>
        <w:t>备注：</w:t>
      </w:r>
    </w:p>
    <w:p w14:paraId="073C65C0">
      <w:pPr>
        <w:pStyle w:val="2"/>
        <w:rPr>
          <w:rFonts w:hint="eastAsia"/>
          <w:highlight w:val="none"/>
          <w:lang w:val="en-US" w:eastAsia="zh-CN"/>
        </w:rPr>
      </w:pPr>
      <w:r>
        <w:rPr>
          <w:rFonts w:hint="eastAsia"/>
          <w:highlight w:val="none"/>
          <w:lang w:val="en-US" w:eastAsia="zh-CN"/>
        </w:rPr>
        <w:t>1.磋商供应商须按本项目需求提供人员投入情况总表、物资配置情况表，同时提供《拟投入本项目的管理人员及持证上岗人员一览表》。</w:t>
      </w:r>
    </w:p>
    <w:p w14:paraId="168DD795">
      <w:pPr>
        <w:pStyle w:val="2"/>
        <w:rPr>
          <w:rFonts w:hint="eastAsia"/>
          <w:highlight w:val="none"/>
          <w:lang w:val="en-US" w:eastAsia="zh-CN"/>
        </w:rPr>
      </w:pPr>
      <w:r>
        <w:rPr>
          <w:rFonts w:hint="eastAsia"/>
          <w:highlight w:val="none"/>
          <w:lang w:val="en-US" w:eastAsia="zh-CN"/>
        </w:rPr>
        <w:t>2.</w:t>
      </w:r>
      <w:r>
        <w:rPr>
          <w:rFonts w:hint="eastAsia" w:ascii="宋体" w:hAnsi="宋体" w:cs="宋体"/>
          <w:color w:val="auto"/>
          <w:szCs w:val="21"/>
          <w:highlight w:val="none"/>
        </w:rPr>
        <w:t>磋商供应商</w:t>
      </w:r>
      <w:r>
        <w:rPr>
          <w:rFonts w:hint="eastAsia"/>
          <w:highlight w:val="none"/>
          <w:lang w:val="en-US" w:eastAsia="zh-CN"/>
        </w:rPr>
        <w:t>拟投入的以上岗位（项目经理、主管等）须提供身份证和相关证明文件的扫描件。</w:t>
      </w:r>
    </w:p>
    <w:p w14:paraId="4467FBE9">
      <w:pPr>
        <w:pStyle w:val="2"/>
        <w:rPr>
          <w:rFonts w:hint="eastAsia"/>
          <w:highlight w:val="none"/>
          <w:lang w:val="en-US" w:eastAsia="zh-CN"/>
        </w:rPr>
      </w:pPr>
      <w:r>
        <w:rPr>
          <w:rFonts w:hint="eastAsia"/>
          <w:highlight w:val="none"/>
          <w:lang w:val="en-US" w:eastAsia="zh-CN"/>
        </w:rPr>
        <w:t>3.涉及人员劳动关系的证明材料，供应商可提供资格承诺函（格式自拟），承诺成交后签订合同前提供相关人员劳动合同备查，无需在磋商阶段提供劳动合同复印件。</w:t>
      </w:r>
    </w:p>
    <w:p w14:paraId="4822BD8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both"/>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3.2业绩分（满分2分）</w:t>
      </w:r>
    </w:p>
    <w:p w14:paraId="05A67318">
      <w:pPr>
        <w:pStyle w:val="31"/>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rPr>
        <w:t>磋商供应商(自202</w:t>
      </w:r>
      <w:r>
        <w:rPr>
          <w:rFonts w:hint="eastAsia" w:cs="宋体"/>
          <w:spacing w:val="0"/>
          <w:sz w:val="21"/>
          <w:szCs w:val="21"/>
          <w:highlight w:val="none"/>
          <w:lang w:val="en-US" w:eastAsia="zh-CN"/>
        </w:rPr>
        <w:t>2</w:t>
      </w:r>
      <w:r>
        <w:rPr>
          <w:rFonts w:hint="eastAsia" w:ascii="宋体" w:hAnsi="宋体" w:eastAsia="宋体" w:cs="宋体"/>
          <w:spacing w:val="0"/>
          <w:sz w:val="21"/>
          <w:szCs w:val="21"/>
          <w:highlight w:val="none"/>
        </w:rPr>
        <w:t>年1月1日至本项目响应文件递交截止时间止，以签订合同时间为准)承接过类似物业管理服务项目业绩的，每个项目得1分，满分</w:t>
      </w:r>
      <w:r>
        <w:rPr>
          <w:rFonts w:hint="eastAsia" w:ascii="宋体" w:hAnsi="宋体" w:eastAsia="宋体" w:cs="宋体"/>
          <w:spacing w:val="0"/>
          <w:sz w:val="21"/>
          <w:szCs w:val="21"/>
          <w:highlight w:val="none"/>
          <w:lang w:val="en-US" w:eastAsia="zh-CN"/>
        </w:rPr>
        <w:t>2</w:t>
      </w:r>
      <w:r>
        <w:rPr>
          <w:rFonts w:hint="eastAsia" w:ascii="宋体" w:hAnsi="宋体" w:eastAsia="宋体" w:cs="宋体"/>
          <w:spacing w:val="0"/>
          <w:sz w:val="21"/>
          <w:szCs w:val="21"/>
          <w:highlight w:val="none"/>
        </w:rPr>
        <w:t>分。(提供合同复印件或中标通知书。同一项目续约或多次中标不重复计分)</w:t>
      </w:r>
    </w:p>
    <w:p w14:paraId="2B3C5D36">
      <w:pPr>
        <w:autoSpaceDE w:val="0"/>
        <w:autoSpaceDN w:val="0"/>
        <w:adjustRightInd w:val="0"/>
        <w:spacing w:line="360" w:lineRule="auto"/>
        <w:ind w:firstLine="211" w:firstLineChars="100"/>
        <w:rPr>
          <w:rFonts w:hint="eastAsia" w:ascii="宋体" w:hAnsi="宋体" w:eastAsia="宋体" w:cs="宋体"/>
          <w:b/>
          <w:bCs/>
          <w:kern w:val="0"/>
          <w:sz w:val="21"/>
          <w:szCs w:val="21"/>
          <w:highlight w:val="none"/>
          <w:lang w:val="zh-CN"/>
        </w:rPr>
      </w:pPr>
      <w:r>
        <w:rPr>
          <w:rFonts w:hint="eastAsia" w:ascii="宋体" w:hAnsi="宋体" w:eastAsia="宋体" w:cs="宋体"/>
          <w:b/>
          <w:bCs/>
          <w:kern w:val="0"/>
          <w:sz w:val="21"/>
          <w:szCs w:val="21"/>
          <w:highlight w:val="none"/>
          <w:lang w:val="zh-CN"/>
        </w:rPr>
        <w:t>（三）总得分＝1+2+3。</w:t>
      </w:r>
    </w:p>
    <w:p w14:paraId="4856DA69">
      <w:pPr>
        <w:spacing w:line="400" w:lineRule="exact"/>
        <w:ind w:firstLine="422" w:firstLineChars="200"/>
        <w:rPr>
          <w:rFonts w:hint="eastAsia" w:ascii="宋体" w:hAnsi="Courier New" w:cs="Courier New"/>
          <w:b/>
          <w:bCs/>
          <w:color w:val="auto"/>
          <w:szCs w:val="21"/>
          <w:highlight w:val="none"/>
        </w:rPr>
      </w:pPr>
    </w:p>
    <w:p w14:paraId="05CFF52E">
      <w:pPr>
        <w:spacing w:line="400" w:lineRule="exact"/>
        <w:ind w:firstLine="422" w:firstLineChars="200"/>
        <w:rPr>
          <w:rFonts w:ascii="宋体" w:hAnsi="Courier New" w:cs="Courier New"/>
          <w:b/>
          <w:bCs/>
          <w:color w:val="auto"/>
          <w:szCs w:val="21"/>
          <w:highlight w:val="none"/>
        </w:rPr>
      </w:pPr>
      <w:r>
        <w:rPr>
          <w:rFonts w:hint="eastAsia" w:ascii="宋体" w:hAnsi="Courier New" w:cs="Courier New"/>
          <w:b/>
          <w:bCs/>
          <w:color w:val="auto"/>
          <w:szCs w:val="21"/>
          <w:highlight w:val="none"/>
        </w:rPr>
        <w:t>三、</w:t>
      </w:r>
      <w:r>
        <w:rPr>
          <w:rFonts w:hint="default" w:ascii="宋体" w:hAnsi="Courier New" w:cs="Courier New"/>
          <w:b/>
          <w:bCs/>
          <w:color w:val="auto"/>
          <w:szCs w:val="21"/>
          <w:highlight w:val="none"/>
          <w:lang w:val="en"/>
        </w:rPr>
        <w:t>成交</w:t>
      </w:r>
      <w:r>
        <w:rPr>
          <w:rFonts w:hint="eastAsia" w:ascii="宋体" w:hAnsi="Courier New" w:cs="Courier New"/>
          <w:b/>
          <w:bCs/>
          <w:color w:val="auto"/>
          <w:szCs w:val="21"/>
          <w:highlight w:val="none"/>
        </w:rPr>
        <w:t>候选人推荐原则</w:t>
      </w:r>
    </w:p>
    <w:p w14:paraId="1B9BEFA4">
      <w:pPr>
        <w:spacing w:line="400" w:lineRule="exact"/>
        <w:ind w:firstLine="420" w:firstLineChars="200"/>
        <w:outlineLvl w:val="0"/>
        <w:rPr>
          <w:rFonts w:ascii="宋体" w:hAnsi="Courier New" w:cs="Courier New"/>
          <w:color w:val="auto"/>
          <w:szCs w:val="21"/>
          <w:highlight w:val="none"/>
        </w:rPr>
      </w:pPr>
      <w:bookmarkStart w:id="38" w:name="_Toc20631"/>
      <w:r>
        <w:rPr>
          <w:rFonts w:hint="eastAsia" w:ascii="宋体" w:hAnsi="Courier New" w:cs="Courier New"/>
          <w:color w:val="auto"/>
          <w:szCs w:val="21"/>
          <w:highlight w:val="none"/>
        </w:rPr>
        <w:t>（一）</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将根据得分由高到低排列次序（得分相同时，以</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报价由低到高顺序排列；得分相同且</w:t>
      </w:r>
      <w:r>
        <w:rPr>
          <w:rFonts w:hint="eastAsia" w:ascii="宋体" w:hAnsi="Courier New" w:cs="Courier New"/>
          <w:color w:val="auto"/>
          <w:szCs w:val="21"/>
          <w:highlight w:val="none"/>
          <w:lang w:val="en-US" w:eastAsia="zh-CN"/>
        </w:rPr>
        <w:t>供应商</w:t>
      </w:r>
      <w:r>
        <w:rPr>
          <w:rFonts w:hint="eastAsia" w:ascii="宋体" w:hAnsi="Courier New" w:cs="Courier New"/>
          <w:color w:val="auto"/>
          <w:szCs w:val="21"/>
          <w:highlight w:val="none"/>
        </w:rPr>
        <w:t>报价相同的，按技术分的优劣顺序排列）并推荐</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候选供应商。采购人应当确定</w:t>
      </w:r>
      <w:r>
        <w:rPr>
          <w:rFonts w:hint="eastAsia" w:ascii="宋体" w:hAnsi="Courier New" w:cs="Courier New"/>
          <w:color w:val="auto"/>
          <w:szCs w:val="21"/>
          <w:highlight w:val="none"/>
          <w:lang w:eastAsia="zh-CN"/>
        </w:rPr>
        <w:t>磋商小组</w:t>
      </w:r>
      <w:r>
        <w:rPr>
          <w:rFonts w:hint="eastAsia" w:ascii="宋体" w:hAnsi="Courier New" w:cs="Courier New"/>
          <w:color w:val="auto"/>
          <w:szCs w:val="21"/>
          <w:highlight w:val="none"/>
        </w:rPr>
        <w:t>推荐排名第一的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人。排名第一的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候选人放弃</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、因不可抗力提出不能履行合同，或者</w:t>
      </w:r>
      <w:r>
        <w:rPr>
          <w:rFonts w:hint="eastAsia" w:ascii="宋体" w:hAnsi="Courier New" w:cs="Courier New"/>
          <w:color w:val="auto"/>
          <w:szCs w:val="21"/>
          <w:highlight w:val="none"/>
          <w:lang w:eastAsia="zh-CN"/>
        </w:rPr>
        <w:t>磋商</w:t>
      </w:r>
      <w:r>
        <w:rPr>
          <w:rFonts w:hint="eastAsia" w:ascii="宋体" w:hAnsi="Courier New" w:cs="Courier New"/>
          <w:color w:val="auto"/>
          <w:szCs w:val="21"/>
          <w:highlight w:val="none"/>
        </w:rPr>
        <w:t>文件规定应当提交质量保证金而在规定的期限内未能提交的，采购人可以确定排名第二的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人。排名第二的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候选人因前款规定的同样原因不能签订合同的，采购人可以确定排名第三的</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候选人为</w:t>
      </w:r>
      <w:r>
        <w:rPr>
          <w:rFonts w:hint="default" w:ascii="宋体" w:hAnsi="Courier New" w:cs="Courier New"/>
          <w:color w:val="auto"/>
          <w:szCs w:val="21"/>
          <w:highlight w:val="none"/>
          <w:lang w:val="en"/>
        </w:rPr>
        <w:t>成交</w:t>
      </w:r>
      <w:r>
        <w:rPr>
          <w:rFonts w:hint="eastAsia" w:ascii="宋体" w:hAnsi="Courier New" w:cs="Courier New"/>
          <w:color w:val="auto"/>
          <w:szCs w:val="21"/>
          <w:highlight w:val="none"/>
        </w:rPr>
        <w:t>人，其余以此类推。</w:t>
      </w:r>
      <w:bookmarkEnd w:id="38"/>
    </w:p>
    <w:p w14:paraId="0440E46C">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（二）下列情形之一的，评审委员会应当启动异常低价投标（响应）审查程序： </w:t>
      </w:r>
    </w:p>
    <w:p w14:paraId="77677EF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1.投标（响应）报价低于全部通过符合性审查供应商投标（响应）报价平均值50%的，即投标（响应）报价&lt;全部通过符合性审查供应商投标（响应）报价平均值×50%； </w:t>
      </w:r>
    </w:p>
    <w:p w14:paraId="66CD2864">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2.投标（响应）报价低于通过符合性审查的次低报价供应商投标（响应）报价50%的，即投标（响应）报价&lt;通过符合性审查的次低报价供应商投标（响应）报价×50%； </w:t>
      </w:r>
    </w:p>
    <w:p w14:paraId="1D60C883">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3.投标（响应）报价低于采购项目最高限价45%的，即投标（响应）报价&lt;采购项目最高限价×45%； </w:t>
      </w:r>
    </w:p>
    <w:p w14:paraId="2E012C51">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　　4.评审委员会基于专业判断，认为供应商报价过低，有可能影响产品质量或者不能诚信履约的其他情形。  </w:t>
      </w:r>
    </w:p>
    <w:p w14:paraId="1A0309D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w:t>
      </w:r>
      <w:r>
        <w:rPr>
          <w:rFonts w:hint="eastAsia" w:ascii="宋体" w:hAnsi="宋体" w:cs="Courier New"/>
          <w:b/>
          <w:bCs/>
          <w:color w:val="auto"/>
          <w:kern w:val="1"/>
          <w:szCs w:val="20"/>
          <w:highlight w:val="none"/>
          <w:lang w:eastAsia="zh-CN"/>
        </w:rPr>
        <w:t>三</w:t>
      </w:r>
      <w:r>
        <w:rPr>
          <w:rFonts w:hint="eastAsia" w:ascii="宋体" w:hAnsi="宋体" w:cs="Courier New"/>
          <w:b/>
          <w:bCs/>
          <w:color w:val="auto"/>
          <w:kern w:val="1"/>
          <w:szCs w:val="20"/>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8624A8D">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145B470">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39C650B">
      <w:pPr>
        <w:autoSpaceDE w:val="0"/>
        <w:autoSpaceDN w:val="0"/>
        <w:adjustRightInd w:val="0"/>
        <w:snapToGrid w:val="0"/>
        <w:spacing w:line="400" w:lineRule="exact"/>
        <w:ind w:firstLine="316" w:firstLineChars="150"/>
        <w:rPr>
          <w:rFonts w:hint="eastAsia" w:ascii="宋体" w:hAnsi="宋体" w:cs="Courier New"/>
          <w:b/>
          <w:bCs/>
          <w:color w:val="auto"/>
          <w:kern w:val="1"/>
          <w:szCs w:val="20"/>
          <w:highlight w:val="none"/>
        </w:rPr>
      </w:pPr>
      <w:r>
        <w:rPr>
          <w:rFonts w:hint="eastAsia" w:ascii="宋体" w:hAnsi="宋体" w:cs="Courier New"/>
          <w:b/>
          <w:bCs/>
          <w:color w:val="auto"/>
          <w:kern w:val="1"/>
          <w:szCs w:val="20"/>
          <w:highlight w:val="none"/>
        </w:rPr>
        <w:t xml:space="preserve">异常低价投标（响应）审查的启动原因、审查意见和审查结果应当在评审报告中记录，并随供应商提供的相关书面说明及证明材料，以及评审委员会有关互联网浏览、查询历史一并归档。 </w:t>
      </w:r>
    </w:p>
    <w:p w14:paraId="57F9902B">
      <w:pPr>
        <w:autoSpaceDE w:val="0"/>
        <w:autoSpaceDN w:val="0"/>
        <w:adjustRightInd w:val="0"/>
        <w:snapToGrid w:val="0"/>
        <w:spacing w:line="400" w:lineRule="exact"/>
        <w:ind w:firstLine="316" w:firstLineChars="150"/>
        <w:rPr>
          <w:b/>
          <w:bCs/>
          <w:color w:val="auto"/>
          <w:highlight w:val="none"/>
        </w:rPr>
      </w:pPr>
      <w:r>
        <w:rPr>
          <w:rFonts w:hint="eastAsia" w:ascii="宋体" w:hAnsi="宋体" w:cs="Courier New"/>
          <w:b/>
          <w:bCs/>
          <w:color w:val="auto"/>
          <w:kern w:val="1"/>
          <w:szCs w:val="20"/>
          <w:highlight w:val="none"/>
          <w:lang w:val="en-US" w:eastAsia="zh-CN"/>
        </w:rPr>
        <w:t>（四）</w:t>
      </w:r>
      <w:r>
        <w:rPr>
          <w:rFonts w:hint="eastAsia" w:ascii="宋体" w:hAnsi="宋体" w:cs="Courier New"/>
          <w:b/>
          <w:bCs/>
          <w:color w:val="auto"/>
          <w:kern w:val="1"/>
          <w:szCs w:val="20"/>
          <w:highlight w:val="none"/>
        </w:rPr>
        <w:t>评审委员会启动异常低价投标（响应）审查后，</w:t>
      </w:r>
      <w:r>
        <w:rPr>
          <w:rFonts w:hint="eastAsia" w:ascii="宋体" w:hAnsi="宋体" w:cs="Courier New"/>
          <w:b/>
          <w:bCs/>
          <w:color w:val="auto"/>
          <w:kern w:val="1"/>
          <w:szCs w:val="20"/>
          <w:highlight w:val="none"/>
          <w:lang w:val="en-US" w:eastAsia="zh-CN"/>
        </w:rPr>
        <w:t>供应商</w:t>
      </w:r>
      <w:r>
        <w:rPr>
          <w:rFonts w:hint="eastAsia" w:ascii="宋体" w:hAnsi="宋体" w:cs="Courier New"/>
          <w:b/>
          <w:bCs/>
          <w:color w:val="auto"/>
          <w:kern w:val="1"/>
          <w:szCs w:val="20"/>
          <w:highlight w:val="none"/>
        </w:rPr>
        <w:t>不能证明其报价合理性的，</w:t>
      </w:r>
      <w:r>
        <w:rPr>
          <w:rFonts w:hint="eastAsia" w:ascii="宋体" w:hAnsi="宋体" w:cs="Courier New"/>
          <w:b/>
          <w:bCs/>
          <w:color w:val="auto"/>
          <w:kern w:val="1"/>
          <w:szCs w:val="20"/>
          <w:highlight w:val="none"/>
          <w:lang w:eastAsia="zh-CN"/>
        </w:rPr>
        <w:t>磋商小组</w:t>
      </w:r>
      <w:r>
        <w:rPr>
          <w:rFonts w:hint="eastAsia" w:ascii="宋体" w:hAnsi="宋体" w:cs="Courier New"/>
          <w:b/>
          <w:bCs/>
          <w:color w:val="auto"/>
          <w:kern w:val="1"/>
          <w:szCs w:val="20"/>
          <w:highlight w:val="none"/>
        </w:rPr>
        <w:t>应当将其作为无效响应处理。</w:t>
      </w:r>
    </w:p>
    <w:p w14:paraId="21F697C4">
      <w:pPr>
        <w:autoSpaceDE w:val="0"/>
        <w:autoSpaceDN w:val="0"/>
        <w:adjustRightInd w:val="0"/>
        <w:snapToGrid w:val="0"/>
        <w:spacing w:line="400" w:lineRule="exact"/>
        <w:ind w:firstLine="315" w:firstLineChars="150"/>
        <w:rPr>
          <w:color w:val="auto"/>
          <w:highlight w:val="none"/>
        </w:rPr>
      </w:pPr>
    </w:p>
    <w:p w14:paraId="40CF0B03">
      <w:pPr>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CB93490-01AC-4A15-88D6-4FF45BABB07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7216D0-16BD-4C70-BE43-9DF472641FFE}"/>
  </w:font>
  <w:font w:name="Courier New">
    <w:panose1 w:val="02070309020205020404"/>
    <w:charset w:val="01"/>
    <w:family w:val="modern"/>
    <w:pitch w:val="default"/>
    <w:sig w:usb0="E0002AFF" w:usb1="C0007843" w:usb2="00000009" w:usb3="00000000" w:csb0="400001FF" w:csb1="FFFF0000"/>
    <w:embedRegular r:id="rId3" w:fontKey="{E4869123-7170-4BBF-9F1E-E4285D585F3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806DB64-E14C-40BD-9EB1-DB588CDE0316}"/>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F164C0A8-54A3-41E0-B9E5-5C750B67679F}"/>
  </w:font>
  <w:font w:name="微软雅黑">
    <w:panose1 w:val="020B0503020204020204"/>
    <w:charset w:val="86"/>
    <w:family w:val="auto"/>
    <w:pitch w:val="default"/>
    <w:sig w:usb0="80000287" w:usb1="280F3C52" w:usb2="00000016" w:usb3="00000000" w:csb0="0004001F" w:csb1="00000000"/>
    <w:embedRegular r:id="rId6" w:fontKey="{19F65F03-763D-47D4-94D6-257E411AC25C}"/>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7" w:fontKey="{B0DDA2E3-902C-4064-971D-A00169408726}"/>
  </w:font>
  <w:font w:name="华文仿宋">
    <w:panose1 w:val="02010600040101010101"/>
    <w:charset w:val="86"/>
    <w:family w:val="auto"/>
    <w:pitch w:val="default"/>
    <w:sig w:usb0="00000287" w:usb1="080F0000" w:usb2="00000000" w:usb3="00000000" w:csb0="0004009F" w:csb1="DFD70000"/>
    <w:embedRegular r:id="rId8" w:fontKey="{9A106346-08CD-4E16-A5FE-062A5D507F84}"/>
  </w:font>
  <w:font w:name="方正小标宋_GBK">
    <w:panose1 w:val="02000000000000000000"/>
    <w:charset w:val="86"/>
    <w:family w:val="script"/>
    <w:pitch w:val="default"/>
    <w:sig w:usb0="A00002BF" w:usb1="38CF7CFA" w:usb2="00082016" w:usb3="00000000" w:csb0="00040001" w:csb1="00000000"/>
    <w:embedRegular r:id="rId9" w:fontKey="{C4CB7CAF-7CA4-4629-96E4-C0D0F944FDE9}"/>
  </w:font>
  <w:font w:name="Arial Unicode MS">
    <w:panose1 w:val="020B0604020202020204"/>
    <w:charset w:val="86"/>
    <w:family w:val="swiss"/>
    <w:pitch w:val="default"/>
    <w:sig w:usb0="FFFFFFFF" w:usb1="E9FFFFFF" w:usb2="0000003F" w:usb3="00000000" w:csb0="603F01FF" w:csb1="FFFF0000"/>
    <w:embedRegular r:id="rId10" w:fontKey="{1FF4EE71-2088-4F59-9B08-95D93A810AF4}"/>
  </w:font>
  <w:font w:name="WPSEMBED1">
    <w:panose1 w:val="02010600040101010101"/>
    <w:charset w:val="86"/>
    <w:family w:val="auto"/>
    <w:pitch w:val="default"/>
    <w:sig w:usb0="00000287" w:usb1="080F0000" w:usb2="00000000" w:usb3="00000000" w:csb0="0004009F" w:csb1="DFD7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3"/>
      <w:pBdr>
        <w:bottom w:val="single" w:color="auto" w:sz="4" w:space="1"/>
      </w:pBdr>
      <w:jc w:val="center"/>
      <w:rPr>
        <w:rFonts w:hint="eastAsia" w:eastAsiaTheme="minorEastAsia"/>
        <w:lang w:eastAsia="zh-CN"/>
      </w:rPr>
    </w:pPr>
    <w:r>
      <w:rPr>
        <w:rFonts w:hint="eastAsia" w:asciiTheme="minorEastAsia" w:hAnsiTheme="minorEastAsia" w:cstheme="minorEastAsia"/>
        <w:lang w:eastAsia="zh-CN"/>
      </w:rPr>
      <w:t>凭祥市人民医院物业管理服务采购项目（CZZC2026-C3-810006-CZSZ）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3D24A0FA"/>
    <w:multiLevelType w:val="singleLevel"/>
    <w:tmpl w:val="3D24A0FA"/>
    <w:lvl w:ilvl="0" w:tentative="0">
      <w:start w:val="1"/>
      <w:numFmt w:val="decimal"/>
      <w:lvlText w:val="%1."/>
      <w:lvlJc w:val="left"/>
      <w:pPr>
        <w:tabs>
          <w:tab w:val="left" w:pos="312"/>
        </w:tabs>
      </w:p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26400C"/>
    <w:rsid w:val="0066795B"/>
    <w:rsid w:val="00C50142"/>
    <w:rsid w:val="00CD68AB"/>
    <w:rsid w:val="00EA233A"/>
    <w:rsid w:val="01071C8D"/>
    <w:rsid w:val="01105490"/>
    <w:rsid w:val="012927B0"/>
    <w:rsid w:val="024164DA"/>
    <w:rsid w:val="02785724"/>
    <w:rsid w:val="02AE2909"/>
    <w:rsid w:val="03497A81"/>
    <w:rsid w:val="03600692"/>
    <w:rsid w:val="037D1CD0"/>
    <w:rsid w:val="039F6B6F"/>
    <w:rsid w:val="03B66504"/>
    <w:rsid w:val="03B95FF4"/>
    <w:rsid w:val="03E1441F"/>
    <w:rsid w:val="04091482"/>
    <w:rsid w:val="04407967"/>
    <w:rsid w:val="0479743D"/>
    <w:rsid w:val="04F419D9"/>
    <w:rsid w:val="053A3164"/>
    <w:rsid w:val="05DD1BF7"/>
    <w:rsid w:val="06532730"/>
    <w:rsid w:val="06BC2051"/>
    <w:rsid w:val="06CC4290"/>
    <w:rsid w:val="06E508BE"/>
    <w:rsid w:val="06F97A39"/>
    <w:rsid w:val="0721282E"/>
    <w:rsid w:val="072262F7"/>
    <w:rsid w:val="0728596A"/>
    <w:rsid w:val="074A4DDA"/>
    <w:rsid w:val="078057A6"/>
    <w:rsid w:val="07812C00"/>
    <w:rsid w:val="07A7330F"/>
    <w:rsid w:val="07C1191B"/>
    <w:rsid w:val="083572E7"/>
    <w:rsid w:val="08456F9D"/>
    <w:rsid w:val="0860699A"/>
    <w:rsid w:val="08C07850"/>
    <w:rsid w:val="09164D13"/>
    <w:rsid w:val="09185D37"/>
    <w:rsid w:val="0928110D"/>
    <w:rsid w:val="093F1046"/>
    <w:rsid w:val="09934684"/>
    <w:rsid w:val="099472E7"/>
    <w:rsid w:val="09B434E5"/>
    <w:rsid w:val="0A2E773B"/>
    <w:rsid w:val="0A375EC4"/>
    <w:rsid w:val="0A6D20CC"/>
    <w:rsid w:val="0A720BB8"/>
    <w:rsid w:val="0A7669ED"/>
    <w:rsid w:val="0A830723"/>
    <w:rsid w:val="0A9B28F7"/>
    <w:rsid w:val="0AD81455"/>
    <w:rsid w:val="0B6E1DBA"/>
    <w:rsid w:val="0C3618C3"/>
    <w:rsid w:val="0C6C454B"/>
    <w:rsid w:val="0C7659B1"/>
    <w:rsid w:val="0C8573BB"/>
    <w:rsid w:val="0CBD4DA7"/>
    <w:rsid w:val="0CDB70BD"/>
    <w:rsid w:val="0CF46AD6"/>
    <w:rsid w:val="0D181D64"/>
    <w:rsid w:val="0D4C1C87"/>
    <w:rsid w:val="0D705975"/>
    <w:rsid w:val="0D825D10"/>
    <w:rsid w:val="0D9E0D32"/>
    <w:rsid w:val="0EAC0C2F"/>
    <w:rsid w:val="0EBC4BEA"/>
    <w:rsid w:val="0F45400A"/>
    <w:rsid w:val="100A5921"/>
    <w:rsid w:val="102B2962"/>
    <w:rsid w:val="103C337A"/>
    <w:rsid w:val="107439CE"/>
    <w:rsid w:val="107647A0"/>
    <w:rsid w:val="10B169D0"/>
    <w:rsid w:val="10C81F6C"/>
    <w:rsid w:val="11163000"/>
    <w:rsid w:val="11890118"/>
    <w:rsid w:val="11A66E02"/>
    <w:rsid w:val="11C6025A"/>
    <w:rsid w:val="11F54030"/>
    <w:rsid w:val="12374163"/>
    <w:rsid w:val="124F4F59"/>
    <w:rsid w:val="12706417"/>
    <w:rsid w:val="129C262B"/>
    <w:rsid w:val="12E77EDB"/>
    <w:rsid w:val="12F24EBC"/>
    <w:rsid w:val="12F311C2"/>
    <w:rsid w:val="13117BFA"/>
    <w:rsid w:val="131821D8"/>
    <w:rsid w:val="13B13D62"/>
    <w:rsid w:val="13C7475D"/>
    <w:rsid w:val="13C92283"/>
    <w:rsid w:val="143C4803"/>
    <w:rsid w:val="144278D8"/>
    <w:rsid w:val="14502C02"/>
    <w:rsid w:val="145F6743"/>
    <w:rsid w:val="14643D5A"/>
    <w:rsid w:val="14B51F18"/>
    <w:rsid w:val="14EF5D19"/>
    <w:rsid w:val="150443FD"/>
    <w:rsid w:val="15063063"/>
    <w:rsid w:val="152359C3"/>
    <w:rsid w:val="155913E5"/>
    <w:rsid w:val="15632709"/>
    <w:rsid w:val="15BC36F9"/>
    <w:rsid w:val="15DD5F4E"/>
    <w:rsid w:val="16210154"/>
    <w:rsid w:val="16491459"/>
    <w:rsid w:val="164C707A"/>
    <w:rsid w:val="16B20DAC"/>
    <w:rsid w:val="16F77107"/>
    <w:rsid w:val="1715307F"/>
    <w:rsid w:val="172B0B5F"/>
    <w:rsid w:val="178D35C8"/>
    <w:rsid w:val="17BD20FF"/>
    <w:rsid w:val="17C57205"/>
    <w:rsid w:val="1805346F"/>
    <w:rsid w:val="18194E5B"/>
    <w:rsid w:val="184622E0"/>
    <w:rsid w:val="18E150F5"/>
    <w:rsid w:val="194505FE"/>
    <w:rsid w:val="1A444411"/>
    <w:rsid w:val="1A8637A2"/>
    <w:rsid w:val="1A97092A"/>
    <w:rsid w:val="1AF921B5"/>
    <w:rsid w:val="1B140288"/>
    <w:rsid w:val="1B155DAE"/>
    <w:rsid w:val="1B694D12"/>
    <w:rsid w:val="1BA84E74"/>
    <w:rsid w:val="1BB76E65"/>
    <w:rsid w:val="1C6568C1"/>
    <w:rsid w:val="1CBD494F"/>
    <w:rsid w:val="1CCE6AC3"/>
    <w:rsid w:val="1CDD0B4D"/>
    <w:rsid w:val="1D8B67FB"/>
    <w:rsid w:val="1D930211"/>
    <w:rsid w:val="1DA713F5"/>
    <w:rsid w:val="1DD43CFE"/>
    <w:rsid w:val="1DE12DD7"/>
    <w:rsid w:val="1DF60C8B"/>
    <w:rsid w:val="1E1823CB"/>
    <w:rsid w:val="1E51534F"/>
    <w:rsid w:val="1E9855B8"/>
    <w:rsid w:val="1EA4347B"/>
    <w:rsid w:val="1EE2149A"/>
    <w:rsid w:val="1EE658B3"/>
    <w:rsid w:val="1F07416B"/>
    <w:rsid w:val="1F420031"/>
    <w:rsid w:val="1F52645E"/>
    <w:rsid w:val="1FC05A57"/>
    <w:rsid w:val="1FE02E2E"/>
    <w:rsid w:val="1FE56E60"/>
    <w:rsid w:val="20052895"/>
    <w:rsid w:val="204A64FA"/>
    <w:rsid w:val="20672C08"/>
    <w:rsid w:val="20E73D48"/>
    <w:rsid w:val="20E929A4"/>
    <w:rsid w:val="20FD356C"/>
    <w:rsid w:val="219914E7"/>
    <w:rsid w:val="21CA096B"/>
    <w:rsid w:val="21D4251F"/>
    <w:rsid w:val="21E12E8E"/>
    <w:rsid w:val="21F4671D"/>
    <w:rsid w:val="220646A2"/>
    <w:rsid w:val="22810E2B"/>
    <w:rsid w:val="22A31981"/>
    <w:rsid w:val="22B45EAC"/>
    <w:rsid w:val="22BB37B7"/>
    <w:rsid w:val="22BE4F7D"/>
    <w:rsid w:val="22EC5646"/>
    <w:rsid w:val="230C3F3A"/>
    <w:rsid w:val="232E3EB1"/>
    <w:rsid w:val="23411E36"/>
    <w:rsid w:val="23501FDB"/>
    <w:rsid w:val="23E167E9"/>
    <w:rsid w:val="23EB2FAD"/>
    <w:rsid w:val="24D60DFB"/>
    <w:rsid w:val="25A95DFD"/>
    <w:rsid w:val="25C205B9"/>
    <w:rsid w:val="25CB28DB"/>
    <w:rsid w:val="25D02FFD"/>
    <w:rsid w:val="261976DE"/>
    <w:rsid w:val="262275D1"/>
    <w:rsid w:val="26667E05"/>
    <w:rsid w:val="26FB22FC"/>
    <w:rsid w:val="271B0BF0"/>
    <w:rsid w:val="2734580E"/>
    <w:rsid w:val="27483067"/>
    <w:rsid w:val="27FD2ACF"/>
    <w:rsid w:val="289E3886"/>
    <w:rsid w:val="28A139E0"/>
    <w:rsid w:val="28C0163C"/>
    <w:rsid w:val="28ED2118"/>
    <w:rsid w:val="291D0C4F"/>
    <w:rsid w:val="293D4E4D"/>
    <w:rsid w:val="29673C78"/>
    <w:rsid w:val="298B17E4"/>
    <w:rsid w:val="2A355B25"/>
    <w:rsid w:val="2A58320D"/>
    <w:rsid w:val="2AE83EFB"/>
    <w:rsid w:val="2B496A2D"/>
    <w:rsid w:val="2BA52AAD"/>
    <w:rsid w:val="2BD575BF"/>
    <w:rsid w:val="2BF81500"/>
    <w:rsid w:val="2C7219A3"/>
    <w:rsid w:val="2C884632"/>
    <w:rsid w:val="2C9D5D89"/>
    <w:rsid w:val="2CA451E4"/>
    <w:rsid w:val="2CAF6281"/>
    <w:rsid w:val="2CCA2E9C"/>
    <w:rsid w:val="2CE51879"/>
    <w:rsid w:val="2CE81574"/>
    <w:rsid w:val="2CF021D7"/>
    <w:rsid w:val="2CFF241A"/>
    <w:rsid w:val="2D485B6F"/>
    <w:rsid w:val="2D672092"/>
    <w:rsid w:val="2D684463"/>
    <w:rsid w:val="2D687FBF"/>
    <w:rsid w:val="2DAF5BEE"/>
    <w:rsid w:val="2DB9608A"/>
    <w:rsid w:val="2DE5585C"/>
    <w:rsid w:val="2E456552"/>
    <w:rsid w:val="2E6D4422"/>
    <w:rsid w:val="2E76670C"/>
    <w:rsid w:val="2E9D013C"/>
    <w:rsid w:val="2E9D1EEA"/>
    <w:rsid w:val="2EAE40F8"/>
    <w:rsid w:val="2EB77450"/>
    <w:rsid w:val="2EC83C32"/>
    <w:rsid w:val="2EC95899"/>
    <w:rsid w:val="2ED527E6"/>
    <w:rsid w:val="2EFA10EB"/>
    <w:rsid w:val="2F0672B1"/>
    <w:rsid w:val="2F2F5238"/>
    <w:rsid w:val="2F81180C"/>
    <w:rsid w:val="2F902D21"/>
    <w:rsid w:val="2FC11C09"/>
    <w:rsid w:val="3038636F"/>
    <w:rsid w:val="303F598D"/>
    <w:rsid w:val="307075C8"/>
    <w:rsid w:val="30CC52EF"/>
    <w:rsid w:val="322E468E"/>
    <w:rsid w:val="32317519"/>
    <w:rsid w:val="32425D40"/>
    <w:rsid w:val="324523C1"/>
    <w:rsid w:val="32514742"/>
    <w:rsid w:val="325507A5"/>
    <w:rsid w:val="326E7E26"/>
    <w:rsid w:val="32F75D18"/>
    <w:rsid w:val="3310712F"/>
    <w:rsid w:val="33346CC9"/>
    <w:rsid w:val="33B07AF9"/>
    <w:rsid w:val="33C31E5E"/>
    <w:rsid w:val="33EA7980"/>
    <w:rsid w:val="340D366E"/>
    <w:rsid w:val="34125BA3"/>
    <w:rsid w:val="341B222F"/>
    <w:rsid w:val="343A234D"/>
    <w:rsid w:val="343D03F7"/>
    <w:rsid w:val="3445105A"/>
    <w:rsid w:val="34F62354"/>
    <w:rsid w:val="34F76440"/>
    <w:rsid w:val="35434CDE"/>
    <w:rsid w:val="35792FDD"/>
    <w:rsid w:val="358838F4"/>
    <w:rsid w:val="35B2271F"/>
    <w:rsid w:val="36454AF6"/>
    <w:rsid w:val="367D3721"/>
    <w:rsid w:val="369B31B3"/>
    <w:rsid w:val="36AB6ECE"/>
    <w:rsid w:val="36C962C2"/>
    <w:rsid w:val="372B2789"/>
    <w:rsid w:val="372B5D93"/>
    <w:rsid w:val="3768578B"/>
    <w:rsid w:val="37EA03CB"/>
    <w:rsid w:val="37FC58DA"/>
    <w:rsid w:val="38174ABC"/>
    <w:rsid w:val="384A30E3"/>
    <w:rsid w:val="388C54AA"/>
    <w:rsid w:val="38A67194"/>
    <w:rsid w:val="38CE7538"/>
    <w:rsid w:val="38ED3A6E"/>
    <w:rsid w:val="39026556"/>
    <w:rsid w:val="390317B7"/>
    <w:rsid w:val="39861EF9"/>
    <w:rsid w:val="39AE6D96"/>
    <w:rsid w:val="39D569DC"/>
    <w:rsid w:val="39F11435"/>
    <w:rsid w:val="3A1A4D37"/>
    <w:rsid w:val="3A717D6E"/>
    <w:rsid w:val="3AEF1E1C"/>
    <w:rsid w:val="3AF86E26"/>
    <w:rsid w:val="3BD57167"/>
    <w:rsid w:val="3BDF3DFC"/>
    <w:rsid w:val="3BEE5F12"/>
    <w:rsid w:val="3C302214"/>
    <w:rsid w:val="3C3417FB"/>
    <w:rsid w:val="3C624382"/>
    <w:rsid w:val="3CED228F"/>
    <w:rsid w:val="3D0E0B83"/>
    <w:rsid w:val="3D6764E5"/>
    <w:rsid w:val="3D784514"/>
    <w:rsid w:val="3D851D0D"/>
    <w:rsid w:val="3DBA1008"/>
    <w:rsid w:val="3E0472BD"/>
    <w:rsid w:val="3E2947D8"/>
    <w:rsid w:val="3E584D59"/>
    <w:rsid w:val="3EA00A69"/>
    <w:rsid w:val="3EBD6E70"/>
    <w:rsid w:val="3F6530F9"/>
    <w:rsid w:val="3F8C30FA"/>
    <w:rsid w:val="3FB02111"/>
    <w:rsid w:val="3FB90CE2"/>
    <w:rsid w:val="3FC512A1"/>
    <w:rsid w:val="40221AB8"/>
    <w:rsid w:val="40302BBE"/>
    <w:rsid w:val="406106C5"/>
    <w:rsid w:val="406C2871"/>
    <w:rsid w:val="4089529F"/>
    <w:rsid w:val="40EB5F65"/>
    <w:rsid w:val="41036525"/>
    <w:rsid w:val="41635215"/>
    <w:rsid w:val="41653AC2"/>
    <w:rsid w:val="41720FB5"/>
    <w:rsid w:val="41873A7C"/>
    <w:rsid w:val="41AC1DB0"/>
    <w:rsid w:val="42191C4C"/>
    <w:rsid w:val="42242411"/>
    <w:rsid w:val="42510572"/>
    <w:rsid w:val="425E3AFC"/>
    <w:rsid w:val="42725710"/>
    <w:rsid w:val="42733236"/>
    <w:rsid w:val="427A76F5"/>
    <w:rsid w:val="428524AA"/>
    <w:rsid w:val="428B0580"/>
    <w:rsid w:val="428F0ACE"/>
    <w:rsid w:val="42F208AA"/>
    <w:rsid w:val="430D5439"/>
    <w:rsid w:val="4315253F"/>
    <w:rsid w:val="43191142"/>
    <w:rsid w:val="433D6BDD"/>
    <w:rsid w:val="43571C4A"/>
    <w:rsid w:val="439E6277"/>
    <w:rsid w:val="43C55D14"/>
    <w:rsid w:val="43ED0DC6"/>
    <w:rsid w:val="44245626"/>
    <w:rsid w:val="44615A3C"/>
    <w:rsid w:val="44890AEF"/>
    <w:rsid w:val="44A45929"/>
    <w:rsid w:val="44D07577"/>
    <w:rsid w:val="44D108E9"/>
    <w:rsid w:val="450D1720"/>
    <w:rsid w:val="4594599D"/>
    <w:rsid w:val="45C320C4"/>
    <w:rsid w:val="45E05087"/>
    <w:rsid w:val="45EB0D6D"/>
    <w:rsid w:val="45EE77A4"/>
    <w:rsid w:val="460C7C2A"/>
    <w:rsid w:val="463D6035"/>
    <w:rsid w:val="465313B5"/>
    <w:rsid w:val="465950E5"/>
    <w:rsid w:val="4672706F"/>
    <w:rsid w:val="46A62431"/>
    <w:rsid w:val="46E01544"/>
    <w:rsid w:val="472B2331"/>
    <w:rsid w:val="47677934"/>
    <w:rsid w:val="47B73BC5"/>
    <w:rsid w:val="47C357D6"/>
    <w:rsid w:val="47E02DA9"/>
    <w:rsid w:val="48013092"/>
    <w:rsid w:val="483A12F6"/>
    <w:rsid w:val="488E0400"/>
    <w:rsid w:val="489F5472"/>
    <w:rsid w:val="48AF2AEE"/>
    <w:rsid w:val="48B60321"/>
    <w:rsid w:val="48FD1AAC"/>
    <w:rsid w:val="491237A9"/>
    <w:rsid w:val="49402EEF"/>
    <w:rsid w:val="49B51A7F"/>
    <w:rsid w:val="49BE56DF"/>
    <w:rsid w:val="4A0E4C02"/>
    <w:rsid w:val="4A756F9E"/>
    <w:rsid w:val="4AF33D9C"/>
    <w:rsid w:val="4B773D97"/>
    <w:rsid w:val="4BD50ABE"/>
    <w:rsid w:val="4BDA4326"/>
    <w:rsid w:val="4C2C7D5D"/>
    <w:rsid w:val="4C3D658C"/>
    <w:rsid w:val="4C431ECB"/>
    <w:rsid w:val="4C8A2ADB"/>
    <w:rsid w:val="4CB6115A"/>
    <w:rsid w:val="4CDB65A8"/>
    <w:rsid w:val="4CED014A"/>
    <w:rsid w:val="4CFA6A2E"/>
    <w:rsid w:val="4D357A66"/>
    <w:rsid w:val="4D5659DD"/>
    <w:rsid w:val="4DAC2996"/>
    <w:rsid w:val="4DBC3795"/>
    <w:rsid w:val="4DCC3EE8"/>
    <w:rsid w:val="4DF416CF"/>
    <w:rsid w:val="4DFD7989"/>
    <w:rsid w:val="4E0631B0"/>
    <w:rsid w:val="4E4A12E7"/>
    <w:rsid w:val="4E4B62F1"/>
    <w:rsid w:val="4E712D20"/>
    <w:rsid w:val="4E740A62"/>
    <w:rsid w:val="4EC512BE"/>
    <w:rsid w:val="4ED36436"/>
    <w:rsid w:val="4FEE0289"/>
    <w:rsid w:val="4FF754A7"/>
    <w:rsid w:val="509176A9"/>
    <w:rsid w:val="50946DC2"/>
    <w:rsid w:val="5095081C"/>
    <w:rsid w:val="51843FE6"/>
    <w:rsid w:val="518C5BE1"/>
    <w:rsid w:val="51C55131"/>
    <w:rsid w:val="526B217C"/>
    <w:rsid w:val="527A5F1B"/>
    <w:rsid w:val="529812BF"/>
    <w:rsid w:val="52AE4F47"/>
    <w:rsid w:val="52B61649"/>
    <w:rsid w:val="52BD6977"/>
    <w:rsid w:val="52CE1F68"/>
    <w:rsid w:val="52D85640"/>
    <w:rsid w:val="52E5798E"/>
    <w:rsid w:val="52F55F41"/>
    <w:rsid w:val="530A1BD1"/>
    <w:rsid w:val="53185739"/>
    <w:rsid w:val="533024F5"/>
    <w:rsid w:val="5398169E"/>
    <w:rsid w:val="53BF0089"/>
    <w:rsid w:val="53E72565"/>
    <w:rsid w:val="53F060B4"/>
    <w:rsid w:val="545F7ABE"/>
    <w:rsid w:val="54630A09"/>
    <w:rsid w:val="5483138F"/>
    <w:rsid w:val="55033852"/>
    <w:rsid w:val="55394479"/>
    <w:rsid w:val="554A6079"/>
    <w:rsid w:val="55C018F1"/>
    <w:rsid w:val="55DB79C3"/>
    <w:rsid w:val="55FD34A7"/>
    <w:rsid w:val="56024BA5"/>
    <w:rsid w:val="562C577E"/>
    <w:rsid w:val="565847C5"/>
    <w:rsid w:val="566A00AD"/>
    <w:rsid w:val="56A31EE4"/>
    <w:rsid w:val="56CE6835"/>
    <w:rsid w:val="57220695"/>
    <w:rsid w:val="575776FA"/>
    <w:rsid w:val="5765537C"/>
    <w:rsid w:val="579E26AC"/>
    <w:rsid w:val="5822393B"/>
    <w:rsid w:val="583A0894"/>
    <w:rsid w:val="58951D01"/>
    <w:rsid w:val="58B77EC9"/>
    <w:rsid w:val="58BD356C"/>
    <w:rsid w:val="58D86522"/>
    <w:rsid w:val="592A16CF"/>
    <w:rsid w:val="59741916"/>
    <w:rsid w:val="59B14FC6"/>
    <w:rsid w:val="5A0B1863"/>
    <w:rsid w:val="5A2346C9"/>
    <w:rsid w:val="5A9009D2"/>
    <w:rsid w:val="5A963B0E"/>
    <w:rsid w:val="5AB05956"/>
    <w:rsid w:val="5ABD72ED"/>
    <w:rsid w:val="5AC468CD"/>
    <w:rsid w:val="5AE44F97"/>
    <w:rsid w:val="5AFC78C2"/>
    <w:rsid w:val="5B7037F7"/>
    <w:rsid w:val="5BA84160"/>
    <w:rsid w:val="5C0C10AF"/>
    <w:rsid w:val="5C9A0332"/>
    <w:rsid w:val="5CB63FF4"/>
    <w:rsid w:val="5CEB31DB"/>
    <w:rsid w:val="5CF52D6E"/>
    <w:rsid w:val="5CF8460C"/>
    <w:rsid w:val="5D0779B1"/>
    <w:rsid w:val="5D63417B"/>
    <w:rsid w:val="5D9A7B05"/>
    <w:rsid w:val="5DA501F8"/>
    <w:rsid w:val="5E5C0F3E"/>
    <w:rsid w:val="5E8545A5"/>
    <w:rsid w:val="5ED115B9"/>
    <w:rsid w:val="5F3758C0"/>
    <w:rsid w:val="5F7861FA"/>
    <w:rsid w:val="5F8D3732"/>
    <w:rsid w:val="5FC058B5"/>
    <w:rsid w:val="5FDB4A4E"/>
    <w:rsid w:val="60116111"/>
    <w:rsid w:val="60234A74"/>
    <w:rsid w:val="60512BA9"/>
    <w:rsid w:val="606C0725"/>
    <w:rsid w:val="607034DD"/>
    <w:rsid w:val="60B6074E"/>
    <w:rsid w:val="60B62CA5"/>
    <w:rsid w:val="614C3B82"/>
    <w:rsid w:val="617C3A5E"/>
    <w:rsid w:val="618D5292"/>
    <w:rsid w:val="61AB772F"/>
    <w:rsid w:val="62742987"/>
    <w:rsid w:val="627B1F67"/>
    <w:rsid w:val="63153034"/>
    <w:rsid w:val="633345F0"/>
    <w:rsid w:val="63360306"/>
    <w:rsid w:val="63E1229E"/>
    <w:rsid w:val="64001759"/>
    <w:rsid w:val="641E2BAA"/>
    <w:rsid w:val="646C19F5"/>
    <w:rsid w:val="64C03C61"/>
    <w:rsid w:val="64C3600D"/>
    <w:rsid w:val="65A658DB"/>
    <w:rsid w:val="65CE23AE"/>
    <w:rsid w:val="65D5198E"/>
    <w:rsid w:val="66287D10"/>
    <w:rsid w:val="662B15AE"/>
    <w:rsid w:val="66466D76"/>
    <w:rsid w:val="66546D57"/>
    <w:rsid w:val="66901AD8"/>
    <w:rsid w:val="66DD0A9D"/>
    <w:rsid w:val="67006EDF"/>
    <w:rsid w:val="67227D23"/>
    <w:rsid w:val="67254250"/>
    <w:rsid w:val="6726280A"/>
    <w:rsid w:val="67670A33"/>
    <w:rsid w:val="678C37AF"/>
    <w:rsid w:val="67DF7076"/>
    <w:rsid w:val="69085BD7"/>
    <w:rsid w:val="69110F2F"/>
    <w:rsid w:val="69461C41"/>
    <w:rsid w:val="69A14193"/>
    <w:rsid w:val="69A52001"/>
    <w:rsid w:val="69B211DD"/>
    <w:rsid w:val="69B411FD"/>
    <w:rsid w:val="69CD1003"/>
    <w:rsid w:val="6A1D1B56"/>
    <w:rsid w:val="6A503CD9"/>
    <w:rsid w:val="6A7A0D56"/>
    <w:rsid w:val="6A9308E3"/>
    <w:rsid w:val="6AAF0A00"/>
    <w:rsid w:val="6AD541DF"/>
    <w:rsid w:val="6B855C05"/>
    <w:rsid w:val="6B882FFF"/>
    <w:rsid w:val="6BB107A8"/>
    <w:rsid w:val="6BB67B6C"/>
    <w:rsid w:val="6C0E100D"/>
    <w:rsid w:val="6C2076DB"/>
    <w:rsid w:val="6C3E5364"/>
    <w:rsid w:val="6C4C633D"/>
    <w:rsid w:val="6C5C05C5"/>
    <w:rsid w:val="6C71113F"/>
    <w:rsid w:val="6C9916D4"/>
    <w:rsid w:val="6CD603D3"/>
    <w:rsid w:val="6DBD7633"/>
    <w:rsid w:val="6E245CB1"/>
    <w:rsid w:val="6E276AFF"/>
    <w:rsid w:val="6E2C2368"/>
    <w:rsid w:val="6EB85125"/>
    <w:rsid w:val="6F215871"/>
    <w:rsid w:val="6F483564"/>
    <w:rsid w:val="6F51675A"/>
    <w:rsid w:val="6F946416"/>
    <w:rsid w:val="6FAF67F4"/>
    <w:rsid w:val="6FEA4288"/>
    <w:rsid w:val="6FEE1E4E"/>
    <w:rsid w:val="702552C0"/>
    <w:rsid w:val="70453BB5"/>
    <w:rsid w:val="70A95EF1"/>
    <w:rsid w:val="710C1B97"/>
    <w:rsid w:val="71770A1B"/>
    <w:rsid w:val="717E2EDA"/>
    <w:rsid w:val="718D136F"/>
    <w:rsid w:val="71C34D91"/>
    <w:rsid w:val="71F73A6C"/>
    <w:rsid w:val="721675B7"/>
    <w:rsid w:val="72477CFF"/>
    <w:rsid w:val="727367B7"/>
    <w:rsid w:val="72A9667D"/>
    <w:rsid w:val="73130605"/>
    <w:rsid w:val="73147F8A"/>
    <w:rsid w:val="731947EF"/>
    <w:rsid w:val="7359395E"/>
    <w:rsid w:val="73A02274"/>
    <w:rsid w:val="73B7296C"/>
    <w:rsid w:val="74890514"/>
    <w:rsid w:val="74A71AF3"/>
    <w:rsid w:val="74AA5C0D"/>
    <w:rsid w:val="750247A1"/>
    <w:rsid w:val="753328B9"/>
    <w:rsid w:val="755A1EB0"/>
    <w:rsid w:val="7582387F"/>
    <w:rsid w:val="75A924F0"/>
    <w:rsid w:val="75BE77BF"/>
    <w:rsid w:val="764446E2"/>
    <w:rsid w:val="764B0005"/>
    <w:rsid w:val="764C7A4B"/>
    <w:rsid w:val="7662101C"/>
    <w:rsid w:val="76745225"/>
    <w:rsid w:val="76DA5057"/>
    <w:rsid w:val="77057BFA"/>
    <w:rsid w:val="77603EAD"/>
    <w:rsid w:val="77701CC3"/>
    <w:rsid w:val="7799660A"/>
    <w:rsid w:val="77E25380"/>
    <w:rsid w:val="78144C1D"/>
    <w:rsid w:val="782B3132"/>
    <w:rsid w:val="78313C9B"/>
    <w:rsid w:val="78412EB3"/>
    <w:rsid w:val="784932D3"/>
    <w:rsid w:val="78680440"/>
    <w:rsid w:val="791C3575"/>
    <w:rsid w:val="79FC7CC7"/>
    <w:rsid w:val="79FD53F2"/>
    <w:rsid w:val="7A117820"/>
    <w:rsid w:val="7A3902E6"/>
    <w:rsid w:val="7A471246"/>
    <w:rsid w:val="7A4A42A1"/>
    <w:rsid w:val="7ACB52DC"/>
    <w:rsid w:val="7ACF0C4A"/>
    <w:rsid w:val="7B126395"/>
    <w:rsid w:val="7B1310C6"/>
    <w:rsid w:val="7B62386D"/>
    <w:rsid w:val="7B6E2211"/>
    <w:rsid w:val="7B780939"/>
    <w:rsid w:val="7BA62B3D"/>
    <w:rsid w:val="7BDB7CC3"/>
    <w:rsid w:val="7BFB6ED2"/>
    <w:rsid w:val="7C354ADD"/>
    <w:rsid w:val="7C3E5779"/>
    <w:rsid w:val="7C605FFE"/>
    <w:rsid w:val="7C731903"/>
    <w:rsid w:val="7D473DD3"/>
    <w:rsid w:val="7D6349FD"/>
    <w:rsid w:val="7DB0243F"/>
    <w:rsid w:val="7DFB4BB9"/>
    <w:rsid w:val="7E0E6C5F"/>
    <w:rsid w:val="7E3A287F"/>
    <w:rsid w:val="7E484F9C"/>
    <w:rsid w:val="7E547E68"/>
    <w:rsid w:val="7E8E1077"/>
    <w:rsid w:val="7ED73BAD"/>
    <w:rsid w:val="7F37558D"/>
    <w:rsid w:val="7FAF608A"/>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toa heading"/>
    <w:basedOn w:val="1"/>
    <w:next w:val="1"/>
    <w:semiHidden/>
    <w:unhideWhenUsed/>
    <w:qFormat/>
    <w:uiPriority w:val="99"/>
    <w:pPr>
      <w:spacing w:before="120"/>
    </w:pPr>
    <w:rPr>
      <w:rFonts w:asciiTheme="majorHAnsi" w:hAnsiTheme="majorHAnsi" w:eastAsiaTheme="majorEastAsia" w:cstheme="majorBidi"/>
    </w:rPr>
  </w:style>
  <w:style w:type="paragraph" w:styleId="8">
    <w:name w:val="annotation text"/>
    <w:basedOn w:val="1"/>
    <w:qFormat/>
    <w:uiPriority w:val="0"/>
    <w:pPr>
      <w:jc w:val="left"/>
    </w:pPr>
  </w:style>
  <w:style w:type="paragraph" w:styleId="9">
    <w:name w:val="Body Text"/>
    <w:basedOn w:val="1"/>
    <w:next w:val="1"/>
    <w:qFormat/>
    <w:uiPriority w:val="0"/>
    <w:pPr>
      <w:spacing w:line="380" w:lineRule="exact"/>
    </w:pPr>
    <w:rPr>
      <w:rFonts w:ascii="Times New Roman" w:hAnsi="Times New Roman" w:eastAsia="宋体" w:cs="Times New Roman"/>
      <w:sz w:val="24"/>
      <w:szCs w:val="24"/>
    </w:rPr>
  </w:style>
  <w:style w:type="paragraph" w:styleId="10">
    <w:name w:val="Body Text Indent"/>
    <w:basedOn w:val="1"/>
    <w:qFormat/>
    <w:uiPriority w:val="0"/>
    <w:pPr>
      <w:ind w:firstLine="830" w:firstLineChars="352"/>
    </w:pPr>
    <w:rPr>
      <w:rFonts w:ascii="仿宋_GB2312" w:hAnsi="Times New Roman" w:eastAsia="仿宋_GB2312" w:cs="仿宋_GB2312"/>
      <w:sz w:val="32"/>
      <w:szCs w:val="32"/>
    </w:rPr>
  </w:style>
  <w:style w:type="paragraph" w:styleId="11">
    <w:name w:val="Plain Text"/>
    <w:basedOn w:val="1"/>
    <w:qFormat/>
    <w:uiPriority w:val="0"/>
    <w:rPr>
      <w:rFonts w:ascii="宋体" w:hAnsi="宋体" w:cs="Courier New"/>
      <w:szCs w:val="21"/>
    </w:rPr>
  </w:style>
  <w:style w:type="paragraph" w:styleId="12">
    <w:name w:val="footer"/>
    <w:basedOn w:val="1"/>
    <w:next w:val="1"/>
    <w:qFormat/>
    <w:uiPriority w:val="99"/>
    <w:pPr>
      <w:tabs>
        <w:tab w:val="center" w:pos="4153"/>
        <w:tab w:val="right" w:pos="8306"/>
      </w:tabs>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Body Text Indent 3"/>
    <w:basedOn w:val="1"/>
    <w:qFormat/>
    <w:uiPriority w:val="0"/>
    <w:pPr>
      <w:ind w:left="420" w:leftChars="200"/>
    </w:pPr>
    <w:rPr>
      <w:sz w:val="16"/>
    </w:rPr>
  </w:style>
  <w:style w:type="paragraph" w:styleId="16">
    <w:name w:val="Body Text 2"/>
    <w:basedOn w:val="1"/>
    <w:qFormat/>
    <w:uiPriority w:val="0"/>
    <w:pPr>
      <w:spacing w:after="120" w:afterLines="0" w:line="480" w:lineRule="auto"/>
    </w:pPr>
    <w:rPr>
      <w:kern w:val="0"/>
      <w:sz w:val="20"/>
    </w:rPr>
  </w:style>
  <w:style w:type="paragraph" w:styleId="17">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8">
    <w:name w:val="Title"/>
    <w:basedOn w:val="1"/>
    <w:next w:val="1"/>
    <w:qFormat/>
    <w:uiPriority w:val="0"/>
    <w:pPr>
      <w:keepNext/>
      <w:keepLines/>
      <w:spacing w:before="50" w:beforeLines="50" w:after="50" w:afterLines="50" w:line="360" w:lineRule="auto"/>
      <w:ind w:firstLine="200" w:firstLineChars="200"/>
      <w:outlineLvl w:val="2"/>
    </w:pPr>
    <w:rPr>
      <w:rFonts w:ascii="宋体" w:hAnsi="宋体"/>
      <w:b/>
      <w:bCs/>
      <w:kern w:val="2"/>
      <w:sz w:val="24"/>
      <w:szCs w:val="32"/>
      <w:lang w:val="en-US" w:eastAsia="zh-CN" w:bidi="ar-SA"/>
    </w:rPr>
  </w:style>
  <w:style w:type="paragraph" w:styleId="19">
    <w:name w:val="Body Text First Indent"/>
    <w:basedOn w:val="9"/>
    <w:unhideWhenUsed/>
    <w:qFormat/>
    <w:uiPriority w:val="99"/>
    <w:pPr>
      <w:ind w:firstLine="420" w:firstLineChars="100"/>
    </w:pPr>
    <w:rPr>
      <w:rFonts w:ascii="Calibri" w:hAnsi="Calibri" w:eastAsia="微软雅黑" w:cs="Times New Roman"/>
    </w:rPr>
  </w:style>
  <w:style w:type="paragraph" w:styleId="20">
    <w:name w:val="Body Text First Indent 2"/>
    <w:basedOn w:val="9"/>
    <w:next w:val="19"/>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rPr>
      <w:rFonts w:ascii="Times New Roman" w:hAnsi="Times New Roman" w:eastAsia="宋体" w:cs="Times New Roman"/>
    </w:rPr>
  </w:style>
  <w:style w:type="character" w:styleId="26">
    <w:name w:val="Hyperlink"/>
    <w:qFormat/>
    <w:uiPriority w:val="99"/>
    <w:rPr>
      <w:color w:val="0000FF"/>
      <w:u w:val="none"/>
    </w:rPr>
  </w:style>
  <w:style w:type="paragraph" w:customStyle="1" w:styleId="27">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2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9">
    <w:name w:val="1"/>
    <w:basedOn w:val="1"/>
    <w:next w:val="11"/>
    <w:qFormat/>
    <w:uiPriority w:val="0"/>
    <w:rPr>
      <w:rFonts w:ascii="宋体" w:hAnsi="宋体"/>
      <w:szCs w:val="20"/>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Table Text"/>
    <w:basedOn w:val="1"/>
    <w:semiHidden/>
    <w:qFormat/>
    <w:uiPriority w:val="0"/>
    <w:rPr>
      <w:rFonts w:ascii="宋体" w:hAnsi="宋体" w:eastAsia="宋体" w:cs="宋体"/>
      <w:sz w:val="20"/>
      <w:szCs w:val="20"/>
      <w:lang w:val="en-US" w:eastAsia="en-US" w:bidi="ar-SA"/>
    </w:rPr>
  </w:style>
  <w:style w:type="character" w:customStyle="1" w:styleId="32">
    <w:name w:val="15"/>
    <w:basedOn w:val="23"/>
    <w:qFormat/>
    <w:uiPriority w:val="0"/>
    <w:rPr>
      <w:rFonts w:hint="default" w:ascii="Times New Roman" w:hAnsi="Times New Roman" w:cs="Times New Roman"/>
    </w:rPr>
  </w:style>
  <w:style w:type="paragraph" w:customStyle="1" w:styleId="33">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34">
    <w:name w:val="Body text|3"/>
    <w:basedOn w:val="1"/>
    <w:qFormat/>
    <w:uiPriority w:val="0"/>
    <w:pPr>
      <w:spacing w:after="460"/>
      <w:jc w:val="center"/>
    </w:pPr>
    <w:rPr>
      <w:rFonts w:ascii="宋体" w:hAnsi="宋体"/>
      <w:color w:val="auto"/>
      <w:kern w:val="0"/>
      <w:sz w:val="34"/>
      <w:szCs w:val="34"/>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table" w:customStyle="1" w:styleId="36">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7">
    <w:name w:val="NormalCharacter"/>
    <w:qFormat/>
    <w:uiPriority w:val="0"/>
  </w:style>
  <w:style w:type="character" w:customStyle="1" w:styleId="38">
    <w:name w:val="bookmark-item uuid-1596004721081 code-00009 addword interval-text-box-cls"/>
    <w:qFormat/>
    <w:uiPriority w:val="0"/>
    <w:rPr>
      <w:rFonts w:ascii="Times New Roman" w:hAnsi="Times New Roman" w:eastAsia="宋体" w:cs="Times New Roman"/>
    </w:rPr>
  </w:style>
  <w:style w:type="character" w:customStyle="1" w:styleId="39">
    <w:name w:val="bookmark-item uuid-1596004753055 code-00011 addword single-line-text-input-box-cls"/>
    <w:qFormat/>
    <w:uiPriority w:val="0"/>
    <w:rPr>
      <w:rFonts w:ascii="Times New Roman" w:hAnsi="Times New Roman" w:eastAsia="宋体" w:cs="Times New Roman"/>
    </w:rPr>
  </w:style>
  <w:style w:type="character" w:customStyle="1" w:styleId="40">
    <w:name w:val="bookmark-item uuid-1595987359344 code-00004 addword single-line-text-input-box-cls"/>
    <w:qFormat/>
    <w:uiPriority w:val="0"/>
  </w:style>
  <w:style w:type="paragraph" w:customStyle="1" w:styleId="41">
    <w:name w:val="p15"/>
    <w:basedOn w:val="1"/>
    <w:qFormat/>
    <w:uiPriority w:val="0"/>
    <w:pPr>
      <w:widowControl/>
    </w:pPr>
    <w:rPr>
      <w:rFonts w:ascii="宋体" w:hAnsi="宋体" w:eastAsia="宋体" w:cs="宋体"/>
      <w:kern w:val="0"/>
      <w:szCs w:val="21"/>
    </w:rPr>
  </w:style>
  <w:style w:type="paragraph" w:customStyle="1" w:styleId="42">
    <w:name w:val="Table Paragraph"/>
    <w:basedOn w:val="1"/>
    <w:qFormat/>
    <w:uiPriority w:val="1"/>
    <w:pPr>
      <w:jc w:val="left"/>
    </w:pPr>
    <w:rPr>
      <w:rFonts w:ascii="Calibri" w:hAnsi="Calibri"/>
      <w:kern w:val="0"/>
      <w:sz w:val="22"/>
      <w:szCs w:val="22"/>
      <w:lang w:eastAsia="en-US"/>
    </w:rPr>
  </w:style>
  <w:style w:type="paragraph" w:customStyle="1" w:styleId="43">
    <w:name w:val="表文"/>
    <w:basedOn w:val="1"/>
    <w:qFormat/>
    <w:uiPriority w:val="0"/>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146</Words>
  <Characters>175</Characters>
  <Lines>0</Lines>
  <Paragraphs>0</Paragraphs>
  <TotalTime>29</TotalTime>
  <ScaleCrop>false</ScaleCrop>
  <LinksUpToDate>false</LinksUpToDate>
  <CharactersWithSpaces>188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黄何斌</cp:lastModifiedBy>
  <cp:lastPrinted>2025-11-24T03:46:00Z</cp:lastPrinted>
  <dcterms:modified xsi:type="dcterms:W3CDTF">2026-03-25T08:37:53Z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4726D21F9D5D4D0A848BED343809D322_13</vt:lpwstr>
  </property>
  <property fmtid="{D5CDD505-2E9C-101B-9397-08002B2CF9AE}" pid="4" name="KSOTemplateDocerSaveRecord">
    <vt:lpwstr>eyJoZGlkIjoiZGU2YjU2MWM1NWJiMTlhZGY1NTAyZDM1ZTBhMTQ1OWMiLCJ1c2VySWQiOiIxNzY1NzM1OTgwIn0=</vt:lpwstr>
  </property>
</Properties>
</file>